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settings.xml" ContentType="application/vnd.openxmlformats-officedocument.wordprocessingml.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body>
    <w:p>
      <w:pPr>
        <w:pStyle w:val="15"/>
      </w:pPr>
      <w:bookmarkStart w:id="0" w:name="_ogabv9jngrfi"/>
      <w:bookmarkEnd w:id="0"/>
      <w:r>
        <w:drawing>
          <wp:inline distT="114300" distB="114300" distL="114300" distR="114300">
            <wp:extent cx="3657600" cy="1276350"/>
            <wp:effectExtent l="0" t="0" r="0" b="0"/>
            <wp:docPr id="1" name="图片 1"/>
            <wp:cNvGraphicFramePr>
              <a:graphicFrameLocks noChangeAspect="0"/>
            </wp:cNvGraphicFramePr>
            <a:graphic>
              <a:graphicData uri="http://schemas.openxmlformats.org/drawingml/2006/picture">
                <pic:pic>
                  <pic:nvPicPr>
                    <pic:cNvPr id="3" name="图片 3"/>
                    <pic:cNvPicPr/>
                  </pic:nvPicPr>
                  <pic:blipFill>
                    <a:blip r:embed="rId5"/>
                    <a:srcRect t="32030" b="33073"/>
                    <a:stretch>
                      <a:fillRect/>
                    </a:stretch>
                  </pic:blipFill>
                  <pic:spPr>
                    <a:xfrm rot="0">
                      <a:off x="0" y="0"/>
                      <a:ext cx="3657600" cy="1276350"/>
                    </a:xfrm>
                    <a:prstGeom prst="rect"/>
                    <a:noFill/>
                    <a:ln w="12700" cmpd="sng" cap="flat">
                      <a:solidFill>
                        <a:srgbClr val="000000"/>
                      </a:solidFill>
                      <a:prstDash val="solid"/>
                      <a:round/>
                    </a:ln>
                  </pic:spPr>
                </pic:pic>
              </a:graphicData>
            </a:graphic>
          </wp:inline>
        </w:drawing>
      </w:r>
    </w:p>
    <w:p/>
    <w:p/>
    <w:p>
      <w:pPr>
        <w:pStyle w:val="15"/>
        <w:rPr>
          <w:sz w:val="48"/>
          <w:szCs w:val="48"/>
        </w:rPr>
      </w:pPr>
      <w:bookmarkStart w:id="1" w:name="_3r1r2bo5wy22"/>
      <w:bookmarkEnd w:id="1"/>
      <w:r>
        <w:rPr>
          <w:sz w:val="48"/>
          <w:szCs w:val="48"/>
        </w:rPr>
        <w:t xml:space="preserve">PROGRAMME NAME: MASTER OF BUSINESS ADMINISTRATION </w:t>
      </w:r>
    </w:p>
    <w:p/>
    <w:p>
      <w:pPr>
        <w:pStyle w:val="15"/>
        <w:rPr>
          <w:b w:val="0"/>
          <w:bCs w:val="0"/>
          <w:i/>
          <w:iCs/>
        </w:rPr>
      </w:pPr>
      <w:bookmarkStart w:id="2" w:name="_8gglao10c6uv"/>
      <w:bookmarkEnd w:id="2"/>
      <w:r>
        <w:rPr>
          <w:b w:val="0"/>
          <w:bCs w:val="0"/>
          <w:i/>
          <w:iCs/>
        </w:rPr>
        <w:t>MODULE NAME: FINANCIAL MANAGEMENT</w:t>
      </w:r>
    </w:p>
    <w:p>
      <w:pPr>
        <w:pStyle w:val="15"/>
        <w:rPr>
          <w:b w:val="0"/>
          <w:bCs w:val="0"/>
          <w:i/>
          <w:iCs/>
        </w:rPr>
      </w:pPr>
      <w:bookmarkStart w:id="3" w:name="_6b6tvupa4kjz"/>
      <w:bookmarkEnd w:id="3"/>
      <w:r>
        <w:rPr>
          <w:b w:val="0"/>
          <w:bCs w:val="0"/>
          <w:i/>
          <w:iCs/>
        </w:rPr>
        <w:t>MODULE CODE: LCMB7002</w:t>
      </w:r>
    </w:p>
    <w:p/>
    <w:p>
      <w:pPr>
        <w:pStyle w:val="16"/>
        <w:rPr>
          <w:b/>
          <w:bCs/>
        </w:rPr>
      </w:pPr>
      <w:bookmarkStart w:id="4" w:name="_fgo0ljcy1th5"/>
      <w:bookmarkEnd w:id="4"/>
      <w:r>
        <w:rPr>
          <w:b/>
          <w:bCs/>
        </w:rPr>
        <w:t>Assessment Title: Individual Report on Tesla</w:t>
      </w:r>
    </w:p>
    <w:p/>
    <w:p>
      <w:pPr>
        <w:jc w:val="center"/>
        <w:rPr>
          <w:i/>
          <w:iCs/>
          <w:sz w:val="28"/>
          <w:szCs w:val="28"/>
        </w:rPr>
      </w:pPr>
    </w:p>
    <w:p>
      <w:pPr>
        <w:jc w:val="center"/>
        <w:rPr>
          <w:i/>
          <w:iCs/>
          <w:sz w:val="28"/>
          <w:szCs w:val="28"/>
        </w:rPr>
      </w:pPr>
      <w:r>
        <w:rPr>
          <w:i/>
          <w:iCs/>
          <w:sz w:val="28"/>
          <w:szCs w:val="28"/>
        </w:rPr>
        <w:t>Lecturer: Isaiah oino</w:t>
      </w:r>
    </w:p>
    <w:p/>
    <w:p>
      <w:pPr>
        <w:jc w:val="center"/>
        <w:rPr>
          <w:i/>
          <w:iCs/>
          <w:sz w:val="28"/>
          <w:szCs w:val="28"/>
        </w:rPr>
      </w:pPr>
    </w:p>
    <w:p>
      <w:pPr>
        <w:jc w:val="center"/>
        <w:rPr>
          <w:i/>
          <w:iCs/>
          <w:sz w:val="32"/>
          <w:szCs w:val="32"/>
        </w:rPr>
      </w:pPr>
      <w:r>
        <w:rPr>
          <w:i/>
          <w:iCs/>
          <w:sz w:val="32"/>
          <w:szCs w:val="32"/>
        </w:rPr>
        <w:t xml:space="preserve">STUDENT NAME: sundavadra hinaben rajshibhai </w:t>
      </w:r>
    </w:p>
    <w:p>
      <w:pPr>
        <w:jc w:val="center"/>
        <w:rPr>
          <w:i/>
          <w:iCs/>
          <w:sz w:val="32"/>
          <w:szCs w:val="32"/>
        </w:rPr>
      </w:pPr>
      <w:r>
        <w:rPr>
          <w:i/>
          <w:iCs/>
          <w:sz w:val="32"/>
          <w:szCs w:val="32"/>
        </w:rPr>
        <w:t>STUDENT ID: 2521861</w:t>
      </w:r>
    </w:p>
    <w:p>
      <w:pPr>
        <w:rPr>
          <w:b/>
          <w:bCs/>
          <w:sz w:val="26"/>
          <w:szCs w:val="26"/>
        </w:rPr>
      </w:pPr>
    </w:p>
    <w:p>
      <w:pPr>
        <w:pStyle w:val="15"/>
      </w:pPr>
      <w:bookmarkStart w:id="5" w:name="_a0d1rt180m17"/>
      <w:bookmarkEnd w:id="5"/>
    </w:p>
    <w:p>
      <w:r>
        <w:br w:type="page"/>
      </w:r>
      <w:bookmarkStart w:id="6" w:name="_GoBack"/>
      <w:bookmarkEnd w:id="6"/>
    </w:p>
    <w:p>
      <w:pPr>
        <w:jc w:val="center"/>
        <w:rPr>
          <w:b/>
          <w:bCs/>
          <w:sz w:val="28"/>
          <w:szCs w:val="28"/>
        </w:rPr>
      </w:pPr>
      <w:r>
        <w:rPr>
          <w:b/>
          <w:bCs/>
          <w:sz w:val="28"/>
          <w:szCs w:val="28"/>
        </w:rPr>
        <w:t>Table of Contents</w:t>
      </w:r>
    </w:p>
    <w:p>
      <w:pPr>
        <w:pStyle w:val="19"/>
        <w:tabs>
          <w:tab w:val="right" w:leader="dot" w:pos="9019"/>
        </w:tabs>
        <w:rPr>
          <w:rFonts w:ascii="Cambria" w:eastAsia="宋体" w:cs="Arial" w:hAnsi="Cambria"/>
          <w:kern w:val="2"/>
          <w:lang w:eastAsia="en-GB"/>
        </w:rPr>
      </w:pPr>
      <w:r>
        <w:fldChar w:fldCharType="begin"/>
      </w:r>
      <w:r>
        <w:instrText xml:space="preserve"> TOC \h \u \z \t "Heading 1,1,Heading 2,2,Heading 3,3,Heading 6,6," </w:instrText>
      </w:r>
      <w:r>
        <w:fldChar w:fldCharType="separate"/>
      </w:r>
      <w:r>
        <w:fldChar w:fldCharType="begin"/>
      </w:r>
      <w:r>
        <w:instrText>Hyperlink \l "_Toc227926873"</w:instrText>
      </w:r>
      <w:r>
        <w:fldChar w:fldCharType="separate"/>
      </w:r>
      <w:r>
        <w:t>1. Introduction</w:t>
        <w:tab/>
      </w:r>
      <w:r>
        <w:fldChar w:fldCharType="begin"/>
      </w:r>
      <w:r>
        <w:instrText xml:space="preserve"> PAGEREF _Toc227926873 \h </w:instrText>
      </w:r>
      <w:r>
        <w:fldChar w:fldCharType="separate"/>
      </w:r>
      <w:r>
        <w:t>6</w:t>
      </w:r>
      <w:r>
        <w:fldChar w:fldCharType="end"/>
      </w:r>
      <w:r>
        <w:fldChar w:fldCharType="end"/>
      </w:r>
    </w:p>
    <w:p>
      <w:pPr>
        <w:pStyle w:val="19"/>
        <w:tabs>
          <w:tab w:val="right" w:leader="dot" w:pos="9019"/>
        </w:tabs>
        <w:rPr>
          <w:rFonts w:ascii="Cambria" w:eastAsia="宋体" w:cs="Arial" w:hAnsi="Cambria"/>
          <w:kern w:val="2"/>
          <w:lang w:eastAsia="en-GB"/>
        </w:rPr>
      </w:pPr>
      <w:r>
        <w:fldChar w:fldCharType="begin"/>
      </w:r>
      <w:r>
        <w:instrText>Hyperlink \l "_Toc227926874"</w:instrText>
      </w:r>
      <w:r>
        <w:fldChar w:fldCharType="separate"/>
      </w:r>
      <w:r>
        <w:t>2. Financial Health Analysis</w:t>
        <w:tab/>
      </w:r>
      <w:r>
        <w:fldChar w:fldCharType="begin"/>
      </w:r>
      <w:r>
        <w:instrText xml:space="preserve"> PAGEREF _Toc227926874 \h </w:instrText>
      </w:r>
      <w:r>
        <w:fldChar w:fldCharType="separate"/>
      </w:r>
      <w:r>
        <w:t>6</w:t>
      </w:r>
      <w:r>
        <w:fldChar w:fldCharType="end"/>
      </w:r>
      <w:r>
        <w:fldChar w:fldCharType="end"/>
      </w:r>
    </w:p>
    <w:p>
      <w:pPr>
        <w:pStyle w:val="20"/>
        <w:tabs>
          <w:tab w:val="right" w:leader="dot" w:pos="9019"/>
        </w:tabs>
        <w:rPr>
          <w:rFonts w:ascii="Cambria" w:eastAsia="宋体" w:cs="Arial" w:hAnsi="Cambria"/>
          <w:kern w:val="2"/>
          <w:lang w:eastAsia="en-GB"/>
        </w:rPr>
      </w:pPr>
      <w:r>
        <w:fldChar w:fldCharType="begin"/>
      </w:r>
      <w:r>
        <w:instrText>Hyperlink \l "_Toc227926875"</w:instrText>
      </w:r>
      <w:r>
        <w:fldChar w:fldCharType="separate"/>
      </w:r>
      <w:r>
        <w:t>2.1 Profitability Analysis</w:t>
        <w:tab/>
      </w:r>
      <w:r>
        <w:fldChar w:fldCharType="begin"/>
      </w:r>
      <w:r>
        <w:instrText xml:space="preserve"> PAGEREF _Toc227926875 \h </w:instrText>
      </w:r>
      <w:r>
        <w:fldChar w:fldCharType="separate"/>
      </w:r>
      <w:r>
        <w:t>6</w:t>
      </w:r>
      <w:r>
        <w:fldChar w:fldCharType="end"/>
      </w:r>
      <w:r>
        <w:fldChar w:fldCharType="end"/>
      </w:r>
    </w:p>
    <w:p>
      <w:pPr>
        <w:pStyle w:val="20"/>
        <w:tabs>
          <w:tab w:val="right" w:leader="dot" w:pos="9019"/>
        </w:tabs>
        <w:rPr>
          <w:rFonts w:ascii="Cambria" w:eastAsia="宋体" w:cs="Arial" w:hAnsi="Cambria"/>
          <w:kern w:val="2"/>
          <w:lang w:eastAsia="en-GB"/>
        </w:rPr>
      </w:pPr>
      <w:r>
        <w:fldChar w:fldCharType="begin"/>
      </w:r>
      <w:r>
        <w:instrText>Hyperlink \l "_Toc227926876"</w:instrText>
      </w:r>
      <w:r>
        <w:fldChar w:fldCharType="separate"/>
      </w:r>
      <w:r>
        <w:t>2.2 Liquidity Analysis</w:t>
        <w:tab/>
      </w:r>
      <w:r>
        <w:fldChar w:fldCharType="begin"/>
      </w:r>
      <w:r>
        <w:instrText xml:space="preserve"> PAGEREF _Toc227926876 \h </w:instrText>
      </w:r>
      <w:r>
        <w:fldChar w:fldCharType="separate"/>
      </w:r>
      <w:r>
        <w:t>7</w:t>
      </w:r>
      <w:r>
        <w:fldChar w:fldCharType="end"/>
      </w:r>
      <w:r>
        <w:fldChar w:fldCharType="end"/>
      </w:r>
    </w:p>
    <w:p>
      <w:pPr>
        <w:pStyle w:val="20"/>
        <w:tabs>
          <w:tab w:val="right" w:leader="dot" w:pos="9019"/>
        </w:tabs>
        <w:rPr>
          <w:rFonts w:ascii="Cambria" w:eastAsia="宋体" w:cs="Arial" w:hAnsi="Cambria"/>
          <w:kern w:val="2"/>
          <w:lang w:eastAsia="en-GB"/>
        </w:rPr>
      </w:pPr>
      <w:r>
        <w:fldChar w:fldCharType="begin"/>
      </w:r>
      <w:r>
        <w:instrText>Hyperlink \l "_Toc227926877"</w:instrText>
      </w:r>
      <w:r>
        <w:fldChar w:fldCharType="separate"/>
      </w:r>
      <w:r>
        <w:t>2.3 Efficiency Analysis</w:t>
        <w:tab/>
      </w:r>
      <w:r>
        <w:fldChar w:fldCharType="begin"/>
      </w:r>
      <w:r>
        <w:instrText xml:space="preserve"> PAGEREF _Toc227926877 \h </w:instrText>
      </w:r>
      <w:r>
        <w:fldChar w:fldCharType="separate"/>
      </w:r>
      <w:r>
        <w:t>7</w:t>
      </w:r>
      <w:r>
        <w:fldChar w:fldCharType="end"/>
      </w:r>
      <w:r>
        <w:fldChar w:fldCharType="end"/>
      </w:r>
    </w:p>
    <w:p>
      <w:pPr>
        <w:pStyle w:val="20"/>
        <w:tabs>
          <w:tab w:val="right" w:leader="dot" w:pos="9019"/>
        </w:tabs>
        <w:rPr>
          <w:rFonts w:ascii="Cambria" w:eastAsia="宋体" w:cs="Arial" w:hAnsi="Cambria"/>
          <w:kern w:val="2"/>
          <w:lang w:eastAsia="en-GB"/>
        </w:rPr>
      </w:pPr>
      <w:r>
        <w:fldChar w:fldCharType="begin"/>
      </w:r>
      <w:r>
        <w:instrText>Hyperlink \l "_Toc227926878"</w:instrText>
      </w:r>
      <w:r>
        <w:fldChar w:fldCharType="separate"/>
      </w:r>
      <w:r>
        <w:t>2.4 Leverage Analysis</w:t>
        <w:tab/>
      </w:r>
      <w:r>
        <w:fldChar w:fldCharType="begin"/>
      </w:r>
      <w:r>
        <w:instrText xml:space="preserve"> PAGEREF _Toc227926878 \h </w:instrText>
      </w:r>
      <w:r>
        <w:fldChar w:fldCharType="separate"/>
      </w:r>
      <w:r>
        <w:t>8</w:t>
      </w:r>
      <w:r>
        <w:fldChar w:fldCharType="end"/>
      </w:r>
      <w:r>
        <w:fldChar w:fldCharType="end"/>
      </w:r>
    </w:p>
    <w:p>
      <w:pPr>
        <w:pStyle w:val="20"/>
        <w:tabs>
          <w:tab w:val="right" w:leader="dot" w:pos="9019"/>
        </w:tabs>
        <w:rPr>
          <w:rFonts w:ascii="Cambria" w:eastAsia="宋体" w:cs="Arial" w:hAnsi="Cambria"/>
          <w:kern w:val="2"/>
          <w:lang w:eastAsia="en-GB"/>
        </w:rPr>
      </w:pPr>
      <w:r>
        <w:fldChar w:fldCharType="begin"/>
      </w:r>
      <w:r>
        <w:instrText>Hyperlink \l "_Toc227926879"</w:instrText>
      </w:r>
      <w:r>
        <w:fldChar w:fldCharType="separate"/>
      </w:r>
      <w:r>
        <w:t>2.5 Investment Ratios</w:t>
        <w:tab/>
      </w:r>
      <w:r>
        <w:fldChar w:fldCharType="begin"/>
      </w:r>
      <w:r>
        <w:instrText xml:space="preserve"> PAGEREF _Toc227926879 \h </w:instrText>
      </w:r>
      <w:r>
        <w:fldChar w:fldCharType="separate"/>
      </w:r>
      <w:r>
        <w:t>8</w:t>
      </w:r>
      <w:r>
        <w:fldChar w:fldCharType="end"/>
      </w:r>
      <w:r>
        <w:fldChar w:fldCharType="end"/>
      </w:r>
    </w:p>
    <w:p>
      <w:pPr>
        <w:pStyle w:val="20"/>
        <w:tabs>
          <w:tab w:val="right" w:leader="dot" w:pos="9019"/>
        </w:tabs>
        <w:rPr>
          <w:rFonts w:ascii="Cambria" w:eastAsia="宋体" w:cs="Arial" w:hAnsi="Cambria"/>
          <w:kern w:val="2"/>
          <w:lang w:eastAsia="en-GB"/>
        </w:rPr>
      </w:pPr>
      <w:r>
        <w:fldChar w:fldCharType="begin"/>
      </w:r>
      <w:r>
        <w:instrText>Hyperlink \l "_Toc227926880"</w:instrText>
      </w:r>
      <w:r>
        <w:fldChar w:fldCharType="separate"/>
      </w:r>
      <w:r>
        <w:t>2.6 Cash Flow Ratios</w:t>
        <w:tab/>
      </w:r>
      <w:r>
        <w:fldChar w:fldCharType="begin"/>
      </w:r>
      <w:r>
        <w:instrText xml:space="preserve"> PAGEREF _Toc227926880 \h </w:instrText>
      </w:r>
      <w:r>
        <w:fldChar w:fldCharType="separate"/>
      </w:r>
      <w:r>
        <w:t>9</w:t>
      </w:r>
      <w:r>
        <w:fldChar w:fldCharType="end"/>
      </w:r>
      <w:r>
        <w:fldChar w:fldCharType="end"/>
      </w:r>
    </w:p>
    <w:p>
      <w:pPr>
        <w:pStyle w:val="19"/>
        <w:tabs>
          <w:tab w:val="right" w:leader="dot" w:pos="9019"/>
        </w:tabs>
        <w:rPr>
          <w:rFonts w:ascii="Cambria" w:eastAsia="宋体" w:cs="Arial" w:hAnsi="Cambria"/>
          <w:kern w:val="2"/>
          <w:lang w:eastAsia="en-GB"/>
        </w:rPr>
      </w:pPr>
      <w:r>
        <w:fldChar w:fldCharType="begin"/>
      </w:r>
      <w:r>
        <w:instrText>Hyperlink \l "_Toc227926881"</w:instrText>
      </w:r>
      <w:r>
        <w:fldChar w:fldCharType="separate"/>
      </w:r>
      <w:r>
        <w:t>3. Working Capital Management Analysis</w:t>
        <w:tab/>
      </w:r>
      <w:r>
        <w:fldChar w:fldCharType="begin"/>
      </w:r>
      <w:r>
        <w:instrText xml:space="preserve"> PAGEREF _Toc227926881 \h </w:instrText>
      </w:r>
      <w:r>
        <w:fldChar w:fldCharType="separate"/>
      </w:r>
      <w:r>
        <w:t>9</w:t>
      </w:r>
      <w:r>
        <w:fldChar w:fldCharType="end"/>
      </w:r>
      <w:r>
        <w:fldChar w:fldCharType="end"/>
      </w:r>
    </w:p>
    <w:p>
      <w:pPr>
        <w:pStyle w:val="20"/>
        <w:tabs>
          <w:tab w:val="right" w:leader="dot" w:pos="9019"/>
        </w:tabs>
        <w:rPr>
          <w:rFonts w:ascii="Cambria" w:eastAsia="宋体" w:cs="Arial" w:hAnsi="Cambria"/>
          <w:kern w:val="2"/>
          <w:lang w:eastAsia="en-GB"/>
        </w:rPr>
      </w:pPr>
      <w:r>
        <w:fldChar w:fldCharType="begin"/>
      </w:r>
      <w:r>
        <w:instrText>Hyperlink \l "_Toc227926882"</w:instrText>
      </w:r>
      <w:r>
        <w:fldChar w:fldCharType="separate"/>
      </w:r>
      <w:r>
        <w:t>3.1 Cash Operating Cycle (COC)</w:t>
        <w:tab/>
      </w:r>
      <w:r>
        <w:fldChar w:fldCharType="begin"/>
      </w:r>
      <w:r>
        <w:instrText xml:space="preserve"> PAGEREF _Toc227926882 \h </w:instrText>
      </w:r>
      <w:r>
        <w:fldChar w:fldCharType="separate"/>
      </w:r>
      <w:r>
        <w:t>9</w:t>
      </w:r>
      <w:r>
        <w:fldChar w:fldCharType="end"/>
      </w:r>
      <w:r>
        <w:fldChar w:fldCharType="end"/>
      </w:r>
    </w:p>
    <w:p>
      <w:pPr>
        <w:pStyle w:val="20"/>
        <w:tabs>
          <w:tab w:val="right" w:leader="dot" w:pos="9019"/>
        </w:tabs>
        <w:rPr>
          <w:rFonts w:ascii="Cambria" w:eastAsia="宋体" w:cs="Arial" w:hAnsi="Cambria"/>
          <w:kern w:val="2"/>
          <w:lang w:eastAsia="en-GB"/>
        </w:rPr>
      </w:pPr>
      <w:r>
        <w:fldChar w:fldCharType="begin"/>
      </w:r>
      <w:r>
        <w:instrText>Hyperlink \l "_Toc227926883"</w:instrText>
      </w:r>
      <w:r>
        <w:fldChar w:fldCharType="separate"/>
      </w:r>
      <w:r>
        <w:t>3.2 Recommendation on improving liquidity through working capital</w:t>
        <w:tab/>
      </w:r>
      <w:r>
        <w:fldChar w:fldCharType="begin"/>
      </w:r>
      <w:r>
        <w:instrText xml:space="preserve"> PAGEREF _Toc227926883 \h </w:instrText>
      </w:r>
      <w:r>
        <w:fldChar w:fldCharType="separate"/>
      </w:r>
      <w:r>
        <w:t>10</w:t>
      </w:r>
      <w:r>
        <w:fldChar w:fldCharType="end"/>
      </w:r>
      <w:r>
        <w:fldChar w:fldCharType="end"/>
      </w:r>
    </w:p>
    <w:p>
      <w:pPr>
        <w:pStyle w:val="20"/>
        <w:tabs>
          <w:tab w:val="right" w:leader="dot" w:pos="9019"/>
        </w:tabs>
        <w:rPr>
          <w:rFonts w:ascii="Cambria" w:eastAsia="宋体" w:cs="Arial" w:hAnsi="Cambria"/>
          <w:kern w:val="2"/>
          <w:lang w:eastAsia="en-GB"/>
        </w:rPr>
      </w:pPr>
      <w:r>
        <w:fldChar w:fldCharType="begin"/>
      </w:r>
      <w:r>
        <w:instrText>Hyperlink \l "_Toc227926884"</w:instrText>
      </w:r>
      <w:r>
        <w:fldChar w:fldCharType="separate"/>
      </w:r>
      <w:r>
        <w:t>3.3 Financing Options</w:t>
        <w:tab/>
      </w:r>
      <w:r>
        <w:fldChar w:fldCharType="begin"/>
      </w:r>
      <w:r>
        <w:instrText xml:space="preserve"> PAGEREF _Toc227926884 \h </w:instrText>
      </w:r>
      <w:r>
        <w:fldChar w:fldCharType="separate"/>
      </w:r>
      <w:r>
        <w:t>11</w:t>
      </w:r>
      <w:r>
        <w:fldChar w:fldCharType="end"/>
      </w:r>
      <w:r>
        <w:fldChar w:fldCharType="end"/>
      </w:r>
    </w:p>
    <w:p>
      <w:pPr>
        <w:pStyle w:val="21"/>
        <w:tabs>
          <w:tab w:val="right" w:leader="dot" w:pos="9019"/>
        </w:tabs>
        <w:rPr>
          <w:rFonts w:ascii="Cambria" w:eastAsia="宋体" w:cs="Arial" w:hAnsi="Cambria"/>
          <w:kern w:val="2"/>
          <w:lang w:eastAsia="en-GB"/>
        </w:rPr>
      </w:pPr>
      <w:r>
        <w:fldChar w:fldCharType="begin"/>
      </w:r>
      <w:r>
        <w:instrText>Hyperlink \l "_Toc227926885"</w:instrText>
      </w:r>
      <w:r>
        <w:fldChar w:fldCharType="separate"/>
      </w:r>
      <w:r>
        <w:t>3.3.1 Short-term Financing</w:t>
        <w:tab/>
      </w:r>
      <w:r>
        <w:fldChar w:fldCharType="begin"/>
      </w:r>
      <w:r>
        <w:instrText xml:space="preserve"> PAGEREF _Toc227926885 \h </w:instrText>
      </w:r>
      <w:r>
        <w:fldChar w:fldCharType="separate"/>
      </w:r>
      <w:r>
        <w:t>11</w:t>
      </w:r>
      <w:r>
        <w:fldChar w:fldCharType="end"/>
      </w:r>
      <w:r>
        <w:fldChar w:fldCharType="end"/>
      </w:r>
    </w:p>
    <w:p>
      <w:pPr>
        <w:pStyle w:val="21"/>
        <w:tabs>
          <w:tab w:val="right" w:leader="dot" w:pos="9019"/>
        </w:tabs>
        <w:rPr>
          <w:rFonts w:ascii="Cambria" w:eastAsia="宋体" w:cs="Arial" w:hAnsi="Cambria"/>
          <w:kern w:val="2"/>
          <w:lang w:eastAsia="en-GB"/>
        </w:rPr>
      </w:pPr>
      <w:r>
        <w:fldChar w:fldCharType="begin"/>
      </w:r>
      <w:r>
        <w:instrText>Hyperlink \l "_Toc227926886"</w:instrText>
      </w:r>
      <w:r>
        <w:fldChar w:fldCharType="separate"/>
      </w:r>
      <w:r>
        <w:t>3.3.2 Long-term Financing</w:t>
        <w:tab/>
      </w:r>
      <w:r>
        <w:fldChar w:fldCharType="begin"/>
      </w:r>
      <w:r>
        <w:instrText xml:space="preserve"> PAGEREF _Toc227926886 \h </w:instrText>
      </w:r>
      <w:r>
        <w:fldChar w:fldCharType="separate"/>
      </w:r>
      <w:r>
        <w:t>11</w:t>
      </w:r>
      <w:r>
        <w:fldChar w:fldCharType="end"/>
      </w:r>
      <w:r>
        <w:fldChar w:fldCharType="end"/>
      </w:r>
    </w:p>
    <w:p>
      <w:pPr>
        <w:pStyle w:val="19"/>
        <w:tabs>
          <w:tab w:val="right" w:leader="dot" w:pos="9019"/>
        </w:tabs>
        <w:rPr>
          <w:rFonts w:ascii="Cambria" w:eastAsia="宋体" w:cs="Arial" w:hAnsi="Cambria"/>
          <w:kern w:val="2"/>
          <w:lang w:eastAsia="en-GB"/>
        </w:rPr>
      </w:pPr>
      <w:r>
        <w:fldChar w:fldCharType="begin"/>
      </w:r>
      <w:r>
        <w:instrText>Hyperlink \l "_Toc227926887"</w:instrText>
      </w:r>
      <w:r>
        <w:fldChar w:fldCharType="separate"/>
      </w:r>
      <w:r>
        <w:t>4. Strategic Financial Restructuring Plan</w:t>
        <w:tab/>
      </w:r>
      <w:r>
        <w:fldChar w:fldCharType="begin"/>
      </w:r>
      <w:r>
        <w:instrText xml:space="preserve"> PAGEREF _Toc227926887 \h </w:instrText>
      </w:r>
      <w:r>
        <w:fldChar w:fldCharType="separate"/>
      </w:r>
      <w:r>
        <w:t>12</w:t>
      </w:r>
      <w:r>
        <w:fldChar w:fldCharType="end"/>
      </w:r>
      <w:r>
        <w:fldChar w:fldCharType="end"/>
      </w:r>
    </w:p>
    <w:p>
      <w:pPr>
        <w:pStyle w:val="20"/>
        <w:tabs>
          <w:tab w:val="right" w:leader="dot" w:pos="9019"/>
        </w:tabs>
        <w:rPr>
          <w:rFonts w:ascii="Cambria" w:eastAsia="宋体" w:cs="Arial" w:hAnsi="Cambria"/>
          <w:kern w:val="2"/>
          <w:lang w:eastAsia="en-GB"/>
        </w:rPr>
      </w:pPr>
      <w:r>
        <w:fldChar w:fldCharType="begin"/>
      </w:r>
      <w:r>
        <w:instrText>Hyperlink \l "_Toc227926888"</w:instrText>
      </w:r>
      <w:r>
        <w:fldChar w:fldCharType="separate"/>
      </w:r>
      <w:r>
        <w:t>4.1 Suggestion on Financial Restructuring Options</w:t>
        <w:tab/>
      </w:r>
      <w:r>
        <w:fldChar w:fldCharType="begin"/>
      </w:r>
      <w:r>
        <w:instrText xml:space="preserve"> PAGEREF _Toc227926888 \h </w:instrText>
      </w:r>
      <w:r>
        <w:fldChar w:fldCharType="separate"/>
      </w:r>
      <w:r>
        <w:t>12</w:t>
      </w:r>
      <w:r>
        <w:fldChar w:fldCharType="end"/>
      </w:r>
      <w:r>
        <w:fldChar w:fldCharType="end"/>
      </w:r>
    </w:p>
    <w:p>
      <w:pPr>
        <w:pStyle w:val="20"/>
        <w:tabs>
          <w:tab w:val="right" w:leader="dot" w:pos="9019"/>
        </w:tabs>
        <w:rPr>
          <w:rFonts w:ascii="Cambria" w:eastAsia="宋体" w:cs="Arial" w:hAnsi="Cambria"/>
          <w:kern w:val="2"/>
          <w:lang w:eastAsia="en-GB"/>
        </w:rPr>
      </w:pPr>
      <w:r>
        <w:fldChar w:fldCharType="begin"/>
      </w:r>
      <w:r>
        <w:instrText>Hyperlink \l "_Toc227926889"</w:instrText>
      </w:r>
      <w:r>
        <w:fldChar w:fldCharType="separate"/>
      </w:r>
      <w:r>
        <w:t>4.2 Evaluation of Impact</w:t>
        <w:tab/>
      </w:r>
      <w:r>
        <w:fldChar w:fldCharType="begin"/>
      </w:r>
      <w:r>
        <w:instrText xml:space="preserve"> PAGEREF _Toc227926889 \h </w:instrText>
      </w:r>
      <w:r>
        <w:fldChar w:fldCharType="separate"/>
      </w:r>
      <w:r>
        <w:t>14</w:t>
      </w:r>
      <w:r>
        <w:fldChar w:fldCharType="end"/>
      </w:r>
      <w:r>
        <w:fldChar w:fldCharType="end"/>
      </w:r>
    </w:p>
    <w:p>
      <w:pPr>
        <w:pStyle w:val="21"/>
        <w:tabs>
          <w:tab w:val="right" w:leader="dot" w:pos="9019"/>
        </w:tabs>
        <w:rPr>
          <w:rFonts w:ascii="Cambria" w:eastAsia="宋体" w:cs="Arial" w:hAnsi="Cambria"/>
          <w:kern w:val="2"/>
          <w:lang w:eastAsia="en-GB"/>
        </w:rPr>
      </w:pPr>
      <w:r>
        <w:fldChar w:fldCharType="begin"/>
      </w:r>
      <w:r>
        <w:instrText>Hyperlink \l "_Toc227926890"</w:instrText>
      </w:r>
      <w:r>
        <w:fldChar w:fldCharType="separate"/>
      </w:r>
      <w:r>
        <w:t>4.2.1 Shareholder Value</w:t>
        <w:tab/>
      </w:r>
      <w:r>
        <w:fldChar w:fldCharType="begin"/>
      </w:r>
      <w:r>
        <w:instrText xml:space="preserve"> PAGEREF _Toc227926890 \h </w:instrText>
      </w:r>
      <w:r>
        <w:fldChar w:fldCharType="separate"/>
      </w:r>
      <w:r>
        <w:t>14</w:t>
      </w:r>
      <w:r>
        <w:fldChar w:fldCharType="end"/>
      </w:r>
      <w:r>
        <w:fldChar w:fldCharType="end"/>
      </w:r>
    </w:p>
    <w:p>
      <w:pPr>
        <w:pStyle w:val="21"/>
        <w:tabs>
          <w:tab w:val="right" w:leader="dot" w:pos="9019"/>
        </w:tabs>
        <w:rPr>
          <w:rFonts w:ascii="Cambria" w:eastAsia="宋体" w:cs="Arial" w:hAnsi="Cambria"/>
          <w:kern w:val="2"/>
          <w:lang w:eastAsia="en-GB"/>
        </w:rPr>
      </w:pPr>
      <w:r>
        <w:fldChar w:fldCharType="begin"/>
      </w:r>
      <w:r>
        <w:instrText>Hyperlink \l "_Toc227926891"</w:instrText>
      </w:r>
      <w:r>
        <w:fldChar w:fldCharType="separate"/>
      </w:r>
      <w:r>
        <w:t>4.2.2 Debt Structure</w:t>
        <w:tab/>
      </w:r>
      <w:r>
        <w:fldChar w:fldCharType="begin"/>
      </w:r>
      <w:r>
        <w:instrText xml:space="preserve"> PAGEREF _Toc227926891 \h </w:instrText>
      </w:r>
      <w:r>
        <w:fldChar w:fldCharType="separate"/>
      </w:r>
      <w:r>
        <w:t>14</w:t>
      </w:r>
      <w:r>
        <w:fldChar w:fldCharType="end"/>
      </w:r>
      <w:r>
        <w:fldChar w:fldCharType="end"/>
      </w:r>
    </w:p>
    <w:p>
      <w:pPr>
        <w:pStyle w:val="21"/>
        <w:tabs>
          <w:tab w:val="right" w:leader="dot" w:pos="9019"/>
        </w:tabs>
        <w:rPr>
          <w:rFonts w:ascii="Cambria" w:eastAsia="宋体" w:cs="Arial" w:hAnsi="Cambria"/>
          <w:kern w:val="2"/>
          <w:lang w:eastAsia="en-GB"/>
        </w:rPr>
      </w:pPr>
      <w:r>
        <w:fldChar w:fldCharType="begin"/>
      </w:r>
      <w:r>
        <w:instrText>Hyperlink \l "_Toc227926892"</w:instrText>
      </w:r>
      <w:r>
        <w:fldChar w:fldCharType="separate"/>
      </w:r>
      <w:r>
        <w:t>4.2.3 Operational Flexibility</w:t>
        <w:tab/>
      </w:r>
      <w:r>
        <w:fldChar w:fldCharType="begin"/>
      </w:r>
      <w:r>
        <w:instrText xml:space="preserve"> PAGEREF _Toc227926892 \h </w:instrText>
      </w:r>
      <w:r>
        <w:fldChar w:fldCharType="separate"/>
      </w:r>
      <w:r>
        <w:t>14</w:t>
      </w:r>
      <w:r>
        <w:fldChar w:fldCharType="end"/>
      </w:r>
      <w:r>
        <w:fldChar w:fldCharType="end"/>
      </w:r>
    </w:p>
    <w:p>
      <w:pPr>
        <w:pStyle w:val="20"/>
        <w:tabs>
          <w:tab w:val="right" w:leader="dot" w:pos="9019"/>
        </w:tabs>
        <w:rPr>
          <w:rFonts w:ascii="Cambria" w:eastAsia="宋体" w:cs="Arial" w:hAnsi="Cambria"/>
          <w:kern w:val="2"/>
          <w:lang w:eastAsia="en-GB"/>
        </w:rPr>
      </w:pPr>
      <w:r>
        <w:fldChar w:fldCharType="begin"/>
      </w:r>
      <w:r>
        <w:instrText>Hyperlink \l "_Toc227926893"</w:instrText>
      </w:r>
      <w:r>
        <w:fldChar w:fldCharType="separate"/>
      </w:r>
      <w:r>
        <w:t>4.3 International and Ethical Considerations</w:t>
        <w:tab/>
      </w:r>
      <w:r>
        <w:fldChar w:fldCharType="begin"/>
      </w:r>
      <w:r>
        <w:instrText xml:space="preserve"> PAGEREF _Toc227926893 \h </w:instrText>
      </w:r>
      <w:r>
        <w:fldChar w:fldCharType="separate"/>
      </w:r>
      <w:r>
        <w:t>15</w:t>
      </w:r>
      <w:r>
        <w:fldChar w:fldCharType="end"/>
      </w:r>
      <w:r>
        <w:fldChar w:fldCharType="end"/>
      </w:r>
    </w:p>
    <w:p>
      <w:pPr>
        <w:pStyle w:val="21"/>
        <w:tabs>
          <w:tab w:val="right" w:leader="dot" w:pos="9019"/>
        </w:tabs>
        <w:rPr>
          <w:rFonts w:ascii="Cambria" w:eastAsia="宋体" w:cs="Arial" w:hAnsi="Cambria"/>
          <w:kern w:val="2"/>
          <w:lang w:eastAsia="en-GB"/>
        </w:rPr>
      </w:pPr>
      <w:r>
        <w:fldChar w:fldCharType="begin"/>
      </w:r>
      <w:r>
        <w:instrText>Hyperlink \l "_Toc227926894"</w:instrText>
      </w:r>
      <w:r>
        <w:fldChar w:fldCharType="separate"/>
      </w:r>
      <w:r>
        <w:t>4.3.1 Currency Risk</w:t>
        <w:tab/>
      </w:r>
      <w:r>
        <w:fldChar w:fldCharType="begin"/>
      </w:r>
      <w:r>
        <w:instrText xml:space="preserve"> PAGEREF _Toc227926894 \h </w:instrText>
      </w:r>
      <w:r>
        <w:fldChar w:fldCharType="separate"/>
      </w:r>
      <w:r>
        <w:t>15</w:t>
      </w:r>
      <w:r>
        <w:fldChar w:fldCharType="end"/>
      </w:r>
      <w:r>
        <w:fldChar w:fldCharType="end"/>
      </w:r>
    </w:p>
    <w:p>
      <w:pPr>
        <w:pStyle w:val="21"/>
        <w:tabs>
          <w:tab w:val="right" w:leader="dot" w:pos="9019"/>
        </w:tabs>
        <w:rPr>
          <w:rFonts w:ascii="Cambria" w:eastAsia="宋体" w:cs="Arial" w:hAnsi="Cambria"/>
          <w:kern w:val="2"/>
          <w:lang w:eastAsia="en-GB"/>
        </w:rPr>
      </w:pPr>
      <w:r>
        <w:fldChar w:fldCharType="begin"/>
      </w:r>
      <w:r>
        <w:instrText>Hyperlink \l "_Toc227926895"</w:instrText>
      </w:r>
      <w:r>
        <w:fldChar w:fldCharType="separate"/>
      </w:r>
      <w:r>
        <w:t>4.3.2 Inflation Impact</w:t>
        <w:tab/>
      </w:r>
      <w:r>
        <w:fldChar w:fldCharType="begin"/>
      </w:r>
      <w:r>
        <w:instrText xml:space="preserve"> PAGEREF _Toc227926895 \h </w:instrText>
      </w:r>
      <w:r>
        <w:fldChar w:fldCharType="separate"/>
      </w:r>
      <w:r>
        <w:t>15</w:t>
      </w:r>
      <w:r>
        <w:fldChar w:fldCharType="end"/>
      </w:r>
      <w:r>
        <w:fldChar w:fldCharType="end"/>
      </w:r>
    </w:p>
    <w:p>
      <w:pPr>
        <w:pStyle w:val="21"/>
        <w:tabs>
          <w:tab w:val="right" w:leader="dot" w:pos="9019"/>
        </w:tabs>
        <w:rPr>
          <w:rFonts w:ascii="Cambria" w:eastAsia="宋体" w:cs="Arial" w:hAnsi="Cambria"/>
          <w:kern w:val="2"/>
          <w:lang w:eastAsia="en-GB"/>
        </w:rPr>
      </w:pPr>
      <w:r>
        <w:fldChar w:fldCharType="begin"/>
      </w:r>
      <w:r>
        <w:instrText>Hyperlink \l "_Toc227926896"</w:instrText>
      </w:r>
      <w:r>
        <w:fldChar w:fldCharType="separate"/>
      </w:r>
      <w:r>
        <w:t>4.3.3 Corporate Social Responsibility (CSR)</w:t>
        <w:tab/>
      </w:r>
      <w:r>
        <w:fldChar w:fldCharType="begin"/>
      </w:r>
      <w:r>
        <w:instrText xml:space="preserve"> PAGEREF _Toc227926896 \h </w:instrText>
      </w:r>
      <w:r>
        <w:fldChar w:fldCharType="separate"/>
      </w:r>
      <w:r>
        <w:t>16</w:t>
      </w:r>
      <w:r>
        <w:fldChar w:fldCharType="end"/>
      </w:r>
      <w:r>
        <w:fldChar w:fldCharType="end"/>
      </w:r>
    </w:p>
    <w:p>
      <w:pPr>
        <w:pStyle w:val="19"/>
        <w:tabs>
          <w:tab w:val="right" w:leader="dot" w:pos="9019"/>
        </w:tabs>
        <w:rPr>
          <w:rFonts w:ascii="Cambria" w:eastAsia="宋体" w:cs="Arial" w:hAnsi="Cambria"/>
          <w:kern w:val="2"/>
          <w:lang w:eastAsia="en-GB"/>
        </w:rPr>
      </w:pPr>
      <w:r>
        <w:fldChar w:fldCharType="begin"/>
      </w:r>
      <w:r>
        <w:instrText>Hyperlink \l "_Toc227926897"</w:instrText>
      </w:r>
      <w:r>
        <w:fldChar w:fldCharType="separate"/>
      </w:r>
      <w:r>
        <w:t>5. Investment Appraisal and Capital Budgeting</w:t>
        <w:tab/>
      </w:r>
      <w:r>
        <w:fldChar w:fldCharType="begin"/>
      </w:r>
      <w:r>
        <w:instrText xml:space="preserve"> PAGEREF _Toc227926897 \h </w:instrText>
      </w:r>
      <w:r>
        <w:fldChar w:fldCharType="separate"/>
      </w:r>
      <w:r>
        <w:t>17</w:t>
      </w:r>
      <w:r>
        <w:fldChar w:fldCharType="end"/>
      </w:r>
      <w:r>
        <w:fldChar w:fldCharType="end"/>
      </w:r>
    </w:p>
    <w:p>
      <w:pPr>
        <w:pStyle w:val="20"/>
        <w:tabs>
          <w:tab w:val="right" w:leader="dot" w:pos="9019"/>
        </w:tabs>
        <w:rPr>
          <w:rFonts w:ascii="Cambria" w:eastAsia="宋体" w:cs="Arial" w:hAnsi="Cambria"/>
          <w:kern w:val="2"/>
          <w:lang w:eastAsia="en-GB"/>
        </w:rPr>
      </w:pPr>
      <w:r>
        <w:fldChar w:fldCharType="begin"/>
      </w:r>
      <w:r>
        <w:instrText>Hyperlink \l "_Toc227926898"</w:instrText>
      </w:r>
      <w:r>
        <w:fldChar w:fldCharType="separate"/>
      </w:r>
      <w:r>
        <w:t>5.1 Project Recommendation</w:t>
        <w:tab/>
      </w:r>
      <w:r>
        <w:fldChar w:fldCharType="begin"/>
      </w:r>
      <w:r>
        <w:instrText xml:space="preserve"> PAGEREF _Toc227926898 \h </w:instrText>
      </w:r>
      <w:r>
        <w:fldChar w:fldCharType="separate"/>
      </w:r>
      <w:r>
        <w:t>17</w:t>
      </w:r>
      <w:r>
        <w:fldChar w:fldCharType="end"/>
      </w:r>
      <w:r>
        <w:fldChar w:fldCharType="end"/>
      </w:r>
    </w:p>
    <w:p>
      <w:pPr>
        <w:pStyle w:val="21"/>
        <w:tabs>
          <w:tab w:val="right" w:leader="dot" w:pos="9019"/>
        </w:tabs>
        <w:rPr>
          <w:rFonts w:ascii="Cambria" w:eastAsia="宋体" w:cs="Arial" w:hAnsi="Cambria"/>
          <w:kern w:val="2"/>
          <w:lang w:eastAsia="en-GB"/>
        </w:rPr>
      </w:pPr>
      <w:r>
        <w:fldChar w:fldCharType="begin"/>
      </w:r>
      <w:r>
        <w:instrText>Hyperlink \l "_Toc227926899"</w:instrText>
      </w:r>
      <w:r>
        <w:fldChar w:fldCharType="separate"/>
      </w:r>
      <w:r>
        <w:t>5.1.1 Justification on financial performance</w:t>
        <w:tab/>
      </w:r>
      <w:r>
        <w:fldChar w:fldCharType="begin"/>
      </w:r>
      <w:r>
        <w:instrText xml:space="preserve"> PAGEREF _Toc227926899 \h </w:instrText>
      </w:r>
      <w:r>
        <w:fldChar w:fldCharType="separate"/>
      </w:r>
      <w:r>
        <w:t>17</w:t>
      </w:r>
      <w:r>
        <w:fldChar w:fldCharType="end"/>
      </w:r>
      <w:r>
        <w:fldChar w:fldCharType="end"/>
      </w:r>
    </w:p>
    <w:p>
      <w:pPr>
        <w:pStyle w:val="21"/>
        <w:tabs>
          <w:tab w:val="right" w:leader="dot" w:pos="9019"/>
        </w:tabs>
        <w:rPr>
          <w:rFonts w:ascii="Cambria" w:eastAsia="宋体" w:cs="Arial" w:hAnsi="Cambria"/>
          <w:kern w:val="2"/>
          <w:lang w:eastAsia="en-GB"/>
        </w:rPr>
      </w:pPr>
      <w:r>
        <w:fldChar w:fldCharType="begin"/>
      </w:r>
      <w:r>
        <w:instrText>Hyperlink \l "_Toc227926900"</w:instrText>
      </w:r>
      <w:r>
        <w:fldChar w:fldCharType="separate"/>
      </w:r>
      <w:r>
        <w:t>5.1.2 Justification based on non-financial risks</w:t>
        <w:tab/>
      </w:r>
      <w:r>
        <w:fldChar w:fldCharType="begin"/>
      </w:r>
      <w:r>
        <w:instrText xml:space="preserve"> PAGEREF _Toc227926900 \h </w:instrText>
      </w:r>
      <w:r>
        <w:fldChar w:fldCharType="separate"/>
      </w:r>
      <w:r>
        <w:t>18</w:t>
      </w:r>
      <w:r>
        <w:fldChar w:fldCharType="end"/>
      </w:r>
      <w:r>
        <w:fldChar w:fldCharType="end"/>
      </w:r>
    </w:p>
    <w:p>
      <w:pPr>
        <w:pStyle w:val="20"/>
        <w:tabs>
          <w:tab w:val="right" w:leader="dot" w:pos="9019"/>
        </w:tabs>
        <w:rPr>
          <w:rFonts w:ascii="Cambria" w:eastAsia="宋体" w:cs="Arial" w:hAnsi="Cambria"/>
          <w:kern w:val="2"/>
          <w:lang w:eastAsia="en-GB"/>
        </w:rPr>
      </w:pPr>
      <w:r>
        <w:fldChar w:fldCharType="begin"/>
      </w:r>
      <w:r>
        <w:instrText>Hyperlink \l "_Toc227926901"</w:instrText>
      </w:r>
      <w:r>
        <w:fldChar w:fldCharType="separate"/>
      </w:r>
      <w:r>
        <w:t>5.2 Suggestion based on capital rationing</w:t>
        <w:tab/>
      </w:r>
      <w:r>
        <w:fldChar w:fldCharType="begin"/>
      </w:r>
      <w:r>
        <w:instrText xml:space="preserve"> PAGEREF _Toc227926901 \h </w:instrText>
      </w:r>
      <w:r>
        <w:fldChar w:fldCharType="separate"/>
      </w:r>
      <w:r>
        <w:t>20</w:t>
      </w:r>
      <w:r>
        <w:fldChar w:fldCharType="end"/>
      </w:r>
      <w:r>
        <w:fldChar w:fldCharType="end"/>
      </w:r>
    </w:p>
    <w:p>
      <w:pPr>
        <w:pStyle w:val="19"/>
        <w:tabs>
          <w:tab w:val="right" w:leader="dot" w:pos="9019"/>
        </w:tabs>
        <w:rPr>
          <w:rFonts w:ascii="Cambria" w:eastAsia="宋体" w:cs="Arial" w:hAnsi="Cambria"/>
          <w:kern w:val="2"/>
          <w:lang w:eastAsia="en-GB"/>
        </w:rPr>
      </w:pPr>
      <w:r>
        <w:fldChar w:fldCharType="begin"/>
      </w:r>
      <w:r>
        <w:instrText>Hyperlink \l "_Toc227926902"</w:instrText>
      </w:r>
      <w:r>
        <w:fldChar w:fldCharType="separate"/>
      </w:r>
      <w:r>
        <w:t>6. Conclusion</w:t>
        <w:tab/>
      </w:r>
      <w:r>
        <w:fldChar w:fldCharType="begin"/>
      </w:r>
      <w:r>
        <w:instrText xml:space="preserve"> PAGEREF _Toc227926902 \h </w:instrText>
      </w:r>
      <w:r>
        <w:fldChar w:fldCharType="separate"/>
      </w:r>
      <w:r>
        <w:t>21</w:t>
      </w:r>
      <w:r>
        <w:fldChar w:fldCharType="end"/>
      </w:r>
      <w:r>
        <w:fldChar w:fldCharType="end"/>
      </w:r>
    </w:p>
    <w:p>
      <w:pPr>
        <w:pStyle w:val="19"/>
        <w:tabs>
          <w:tab w:val="right" w:leader="dot" w:pos="9019"/>
        </w:tabs>
        <w:rPr>
          <w:rFonts w:ascii="Cambria" w:eastAsia="宋体" w:cs="Arial" w:hAnsi="Cambria"/>
          <w:kern w:val="2"/>
          <w:lang w:eastAsia="en-GB"/>
        </w:rPr>
      </w:pPr>
      <w:r>
        <w:fldChar w:fldCharType="begin"/>
      </w:r>
      <w:r>
        <w:instrText>Hyperlink \l "_Toc227926903"</w:instrText>
      </w:r>
      <w:r>
        <w:fldChar w:fldCharType="separate"/>
      </w:r>
      <w:r>
        <w:t>References</w:t>
        <w:tab/>
      </w:r>
      <w:r>
        <w:fldChar w:fldCharType="begin"/>
      </w:r>
      <w:r>
        <w:instrText xml:space="preserve"> PAGEREF _Toc227926903 \h </w:instrText>
      </w:r>
      <w:r>
        <w:fldChar w:fldCharType="separate"/>
      </w:r>
      <w:r>
        <w:t>23</w:t>
      </w:r>
      <w:r>
        <w:fldChar w:fldCharType="end"/>
      </w:r>
      <w:r>
        <w:fldChar w:fldCharType="end"/>
      </w:r>
    </w:p>
    <w:p>
      <w:pPr>
        <w:pStyle w:val="19"/>
        <w:tabs>
          <w:tab w:val="right" w:leader="dot" w:pos="9019"/>
        </w:tabs>
        <w:rPr>
          <w:rFonts w:ascii="Cambria" w:eastAsia="宋体" w:cs="Arial" w:hAnsi="Cambria"/>
          <w:kern w:val="2"/>
          <w:lang w:eastAsia="en-GB"/>
        </w:rPr>
      </w:pPr>
      <w:r>
        <w:fldChar w:fldCharType="begin"/>
      </w:r>
      <w:r>
        <w:instrText>Hyperlink \l "_Toc227926904"</w:instrText>
      </w:r>
      <w:r>
        <w:fldChar w:fldCharType="separate"/>
      </w:r>
      <w:r>
        <w:t>Appendices</w:t>
        <w:tab/>
      </w:r>
      <w:r>
        <w:fldChar w:fldCharType="begin"/>
      </w:r>
      <w:r>
        <w:instrText xml:space="preserve"> PAGEREF _Toc227926904 \h </w:instrText>
      </w:r>
      <w:r>
        <w:fldChar w:fldCharType="separate"/>
      </w:r>
      <w:r>
        <w:t>29</w:t>
      </w:r>
      <w:r>
        <w:fldChar w:fldCharType="end"/>
      </w:r>
      <w:r>
        <w:fldChar w:fldCharType="end"/>
      </w:r>
    </w:p>
    <w:p>
      <w:pPr>
        <w:pStyle w:val="20"/>
        <w:tabs>
          <w:tab w:val="right" w:leader="dot" w:pos="9019"/>
        </w:tabs>
        <w:rPr>
          <w:rFonts w:ascii="Cambria" w:eastAsia="宋体" w:cs="Arial" w:hAnsi="Cambria"/>
          <w:kern w:val="2"/>
          <w:lang w:eastAsia="en-GB"/>
        </w:rPr>
      </w:pPr>
      <w:r>
        <w:fldChar w:fldCharType="begin"/>
      </w:r>
      <w:r>
        <w:instrText>Hyperlink \l "_Toc227926905"</w:instrText>
      </w:r>
      <w:r>
        <w:fldChar w:fldCharType="separate"/>
      </w:r>
      <w:r>
        <w:t>Appendix 1: Profitability Ratios</w:t>
        <w:tab/>
      </w:r>
      <w:r>
        <w:fldChar w:fldCharType="begin"/>
      </w:r>
      <w:r>
        <w:instrText xml:space="preserve"> PAGEREF _Toc227926905 \h </w:instrText>
      </w:r>
      <w:r>
        <w:fldChar w:fldCharType="separate"/>
      </w:r>
      <w:r>
        <w:t>29</w:t>
      </w:r>
      <w:r>
        <w:fldChar w:fldCharType="end"/>
      </w:r>
      <w:r>
        <w:fldChar w:fldCharType="end"/>
      </w:r>
    </w:p>
    <w:p>
      <w:pPr>
        <w:pStyle w:val="20"/>
        <w:tabs>
          <w:tab w:val="right" w:leader="dot" w:pos="9019"/>
        </w:tabs>
        <w:rPr>
          <w:rFonts w:ascii="Cambria" w:eastAsia="宋体" w:cs="Arial" w:hAnsi="Cambria"/>
          <w:kern w:val="2"/>
          <w:lang w:eastAsia="en-GB"/>
        </w:rPr>
      </w:pPr>
      <w:r>
        <w:fldChar w:fldCharType="begin"/>
      </w:r>
      <w:r>
        <w:instrText>Hyperlink \l "_Toc227926906"</w:instrText>
      </w:r>
      <w:r>
        <w:fldChar w:fldCharType="separate"/>
      </w:r>
      <w:r>
        <w:t>Appendix 2: Liquidity Ratios</w:t>
        <w:tab/>
      </w:r>
      <w:r>
        <w:fldChar w:fldCharType="begin"/>
      </w:r>
      <w:r>
        <w:instrText xml:space="preserve"> PAGEREF _Toc227926906 \h </w:instrText>
      </w:r>
      <w:r>
        <w:fldChar w:fldCharType="separate"/>
      </w:r>
      <w:r>
        <w:t>31</w:t>
      </w:r>
      <w:r>
        <w:fldChar w:fldCharType="end"/>
      </w:r>
      <w:r>
        <w:fldChar w:fldCharType="end"/>
      </w:r>
    </w:p>
    <w:p>
      <w:pPr>
        <w:pStyle w:val="20"/>
        <w:tabs>
          <w:tab w:val="right" w:leader="dot" w:pos="9019"/>
        </w:tabs>
        <w:rPr>
          <w:rFonts w:ascii="Cambria" w:eastAsia="宋体" w:cs="Arial" w:hAnsi="Cambria"/>
          <w:kern w:val="2"/>
          <w:lang w:eastAsia="en-GB"/>
        </w:rPr>
      </w:pPr>
      <w:r>
        <w:fldChar w:fldCharType="begin"/>
      </w:r>
      <w:r>
        <w:instrText>Hyperlink \l "_Toc227926907"</w:instrText>
      </w:r>
      <w:r>
        <w:fldChar w:fldCharType="separate"/>
      </w:r>
      <w:r>
        <w:t>Appendix 3: Efficiency Ratios</w:t>
        <w:tab/>
      </w:r>
      <w:r>
        <w:fldChar w:fldCharType="begin"/>
      </w:r>
      <w:r>
        <w:instrText xml:space="preserve"> PAGEREF _Toc227926907 \h </w:instrText>
      </w:r>
      <w:r>
        <w:fldChar w:fldCharType="separate"/>
      </w:r>
      <w:r>
        <w:t>32</w:t>
      </w:r>
      <w:r>
        <w:fldChar w:fldCharType="end"/>
      </w:r>
      <w:r>
        <w:fldChar w:fldCharType="end"/>
      </w:r>
    </w:p>
    <w:p>
      <w:pPr>
        <w:pStyle w:val="20"/>
        <w:tabs>
          <w:tab w:val="right" w:leader="dot" w:pos="9019"/>
        </w:tabs>
        <w:rPr>
          <w:rFonts w:ascii="Cambria" w:eastAsia="宋体" w:cs="Arial" w:hAnsi="Cambria"/>
          <w:kern w:val="2"/>
          <w:lang w:eastAsia="en-GB"/>
        </w:rPr>
      </w:pPr>
      <w:r>
        <w:fldChar w:fldCharType="begin"/>
      </w:r>
      <w:r>
        <w:instrText>Hyperlink \l "_Toc227926908"</w:instrText>
      </w:r>
      <w:r>
        <w:fldChar w:fldCharType="separate"/>
      </w:r>
      <w:r>
        <w:t>Appendix 4: Leverage Ratio</w:t>
        <w:tab/>
      </w:r>
      <w:r>
        <w:fldChar w:fldCharType="begin"/>
      </w:r>
      <w:r>
        <w:instrText xml:space="preserve"> PAGEREF _Toc227926908 \h </w:instrText>
      </w:r>
      <w:r>
        <w:fldChar w:fldCharType="separate"/>
      </w:r>
      <w:r>
        <w:t>33</w:t>
      </w:r>
      <w:r>
        <w:fldChar w:fldCharType="end"/>
      </w:r>
      <w:r>
        <w:fldChar w:fldCharType="end"/>
      </w:r>
    </w:p>
    <w:p>
      <w:pPr>
        <w:pStyle w:val="20"/>
        <w:tabs>
          <w:tab w:val="right" w:leader="dot" w:pos="9019"/>
        </w:tabs>
        <w:rPr>
          <w:rFonts w:ascii="Cambria" w:eastAsia="宋体" w:cs="Arial" w:hAnsi="Cambria"/>
          <w:kern w:val="2"/>
          <w:lang w:eastAsia="en-GB"/>
        </w:rPr>
      </w:pPr>
      <w:r>
        <w:fldChar w:fldCharType="begin"/>
      </w:r>
      <w:r>
        <w:instrText>Hyperlink \l "_Toc227926909"</w:instrText>
      </w:r>
      <w:r>
        <w:fldChar w:fldCharType="separate"/>
      </w:r>
      <w:r>
        <w:t>Appendix 5: Investment Ratio</w:t>
        <w:tab/>
      </w:r>
      <w:r>
        <w:fldChar w:fldCharType="begin"/>
      </w:r>
      <w:r>
        <w:instrText xml:space="preserve"> PAGEREF _Toc227926909 \h </w:instrText>
      </w:r>
      <w:r>
        <w:fldChar w:fldCharType="separate"/>
      </w:r>
      <w:r>
        <w:t>34</w:t>
      </w:r>
      <w:r>
        <w:fldChar w:fldCharType="end"/>
      </w:r>
      <w:r>
        <w:fldChar w:fldCharType="end"/>
      </w:r>
    </w:p>
    <w:p>
      <w:pPr>
        <w:pStyle w:val="20"/>
        <w:tabs>
          <w:tab w:val="right" w:leader="dot" w:pos="9019"/>
        </w:tabs>
        <w:rPr>
          <w:rFonts w:ascii="Cambria" w:eastAsia="宋体" w:cs="Arial" w:hAnsi="Cambria"/>
          <w:kern w:val="2"/>
          <w:lang w:eastAsia="en-GB"/>
        </w:rPr>
      </w:pPr>
      <w:r>
        <w:fldChar w:fldCharType="begin"/>
      </w:r>
      <w:r>
        <w:instrText>Hyperlink \l "_Toc227926910"</w:instrText>
      </w:r>
      <w:r>
        <w:fldChar w:fldCharType="separate"/>
      </w:r>
      <w:r>
        <w:t>Appendix 6: Cash Flow Ratios</w:t>
        <w:tab/>
      </w:r>
      <w:r>
        <w:fldChar w:fldCharType="begin"/>
      </w:r>
      <w:r>
        <w:instrText xml:space="preserve"> PAGEREF _Toc227926910 \h </w:instrText>
      </w:r>
      <w:r>
        <w:fldChar w:fldCharType="separate"/>
      </w:r>
      <w:r>
        <w:t>36</w:t>
      </w:r>
      <w:r>
        <w:fldChar w:fldCharType="end"/>
      </w:r>
      <w:r>
        <w:fldChar w:fldCharType="end"/>
      </w:r>
    </w:p>
    <w:p>
      <w:pPr>
        <w:pStyle w:val="20"/>
        <w:tabs>
          <w:tab w:val="right" w:leader="dot" w:pos="9019"/>
        </w:tabs>
        <w:rPr>
          <w:rFonts w:ascii="Cambria" w:eastAsia="宋体" w:cs="Arial" w:hAnsi="Cambria"/>
          <w:kern w:val="2"/>
          <w:lang w:eastAsia="en-GB"/>
        </w:rPr>
      </w:pPr>
      <w:r>
        <w:fldChar w:fldCharType="begin"/>
      </w:r>
      <w:r>
        <w:instrText>Hyperlink \l "_Toc227926911"</w:instrText>
      </w:r>
      <w:r>
        <w:fldChar w:fldCharType="separate"/>
      </w:r>
      <w:r>
        <w:t>Appendix 7: Working Capital Ratios</w:t>
        <w:tab/>
      </w:r>
      <w:r>
        <w:fldChar w:fldCharType="begin"/>
      </w:r>
      <w:r>
        <w:instrText xml:space="preserve"> PAGEREF _Toc227926911 \h </w:instrText>
      </w:r>
      <w:r>
        <w:fldChar w:fldCharType="separate"/>
      </w:r>
      <w:r>
        <w:t>38</w:t>
      </w:r>
      <w:r>
        <w:fldChar w:fldCharType="end"/>
      </w:r>
      <w:r>
        <w:fldChar w:fldCharType="end"/>
      </w:r>
    </w:p>
    <w:p>
      <w:pPr>
        <w:pStyle w:val="20"/>
        <w:tabs>
          <w:tab w:val="right" w:leader="dot" w:pos="9019"/>
        </w:tabs>
        <w:rPr>
          <w:rFonts w:ascii="Cambria" w:eastAsia="宋体" w:cs="Arial" w:hAnsi="Cambria"/>
          <w:kern w:val="2"/>
          <w:lang w:eastAsia="en-GB"/>
        </w:rPr>
      </w:pPr>
      <w:r>
        <w:fldChar w:fldCharType="begin"/>
      </w:r>
      <w:r>
        <w:instrText>Hyperlink \l "_Toc227926912"</w:instrText>
      </w:r>
      <w:r>
        <w:fldChar w:fldCharType="separate"/>
      </w:r>
      <w:r>
        <w:t>Appendix 8: Investment Appraisal</w:t>
        <w:tab/>
      </w:r>
      <w:r>
        <w:fldChar w:fldCharType="begin"/>
      </w:r>
      <w:r>
        <w:instrText xml:space="preserve"> PAGEREF _Toc227926912 \h </w:instrText>
      </w:r>
      <w:r>
        <w:fldChar w:fldCharType="separate"/>
      </w:r>
      <w:r>
        <w:t>40</w:t>
      </w:r>
      <w:r>
        <w:fldChar w:fldCharType="end"/>
      </w:r>
      <w:r>
        <w:fldChar w:fldCharType="end"/>
      </w:r>
    </w:p>
    <w:p>
      <w:pPr>
        <w:pStyle w:val="20"/>
        <w:tabs>
          <w:tab w:val="right" w:leader="dot" w:pos="9019"/>
        </w:tabs>
        <w:rPr>
          <w:rFonts w:ascii="Cambria" w:eastAsia="宋体" w:cs="Arial" w:hAnsi="Cambria"/>
          <w:kern w:val="2"/>
          <w:lang w:eastAsia="en-GB"/>
        </w:rPr>
      </w:pPr>
      <w:r>
        <w:fldChar w:fldCharType="begin"/>
      </w:r>
      <w:r>
        <w:instrText>Hyperlink \l "_Toc227926913"</w:instrText>
      </w:r>
      <w:r>
        <w:fldChar w:fldCharType="separate"/>
      </w:r>
      <w:r>
        <w:t>Appendix 9: Capital Rationing</w:t>
        <w:tab/>
      </w:r>
      <w:r>
        <w:fldChar w:fldCharType="begin"/>
      </w:r>
      <w:r>
        <w:instrText xml:space="preserve"> PAGEREF _Toc227926913 \h </w:instrText>
      </w:r>
      <w:r>
        <w:fldChar w:fldCharType="separate"/>
      </w:r>
      <w:r>
        <w:t>43</w:t>
      </w:r>
      <w:r>
        <w:fldChar w:fldCharType="end"/>
      </w:r>
      <w:r>
        <w:fldChar w:fldCharType="end"/>
      </w:r>
    </w:p>
    <w:p>
      <w:pPr>
        <w:pStyle w:val="20"/>
        <w:tabs>
          <w:tab w:val="right" w:leader="dot" w:pos="9019"/>
        </w:tabs>
        <w:rPr>
          <w:rFonts w:ascii="Cambria" w:eastAsia="宋体" w:cs="Arial" w:hAnsi="Cambria"/>
          <w:kern w:val="2"/>
          <w:lang w:eastAsia="en-GB"/>
        </w:rPr>
      </w:pPr>
      <w:r>
        <w:fldChar w:fldCharType="begin"/>
      </w:r>
      <w:r>
        <w:instrText>Hyperlink \l "_Toc227926914"</w:instrText>
      </w:r>
      <w:r>
        <w:fldChar w:fldCharType="separate"/>
      </w:r>
      <w:r>
        <w:t>Appendix 10: Annual Report Extracts</w:t>
        <w:tab/>
      </w:r>
      <w:r>
        <w:fldChar w:fldCharType="begin"/>
      </w:r>
      <w:r>
        <w:instrText xml:space="preserve"> PAGEREF _Toc227926914 \h </w:instrText>
      </w:r>
      <w:r>
        <w:fldChar w:fldCharType="separate"/>
      </w:r>
      <w:r>
        <w:t>44</w:t>
      </w:r>
      <w:r>
        <w:fldChar w:fldCharType="end"/>
      </w:r>
      <w:r>
        <w:fldChar w:fldCharType="end"/>
      </w:r>
    </w:p>
    <w:p>
      <w:pPr>
        <w:widowControl w:val="0"/>
        <w:tabs>
          <w:tab w:val="right" w:leader="dot" w:pos="12000"/>
        </w:tabs>
        <w:spacing w:before="60"/>
        <w:ind w:left="360"/>
        <w:jc w:val="left"/>
        <w:rPr>
          <w:color w:val="000000"/>
        </w:rPr>
      </w:pPr>
      <w:r>
        <w:fldChar w:fldCharType="end"/>
      </w:r>
    </w:p>
    <w:p>
      <w:pPr>
        <w:jc w:val="left"/>
        <w:rPr>
          <w:b/>
          <w:bCs/>
          <w:sz w:val="28"/>
          <w:szCs w:val="28"/>
        </w:rPr>
      </w:pPr>
      <w:r>
        <w:br w:type="page"/>
      </w:r>
    </w:p>
    <w:p>
      <w:pPr>
        <w:jc w:val="center"/>
        <w:rPr>
          <w:b/>
          <w:bCs/>
          <w:sz w:val="28"/>
          <w:szCs w:val="28"/>
        </w:rPr>
      </w:pPr>
      <w:r>
        <w:rPr>
          <w:b/>
          <w:bCs/>
          <w:sz w:val="28"/>
          <w:szCs w:val="28"/>
        </w:rPr>
        <w:t>List of Figures</w:t>
      </w:r>
    </w:p>
    <w:p>
      <w:pPr>
        <w:pStyle w:val="19"/>
        <w:tabs>
          <w:tab w:val="right" w:pos="9019"/>
        </w:tabs>
        <w:rPr>
          <w:rFonts w:ascii="Cambria" w:eastAsia="宋体" w:cs="Arial" w:hAnsi="Cambria"/>
          <w:kern w:val="2"/>
          <w:lang w:eastAsia="en-GB"/>
        </w:rPr>
      </w:pPr>
      <w:r>
        <w:fldChar w:fldCharType="begin"/>
      </w:r>
      <w:r>
        <w:instrText xml:space="preserve"> TOC \h \u \z \t "Heading 4,1,Heading 6,6,"</w:instrText>
      </w:r>
      <w:r>
        <w:fldChar w:fldCharType="separate"/>
      </w:r>
      <w:r>
        <w:fldChar w:fldCharType="begin"/>
      </w:r>
      <w:r>
        <w:instrText>Hyperlink \l "_Toc227926915"</w:instrText>
      </w:r>
      <w:r>
        <w:fldChar w:fldCharType="separate"/>
      </w:r>
      <w:r>
        <w:t>Figure 1: Working Capital Management Theory</w:t>
        <w:tab/>
      </w:r>
      <w:r>
        <w:fldChar w:fldCharType="begin"/>
      </w:r>
      <w:r>
        <w:instrText xml:space="preserve"> PAGEREF _Toc227926915 \h </w:instrText>
      </w:r>
      <w:r>
        <w:fldChar w:fldCharType="separate"/>
      </w:r>
      <w:r>
        <w:t>10</w:t>
      </w:r>
      <w:r>
        <w:fldChar w:fldCharType="end"/>
      </w:r>
      <w:r>
        <w:fldChar w:fldCharType="end"/>
      </w:r>
    </w:p>
    <w:p>
      <w:pPr>
        <w:pStyle w:val="19"/>
        <w:tabs>
          <w:tab w:val="right" w:pos="9019"/>
        </w:tabs>
        <w:rPr>
          <w:rFonts w:ascii="Cambria" w:eastAsia="宋体" w:cs="Arial" w:hAnsi="Cambria"/>
          <w:kern w:val="2"/>
          <w:lang w:eastAsia="en-GB"/>
        </w:rPr>
      </w:pPr>
      <w:r>
        <w:fldChar w:fldCharType="begin"/>
      </w:r>
      <w:r>
        <w:instrText>Hyperlink \l "_Toc227926916"</w:instrText>
      </w:r>
      <w:r>
        <w:fldChar w:fldCharType="separate"/>
      </w:r>
      <w:r>
        <w:t>Figure 2: Synergy Theory of Merger</w:t>
        <w:tab/>
      </w:r>
      <w:r>
        <w:fldChar w:fldCharType="begin"/>
      </w:r>
      <w:r>
        <w:instrText xml:space="preserve"> PAGEREF _Toc227926916 \h </w:instrText>
      </w:r>
      <w:r>
        <w:fldChar w:fldCharType="separate"/>
      </w:r>
      <w:r>
        <w:t>13</w:t>
      </w:r>
      <w:r>
        <w:fldChar w:fldCharType="end"/>
      </w:r>
      <w:r>
        <w:fldChar w:fldCharType="end"/>
      </w:r>
    </w:p>
    <w:p>
      <w:pPr>
        <w:pStyle w:val="19"/>
        <w:tabs>
          <w:tab w:val="right" w:pos="9019"/>
        </w:tabs>
        <w:rPr>
          <w:rFonts w:ascii="Cambria" w:eastAsia="宋体" w:cs="Arial" w:hAnsi="Cambria"/>
          <w:kern w:val="2"/>
          <w:lang w:eastAsia="en-GB"/>
        </w:rPr>
      </w:pPr>
      <w:r>
        <w:fldChar w:fldCharType="begin"/>
      </w:r>
      <w:r>
        <w:instrText>Hyperlink \l "_Toc227926917"</w:instrText>
      </w:r>
      <w:r>
        <w:fldChar w:fldCharType="separate"/>
      </w:r>
      <w:r>
        <w:t>Figure 3: Competitive EV markets</w:t>
        <w:tab/>
      </w:r>
      <w:r>
        <w:fldChar w:fldCharType="begin"/>
      </w:r>
      <w:r>
        <w:instrText xml:space="preserve"> PAGEREF _Toc227926917 \h </w:instrText>
      </w:r>
      <w:r>
        <w:fldChar w:fldCharType="separate"/>
      </w:r>
      <w:r>
        <w:t>15</w:t>
      </w:r>
      <w:r>
        <w:fldChar w:fldCharType="end"/>
      </w:r>
      <w:r>
        <w:fldChar w:fldCharType="end"/>
      </w:r>
    </w:p>
    <w:p>
      <w:pPr>
        <w:pStyle w:val="19"/>
        <w:tabs>
          <w:tab w:val="right" w:pos="9019"/>
        </w:tabs>
        <w:rPr>
          <w:rFonts w:ascii="Cambria" w:eastAsia="宋体" w:cs="Arial" w:hAnsi="Cambria"/>
          <w:kern w:val="2"/>
          <w:lang w:eastAsia="en-GB"/>
        </w:rPr>
      </w:pPr>
      <w:r>
        <w:fldChar w:fldCharType="begin"/>
      </w:r>
      <w:r>
        <w:instrText>Hyperlink \l "_Toc227926918"</w:instrText>
      </w:r>
      <w:r>
        <w:fldChar w:fldCharType="separate"/>
      </w:r>
      <w:r>
        <w:t>Figure 4: Principles of CSR</w:t>
        <w:tab/>
      </w:r>
      <w:r>
        <w:fldChar w:fldCharType="begin"/>
      </w:r>
      <w:r>
        <w:instrText xml:space="preserve"> PAGEREF _Toc227926918 \h </w:instrText>
      </w:r>
      <w:r>
        <w:fldChar w:fldCharType="separate"/>
      </w:r>
      <w:r>
        <w:t>16</w:t>
      </w:r>
      <w:r>
        <w:fldChar w:fldCharType="end"/>
      </w:r>
      <w:r>
        <w:fldChar w:fldCharType="end"/>
      </w:r>
    </w:p>
    <w:p>
      <w:pPr>
        <w:pStyle w:val="19"/>
        <w:tabs>
          <w:tab w:val="right" w:pos="9019"/>
        </w:tabs>
        <w:rPr>
          <w:rFonts w:ascii="Cambria" w:eastAsia="宋体" w:cs="Arial" w:hAnsi="Cambria"/>
          <w:kern w:val="2"/>
          <w:lang w:eastAsia="en-GB"/>
        </w:rPr>
      </w:pPr>
      <w:r>
        <w:fldChar w:fldCharType="begin"/>
      </w:r>
      <w:r>
        <w:instrText>Hyperlink \l "_Toc227926919"</w:instrText>
      </w:r>
      <w:r>
        <w:fldChar w:fldCharType="separate"/>
      </w:r>
      <w:r>
        <w:t>Figure 5: Real Options Theory</w:t>
        <w:tab/>
      </w:r>
      <w:r>
        <w:fldChar w:fldCharType="begin"/>
      </w:r>
      <w:r>
        <w:instrText xml:space="preserve"> PAGEREF _Toc227926919 \h </w:instrText>
      </w:r>
      <w:r>
        <w:fldChar w:fldCharType="separate"/>
      </w:r>
      <w:r>
        <w:t>19</w:t>
      </w:r>
      <w:r>
        <w:fldChar w:fldCharType="end"/>
      </w:r>
      <w:r>
        <w:fldChar w:fldCharType="end"/>
      </w:r>
    </w:p>
    <w:p>
      <w:pPr>
        <w:pStyle w:val="19"/>
        <w:tabs>
          <w:tab w:val="right" w:pos="9019"/>
        </w:tabs>
        <w:rPr>
          <w:rFonts w:ascii="Cambria" w:eastAsia="宋体" w:cs="Arial" w:hAnsi="Cambria"/>
          <w:kern w:val="2"/>
          <w:lang w:eastAsia="en-GB"/>
        </w:rPr>
      </w:pPr>
      <w:r>
        <w:fldChar w:fldCharType="begin"/>
      </w:r>
      <w:r>
        <w:instrText>Hyperlink \l "_Toc227926920"</w:instrText>
      </w:r>
      <w:r>
        <w:fldChar w:fldCharType="separate"/>
      </w:r>
      <w:r>
        <w:t>Figure 6: Shareholder Theory</w:t>
        <w:tab/>
      </w:r>
      <w:r>
        <w:fldChar w:fldCharType="begin"/>
      </w:r>
      <w:r>
        <w:instrText xml:space="preserve"> PAGEREF _Toc227926920 \h </w:instrText>
      </w:r>
      <w:r>
        <w:fldChar w:fldCharType="separate"/>
      </w:r>
      <w:r>
        <w:t>20</w:t>
      </w:r>
      <w:r>
        <w:fldChar w:fldCharType="end"/>
      </w:r>
      <w:r>
        <w:fldChar w:fldCharType="end"/>
      </w:r>
    </w:p>
    <w:p>
      <w:pPr>
        <w:pStyle w:val="19"/>
        <w:tabs>
          <w:tab w:val="right" w:pos="9019"/>
        </w:tabs>
        <w:rPr>
          <w:rFonts w:ascii="Cambria" w:eastAsia="宋体" w:cs="Arial" w:hAnsi="Cambria"/>
          <w:kern w:val="2"/>
          <w:lang w:eastAsia="en-GB"/>
        </w:rPr>
      </w:pPr>
      <w:r>
        <w:fldChar w:fldCharType="begin"/>
      </w:r>
      <w:r>
        <w:instrText>Hyperlink \l "_Toc227926921"</w:instrText>
      </w:r>
      <w:r>
        <w:fldChar w:fldCharType="separate"/>
      </w:r>
      <w:r>
        <w:t>Figure 7: Profitability Ratios</w:t>
        <w:tab/>
      </w:r>
      <w:r>
        <w:fldChar w:fldCharType="begin"/>
      </w:r>
      <w:r>
        <w:instrText xml:space="preserve"> PAGEREF _Toc227926921 \h </w:instrText>
      </w:r>
      <w:r>
        <w:fldChar w:fldCharType="separate"/>
      </w:r>
      <w:r>
        <w:t>29</w:t>
      </w:r>
      <w:r>
        <w:fldChar w:fldCharType="end"/>
      </w:r>
      <w:r>
        <w:fldChar w:fldCharType="end"/>
      </w:r>
    </w:p>
    <w:p>
      <w:pPr>
        <w:pStyle w:val="19"/>
        <w:tabs>
          <w:tab w:val="right" w:pos="9019"/>
        </w:tabs>
        <w:rPr>
          <w:rFonts w:ascii="Cambria" w:eastAsia="宋体" w:cs="Arial" w:hAnsi="Cambria"/>
          <w:kern w:val="2"/>
          <w:lang w:eastAsia="en-GB"/>
        </w:rPr>
      </w:pPr>
      <w:r>
        <w:fldChar w:fldCharType="begin"/>
      </w:r>
      <w:r>
        <w:instrText>Hyperlink \l "_Toc227926922"</w:instrText>
      </w:r>
      <w:r>
        <w:fldChar w:fldCharType="separate"/>
      </w:r>
      <w:r>
        <w:t>Figure 8: Liquidity Ratios</w:t>
        <w:tab/>
      </w:r>
      <w:r>
        <w:fldChar w:fldCharType="begin"/>
      </w:r>
      <w:r>
        <w:instrText xml:space="preserve"> PAGEREF _Toc227926922 \h </w:instrText>
      </w:r>
      <w:r>
        <w:fldChar w:fldCharType="separate"/>
      </w:r>
      <w:r>
        <w:t>31</w:t>
      </w:r>
      <w:r>
        <w:fldChar w:fldCharType="end"/>
      </w:r>
      <w:r>
        <w:fldChar w:fldCharType="end"/>
      </w:r>
    </w:p>
    <w:p>
      <w:pPr>
        <w:pStyle w:val="19"/>
        <w:tabs>
          <w:tab w:val="right" w:pos="9019"/>
        </w:tabs>
        <w:rPr>
          <w:rFonts w:ascii="Cambria" w:eastAsia="宋体" w:cs="Arial" w:hAnsi="Cambria"/>
          <w:kern w:val="2"/>
          <w:lang w:eastAsia="en-GB"/>
        </w:rPr>
      </w:pPr>
      <w:r>
        <w:fldChar w:fldCharType="begin"/>
      </w:r>
      <w:r>
        <w:instrText>Hyperlink \l "_Toc227926923"</w:instrText>
      </w:r>
      <w:r>
        <w:fldChar w:fldCharType="separate"/>
      </w:r>
      <w:r>
        <w:t>Figure 9: Efficiency Ratios</w:t>
        <w:tab/>
      </w:r>
      <w:r>
        <w:fldChar w:fldCharType="begin"/>
      </w:r>
      <w:r>
        <w:instrText xml:space="preserve"> PAGEREF _Toc227926923 \h </w:instrText>
      </w:r>
      <w:r>
        <w:fldChar w:fldCharType="separate"/>
      </w:r>
      <w:r>
        <w:t>32</w:t>
      </w:r>
      <w:r>
        <w:fldChar w:fldCharType="end"/>
      </w:r>
      <w:r>
        <w:fldChar w:fldCharType="end"/>
      </w:r>
    </w:p>
    <w:p>
      <w:pPr>
        <w:pStyle w:val="19"/>
        <w:tabs>
          <w:tab w:val="right" w:pos="9019"/>
        </w:tabs>
        <w:rPr>
          <w:rFonts w:ascii="Cambria" w:eastAsia="宋体" w:cs="Arial" w:hAnsi="Cambria"/>
          <w:kern w:val="2"/>
          <w:lang w:eastAsia="en-GB"/>
        </w:rPr>
      </w:pPr>
      <w:r>
        <w:fldChar w:fldCharType="begin"/>
      </w:r>
      <w:r>
        <w:instrText>Hyperlink \l "_Toc227926924"</w:instrText>
      </w:r>
      <w:r>
        <w:fldChar w:fldCharType="separate"/>
      </w:r>
      <w:r>
        <w:t>Figure 10: Leverage Ratio</w:t>
        <w:tab/>
      </w:r>
      <w:r>
        <w:fldChar w:fldCharType="begin"/>
      </w:r>
      <w:r>
        <w:instrText xml:space="preserve"> PAGEREF _Toc227926924 \h </w:instrText>
      </w:r>
      <w:r>
        <w:fldChar w:fldCharType="separate"/>
      </w:r>
      <w:r>
        <w:t>33</w:t>
      </w:r>
      <w:r>
        <w:fldChar w:fldCharType="end"/>
      </w:r>
      <w:r>
        <w:fldChar w:fldCharType="end"/>
      </w:r>
    </w:p>
    <w:p>
      <w:pPr>
        <w:pStyle w:val="19"/>
        <w:tabs>
          <w:tab w:val="right" w:pos="9019"/>
        </w:tabs>
        <w:rPr>
          <w:rFonts w:ascii="Cambria" w:eastAsia="宋体" w:cs="Arial" w:hAnsi="Cambria"/>
          <w:kern w:val="2"/>
          <w:lang w:eastAsia="en-GB"/>
        </w:rPr>
      </w:pPr>
      <w:r>
        <w:fldChar w:fldCharType="begin"/>
      </w:r>
      <w:r>
        <w:instrText>Hyperlink \l "_Toc227926925"</w:instrText>
      </w:r>
      <w:r>
        <w:fldChar w:fldCharType="separate"/>
      </w:r>
      <w:r>
        <w:t>Figure 11: Investment Ratio</w:t>
        <w:tab/>
      </w:r>
      <w:r>
        <w:fldChar w:fldCharType="begin"/>
      </w:r>
      <w:r>
        <w:instrText xml:space="preserve"> PAGEREF _Toc227926925 \h </w:instrText>
      </w:r>
      <w:r>
        <w:fldChar w:fldCharType="separate"/>
      </w:r>
      <w:r>
        <w:t>34</w:t>
      </w:r>
      <w:r>
        <w:fldChar w:fldCharType="end"/>
      </w:r>
      <w:r>
        <w:fldChar w:fldCharType="end"/>
      </w:r>
    </w:p>
    <w:p>
      <w:pPr>
        <w:pStyle w:val="19"/>
        <w:tabs>
          <w:tab w:val="right" w:pos="9019"/>
        </w:tabs>
        <w:rPr>
          <w:rFonts w:ascii="Cambria" w:eastAsia="宋体" w:cs="Arial" w:hAnsi="Cambria"/>
          <w:kern w:val="2"/>
          <w:lang w:eastAsia="en-GB"/>
        </w:rPr>
      </w:pPr>
      <w:r>
        <w:fldChar w:fldCharType="begin"/>
      </w:r>
      <w:r>
        <w:instrText>Hyperlink \l "_Toc227926926"</w:instrText>
      </w:r>
      <w:r>
        <w:fldChar w:fldCharType="separate"/>
      </w:r>
      <w:r>
        <w:t>Figure 12: Cash Flow Ratios</w:t>
        <w:tab/>
      </w:r>
      <w:r>
        <w:fldChar w:fldCharType="begin"/>
      </w:r>
      <w:r>
        <w:instrText xml:space="preserve"> PAGEREF _Toc227926926 \h </w:instrText>
      </w:r>
      <w:r>
        <w:fldChar w:fldCharType="separate"/>
      </w:r>
      <w:r>
        <w:t>36</w:t>
      </w:r>
      <w:r>
        <w:fldChar w:fldCharType="end"/>
      </w:r>
      <w:r>
        <w:fldChar w:fldCharType="end"/>
      </w:r>
    </w:p>
    <w:p>
      <w:pPr>
        <w:pStyle w:val="19"/>
        <w:tabs>
          <w:tab w:val="right" w:pos="9019"/>
        </w:tabs>
        <w:rPr>
          <w:rFonts w:ascii="Cambria" w:eastAsia="宋体" w:cs="Arial" w:hAnsi="Cambria"/>
          <w:kern w:val="2"/>
          <w:lang w:eastAsia="en-GB"/>
        </w:rPr>
      </w:pPr>
      <w:r>
        <w:fldChar w:fldCharType="begin"/>
      </w:r>
      <w:r>
        <w:instrText>Hyperlink \l "_Toc227926927"</w:instrText>
      </w:r>
      <w:r>
        <w:fldChar w:fldCharType="separate"/>
      </w:r>
      <w:r>
        <w:t>Figure 13: Working Capital Ratios</w:t>
        <w:tab/>
      </w:r>
      <w:r>
        <w:fldChar w:fldCharType="begin"/>
      </w:r>
      <w:r>
        <w:instrText xml:space="preserve"> PAGEREF _Toc227926927 \h </w:instrText>
      </w:r>
      <w:r>
        <w:fldChar w:fldCharType="separate"/>
      </w:r>
      <w:r>
        <w:t>38</w:t>
      </w:r>
      <w:r>
        <w:fldChar w:fldCharType="end"/>
      </w:r>
      <w:r>
        <w:fldChar w:fldCharType="end"/>
      </w:r>
    </w:p>
    <w:p>
      <w:pPr>
        <w:widowControl w:val="0"/>
        <w:tabs>
          <w:tab w:val="right" w:pos="12000"/>
        </w:tabs>
        <w:spacing w:before="60"/>
        <w:jc w:val="left"/>
        <w:rPr>
          <w:b/>
          <w:bCs/>
          <w:color w:val="000000"/>
        </w:rPr>
      </w:pPr>
      <w:r>
        <w:fldChar w:fldCharType="end"/>
      </w:r>
    </w:p>
    <w:p>
      <w:pPr>
        <w:jc w:val="left"/>
        <w:rPr>
          <w:b/>
          <w:bCs/>
          <w:sz w:val="28"/>
          <w:szCs w:val="28"/>
        </w:rPr>
      </w:pPr>
      <w:r>
        <w:br w:type="page"/>
      </w:r>
    </w:p>
    <w:p>
      <w:pPr>
        <w:jc w:val="center"/>
        <w:rPr>
          <w:b/>
          <w:bCs/>
          <w:sz w:val="28"/>
          <w:szCs w:val="28"/>
        </w:rPr>
      </w:pPr>
      <w:r>
        <w:rPr>
          <w:b/>
          <w:bCs/>
          <w:sz w:val="28"/>
          <w:szCs w:val="28"/>
        </w:rPr>
        <w:t>List of Tables</w:t>
      </w:r>
    </w:p>
    <w:p>
      <w:pPr>
        <w:pStyle w:val="19"/>
        <w:tabs>
          <w:tab w:val="right" w:pos="9019"/>
        </w:tabs>
        <w:rPr>
          <w:rFonts w:ascii="Cambria" w:eastAsia="宋体" w:cs="Arial" w:hAnsi="Cambria"/>
          <w:kern w:val="2"/>
          <w:lang w:eastAsia="en-GB"/>
        </w:rPr>
      </w:pPr>
      <w:r>
        <w:fldChar w:fldCharType="begin"/>
      </w:r>
      <w:r>
        <w:instrText xml:space="preserve"> TOC \h \u \z \t "Heading 5,1,Heading 6,6,"</w:instrText>
      </w:r>
      <w:r>
        <w:fldChar w:fldCharType="separate"/>
      </w:r>
      <w:r>
        <w:fldChar w:fldCharType="begin"/>
      </w:r>
      <w:r>
        <w:instrText>Hyperlink \l "_Toc227926969"</w:instrText>
      </w:r>
      <w:r>
        <w:fldChar w:fldCharType="separate"/>
      </w:r>
      <w:r>
        <w:t>Table 1: Profitability Ratios</w:t>
        <w:tab/>
      </w:r>
      <w:r>
        <w:fldChar w:fldCharType="begin"/>
      </w:r>
      <w:r>
        <w:instrText xml:space="preserve"> PAGEREF _Toc227926969 \h </w:instrText>
      </w:r>
      <w:r>
        <w:fldChar w:fldCharType="separate"/>
      </w:r>
      <w:r>
        <w:t>30</w:t>
      </w:r>
      <w:r>
        <w:fldChar w:fldCharType="end"/>
      </w:r>
      <w:r>
        <w:fldChar w:fldCharType="end"/>
      </w:r>
    </w:p>
    <w:p>
      <w:pPr>
        <w:pStyle w:val="19"/>
        <w:tabs>
          <w:tab w:val="right" w:pos="9019"/>
        </w:tabs>
        <w:rPr>
          <w:rFonts w:ascii="Cambria" w:eastAsia="宋体" w:cs="Arial" w:hAnsi="Cambria"/>
          <w:kern w:val="2"/>
          <w:lang w:eastAsia="en-GB"/>
        </w:rPr>
      </w:pPr>
      <w:r>
        <w:fldChar w:fldCharType="begin"/>
      </w:r>
      <w:r>
        <w:instrText>Hyperlink \l "_Toc227926970"</w:instrText>
      </w:r>
      <w:r>
        <w:fldChar w:fldCharType="separate"/>
      </w:r>
      <w:r>
        <w:t>Table 2: Liquidity Ratios</w:t>
        <w:tab/>
      </w:r>
      <w:r>
        <w:fldChar w:fldCharType="begin"/>
      </w:r>
      <w:r>
        <w:instrText xml:space="preserve"> PAGEREF _Toc227926970 \h </w:instrText>
      </w:r>
      <w:r>
        <w:fldChar w:fldCharType="separate"/>
      </w:r>
      <w:r>
        <w:t>31</w:t>
      </w:r>
      <w:r>
        <w:fldChar w:fldCharType="end"/>
      </w:r>
      <w:r>
        <w:fldChar w:fldCharType="end"/>
      </w:r>
    </w:p>
    <w:p>
      <w:pPr>
        <w:pStyle w:val="19"/>
        <w:tabs>
          <w:tab w:val="right" w:pos="9019"/>
        </w:tabs>
        <w:rPr>
          <w:rFonts w:ascii="Cambria" w:eastAsia="宋体" w:cs="Arial" w:hAnsi="Cambria"/>
          <w:kern w:val="2"/>
          <w:lang w:eastAsia="en-GB"/>
        </w:rPr>
      </w:pPr>
      <w:r>
        <w:fldChar w:fldCharType="begin"/>
      </w:r>
      <w:r>
        <w:instrText>Hyperlink \l "_Toc227926971"</w:instrText>
      </w:r>
      <w:r>
        <w:fldChar w:fldCharType="separate"/>
      </w:r>
      <w:r>
        <w:t>Table 3: Efficiency Ratios</w:t>
        <w:tab/>
      </w:r>
      <w:r>
        <w:fldChar w:fldCharType="begin"/>
      </w:r>
      <w:r>
        <w:instrText xml:space="preserve"> PAGEREF _Toc227926971 \h </w:instrText>
      </w:r>
      <w:r>
        <w:fldChar w:fldCharType="separate"/>
      </w:r>
      <w:r>
        <w:t>32</w:t>
      </w:r>
      <w:r>
        <w:fldChar w:fldCharType="end"/>
      </w:r>
      <w:r>
        <w:fldChar w:fldCharType="end"/>
      </w:r>
    </w:p>
    <w:p>
      <w:pPr>
        <w:pStyle w:val="19"/>
        <w:tabs>
          <w:tab w:val="right" w:pos="9019"/>
        </w:tabs>
        <w:rPr>
          <w:rFonts w:ascii="Cambria" w:eastAsia="宋体" w:cs="Arial" w:hAnsi="Cambria"/>
          <w:kern w:val="2"/>
          <w:lang w:eastAsia="en-GB"/>
        </w:rPr>
      </w:pPr>
      <w:r>
        <w:fldChar w:fldCharType="begin"/>
      </w:r>
      <w:r>
        <w:instrText>Hyperlink \l "_Toc227926972"</w:instrText>
      </w:r>
      <w:r>
        <w:fldChar w:fldCharType="separate"/>
      </w:r>
      <w:r>
        <w:t>Table 4: Leverage Ratio</w:t>
        <w:tab/>
      </w:r>
      <w:r>
        <w:fldChar w:fldCharType="begin"/>
      </w:r>
      <w:r>
        <w:instrText xml:space="preserve"> PAGEREF _Toc227926972 \h </w:instrText>
      </w:r>
      <w:r>
        <w:fldChar w:fldCharType="separate"/>
      </w:r>
      <w:r>
        <w:t>33</w:t>
      </w:r>
      <w:r>
        <w:fldChar w:fldCharType="end"/>
      </w:r>
      <w:r>
        <w:fldChar w:fldCharType="end"/>
      </w:r>
    </w:p>
    <w:p>
      <w:pPr>
        <w:pStyle w:val="19"/>
        <w:tabs>
          <w:tab w:val="right" w:pos="9019"/>
        </w:tabs>
        <w:rPr>
          <w:rFonts w:ascii="Cambria" w:eastAsia="宋体" w:cs="Arial" w:hAnsi="Cambria"/>
          <w:kern w:val="2"/>
          <w:lang w:eastAsia="en-GB"/>
        </w:rPr>
      </w:pPr>
      <w:r>
        <w:fldChar w:fldCharType="begin"/>
      </w:r>
      <w:r>
        <w:instrText>Hyperlink \l "_Toc227926973"</w:instrText>
      </w:r>
      <w:r>
        <w:fldChar w:fldCharType="separate"/>
      </w:r>
      <w:r>
        <w:t>Table 5: Investment Ratio</w:t>
        <w:tab/>
      </w:r>
      <w:r>
        <w:fldChar w:fldCharType="begin"/>
      </w:r>
      <w:r>
        <w:instrText xml:space="preserve"> PAGEREF _Toc227926973 \h </w:instrText>
      </w:r>
      <w:r>
        <w:fldChar w:fldCharType="separate"/>
      </w:r>
      <w:r>
        <w:t>35</w:t>
      </w:r>
      <w:r>
        <w:fldChar w:fldCharType="end"/>
      </w:r>
      <w:r>
        <w:fldChar w:fldCharType="end"/>
      </w:r>
    </w:p>
    <w:p>
      <w:pPr>
        <w:pStyle w:val="19"/>
        <w:tabs>
          <w:tab w:val="right" w:pos="9019"/>
        </w:tabs>
        <w:rPr>
          <w:rFonts w:ascii="Cambria" w:eastAsia="宋体" w:cs="Arial" w:hAnsi="Cambria"/>
          <w:kern w:val="2"/>
          <w:lang w:eastAsia="en-GB"/>
        </w:rPr>
      </w:pPr>
      <w:r>
        <w:fldChar w:fldCharType="begin"/>
      </w:r>
      <w:r>
        <w:instrText>Hyperlink \l "_Toc227926974"</w:instrText>
      </w:r>
      <w:r>
        <w:fldChar w:fldCharType="separate"/>
      </w:r>
      <w:r>
        <w:t>Table 6: Cash Flow Ratios</w:t>
        <w:tab/>
      </w:r>
      <w:r>
        <w:fldChar w:fldCharType="begin"/>
      </w:r>
      <w:r>
        <w:instrText xml:space="preserve"> PAGEREF _Toc227926974 \h </w:instrText>
      </w:r>
      <w:r>
        <w:fldChar w:fldCharType="separate"/>
      </w:r>
      <w:r>
        <w:t>37</w:t>
      </w:r>
      <w:r>
        <w:fldChar w:fldCharType="end"/>
      </w:r>
      <w:r>
        <w:fldChar w:fldCharType="end"/>
      </w:r>
    </w:p>
    <w:p>
      <w:pPr>
        <w:pStyle w:val="19"/>
        <w:tabs>
          <w:tab w:val="right" w:pos="9019"/>
        </w:tabs>
        <w:rPr>
          <w:rFonts w:ascii="Cambria" w:eastAsia="宋体" w:cs="Arial" w:hAnsi="Cambria"/>
          <w:kern w:val="2"/>
          <w:lang w:eastAsia="en-GB"/>
        </w:rPr>
      </w:pPr>
      <w:r>
        <w:fldChar w:fldCharType="begin"/>
      </w:r>
      <w:r>
        <w:instrText>Hyperlink \l "_Toc227926975"</w:instrText>
      </w:r>
      <w:r>
        <w:fldChar w:fldCharType="separate"/>
      </w:r>
      <w:r>
        <w:t>Table 7: Working Capital Ratios</w:t>
        <w:tab/>
      </w:r>
      <w:r>
        <w:fldChar w:fldCharType="begin"/>
      </w:r>
      <w:r>
        <w:instrText xml:space="preserve"> PAGEREF _Toc227926975 \h </w:instrText>
      </w:r>
      <w:r>
        <w:fldChar w:fldCharType="separate"/>
      </w:r>
      <w:r>
        <w:t>38</w:t>
      </w:r>
      <w:r>
        <w:fldChar w:fldCharType="end"/>
      </w:r>
      <w:r>
        <w:fldChar w:fldCharType="end"/>
      </w:r>
    </w:p>
    <w:p>
      <w:pPr>
        <w:pStyle w:val="19"/>
        <w:tabs>
          <w:tab w:val="right" w:pos="9019"/>
        </w:tabs>
        <w:rPr>
          <w:rFonts w:ascii="Cambria" w:eastAsia="宋体" w:cs="Arial" w:hAnsi="Cambria"/>
          <w:kern w:val="2"/>
          <w:lang w:eastAsia="en-GB"/>
        </w:rPr>
      </w:pPr>
      <w:r>
        <w:fldChar w:fldCharType="begin"/>
      </w:r>
      <w:r>
        <w:instrText>Hyperlink \l "_Toc227926976"</w:instrText>
      </w:r>
      <w:r>
        <w:fldChar w:fldCharType="separate"/>
      </w:r>
      <w:r>
        <w:t>Table 8: Project A</w:t>
        <w:tab/>
      </w:r>
      <w:r>
        <w:fldChar w:fldCharType="begin"/>
      </w:r>
      <w:r>
        <w:instrText xml:space="preserve"> PAGEREF _Toc227926976 \h </w:instrText>
      </w:r>
      <w:r>
        <w:fldChar w:fldCharType="separate"/>
      </w:r>
      <w:r>
        <w:t>40</w:t>
      </w:r>
      <w:r>
        <w:fldChar w:fldCharType="end"/>
      </w:r>
      <w:r>
        <w:fldChar w:fldCharType="end"/>
      </w:r>
    </w:p>
    <w:p>
      <w:pPr>
        <w:pStyle w:val="19"/>
        <w:tabs>
          <w:tab w:val="right" w:pos="9019"/>
        </w:tabs>
        <w:rPr>
          <w:rFonts w:ascii="Cambria" w:eastAsia="宋体" w:cs="Arial" w:hAnsi="Cambria"/>
          <w:kern w:val="2"/>
          <w:lang w:eastAsia="en-GB"/>
        </w:rPr>
      </w:pPr>
      <w:r>
        <w:fldChar w:fldCharType="begin"/>
      </w:r>
      <w:r>
        <w:instrText>Hyperlink \l "_Toc227926977"</w:instrText>
      </w:r>
      <w:r>
        <w:fldChar w:fldCharType="separate"/>
      </w:r>
      <w:r>
        <w:t>Table 9: Project B</w:t>
        <w:tab/>
      </w:r>
      <w:r>
        <w:fldChar w:fldCharType="begin"/>
      </w:r>
      <w:r>
        <w:instrText xml:space="preserve"> PAGEREF _Toc227926977 \h </w:instrText>
      </w:r>
      <w:r>
        <w:fldChar w:fldCharType="separate"/>
      </w:r>
      <w:r>
        <w:t>41</w:t>
      </w:r>
      <w:r>
        <w:fldChar w:fldCharType="end"/>
      </w:r>
      <w:r>
        <w:fldChar w:fldCharType="end"/>
      </w:r>
    </w:p>
    <w:p>
      <w:pPr>
        <w:pStyle w:val="19"/>
        <w:tabs>
          <w:tab w:val="right" w:pos="9019"/>
        </w:tabs>
        <w:rPr>
          <w:rFonts w:ascii="Cambria" w:eastAsia="宋体" w:cs="Arial" w:hAnsi="Cambria"/>
          <w:kern w:val="2"/>
          <w:lang w:eastAsia="en-GB"/>
        </w:rPr>
      </w:pPr>
      <w:r>
        <w:fldChar w:fldCharType="begin"/>
      </w:r>
      <w:r>
        <w:instrText>Hyperlink \l "_Toc227926978"</w:instrText>
      </w:r>
      <w:r>
        <w:fldChar w:fldCharType="separate"/>
      </w:r>
      <w:r>
        <w:t>Table 10: Project C</w:t>
        <w:tab/>
      </w:r>
      <w:r>
        <w:fldChar w:fldCharType="begin"/>
      </w:r>
      <w:r>
        <w:instrText xml:space="preserve"> PAGEREF _Toc227926978 \h </w:instrText>
      </w:r>
      <w:r>
        <w:fldChar w:fldCharType="separate"/>
      </w:r>
      <w:r>
        <w:t>42</w:t>
      </w:r>
      <w:r>
        <w:fldChar w:fldCharType="end"/>
      </w:r>
      <w:r>
        <w:fldChar w:fldCharType="end"/>
      </w:r>
    </w:p>
    <w:p>
      <w:pPr>
        <w:pStyle w:val="19"/>
        <w:tabs>
          <w:tab w:val="right" w:pos="9019"/>
        </w:tabs>
        <w:rPr>
          <w:rFonts w:ascii="Cambria" w:eastAsia="宋体" w:cs="Arial" w:hAnsi="Cambria"/>
          <w:kern w:val="2"/>
          <w:lang w:eastAsia="en-GB"/>
        </w:rPr>
      </w:pPr>
      <w:r>
        <w:fldChar w:fldCharType="begin"/>
      </w:r>
      <w:r>
        <w:instrText>Hyperlink \l "_Toc227926979"</w:instrText>
      </w:r>
      <w:r>
        <w:fldChar w:fldCharType="separate"/>
      </w:r>
      <w:r>
        <w:t>Table 11: Investment choice based on Capital Rationing</w:t>
        <w:tab/>
      </w:r>
      <w:r>
        <w:fldChar w:fldCharType="begin"/>
      </w:r>
      <w:r>
        <w:instrText xml:space="preserve"> PAGEREF _Toc227926979 \h </w:instrText>
      </w:r>
      <w:r>
        <w:fldChar w:fldCharType="separate"/>
      </w:r>
      <w:r>
        <w:t>43</w:t>
      </w:r>
      <w:r>
        <w:fldChar w:fldCharType="end"/>
      </w:r>
      <w:r>
        <w:fldChar w:fldCharType="end"/>
      </w:r>
    </w:p>
    <w:p>
      <w:pPr>
        <w:pStyle w:val="19"/>
        <w:tabs>
          <w:tab w:val="right" w:pos="9019"/>
        </w:tabs>
        <w:rPr>
          <w:rFonts w:ascii="Cambria" w:eastAsia="宋体" w:cs="Arial" w:hAnsi="Cambria"/>
          <w:kern w:val="2"/>
          <w:lang w:eastAsia="en-GB"/>
        </w:rPr>
      </w:pPr>
      <w:r>
        <w:fldChar w:fldCharType="begin"/>
      </w:r>
      <w:r>
        <w:instrText>Hyperlink \l "_Toc227926980"</w:instrText>
      </w:r>
      <w:r>
        <w:fldChar w:fldCharType="separate"/>
      </w:r>
      <w:r>
        <w:t>Table 12: Balance Sheet 2025-2024</w:t>
        <w:tab/>
      </w:r>
      <w:r>
        <w:fldChar w:fldCharType="begin"/>
      </w:r>
      <w:r>
        <w:instrText xml:space="preserve"> PAGEREF _Toc227926980 \h </w:instrText>
      </w:r>
      <w:r>
        <w:fldChar w:fldCharType="separate"/>
      </w:r>
      <w:r>
        <w:t>44</w:t>
      </w:r>
      <w:r>
        <w:fldChar w:fldCharType="end"/>
      </w:r>
      <w:r>
        <w:fldChar w:fldCharType="end"/>
      </w:r>
    </w:p>
    <w:p>
      <w:pPr>
        <w:pStyle w:val="19"/>
        <w:tabs>
          <w:tab w:val="right" w:pos="9019"/>
        </w:tabs>
        <w:rPr>
          <w:rFonts w:ascii="Cambria" w:eastAsia="宋体" w:cs="Arial" w:hAnsi="Cambria"/>
          <w:kern w:val="2"/>
          <w:lang w:eastAsia="en-GB"/>
        </w:rPr>
      </w:pPr>
      <w:r>
        <w:fldChar w:fldCharType="begin"/>
      </w:r>
      <w:r>
        <w:instrText>Hyperlink \l "_Toc227926981"</w:instrText>
      </w:r>
      <w:r>
        <w:fldChar w:fldCharType="separate"/>
      </w:r>
      <w:r>
        <w:t>Table 13: Income Statement 2025-2024</w:t>
        <w:tab/>
      </w:r>
      <w:r>
        <w:fldChar w:fldCharType="begin"/>
      </w:r>
      <w:r>
        <w:instrText xml:space="preserve"> PAGEREF _Toc227926981 \h </w:instrText>
      </w:r>
      <w:r>
        <w:fldChar w:fldCharType="separate"/>
      </w:r>
      <w:r>
        <w:t>45</w:t>
      </w:r>
      <w:r>
        <w:fldChar w:fldCharType="end"/>
      </w:r>
      <w:r>
        <w:fldChar w:fldCharType="end"/>
      </w:r>
    </w:p>
    <w:p>
      <w:pPr>
        <w:pStyle w:val="19"/>
        <w:tabs>
          <w:tab w:val="right" w:pos="9019"/>
        </w:tabs>
        <w:rPr>
          <w:rFonts w:ascii="Cambria" w:eastAsia="宋体" w:cs="Arial" w:hAnsi="Cambria"/>
          <w:kern w:val="2"/>
          <w:lang w:eastAsia="en-GB"/>
        </w:rPr>
      </w:pPr>
      <w:r>
        <w:fldChar w:fldCharType="begin"/>
      </w:r>
      <w:r>
        <w:instrText>Hyperlink \l "_Toc227926982"</w:instrText>
      </w:r>
      <w:r>
        <w:fldChar w:fldCharType="separate"/>
      </w:r>
      <w:r>
        <w:t>Table 14: Cash Flow Statement 2025-2024</w:t>
        <w:tab/>
      </w:r>
      <w:r>
        <w:fldChar w:fldCharType="begin"/>
      </w:r>
      <w:r>
        <w:instrText xml:space="preserve"> PAGEREF _Toc227926982 \h </w:instrText>
      </w:r>
      <w:r>
        <w:fldChar w:fldCharType="separate"/>
      </w:r>
      <w:r>
        <w:t>46</w:t>
      </w:r>
      <w:r>
        <w:fldChar w:fldCharType="end"/>
      </w:r>
      <w:r>
        <w:fldChar w:fldCharType="end"/>
      </w:r>
    </w:p>
    <w:p>
      <w:pPr>
        <w:pStyle w:val="19"/>
        <w:tabs>
          <w:tab w:val="right" w:pos="9019"/>
        </w:tabs>
        <w:rPr>
          <w:rFonts w:ascii="Cambria" w:eastAsia="宋体" w:cs="Arial" w:hAnsi="Cambria"/>
          <w:kern w:val="2"/>
          <w:lang w:eastAsia="en-GB"/>
        </w:rPr>
      </w:pPr>
      <w:r>
        <w:fldChar w:fldCharType="begin"/>
      </w:r>
      <w:r>
        <w:instrText>Hyperlink \l "_Toc227926983"</w:instrText>
      </w:r>
      <w:r>
        <w:fldChar w:fldCharType="separate"/>
      </w:r>
      <w:r>
        <w:t>Table 15: Balance Sheet 2023-2022</w:t>
        <w:tab/>
      </w:r>
      <w:r>
        <w:fldChar w:fldCharType="begin"/>
      </w:r>
      <w:r>
        <w:instrText xml:space="preserve"> PAGEREF _Toc227926983 \h </w:instrText>
      </w:r>
      <w:r>
        <w:fldChar w:fldCharType="separate"/>
      </w:r>
      <w:r>
        <w:t>47</w:t>
      </w:r>
      <w:r>
        <w:fldChar w:fldCharType="end"/>
      </w:r>
      <w:r>
        <w:fldChar w:fldCharType="end"/>
      </w:r>
    </w:p>
    <w:p>
      <w:pPr>
        <w:pStyle w:val="19"/>
        <w:tabs>
          <w:tab w:val="right" w:pos="9019"/>
        </w:tabs>
        <w:rPr>
          <w:rFonts w:ascii="Cambria" w:eastAsia="宋体" w:cs="Arial" w:hAnsi="Cambria"/>
          <w:kern w:val="2"/>
          <w:lang w:eastAsia="en-GB"/>
        </w:rPr>
      </w:pPr>
      <w:r>
        <w:fldChar w:fldCharType="begin"/>
      </w:r>
      <w:r>
        <w:instrText>Hyperlink \l "_Toc227926984"</w:instrText>
      </w:r>
      <w:r>
        <w:fldChar w:fldCharType="separate"/>
      </w:r>
      <w:r>
        <w:t>Table 16: Income Statement 2023-2022</w:t>
        <w:tab/>
      </w:r>
      <w:r>
        <w:fldChar w:fldCharType="begin"/>
      </w:r>
      <w:r>
        <w:instrText xml:space="preserve"> PAGEREF _Toc227926984 \h </w:instrText>
      </w:r>
      <w:r>
        <w:fldChar w:fldCharType="separate"/>
      </w:r>
      <w:r>
        <w:t>48</w:t>
      </w:r>
      <w:r>
        <w:fldChar w:fldCharType="end"/>
      </w:r>
      <w:r>
        <w:fldChar w:fldCharType="end"/>
      </w:r>
    </w:p>
    <w:p>
      <w:pPr>
        <w:pStyle w:val="19"/>
        <w:tabs>
          <w:tab w:val="right" w:pos="9019"/>
        </w:tabs>
        <w:rPr>
          <w:rFonts w:ascii="Cambria" w:eastAsia="宋体" w:cs="Arial" w:hAnsi="Cambria"/>
          <w:kern w:val="2"/>
          <w:lang w:eastAsia="en-GB"/>
        </w:rPr>
      </w:pPr>
      <w:r>
        <w:fldChar w:fldCharType="begin"/>
      </w:r>
      <w:r>
        <w:instrText>Hyperlink \l "_Toc227926985"</w:instrText>
      </w:r>
      <w:r>
        <w:fldChar w:fldCharType="separate"/>
      </w:r>
      <w:r>
        <w:t>Table 17: Cash Flow Statement 2023-2022</w:t>
        <w:tab/>
      </w:r>
      <w:r>
        <w:fldChar w:fldCharType="begin"/>
      </w:r>
      <w:r>
        <w:instrText xml:space="preserve"> PAGEREF _Toc227926985 \h </w:instrText>
      </w:r>
      <w:r>
        <w:fldChar w:fldCharType="separate"/>
      </w:r>
      <w:r>
        <w:t>49</w:t>
      </w:r>
      <w:r>
        <w:fldChar w:fldCharType="end"/>
      </w:r>
      <w:r>
        <w:fldChar w:fldCharType="end"/>
      </w:r>
    </w:p>
    <w:p>
      <w:pPr>
        <w:pStyle w:val="19"/>
        <w:tabs>
          <w:tab w:val="right" w:pos="9019"/>
        </w:tabs>
        <w:rPr>
          <w:rFonts w:ascii="Cambria" w:eastAsia="宋体" w:cs="Arial" w:hAnsi="Cambria"/>
          <w:kern w:val="2"/>
          <w:lang w:eastAsia="en-GB"/>
        </w:rPr>
      </w:pPr>
      <w:r>
        <w:fldChar w:fldCharType="begin"/>
      </w:r>
      <w:r>
        <w:instrText>Hyperlink \l "_Toc227926986"</w:instrText>
      </w:r>
      <w:r>
        <w:fldChar w:fldCharType="separate"/>
      </w:r>
      <w:r>
        <w:t>Table 18: Balance Sheet 2021</w:t>
        <w:tab/>
      </w:r>
      <w:r>
        <w:fldChar w:fldCharType="begin"/>
      </w:r>
      <w:r>
        <w:instrText xml:space="preserve"> PAGEREF _Toc227926986 \h </w:instrText>
      </w:r>
      <w:r>
        <w:fldChar w:fldCharType="separate"/>
      </w:r>
      <w:r>
        <w:t>50</w:t>
      </w:r>
      <w:r>
        <w:fldChar w:fldCharType="end"/>
      </w:r>
      <w:r>
        <w:fldChar w:fldCharType="end"/>
      </w:r>
    </w:p>
    <w:p>
      <w:pPr>
        <w:pStyle w:val="19"/>
        <w:tabs>
          <w:tab w:val="right" w:pos="9019"/>
        </w:tabs>
        <w:rPr>
          <w:rFonts w:ascii="Cambria" w:eastAsia="宋体" w:cs="Arial" w:hAnsi="Cambria"/>
          <w:kern w:val="2"/>
          <w:lang w:eastAsia="en-GB"/>
        </w:rPr>
      </w:pPr>
      <w:r>
        <w:fldChar w:fldCharType="begin"/>
      </w:r>
      <w:r>
        <w:instrText>Hyperlink \l "_Toc227926987"</w:instrText>
      </w:r>
      <w:r>
        <w:fldChar w:fldCharType="separate"/>
      </w:r>
      <w:r>
        <w:t>Table 19: Income Statement 2021</w:t>
        <w:tab/>
      </w:r>
      <w:r>
        <w:fldChar w:fldCharType="begin"/>
      </w:r>
      <w:r>
        <w:instrText xml:space="preserve"> PAGEREF _Toc227926987 \h </w:instrText>
      </w:r>
      <w:r>
        <w:fldChar w:fldCharType="separate"/>
      </w:r>
      <w:r>
        <w:t>51</w:t>
      </w:r>
      <w:r>
        <w:fldChar w:fldCharType="end"/>
      </w:r>
      <w:r>
        <w:fldChar w:fldCharType="end"/>
      </w:r>
    </w:p>
    <w:p>
      <w:pPr>
        <w:pStyle w:val="19"/>
        <w:tabs>
          <w:tab w:val="right" w:pos="9019"/>
        </w:tabs>
        <w:rPr>
          <w:rFonts w:ascii="Cambria" w:eastAsia="宋体" w:cs="Arial" w:hAnsi="Cambria"/>
          <w:kern w:val="2"/>
          <w:lang w:eastAsia="en-GB"/>
        </w:rPr>
      </w:pPr>
      <w:r>
        <w:fldChar w:fldCharType="begin"/>
      </w:r>
      <w:r>
        <w:instrText>Hyperlink \l "_Toc227926988"</w:instrText>
      </w:r>
      <w:r>
        <w:fldChar w:fldCharType="separate"/>
      </w:r>
      <w:r>
        <w:t>Table 20: Cash Flow Statement 2021</w:t>
        <w:tab/>
      </w:r>
      <w:r>
        <w:fldChar w:fldCharType="begin"/>
      </w:r>
      <w:r>
        <w:instrText xml:space="preserve"> PAGEREF _Toc227926988 \h </w:instrText>
      </w:r>
      <w:r>
        <w:fldChar w:fldCharType="separate"/>
      </w:r>
      <w:r>
        <w:t>52</w:t>
      </w:r>
      <w:r>
        <w:fldChar w:fldCharType="end"/>
      </w:r>
      <w:r>
        <w:fldChar w:fldCharType="end"/>
      </w:r>
    </w:p>
    <w:p>
      <w:pPr>
        <w:widowControl w:val="0"/>
        <w:tabs>
          <w:tab w:val="right" w:pos="12000"/>
        </w:tabs>
        <w:spacing w:before="60"/>
        <w:jc w:val="left"/>
        <w:rPr>
          <w:color w:val="000000"/>
        </w:rPr>
      </w:pPr>
      <w:r>
        <w:fldChar w:fldCharType="end"/>
      </w:r>
    </w:p>
    <w:p>
      <w:pPr>
        <w:jc w:val="left"/>
      </w:pPr>
      <w:r>
        <w:br w:type="page"/>
      </w:r>
    </w:p>
    <w:p>
      <w:pPr>
        <w:jc w:val="center"/>
        <w:rPr>
          <w:b/>
          <w:bCs/>
          <w:color w:val="000000"/>
          <w:sz w:val="28"/>
          <w:szCs w:val="28"/>
        </w:rPr>
      </w:pPr>
      <w:r>
        <w:rPr>
          <w:b/>
          <w:bCs/>
          <w:color w:val="000000"/>
          <w:sz w:val="28"/>
          <w:szCs w:val="28"/>
        </w:rPr>
        <w:t>Executive Summary</w:t>
      </w:r>
    </w:p>
    <w:p>
      <w:pPr>
        <w:rPr>
          <w:color w:val="000000"/>
        </w:rPr>
      </w:pPr>
      <w:r>
        <w:rPr>
          <w:color w:val="000000"/>
        </w:rPr>
        <w:t xml:space="preserve">Tesla is one of the leading businesses in the EV industry of the world, giving innovative technologies to the world population. This report aims to identify the financial performance of Tesla and identify the investment strategy. The financial performance of Tesla is noted to have low profitability and high stability positions. The low financial leverage risk was noted, which was affected due to the financial performance of the business. The COC analysis and the working capital management show that there is an increase in the liquidity efficiency due to the high cash generation and control of the inventory. However, The increasing current liabilities and operational expansion pressure indicate the need to closely observe the short-term cash conversion to maintain its efficiency. The investment appraisal result depicted that compared to Project A and Project B, the profitability aspects of Project C has been better, depicting higher IRR, ARR, and lower negative NPV. Aligning with the weak profitability, Project C is beneficial, showcasing the strength to create better profits than other projects. This project can also enable Tesla to address the regulatory, technology and environmental challenges. The combination of Project B and C reflects to be effective as per capital rationing, assisting Tesla to enjoy better profits and offer better return to its shareholders. Hence, the currency risk inflation exposure, and CSR are also classified as international and Ethical considerations that influence the worldwide profitability, cost structure, and ethical supply chain management choices of Tesla. However, these aspects drive the sustainability of Tesla and need to be monitored on a strategic level over time to ensure that it remains competitive in the global market. </w:t>
        <w:tab/>
      </w:r>
    </w:p>
    <w:p>
      <w:pPr>
        <w:pStyle w:val="1"/>
        <w:rPr>
          <w:color w:val="000000"/>
        </w:rPr>
      </w:pPr>
      <w:bookmarkStart w:id="7" w:name="_g1brayxm51ys"/>
      <w:bookmarkEnd w:id="7"/>
      <w:r>
        <w:rPr>
          <w:color w:val="000000"/>
        </w:rPr>
        <w:br w:type="page"/>
      </w:r>
    </w:p>
    <w:p>
      <w:pPr>
        <w:pStyle w:val="1"/>
        <w:rPr>
          <w:color w:val="000000"/>
        </w:rPr>
      </w:pPr>
      <w:bookmarkStart w:id="8" w:name="_Toc227926873"/>
      <w:r>
        <w:rPr>
          <w:color w:val="000000"/>
        </w:rPr>
        <w:t>1. Introduction</w:t>
      </w:r>
      <w:bookmarkEnd w:id="8"/>
    </w:p>
    <w:p>
      <w:pPr>
        <w:rPr>
          <w:color w:val="000000"/>
        </w:rPr>
      </w:pPr>
      <w:r>
        <w:rPr>
          <w:color w:val="000000"/>
        </w:rPr>
        <w:t xml:space="preserve">Tesla is one of the leading Electric Vehicle (EV) businesses in the world, which is also involved in creating clean energy that focuses on accelerating the transition to sustainable energy. The business is involved in creating energy storage systems and different solar powers, combined with the development of AI and the inclusion of robotics. Tesla is known to be the leader in electric vehicles and solar generative panels with battery solutions for both Business to Business (B2B) and Business to Client (B2C) clients. This strategy led to a decrease in their operational cost and led the business to gain net income. This report investigates the growth of the business by implementing the ratio analysis to gain an idea about its performance and the industry positioning. The future investment strategy was also being noted through the implementation of investment appraisal techniques and capital rationing. Thus, the report gives an overview of the financial performance for the last 5 years, which includes the period between 2021 and 2025. </w:t>
      </w:r>
    </w:p>
    <w:p>
      <w:pPr>
        <w:pStyle w:val="1"/>
        <w:rPr>
          <w:color w:val="000000"/>
        </w:rPr>
      </w:pPr>
      <w:bookmarkStart w:id="9" w:name="_Toc227926874"/>
      <w:r>
        <w:rPr>
          <w:color w:val="000000"/>
        </w:rPr>
        <w:t>2. Financial Health Analysis</w:t>
      </w:r>
      <w:bookmarkEnd w:id="9"/>
    </w:p>
    <w:p>
      <w:pPr>
        <w:pStyle w:val="2"/>
        <w:rPr>
          <w:color w:val="000000"/>
        </w:rPr>
      </w:pPr>
      <w:bookmarkStart w:id="10" w:name="_Toc227926875"/>
      <w:r>
        <w:rPr>
          <w:color w:val="000000"/>
        </w:rPr>
        <w:t>2.1 Profitability Analysis</w:t>
      </w:r>
      <w:bookmarkEnd w:id="10"/>
      <w:r>
        <w:rPr>
          <w:color w:val="000000"/>
        </w:rPr>
        <w:t xml:space="preserve"> </w:t>
      </w:r>
    </w:p>
    <w:p>
      <w:pPr>
        <w:rPr>
          <w:color w:val="000000"/>
        </w:rPr>
      </w:pPr>
      <w:r>
        <w:rPr>
          <w:color w:val="000000"/>
        </w:rPr>
        <w:t xml:space="preserve">The profitability positioning of Tesla was determined through the investigation of the last 5 years of financial statements (2021 - 2025). In the context of the investigation, it was revealed that the operating efficiency had decreased along with the returns, despite the stable sales </w:t>
      </w:r>
      <w:r>
        <w:rPr>
          <w:b/>
          <w:bCs/>
          <w:i/>
          <w:iCs/>
          <w:color w:val="000000"/>
        </w:rPr>
        <w:t>(Refer to Appendix 1)</w:t>
      </w:r>
      <w:r>
        <w:rPr>
          <w:color w:val="000000"/>
        </w:rPr>
        <w:t xml:space="preserve">. A similar decrease was observed in gross profit margin, which indicates the effect of the increasing production cost. In the last few years, the leaders of Tesla decided to make investments in the physical-AI, which is regarded as a massive shift from hardware-centric manufacturing (Tesla, 2026). This led to an effect on its pricing strategy, which affects its competitive position in the EV market. This is the reason that the operating margin of Tesla shows contraction between the years 2022 and 2025. The effect of the increasing global inflation also influenced the production and operating costs of Tesla. In the last two years, global inflation increased by 0.35%, which directly affected the international car brands in the world market (World Bank, 2023). The effect directly reflected on the net profit margin of the business, highlighting the reduction in the bottom-line efficiency. Furthermore, in the context of the utilisation of resources being reduced in Tesla in the year 2025, due to the strategic shifts in the business. Thus, the profitability trends decreased in the current year, but show promising future growth. </w:t>
      </w:r>
    </w:p>
    <w:p>
      <w:pPr>
        <w:pStyle w:val="2"/>
        <w:rPr>
          <w:color w:val="000000"/>
        </w:rPr>
      </w:pPr>
      <w:bookmarkStart w:id="11" w:name="_Toc227926876"/>
      <w:r>
        <w:rPr>
          <w:color w:val="000000"/>
        </w:rPr>
        <w:t>2.2 Liquidity Analysis</w:t>
      </w:r>
      <w:bookmarkEnd w:id="11"/>
      <w:r>
        <w:rPr>
          <w:color w:val="000000"/>
        </w:rPr>
        <w:t xml:space="preserve"> </w:t>
      </w:r>
    </w:p>
    <w:p>
      <w:pPr>
        <w:rPr>
          <w:color w:val="000000"/>
        </w:rPr>
      </w:pPr>
      <w:r>
        <w:rPr>
          <w:color w:val="000000"/>
        </w:rPr>
        <w:t xml:space="preserve">Short-term stability positions of Tesla between the years 2021 and 2025 are estimated to strengthen the structural growth. These investments were made to support long-term solvency, which delivers future sustainability </w:t>
      </w:r>
      <w:r>
        <w:rPr>
          <w:b/>
          <w:bCs/>
          <w:i/>
          <w:iCs/>
          <w:color w:val="000000"/>
        </w:rPr>
        <w:t>(Refer to Appendix 2)</w:t>
      </w:r>
      <w:r>
        <w:rPr>
          <w:color w:val="000000"/>
        </w:rPr>
        <w:t xml:space="preserve">. In this context, the current ratio of Tesla has significantly increased, which indicates the deliberate accumulation of cash that meets the short-term obligations. This accumulation reflected the efficient working capital management, which influenced the operational scalability. A similar increase was observed during the evaluation of the quick ratio, which shows that the current assets meet the short-term obligations, despite removing the inventory buffer from the current assets. In order to deal with the future operational issues, Tesla stacks up their cash reserves, resulting in inflating their current assets. This was revealed from the evaluation of the cash ratio, which indicates growth in the cash reserves, but it remained low in proportion to the current liabilities of the business. This also showcases the strategic deployment of cash in the business, which influences the operating profits of the business. Thus, Tesla has increased the current assets, which meet the short-term obligations and strengthen the long-term solvency. </w:t>
      </w:r>
    </w:p>
    <w:p>
      <w:pPr>
        <w:pStyle w:val="2"/>
        <w:rPr>
          <w:color w:val="000000"/>
        </w:rPr>
      </w:pPr>
      <w:bookmarkStart w:id="12" w:name="_Toc227926877"/>
      <w:r>
        <w:rPr>
          <w:color w:val="000000"/>
        </w:rPr>
        <w:t>2.3 Efficiency Analysis</w:t>
      </w:r>
      <w:bookmarkEnd w:id="12"/>
      <w:r>
        <w:rPr>
          <w:color w:val="000000"/>
        </w:rPr>
        <w:t xml:space="preserve"> </w:t>
      </w:r>
    </w:p>
    <w:p>
      <w:pPr>
        <w:rPr>
          <w:color w:val="000000"/>
        </w:rPr>
      </w:pPr>
      <w:r>
        <w:rPr>
          <w:color w:val="000000"/>
        </w:rPr>
        <w:t xml:space="preserve">The efficiency ratio showed the flaws in the strategy of Tesla, which is related to asset utilisation, despite the increase in the scale of the business </w:t>
      </w:r>
      <w:r>
        <w:rPr>
          <w:b/>
          <w:bCs/>
          <w:i/>
          <w:iCs/>
          <w:color w:val="000000"/>
        </w:rPr>
        <w:t>(Refer to Appendix 3)</w:t>
      </w:r>
      <w:r>
        <w:rPr>
          <w:color w:val="000000"/>
        </w:rPr>
        <w:t xml:space="preserve">. This was noted from the asset utilisation ratio, which showed that the assets of Tesla are generating low sales, as it decreased from 0.99 to 0.69 between the years 2022 and 2025. In recent years, Tesla invested in its Gigafactories for the development of EV batteries, but the full utilisation of these factories remained low, which affected its performance (Reuters, 2025). The investments outpaced the sales growth, which is also noted from the fixed asset turnover ratio. It is estimated that investments like Nevada, of $6.2 billion, led to the estimate for future return that increases the financial performance of the business (Tesla, 2023b). In the case of inventory turnover, the fluctuations were observed, showing the slower inventory movement due to the variability in demand. Moreover, Tesla faces direct pressure in countries like China and Europe due to the increasing competition in the EV market (Carey and Roy, 2025). The effect was observed in the inventory turnover ratio, indicating that the requirement for innovation is needed to influence its financial growth. Thus, it was noted that Tesla is facing short-term efficiency, which pressures its investment through the long-term gains. </w:t>
      </w:r>
    </w:p>
    <w:p>
      <w:pPr>
        <w:pStyle w:val="2"/>
        <w:rPr>
          <w:color w:val="000000"/>
        </w:rPr>
      </w:pPr>
      <w:bookmarkStart w:id="13" w:name="_Toc227926878"/>
      <w:r>
        <w:rPr>
          <w:color w:val="000000"/>
        </w:rPr>
        <w:t>2.4 Leverage Analysis</w:t>
      </w:r>
      <w:bookmarkEnd w:id="13"/>
      <w:r>
        <w:rPr>
          <w:color w:val="000000"/>
        </w:rPr>
        <w:t xml:space="preserve"> </w:t>
      </w:r>
    </w:p>
    <w:p>
      <w:pPr>
        <w:rPr>
          <w:color w:val="000000"/>
        </w:rPr>
      </w:pPr>
      <w:r>
        <w:rPr>
          <w:color w:val="000000"/>
        </w:rPr>
        <w:t xml:space="preserve">The leverage ratios of Tesla revealed the declining dependence on debt, showcasing the conservative capital structure, but the increasing effect from interest servicing was noted from the evaluation </w:t>
      </w:r>
      <w:r>
        <w:rPr>
          <w:b/>
          <w:bCs/>
          <w:i/>
          <w:iCs/>
          <w:color w:val="000000"/>
        </w:rPr>
        <w:t>(Refer to Appendix 4)</w:t>
      </w:r>
      <w:r>
        <w:rPr>
          <w:color w:val="000000"/>
        </w:rPr>
        <w:t xml:space="preserve">. The leverage ratios depict the capital structuring positions, which influence the financial solvency of businesses (Park, 2025). In order to understand the leverage position of Tesla, the debt-to-equity ratio between the years 2021 and 2025 was determined, indicating low dependence on debt and high dependence on equity. This decreased the financial leverage risk, but it affects the operational control over the business performance. However, the decline in the interest coverage ratio was noted in 2025, indicating weakening retained earnings in relation to interest obligations. The decrease in the interest coverage was noted due to the decrease in the EBIT, which led to the decrease from 71.50 in 2022 to 12.88 in 2025. The high competition from the EV market led to a decrease in the volumes of sales in the year 2025, deepening the EBIT of Tesla (Jolly, 2025b). This shows that the operational profitability has direct pressures on the strategy of the business, but creates financing inefficiency for the business. Thus, despite maintaining the low-risk leverage structure, the effect of the interest coverage creates business concerns. </w:t>
      </w:r>
    </w:p>
    <w:p>
      <w:pPr>
        <w:pStyle w:val="2"/>
        <w:rPr>
          <w:color w:val="000000"/>
        </w:rPr>
      </w:pPr>
      <w:bookmarkStart w:id="14" w:name="_Toc227926879"/>
      <w:r>
        <w:rPr>
          <w:color w:val="000000"/>
        </w:rPr>
        <w:t>2.5 Investment Ratios</w:t>
      </w:r>
      <w:bookmarkEnd w:id="14"/>
      <w:r>
        <w:rPr>
          <w:color w:val="000000"/>
        </w:rPr>
        <w:t xml:space="preserve"> </w:t>
      </w:r>
    </w:p>
    <w:p>
      <w:pPr>
        <w:rPr>
          <w:color w:val="000000"/>
        </w:rPr>
      </w:pPr>
      <w:r>
        <w:rPr>
          <w:color w:val="000000"/>
        </w:rPr>
        <w:t xml:space="preserve">The shareholders of Tesla were affected in the year 2025, which was revealed from the investment ratios, despite the establishment of new factories in the market. Investment ratios were estimated to identify the returns that the investors can gain from their investments, which meets the confidence of the investors (Malhotra, Singh and Ramani, 2024). In this context, it was revealed that there was a decrease in the Return on Equity (ROE), reflecting the reduction in profitability, further affecting the returns of the shareholders </w:t>
      </w:r>
      <w:r>
        <w:rPr>
          <w:b/>
          <w:bCs/>
          <w:i/>
          <w:iCs/>
          <w:color w:val="000000"/>
        </w:rPr>
        <w:t>(Refer to Appendix 5)</w:t>
      </w:r>
      <w:r>
        <w:rPr>
          <w:color w:val="000000"/>
        </w:rPr>
        <w:t xml:space="preserve">. This indicates that the equity growth driven by the retained earnings with share issuance outpaced the net income, reducing the returns of the shareholders. A similar decrease was noted in Return on Asset (ROA), which reduced from 15.25% to 4.69% between the years 2022 and 2025. The inefficiency in utilisations of assets has a direct influence on the ROA, which is also reflected in the decline of the profitability (Arwani, Masrur and Muhammad, 2024). This was noted in the case of ROA, which aligns with the returns on the total invested capital, signalling the inefficiencies for capital deployment. Return on Invested Capital (ROIC) indicates that there is a huge drop in the investment's return from 39.70% to 3.96% between 2022 and 2025, which indicates that the effect on the fluctuations of the fluctuations in profitability have a direct influence on the confidence of the investors. Furthermore, the EPS was also found to be decreased in the current year, signalling the substantial increase in the shares outstanding. Thus, Tesla is getting affected by the profitability that reduces its investor return, declining their confidence in the equity holdings. </w:t>
      </w:r>
    </w:p>
    <w:p>
      <w:pPr>
        <w:pStyle w:val="2"/>
        <w:rPr>
          <w:color w:val="000000"/>
        </w:rPr>
      </w:pPr>
      <w:bookmarkStart w:id="15" w:name="_Toc227926880"/>
      <w:r>
        <w:rPr>
          <w:color w:val="000000"/>
        </w:rPr>
        <w:t>2.6 Cash Flow Ratios</w:t>
      </w:r>
      <w:bookmarkEnd w:id="15"/>
      <w:r>
        <w:rPr>
          <w:color w:val="000000"/>
        </w:rPr>
        <w:t xml:space="preserve"> </w:t>
      </w:r>
    </w:p>
    <w:p>
      <w:pPr>
        <w:rPr>
          <w:color w:val="000000"/>
        </w:rPr>
      </w:pPr>
      <w:r>
        <w:rPr>
          <w:color w:val="000000"/>
        </w:rPr>
        <w:t xml:space="preserve">In order to maintain its long-term solvency, Tesla maintains its operating cash flow, but gets affected by the increasing pressures from its capital expenditure. Improvement in the operating cash flow was noted, which increased from 0.35 to 0.46 between the years 2021 and 2025, indicating that the short-term solvency is low in contrast to the current liabilities. Though the cash generation reflects the strong operating cash flow of the business. In contrast to cash flow operations, the cash flow to debt ratio decreased from 4.75 to 1.76 between 2022 and 2025, showcasing the reduction in the cash to cover the debt balance through the utilisations of cash flows </w:t>
      </w:r>
      <w:r>
        <w:rPr>
          <w:b/>
          <w:bCs/>
          <w:i/>
          <w:iCs/>
          <w:color w:val="000000"/>
        </w:rPr>
        <w:t>(Refer to Appendix 6)</w:t>
      </w:r>
      <w:r>
        <w:rPr>
          <w:color w:val="000000"/>
        </w:rPr>
        <w:t xml:space="preserve">. The effect of the increasing global inflation, with the doubtful cash flows, affected the cash flow of businesses (Fang, 2022). Thus, it was noted that Tesla has high cash flow, which maintains the strong cash generation despite the constraint on free cash flow. </w:t>
      </w:r>
    </w:p>
    <w:p>
      <w:pPr>
        <w:pStyle w:val="1"/>
        <w:rPr>
          <w:color w:val="000000"/>
        </w:rPr>
      </w:pPr>
      <w:bookmarkStart w:id="16" w:name="_Toc227926881"/>
      <w:r>
        <w:rPr>
          <w:color w:val="000000"/>
        </w:rPr>
        <w:t>3. Working Capital Management Analysis</w:t>
      </w:r>
      <w:bookmarkEnd w:id="16"/>
    </w:p>
    <w:p>
      <w:pPr>
        <w:pStyle w:val="2"/>
        <w:rPr>
          <w:color w:val="000000"/>
        </w:rPr>
      </w:pPr>
      <w:bookmarkStart w:id="17" w:name="_Toc227926882"/>
      <w:r>
        <w:rPr>
          <w:color w:val="000000"/>
        </w:rPr>
        <w:t>3.1 Cash Operating Cycle (COC)</w:t>
      </w:r>
      <w:bookmarkEnd w:id="17"/>
    </w:p>
    <w:p>
      <w:pPr>
        <w:rPr>
          <w:color w:val="000000"/>
        </w:rPr>
      </w:pPr>
      <w:r>
        <w:rPr>
          <w:color w:val="000000"/>
        </w:rPr>
        <w:t xml:space="preserve">The COC of Tesla, raised between 2021 and 2025 due to an increase in operating cash flow between 6,912m to 14,747m and an increase in inventory stability as the company expanded </w:t>
      </w:r>
      <w:r>
        <w:rPr>
          <w:b/>
          <w:bCs/>
          <w:i/>
          <w:iCs/>
          <w:color w:val="000000"/>
        </w:rPr>
        <w:t>(Refer to Appendix 7)</w:t>
      </w:r>
      <w:r>
        <w:rPr>
          <w:color w:val="000000"/>
        </w:rPr>
        <w:t xml:space="preserve">. The vertically integrated and direct-to-consumer sales strategy generally enables the company to turnover its inventories at a faster rate and convert cash faster than the conventional automakers. For example, digital inventory and global supply chain stabilisation enhance working capital cycles by minimising disruptions, increasing logistics speed, improving real-time tracking, and converting cash faster throughout manufacturing processes (Khedr and Sheeja, 2024). This aligns with the fact that Tesla has been investing in optimisation of the production process, its logistics, and inventory management that assist in compressing the operating cycle. However, the increasing current liabilities and variable demand patterns, particularly in later years, indicate that there was some strain on short-term liquidity efficiency (Kaya, 2024). Thus, the trend of Tesla COC shows that the company is leaving the phase of high expansion in 2021 and moving to a more efficient operational organisation in 2025. However, it has been getting more efficient in its cash operating efficiency, but this requires maintaining a balance between growth and stricter working capital management. </w:t>
      </w:r>
    </w:p>
    <w:p>
      <w:pPr>
        <w:pStyle w:val="2"/>
        <w:rPr>
          <w:color w:val="000000"/>
        </w:rPr>
      </w:pPr>
      <w:bookmarkStart w:id="18" w:name="_Toc227926883"/>
      <w:r>
        <w:rPr>
          <w:color w:val="000000"/>
        </w:rPr>
        <w:t>3.2 Recommendation on improving liquidity through working capital</w:t>
      </w:r>
      <w:bookmarkEnd w:id="18"/>
    </w:p>
    <w:p>
      <w:pPr>
        <w:jc w:val="center"/>
        <w:rPr>
          <w:color w:val="000000"/>
        </w:rPr>
      </w:pPr>
      <w:r>
        <w:rPr>
          <w:color w:val="000000"/>
        </w:rPr>
        <w:drawing>
          <wp:inline distT="114300" distB="114300" distL="114300" distR="114300">
            <wp:extent cx="4338638" cy="2623361"/>
            <wp:effectExtent l="0" t="0" r="0" b="0"/>
            <wp:docPr id="4" name="图片 4"/>
            <wp:cNvGraphicFramePr>
              <a:graphicFrameLocks noChangeAspect="0"/>
            </wp:cNvGraphicFramePr>
            <a:graphic>
              <a:graphicData uri="http://schemas.openxmlformats.org/drawingml/2006/picture">
                <pic:pic>
                  <pic:nvPicPr>
                    <pic:cNvPr id="6" name="图片 6"/>
                    <pic:cNvPicPr/>
                  </pic:nvPicPr>
                  <pic:blipFill>
                    <a:blip r:embed="rId6"/>
                    <a:stretch>
                      <a:fillRect/>
                    </a:stretch>
                  </pic:blipFill>
                  <pic:spPr>
                    <a:xfrm rot="0">
                      <a:off x="0" y="0"/>
                      <a:ext cx="4338638" cy="2623361"/>
                    </a:xfrm>
                    <a:prstGeom prst="rect"/>
                    <a:noFill/>
                    <a:ln w="12700" cmpd="sng" cap="flat">
                      <a:solidFill>
                        <a:srgbClr val="000000"/>
                      </a:solidFill>
                      <a:prstDash val="solid"/>
                      <a:round/>
                    </a:ln>
                  </pic:spPr>
                </pic:pic>
              </a:graphicData>
            </a:graphic>
          </wp:inline>
        </w:drawing>
      </w:r>
    </w:p>
    <w:p>
      <w:pPr>
        <w:pStyle w:val="4"/>
        <w:rPr>
          <w:color w:val="000000"/>
        </w:rPr>
      </w:pPr>
      <w:bookmarkStart w:id="19" w:name="_Toc227926915"/>
      <w:r>
        <w:rPr>
          <w:color w:val="000000"/>
        </w:rPr>
        <w:t>Figure 1: Working Capital Management Theory</w:t>
      </w:r>
      <w:bookmarkEnd w:id="19"/>
    </w:p>
    <w:p>
      <w:pPr>
        <w:jc w:val="center"/>
        <w:rPr>
          <w:color w:val="000000"/>
        </w:rPr>
      </w:pPr>
      <w:r>
        <w:rPr>
          <w:color w:val="000000"/>
        </w:rPr>
        <w:t xml:space="preserve">(Source: Olaoye, Adekanbi and Oluwadare, 2019) </w:t>
      </w:r>
    </w:p>
    <w:p>
      <w:pPr>
        <w:rPr>
          <w:color w:val="000000"/>
        </w:rPr>
      </w:pPr>
      <w:r>
        <w:rPr>
          <w:color w:val="000000"/>
        </w:rPr>
        <w:t xml:space="preserve">In the case of Tesla, liquidity needs to be enhanced by raising the management of working capital by being more rigorous in the management of short-term assets and short-term liabilities as the company moves into operational maturity. The </w:t>
      </w:r>
      <w:r>
        <w:rPr>
          <w:b/>
          <w:bCs/>
          <w:i/>
          <w:iCs/>
          <w:color w:val="000000"/>
        </w:rPr>
        <w:t>Working Capital Management Theory</w:t>
      </w:r>
      <w:r>
        <w:rPr>
          <w:color w:val="000000"/>
        </w:rPr>
        <w:t xml:space="preserve"> which argues that any company can optimise its liquidity and profitability by maximising the relationship between current assets and current liabilities, by reducing the COC (Olaoye, Adekanbi and Oluwadare, 2019) </w:t>
      </w:r>
      <w:r>
        <w:rPr>
          <w:b/>
          <w:bCs/>
          <w:i/>
          <w:iCs/>
          <w:color w:val="000000"/>
        </w:rPr>
        <w:t>(Refer to Figure 1)</w:t>
      </w:r>
      <w:r>
        <w:rPr>
          <w:color w:val="000000"/>
        </w:rPr>
        <w:t xml:space="preserve">. Tesla needs to focus on a more stringent inventory management by planning production based on demand and using sophisticated forecasting technologies to minimise excess holding costs and release cash. However, cash inflows can be expedited by enhancing receivables management, including decreasing the collection cycle and imposing credit restrictions in non-automotive lines of business (Barbosa, Anderson and Simões, 2024). On the liability side, the company has the ability to plan its payment terms with suppliers by extending them without damaging connections, hence, conserving cash in the short-term. Moreover, a more selective reallocation of capital expenditure and the holding of a buffer of liquid assets contributes to financial flexibility. Thus, by integrating such strategies with effective working capital practices, Tesla can enhance its liquidity status and maintain growth and operational sustainability in a market that is becoming more competitive. </w:t>
      </w:r>
    </w:p>
    <w:p>
      <w:pPr>
        <w:pStyle w:val="2"/>
        <w:rPr>
          <w:color w:val="000000"/>
        </w:rPr>
      </w:pPr>
      <w:bookmarkStart w:id="20" w:name="_Toc227926884"/>
      <w:r>
        <w:rPr>
          <w:color w:val="000000"/>
        </w:rPr>
        <w:t>3.3 Financing Options</w:t>
      </w:r>
      <w:bookmarkEnd w:id="20"/>
    </w:p>
    <w:p>
      <w:pPr>
        <w:pStyle w:val="3"/>
        <w:rPr>
          <w:color w:val="000000"/>
        </w:rPr>
      </w:pPr>
      <w:bookmarkStart w:id="21" w:name="_Toc227926885"/>
      <w:r>
        <w:rPr>
          <w:color w:val="000000"/>
        </w:rPr>
        <w:t>3.3.1 Short-term Financing</w:t>
      </w:r>
      <w:bookmarkEnd w:id="21"/>
    </w:p>
    <w:p>
      <w:pPr>
        <w:rPr>
          <w:color w:val="000000"/>
        </w:rPr>
      </w:pPr>
      <w:r>
        <w:rPr>
          <w:color w:val="000000"/>
        </w:rPr>
        <w:t xml:space="preserve">The short-term funding needs to be aimed at ensuring liquidity flexibility and sustaining daily basis operations. Trade credit can through which companies negotiate longer payment terms with its suppliers, and in this way the company can save cash without any direct interest expense (Abdulai, Dary and Domanban, 2024). Moreover, short-term bank loans and revolving credit facilities may be used to supply urgent liquidity to cope with the movement of working capital, particularly in times of demand variability. Another alternative that can be adopted by Tesla is commercial paper issuance as the company has a good reputation within the market and therefore it can access cheap funds in the short-run. Additionally, cash inflows may be expedited by inventory financing and factoring of receivables in its services part (Choi </w:t>
      </w:r>
      <w:r>
        <w:rPr>
          <w:i/>
          <w:iCs/>
          <w:color w:val="000000"/>
        </w:rPr>
        <w:t>et al.</w:t>
      </w:r>
      <w:r>
        <w:rPr>
          <w:color w:val="000000"/>
        </w:rPr>
        <w:t>, 2023). However, overdependence on short-term financing can heighten the refinancing risk and liquidity constraints in periods of decline. Hence, Tesla is advised to strike a balance between these sources to make sure the liquidity is adequate yet cost-effective and financially stable in the short-run.</w:t>
      </w:r>
    </w:p>
    <w:p>
      <w:pPr>
        <w:pStyle w:val="3"/>
        <w:rPr>
          <w:color w:val="000000"/>
        </w:rPr>
      </w:pPr>
      <w:bookmarkStart w:id="22" w:name="_Toc227926886"/>
      <w:r>
        <w:rPr>
          <w:color w:val="000000"/>
        </w:rPr>
        <w:t>3.3.2 Long-term Financing</w:t>
      </w:r>
      <w:bookmarkEnd w:id="22"/>
    </w:p>
    <w:p>
      <w:pPr>
        <w:rPr>
          <w:color w:val="000000"/>
        </w:rPr>
      </w:pPr>
      <w:r>
        <w:rPr>
          <w:color w:val="000000"/>
        </w:rPr>
        <w:t>The long-term funding is necessary to fund capital-intensive projects, including new gigafactories, battery technology and expansion of energy storage. Equity financing allows the company to increase the capital base and decrease financial risk but it can also dilute current shareholders. Long-term debt, like corporate bonds, is also a good option especially in cases where interest rates are favourable that enables stable financing on big-scale projects (Khan and Vismara, 2025). Additionally, green bonds may be a nice alternative, more with sustainability concerns of Tesla and which attracts the attention of environmentally aware investors. Joint ventures and strategic alliances can also be used to provide long-term capital without causing a massive rise in leverage (Gao and Huang, 2025). However, long-term financing boosts growth capacity and needs to be carefully controlled to prevent excessive debt burden. Thus, such a balanced capital structure allows Tesla to remain innovative and remain financially stable.</w:t>
      </w:r>
    </w:p>
    <w:p>
      <w:pPr>
        <w:pStyle w:val="1"/>
        <w:rPr>
          <w:color w:val="000000"/>
        </w:rPr>
      </w:pPr>
      <w:bookmarkStart w:id="23" w:name="_Toc227926887"/>
      <w:r>
        <w:rPr>
          <w:color w:val="000000"/>
        </w:rPr>
        <w:t>4. Strategic Financial Restructuring Plan</w:t>
      </w:r>
      <w:bookmarkEnd w:id="23"/>
    </w:p>
    <w:p>
      <w:pPr>
        <w:pStyle w:val="2"/>
        <w:rPr>
          <w:color w:val="000000"/>
        </w:rPr>
      </w:pPr>
      <w:bookmarkStart w:id="24" w:name="_Toc227926888"/>
      <w:r>
        <w:rPr>
          <w:color w:val="000000"/>
        </w:rPr>
        <w:t>4.1 Suggestion on Financial Restructuring Options</w:t>
      </w:r>
      <w:bookmarkEnd w:id="24"/>
    </w:p>
    <w:p>
      <w:pPr>
        <w:rPr>
          <w:color w:val="000000"/>
        </w:rPr>
      </w:pPr>
      <w:r>
        <w:rPr>
          <w:color w:val="000000"/>
        </w:rPr>
        <w:t xml:space="preserve">Tesla is involved in the inclusion of the capital structure optimisation strategy, which was noted from the low debt-to-equity ratio. This suggests that there is a decrease in the financial leverage risk through the reduction of the debt capital. This was noted from the decrease in declining investments, which suggests inefficient utilisation of capital. From a strategic point, it is important to note that Tesla can implement the merger strategy through the utilisations of both horizontal and vertical mergers, which suggests the value creation through cost efficiencies and sales increment. Implementation of vertical integration of merger, which was guided by the </w:t>
      </w:r>
      <w:r>
        <w:rPr>
          <w:b/>
          <w:bCs/>
          <w:i/>
          <w:iCs/>
          <w:color w:val="000000"/>
        </w:rPr>
        <w:t>Synergy Theory</w:t>
      </w:r>
      <w:r>
        <w:rPr>
          <w:color w:val="000000"/>
        </w:rPr>
        <w:t xml:space="preserve"> of merger and acquisition. This theory indicates that the merger of two businesses creates more value, increasing operational efficiencies (Fiorentino and Garzella, 2015). The influence of this vertical integration of merger stabilises the cost with the regular dependence risk identified through internationalising supply chains, which reduces the uncertainty and opportunism. Thus, the integration of vertical merger improves the transaction cost economics, which internalises the supply chains of the business.</w:t>
      </w:r>
    </w:p>
    <w:p>
      <w:pPr>
        <w:jc w:val="center"/>
        <w:rPr>
          <w:color w:val="000000"/>
        </w:rPr>
      </w:pPr>
      <w:r>
        <w:rPr>
          <w:color w:val="000000"/>
        </w:rPr>
        <w:drawing>
          <wp:inline distT="114300" distB="114300" distL="114300" distR="114300">
            <wp:extent cx="5414963" cy="4164664"/>
            <wp:effectExtent l="0" t="0" r="0" b="0"/>
            <wp:docPr id="7" name="图片 7"/>
            <wp:cNvGraphicFramePr>
              <a:graphicFrameLocks noChangeAspect="0"/>
            </wp:cNvGraphicFramePr>
            <a:graphic>
              <a:graphicData uri="http://schemas.openxmlformats.org/drawingml/2006/picture">
                <pic:pic>
                  <pic:nvPicPr>
                    <pic:cNvPr id="9" name="图片 9"/>
                    <pic:cNvPicPr/>
                  </pic:nvPicPr>
                  <pic:blipFill>
                    <a:blip r:embed="rId7"/>
                    <a:stretch>
                      <a:fillRect/>
                    </a:stretch>
                  </pic:blipFill>
                  <pic:spPr>
                    <a:xfrm rot="0">
                      <a:off x="0" y="0"/>
                      <a:ext cx="5414963" cy="4164664"/>
                    </a:xfrm>
                    <a:prstGeom prst="rect"/>
                    <a:noFill/>
                    <a:ln w="12700" cmpd="sng" cap="flat">
                      <a:solidFill>
                        <a:srgbClr val="000000"/>
                      </a:solidFill>
                      <a:prstDash val="solid"/>
                      <a:round/>
                    </a:ln>
                  </pic:spPr>
                </pic:pic>
              </a:graphicData>
            </a:graphic>
          </wp:inline>
        </w:drawing>
      </w:r>
    </w:p>
    <w:p>
      <w:pPr>
        <w:pStyle w:val="4"/>
        <w:rPr>
          <w:color w:val="000000"/>
        </w:rPr>
      </w:pPr>
      <w:bookmarkStart w:id="25" w:name="_Toc227926916"/>
      <w:r>
        <w:rPr>
          <w:color w:val="000000"/>
        </w:rPr>
        <w:t>Figure 2: Synergy Theory of Merger</w:t>
      </w:r>
      <w:bookmarkEnd w:id="25"/>
    </w:p>
    <w:p>
      <w:pPr>
        <w:jc w:val="center"/>
        <w:rPr>
          <w:b/>
          <w:bCs/>
          <w:i/>
          <w:iCs/>
          <w:color w:val="000000"/>
        </w:rPr>
      </w:pPr>
      <w:r>
        <w:rPr>
          <w:color w:val="000000"/>
        </w:rPr>
        <w:t xml:space="preserve">(Source: Fiorentino and Garzella, 2015) </w:t>
      </w:r>
    </w:p>
    <w:p>
      <w:pPr>
        <w:rPr>
          <w:color w:val="000000"/>
        </w:rPr>
      </w:pPr>
      <w:r>
        <w:rPr>
          <w:color w:val="000000"/>
        </w:rPr>
        <w:t xml:space="preserve">In view of horizontal mergers involved in conducting strategic alliances with regional EV businesses, particularly in China or Europe. This strategy gives influence in countering the competitive pressures in the market (Lin, Huang and Lin, 2024) </w:t>
      </w:r>
      <w:r>
        <w:rPr>
          <w:b/>
          <w:bCs/>
          <w:i/>
          <w:iCs/>
          <w:color w:val="000000"/>
        </w:rPr>
        <w:t>(Refer to Figure 2)</w:t>
      </w:r>
      <w:r>
        <w:rPr>
          <w:color w:val="000000"/>
        </w:rPr>
        <w:t xml:space="preserve">. Integrating the market penetration gives the local distribution networks through the AI-driven mobility solutions, which increases the competitive advantage. Additionally, Tesla can consider the joint venture in developing nations like India, which assists in reducing the competition in the market and maintaining the leverage of the local expertise in the business. Implications of both horizontal and vertical mergers in the competitive market can influence the business growth in the stringent markets like China and Europe. In developing nations like India, joint ventures influence business growth, which can influence their financial performance, creating value. Thus, it is recommended that these strategies influence the financial growth of Tesla guided by the local markets. </w:t>
      </w:r>
    </w:p>
    <w:p>
      <w:pPr>
        <w:pStyle w:val="2"/>
        <w:rPr>
          <w:color w:val="000000"/>
        </w:rPr>
      </w:pPr>
      <w:bookmarkStart w:id="26" w:name="_Toc227926889"/>
      <w:r>
        <w:rPr>
          <w:color w:val="000000"/>
        </w:rPr>
        <w:t>4.2 Evaluation of Impact</w:t>
      </w:r>
      <w:bookmarkEnd w:id="26"/>
    </w:p>
    <w:p>
      <w:pPr>
        <w:pStyle w:val="3"/>
        <w:rPr>
          <w:color w:val="000000"/>
        </w:rPr>
      </w:pPr>
      <w:bookmarkStart w:id="27" w:name="_Toc227926890"/>
      <w:r>
        <w:rPr>
          <w:color w:val="000000"/>
        </w:rPr>
        <w:t>4.2.1 Shareholder Value</w:t>
      </w:r>
      <w:bookmarkEnd w:id="27"/>
    </w:p>
    <w:p>
      <w:pPr>
        <w:rPr>
          <w:color w:val="000000"/>
        </w:rPr>
      </w:pPr>
      <w:r>
        <w:rPr>
          <w:color w:val="000000"/>
        </w:rPr>
        <w:t xml:space="preserve">In the case of Tesla, the suggested financial restructuring measures are likely to raise shareholder value through the betterment of long-term profitability and market positioning. In the short-run, the use of equity financing or merging strategies can dilute EPS and ROE. However, profitability and cash flows are likely to increase in the long-run due to better operational efficiency, cost synergies, and market presence (Setyopurnomo </w:t>
      </w:r>
      <w:r>
        <w:rPr>
          <w:i/>
          <w:iCs/>
          <w:color w:val="000000"/>
        </w:rPr>
        <w:t>et al.</w:t>
      </w:r>
      <w:r>
        <w:rPr>
          <w:color w:val="000000"/>
        </w:rPr>
        <w:t>, 2024). Thus, this would enhance shareholder returns in terms of capital appreciation and sustainable growth, which helps to boost overall firm valuation in the end.</w:t>
      </w:r>
    </w:p>
    <w:p>
      <w:pPr>
        <w:pStyle w:val="3"/>
        <w:rPr>
          <w:color w:val="000000"/>
        </w:rPr>
      </w:pPr>
      <w:bookmarkStart w:id="28" w:name="_Toc227926891"/>
      <w:r>
        <w:rPr>
          <w:color w:val="000000"/>
        </w:rPr>
        <w:t>4.2.2 Debt Structure</w:t>
      </w:r>
      <w:bookmarkEnd w:id="28"/>
    </w:p>
    <w:p>
      <w:pPr>
        <w:rPr>
          <w:color w:val="000000"/>
        </w:rPr>
      </w:pPr>
      <w:r>
        <w:rPr>
          <w:color w:val="000000"/>
        </w:rPr>
        <w:t xml:space="preserve">The restructuring plan is likely to streamline the debt-structure by balancing the low leverage that the Tesla has and discriminatory long-term borrowing. Replacing excessive debt financing with moderate debt financing like bond or green financing instruments can reduce the total cost of capital by providing tax benefits without compromising financial stability (Li </w:t>
      </w:r>
      <w:r>
        <w:rPr>
          <w:i/>
          <w:iCs/>
          <w:color w:val="000000"/>
        </w:rPr>
        <w:t>et al.</w:t>
      </w:r>
      <w:r>
        <w:rPr>
          <w:color w:val="000000"/>
        </w:rPr>
        <w:t xml:space="preserve">, 2025). However, high dependence on debt can result in a rise in interest payments and deteriorate coverage ratios especially, with the recent pressure on operating profits. Thus, Tesla ought to embrace a balanced capital structure that is a mix of equity and debt that helps to increase its financial flexibility at the lowest risk and help to sustain long-term growth. </w:t>
      </w:r>
    </w:p>
    <w:p>
      <w:pPr>
        <w:pStyle w:val="3"/>
        <w:rPr>
          <w:color w:val="000000"/>
        </w:rPr>
      </w:pPr>
      <w:bookmarkStart w:id="29" w:name="_Toc227926892"/>
      <w:r>
        <w:rPr>
          <w:color w:val="000000"/>
        </w:rPr>
        <w:t>4.2.3 Operational Flexibility</w:t>
      </w:r>
      <w:bookmarkEnd w:id="29"/>
    </w:p>
    <w:p>
      <w:pPr>
        <w:rPr>
          <w:color w:val="000000"/>
        </w:rPr>
      </w:pPr>
      <w:r>
        <w:rPr>
          <w:color w:val="000000"/>
        </w:rPr>
        <w:t xml:space="preserve">In the case of Tesla, the recommended reorganisation has a strongly beneficial impact on the flexibility of operations as it enhances the control of supply chains and manufacturing processes. This can decrease reliance on external suppliers, decrease disruptions and increase cost-efficiency through vertical integration and strategic partnerships (Li, Wang, </w:t>
      </w:r>
      <w:r>
        <w:rPr>
          <w:i/>
          <w:iCs/>
          <w:color w:val="000000"/>
        </w:rPr>
        <w:t>et al.</w:t>
      </w:r>
      <w:r>
        <w:rPr>
          <w:color w:val="000000"/>
        </w:rPr>
        <w:t xml:space="preserve">, 2025). Moreover, horizontal growth into new markets can lead to scalability and enable the organization to react swiftly to the evolving demand conditions. Additionally, the operations can be initially complicated due to the increased investments and integration efforts. Thus, the enhancement of operational flexibility helps Tesla adjust to market dynamics better, facilitate innovation, and maintain a competitive edge in the changing EV market. </w:t>
      </w:r>
    </w:p>
    <w:p>
      <w:pPr>
        <w:pStyle w:val="2"/>
        <w:rPr>
          <w:color w:val="000000"/>
        </w:rPr>
      </w:pPr>
      <w:bookmarkStart w:id="30" w:name="_Toc227926893"/>
      <w:r>
        <w:rPr>
          <w:color w:val="000000"/>
        </w:rPr>
        <w:t>4.3 International and Ethical Considerations</w:t>
      </w:r>
      <w:bookmarkEnd w:id="30"/>
    </w:p>
    <w:p>
      <w:pPr>
        <w:pStyle w:val="3"/>
        <w:rPr>
          <w:color w:val="000000"/>
        </w:rPr>
      </w:pPr>
      <w:bookmarkStart w:id="31" w:name="_Toc227926894"/>
      <w:r>
        <w:rPr>
          <w:color w:val="000000"/>
        </w:rPr>
        <w:t>4.3.1 Currency Risk</w:t>
      </w:r>
      <w:bookmarkEnd w:id="31"/>
      <w:r>
        <w:rPr>
          <w:color w:val="000000"/>
        </w:rPr>
        <w:t xml:space="preserve"> </w:t>
      </w:r>
    </w:p>
    <w:p>
      <w:pPr>
        <w:rPr>
          <w:color w:val="000000"/>
        </w:rPr>
      </w:pPr>
      <w:r>
        <w:rPr>
          <w:color w:val="000000"/>
        </w:rPr>
        <w:t xml:space="preserve">In the case of Tesla, its currency risk is a major concern because of its international business. The revenue generation takes place in various regions, exposing earnings to exchange rate risks. Unstable currencies have the potential of lowering profit margins upon conversion into the US Dollars (Bagsic </w:t>
      </w:r>
      <w:r>
        <w:rPr>
          <w:i/>
          <w:iCs/>
          <w:color w:val="000000"/>
        </w:rPr>
        <w:t>et al.</w:t>
      </w:r>
      <w:r>
        <w:rPr>
          <w:color w:val="000000"/>
        </w:rPr>
        <w:t>, 2025). Short-term exposure can be minimised by forward contracts, a form of hedging, as hedging complicates and increases the financial cost of treasury operations. Purchasing power and demand may also be lowered due to currency devaluation in major markets. Hence, it is necessary to monitor the fluctuations of foreign exchange to maintain stable international money flows and guarantee the security of the financial performance in the long-run for Tesla.</w:t>
      </w:r>
    </w:p>
    <w:p>
      <w:pPr>
        <w:pStyle w:val="3"/>
        <w:rPr>
          <w:color w:val="000000"/>
        </w:rPr>
      </w:pPr>
      <w:bookmarkStart w:id="32" w:name="_Toc227926895"/>
      <w:r>
        <w:rPr>
          <w:color w:val="000000"/>
        </w:rPr>
        <w:t>4.3.2 Inflation Impact</w:t>
      </w:r>
      <w:bookmarkEnd w:id="32"/>
    </w:p>
    <w:p>
      <w:pPr>
        <w:jc w:val="center"/>
        <w:rPr>
          <w:color w:val="000000"/>
        </w:rPr>
      </w:pPr>
      <w:r>
        <w:rPr>
          <w:color w:val="000000"/>
        </w:rPr>
        <w:drawing>
          <wp:inline distT="114300" distB="114300" distL="114300" distR="114300">
            <wp:extent cx="5238749" cy="3571875"/>
            <wp:effectExtent l="0" t="0" r="0" b="0"/>
            <wp:docPr id="10" name="图片 10"/>
            <wp:cNvGraphicFramePr>
              <a:graphicFrameLocks noChangeAspect="0"/>
            </wp:cNvGraphicFramePr>
            <a:graphic>
              <a:graphicData uri="http://schemas.openxmlformats.org/drawingml/2006/picture">
                <pic:pic>
                  <pic:nvPicPr>
                    <pic:cNvPr id="12" name="图片 12"/>
                    <pic:cNvPicPr/>
                  </pic:nvPicPr>
                  <pic:blipFill>
                    <a:blip r:embed="rId8"/>
                    <a:stretch>
                      <a:fillRect/>
                    </a:stretch>
                  </pic:blipFill>
                  <pic:spPr>
                    <a:xfrm rot="0">
                      <a:off x="0" y="0"/>
                      <a:ext cx="5238749" cy="3571875"/>
                    </a:xfrm>
                    <a:prstGeom prst="rect"/>
                    <a:noFill/>
                    <a:ln w="12700" cmpd="sng" cap="flat">
                      <a:solidFill>
                        <a:srgbClr val="000000"/>
                      </a:solidFill>
                      <a:prstDash val="solid"/>
                      <a:round/>
                    </a:ln>
                  </pic:spPr>
                </pic:pic>
              </a:graphicData>
            </a:graphic>
          </wp:inline>
        </w:drawing>
      </w:r>
    </w:p>
    <w:p>
      <w:pPr>
        <w:pStyle w:val="4"/>
        <w:rPr>
          <w:color w:val="000000"/>
        </w:rPr>
      </w:pPr>
      <w:bookmarkStart w:id="33" w:name="_Toc227926917"/>
      <w:r>
        <w:rPr>
          <w:color w:val="000000"/>
        </w:rPr>
        <w:t>Figure 3: Competitive EV markets</w:t>
      </w:r>
      <w:bookmarkEnd w:id="33"/>
      <w:r>
        <w:rPr>
          <w:color w:val="000000"/>
        </w:rPr>
        <w:t xml:space="preserve"> </w:t>
      </w:r>
    </w:p>
    <w:p>
      <w:pPr>
        <w:jc w:val="center"/>
        <w:rPr>
          <w:color w:val="000000"/>
        </w:rPr>
      </w:pPr>
      <w:r>
        <w:rPr>
          <w:color w:val="000000"/>
        </w:rPr>
        <w:t xml:space="preserve">(Source: Jagani, Marsillac and Hong, 2024) </w:t>
      </w:r>
    </w:p>
    <w:p>
      <w:pPr>
        <w:rPr>
          <w:color w:val="000000"/>
        </w:rPr>
      </w:pPr>
      <w:r>
        <w:rPr>
          <w:color w:val="000000"/>
        </w:rPr>
        <w:t xml:space="preserve">Inflation has an impact on the cost structure of Tesla in terms of increased cost of raw materials, labour and logistics. Han et al., (2024) highlights that Gross margins may be lowered by increased input costs which are not completely transferred to consumers. In contrast, Jagani, Marsillac and Hong (2024) states that the competitive EV markets limit pricing flexibility, and inflation-related increases in interest rates increase the cost of financing expansion projects </w:t>
      </w:r>
      <w:r>
        <w:rPr>
          <w:b/>
          <w:bCs/>
          <w:i/>
          <w:iCs/>
          <w:color w:val="000000"/>
        </w:rPr>
        <w:t>(Refer to Figure 3)</w:t>
      </w:r>
      <w:r>
        <w:rPr>
          <w:color w:val="000000"/>
        </w:rPr>
        <w:t xml:space="preserve">. This can slow down the process of investment in new gigafactories and research and development. However, here the size of this company and technological efficiency partially counter the inflationary pressure. However, better supply chain integration has led to better cost control whereas inflation has caused short-term problems that can be addressed with operational efficiency and strategic pricing changes. </w:t>
      </w:r>
    </w:p>
    <w:p>
      <w:pPr>
        <w:pStyle w:val="3"/>
        <w:rPr>
          <w:color w:val="000000"/>
        </w:rPr>
      </w:pPr>
      <w:bookmarkStart w:id="34" w:name="_Toc227926896"/>
      <w:r>
        <w:rPr>
          <w:color w:val="000000"/>
        </w:rPr>
        <w:t>4.3.3 Corporate Social Responsibility (CSR)</w:t>
      </w:r>
      <w:bookmarkEnd w:id="34"/>
    </w:p>
    <w:p>
      <w:pPr>
        <w:jc w:val="center"/>
        <w:rPr>
          <w:color w:val="000000"/>
        </w:rPr>
      </w:pPr>
      <w:r>
        <w:rPr>
          <w:color w:val="000000"/>
        </w:rPr>
        <w:drawing>
          <wp:inline distT="114300" distB="114300" distL="114300" distR="114300">
            <wp:extent cx="3652838" cy="3440462"/>
            <wp:effectExtent l="0" t="0" r="0" b="0"/>
            <wp:docPr id="13" name="图片 13"/>
            <wp:cNvGraphicFramePr>
              <a:graphicFrameLocks noChangeAspect="0"/>
            </wp:cNvGraphicFramePr>
            <a:graphic>
              <a:graphicData uri="http://schemas.openxmlformats.org/drawingml/2006/picture">
                <pic:pic>
                  <pic:nvPicPr>
                    <pic:cNvPr id="15" name="图片 15"/>
                    <pic:cNvPicPr/>
                  </pic:nvPicPr>
                  <pic:blipFill>
                    <a:blip r:embed="rId9"/>
                    <a:stretch>
                      <a:fillRect/>
                    </a:stretch>
                  </pic:blipFill>
                  <pic:spPr>
                    <a:xfrm rot="0">
                      <a:off x="0" y="0"/>
                      <a:ext cx="3652838" cy="3440462"/>
                    </a:xfrm>
                    <a:prstGeom prst="rect"/>
                    <a:noFill/>
                    <a:ln w="12700" cmpd="sng" cap="flat">
                      <a:solidFill>
                        <a:srgbClr val="000000"/>
                      </a:solidFill>
                      <a:prstDash val="solid"/>
                      <a:round/>
                    </a:ln>
                  </pic:spPr>
                </pic:pic>
              </a:graphicData>
            </a:graphic>
          </wp:inline>
        </w:drawing>
      </w:r>
    </w:p>
    <w:p>
      <w:pPr>
        <w:pStyle w:val="4"/>
        <w:rPr>
          <w:color w:val="000000"/>
        </w:rPr>
      </w:pPr>
      <w:bookmarkStart w:id="35" w:name="_Toc227926918"/>
      <w:r>
        <w:rPr>
          <w:color w:val="000000"/>
        </w:rPr>
        <w:t>Figure 4: Principles of CSR</w:t>
      </w:r>
      <w:bookmarkEnd w:id="35"/>
    </w:p>
    <w:p>
      <w:pPr>
        <w:jc w:val="center"/>
        <w:rPr>
          <w:color w:val="000000"/>
        </w:rPr>
      </w:pPr>
      <w:r>
        <w:rPr>
          <w:color w:val="000000"/>
        </w:rPr>
        <w:t xml:space="preserve">(Source: Jermsittiparsert </w:t>
      </w:r>
      <w:r>
        <w:rPr>
          <w:i/>
          <w:iCs/>
          <w:color w:val="000000"/>
        </w:rPr>
        <w:t>et al.</w:t>
      </w:r>
      <w:r>
        <w:rPr>
          <w:color w:val="000000"/>
        </w:rPr>
        <w:t xml:space="preserve">, 2019) </w:t>
      </w:r>
    </w:p>
    <w:p>
      <w:pPr>
        <w:rPr>
          <w:color w:val="000000"/>
        </w:rPr>
      </w:pPr>
      <w:r>
        <w:rPr>
          <w:color w:val="000000"/>
        </w:rPr>
        <w:t xml:space="preserve">Tesla is a sustainable energy company with its better global positioning that revolves around CSR. Ethical issues involve responsible sourcing of lithium and cobalt which are used in manufacturing batteries (Jermsittiparsert </w:t>
      </w:r>
      <w:r>
        <w:rPr>
          <w:i/>
          <w:iCs/>
          <w:color w:val="000000"/>
        </w:rPr>
        <w:t>et al.</w:t>
      </w:r>
      <w:r>
        <w:rPr>
          <w:color w:val="000000"/>
        </w:rPr>
        <w:t xml:space="preserve">, 2019) </w:t>
      </w:r>
      <w:r>
        <w:rPr>
          <w:b/>
          <w:bCs/>
          <w:i/>
          <w:iCs/>
          <w:color w:val="000000"/>
        </w:rPr>
        <w:t>(Refer to Figure 4)</w:t>
      </w:r>
      <w:r>
        <w:rPr>
          <w:color w:val="000000"/>
        </w:rPr>
        <w:t xml:space="preserve">. This company should make sure that the supply chain is transparent to prevent human rights abuses. Sustainability of the environment is also of great importance in manufacturing and energy consumption of Tesla. Hence, this company encourages the use of clean energy in the form of electric cars and solar products. </w:t>
      </w:r>
    </w:p>
    <w:p>
      <w:pPr>
        <w:pStyle w:val="1"/>
        <w:rPr>
          <w:color w:val="000000"/>
        </w:rPr>
      </w:pPr>
      <w:bookmarkStart w:id="36" w:name="_Toc227926897"/>
      <w:r>
        <w:rPr>
          <w:color w:val="000000"/>
        </w:rPr>
        <w:t>5. Investment Appraisal and Capital Budgeting</w:t>
      </w:r>
      <w:bookmarkEnd w:id="36"/>
      <w:r>
        <w:rPr>
          <w:color w:val="000000"/>
        </w:rPr>
        <w:t xml:space="preserve"> </w:t>
      </w:r>
    </w:p>
    <w:p>
      <w:pPr>
        <w:pStyle w:val="2"/>
        <w:rPr>
          <w:color w:val="000000"/>
        </w:rPr>
      </w:pPr>
      <w:bookmarkStart w:id="37" w:name="_Toc227926898"/>
      <w:r>
        <w:rPr>
          <w:color w:val="000000"/>
        </w:rPr>
        <w:t>5.1 Project Recommendation</w:t>
      </w:r>
      <w:bookmarkEnd w:id="37"/>
      <w:r>
        <w:rPr>
          <w:color w:val="000000"/>
        </w:rPr>
        <w:t xml:space="preserve"> </w:t>
      </w:r>
    </w:p>
    <w:p>
      <w:pPr>
        <w:pStyle w:val="3"/>
        <w:rPr>
          <w:color w:val="000000"/>
        </w:rPr>
      </w:pPr>
      <w:bookmarkStart w:id="38" w:name="_Toc227926899"/>
      <w:r>
        <w:rPr>
          <w:color w:val="000000"/>
        </w:rPr>
        <w:t>5.1.1 Justification on financial performance</w:t>
      </w:r>
      <w:bookmarkEnd w:id="38"/>
    </w:p>
    <w:p>
      <w:pPr>
        <w:rPr>
          <w:color w:val="000000"/>
        </w:rPr>
      </w:pPr>
      <w:r>
        <w:rPr>
          <w:color w:val="000000"/>
        </w:rPr>
        <w:t xml:space="preserve">The analysis of the investment proposals has been conducted with the help of key investment appraisal methods. It incorporates Payback Period (PBP), Net Present Value (NPV), Accounting Rate of Return (ARR), Profitability Index (PI), and Internal Rate of Return (IRR). In the words of Khan </w:t>
      </w:r>
      <w:r>
        <w:rPr>
          <w:i/>
          <w:iCs/>
          <w:color w:val="000000"/>
        </w:rPr>
        <w:t>et al.</w:t>
      </w:r>
      <w:r>
        <w:rPr>
          <w:color w:val="000000"/>
        </w:rPr>
        <w:t xml:space="preserve"> (2025), investment decisions benefit organisations in selecting a project that aligns with the financial and strategic goals related to capital. The investment analysis benefits in assessing the ability of the projects to justify the capital and offer returns to businesses, which adds value to the financial and strategic goals. In this regard, the selection of different methods have benefited in evaluating the effectiveness of the project to support Tesla in making efficient capital investment. NPV considers the present values of the future cash flows with the help of a discounting rate, and analyses of the profitability of the project in dollar value (Lin, Dong and Zheng, 2025). A positive NPV-based project is usually recommended for selection compared to a negative NPV-based project, showcasing a better profit generating ability of the former. However, other methods are also crucial for making the final decision as it helps in reducing the risk level, while measuring other prospects. Thus, PBP, ARR, PI and IRR are considered to evaluate the effectiveness of Project A, B and C. </w:t>
      </w:r>
    </w:p>
    <w:p>
      <w:pPr>
        <w:rPr>
          <w:color w:val="000000"/>
        </w:rPr>
      </w:pPr>
      <w:r>
        <w:rPr>
          <w:color w:val="000000"/>
        </w:rPr>
        <w:t xml:space="preserve">Based on the NPV, all the projects generate a negative NPV at the discounting rate of 10%, which indicates that none of the projects align with the cost of capital of Tesla. In comparison, Project C demonstrates a lower negative NPV of (1.98), implying the strength of the project to provide positive return in future </w:t>
      </w:r>
      <w:r>
        <w:rPr>
          <w:b/>
          <w:bCs/>
          <w:i/>
          <w:iCs/>
          <w:color w:val="000000"/>
        </w:rPr>
        <w:t>(Refer to Appendix 8)</w:t>
      </w:r>
      <w:r>
        <w:rPr>
          <w:color w:val="000000"/>
        </w:rPr>
        <w:t xml:space="preserve">. According to Mioduchowska-Jaroszewicz (2023), consolidated financial statements provide reliable information regarding the financial performance of a business, which helps in attracting investors to support the funding for new investment propositions. Following the financial performance of Tesla, it depicts declining profit margins and reduced returns, indicating the need for making investment in profitable projects. In addition, it also reflects that the investment requires additional funding support, which can help in reducing the capital investment burden and benefit Tesla in generating returns. As calculated, Project C reflects a better ARR of 6% compared to 2% of Project B and 1.60% of Project A. Thus, based on NPV and ARR, Project C is considered to be the best for investment purposes of Tesla. </w:t>
      </w:r>
    </w:p>
    <w:p>
      <w:pPr>
        <w:rPr>
          <w:color w:val="000000"/>
        </w:rPr>
      </w:pPr>
      <w:r>
        <w:rPr>
          <w:color w:val="000000"/>
        </w:rPr>
        <w:t xml:space="preserve">In contrast, from the liquidity perspective, Tesla demonstrates a stable liquidity position, depicting the financial effectiveness in managing short-term liabilities. In this context, the cash flows of Project B reflects to be strong compared to Project A and C, however, the PBP is the highest depicting 4.55 </w:t>
      </w:r>
      <w:r>
        <w:rPr>
          <w:b/>
          <w:bCs/>
          <w:i/>
          <w:iCs/>
          <w:color w:val="000000"/>
        </w:rPr>
        <w:t>(Refer to Appendix 8)</w:t>
      </w:r>
      <w:r>
        <w:rPr>
          <w:color w:val="000000"/>
        </w:rPr>
        <w:t xml:space="preserve">. In this respect, concerning the IRR, the return rate of Project C is higher, whereas the return of Project A is the lowest, depicting 0.7%. As stated by Zhang (2022), IRR measures the future rate of return, considering the discounting rate, determining the percentage-driven profitability of investments. In this regard, a lower IRR of Project B depicts the ineffectiveness of the project to support return generation, despite higher cashflows. The PI also depicted that the choice of Project C is more beneficial, showcasing 0.96, compared to 0.83 for Project A and B, respectively. Thus, based on the financial performance and the investment results, Tesla can be suggested to invest in Project C. </w:t>
      </w:r>
    </w:p>
    <w:p>
      <w:pPr>
        <w:pStyle w:val="3"/>
        <w:rPr>
          <w:color w:val="000000"/>
        </w:rPr>
      </w:pPr>
      <w:bookmarkStart w:id="39" w:name="_Toc227926900"/>
      <w:r>
        <w:rPr>
          <w:color w:val="000000"/>
        </w:rPr>
        <w:t>5.1.2 Justification based on non-financial risks</w:t>
      </w:r>
      <w:bookmarkEnd w:id="39"/>
      <w:r>
        <w:rPr>
          <w:color w:val="000000"/>
        </w:rPr>
        <w:t xml:space="preserve"> </w:t>
      </w:r>
    </w:p>
    <w:p>
      <w:pPr>
        <w:jc w:val="center"/>
        <w:rPr>
          <w:color w:val="000000"/>
        </w:rPr>
      </w:pPr>
      <w:r>
        <w:rPr>
          <w:color w:val="000000"/>
        </w:rPr>
        <w:drawing>
          <wp:inline distT="114300" distB="114300" distL="114300" distR="114300">
            <wp:extent cx="4257675" cy="4352925"/>
            <wp:effectExtent l="0" t="0" r="0" b="0"/>
            <wp:docPr id="16" name="图片 16"/>
            <wp:cNvGraphicFramePr>
              <a:graphicFrameLocks noChangeAspect="0"/>
            </wp:cNvGraphicFramePr>
            <a:graphic>
              <a:graphicData uri="http://schemas.openxmlformats.org/drawingml/2006/picture">
                <pic:pic>
                  <pic:nvPicPr>
                    <pic:cNvPr id="18" name="图片 18"/>
                    <pic:cNvPicPr/>
                  </pic:nvPicPr>
                  <pic:blipFill>
                    <a:blip r:embed="rId10"/>
                    <a:stretch>
                      <a:fillRect/>
                    </a:stretch>
                  </pic:blipFill>
                  <pic:spPr>
                    <a:xfrm rot="0">
                      <a:off x="0" y="0"/>
                      <a:ext cx="4257675" cy="4352925"/>
                    </a:xfrm>
                    <a:prstGeom prst="rect"/>
                    <a:noFill/>
                    <a:ln w="12700" cmpd="sng" cap="flat">
                      <a:solidFill>
                        <a:srgbClr val="000000"/>
                      </a:solidFill>
                      <a:prstDash val="solid"/>
                      <a:round/>
                    </a:ln>
                  </pic:spPr>
                </pic:pic>
              </a:graphicData>
            </a:graphic>
          </wp:inline>
        </w:drawing>
      </w:r>
    </w:p>
    <w:p>
      <w:pPr>
        <w:pStyle w:val="4"/>
        <w:rPr>
          <w:color w:val="000000"/>
        </w:rPr>
      </w:pPr>
      <w:bookmarkStart w:id="40" w:name="_Toc227926919"/>
      <w:r>
        <w:rPr>
          <w:color w:val="000000"/>
        </w:rPr>
        <w:t>Figure 5: Real Options Theory</w:t>
      </w:r>
      <w:bookmarkEnd w:id="40"/>
    </w:p>
    <w:p>
      <w:pPr>
        <w:jc w:val="center"/>
        <w:rPr>
          <w:color w:val="000000"/>
        </w:rPr>
      </w:pPr>
      <w:r>
        <w:rPr>
          <w:color w:val="000000"/>
        </w:rPr>
        <w:t>(Source: Self-Developed)</w:t>
      </w:r>
    </w:p>
    <w:p>
      <w:pPr>
        <w:rPr>
          <w:color w:val="000000"/>
        </w:rPr>
      </w:pPr>
      <w:r>
        <w:rPr>
          <w:color w:val="000000"/>
        </w:rPr>
        <w:t xml:space="preserve">Investment techniques strongly guide businesses in making the effective investment decisions, however, it fails to consider the non-financial risks, which reduces the ability of firms to align with strategic goals. As per Alshehadeh, Nahleh and AlZyoud (2025) , investment decisions relying on financial information often fail to provide appropriate decisions due to the non consideration of management items </w:t>
      </w:r>
      <w:r>
        <w:rPr>
          <w:b/>
          <w:bCs/>
          <w:i/>
          <w:iCs/>
          <w:color w:val="000000"/>
        </w:rPr>
        <w:t>(Refer to Figure 5)</w:t>
      </w:r>
      <w:r>
        <w:rPr>
          <w:color w:val="000000"/>
        </w:rPr>
        <w:t xml:space="preserve">. It fails to focus on the strategic information, reducing the accuracy of the investment decision in assisting businesses to achieve organisational goals. The selection of an investment project based on non-financial risks improves acceptance, especially in technology-driven industries like the EVs. In the case of Tesla, one of the major risks that the firm faces is the technological risk, depicting the reliance on battery-driven innovative cars. </w:t>
      </w:r>
      <w:r>
        <w:rPr>
          <w:b/>
          <w:bCs/>
          <w:i/>
          <w:iCs/>
          <w:color w:val="000000"/>
        </w:rPr>
        <w:t>Real Options Theory</w:t>
      </w:r>
      <w:r>
        <w:rPr>
          <w:color w:val="000000"/>
        </w:rPr>
        <w:t xml:space="preserve"> explains that choices of investment projects need to be done by assessing the managerial flexibility, reflecting the management of uncertain risks (Carozzani and D’Alpaos, 2025). In the case of Tesla, the company needs to consider the technological risks for assessing the investment projects and select one, evaluating the managerial efficiency to control such risks. Project C generates a strong cashflow, which is likely to benefit Tesla in generating better returns, which can help in improving the technological infrastructure. </w:t>
      </w:r>
    </w:p>
    <w:p>
      <w:pPr>
        <w:rPr>
          <w:color w:val="000000"/>
        </w:rPr>
      </w:pPr>
      <w:r>
        <w:rPr>
          <w:color w:val="000000"/>
        </w:rPr>
        <w:t xml:space="preserve">The consideration of regulatory risks are also crucial while making final investment decisions. As found, the new tax rules related to the EVs reduced the demand in the UK market, thereby negatively hitting the battery car sales (Jolly, 2025a). This has also impacted Tesla as companies are forced to sell EVs at a lower profit, which increases financial stress. Project C depicts a better return and profitability, which is likely to enable Tesla in addressing the regulatory challenges, enabling it to overcome the reduced profit challenges. In addition to this, the environmental risks also impact the selection of investment projects, based on their ability to provide sustainable returns to address the risks. For instance, in the UK, the Zero-emission Vehicle (ZEV) mandate compelled the organisations to sell EVs more, however, this mandate was found to be unsustainable (Partridge, 2025). The selection of Project C can enable Tesla in addressing this mandate by investing more in the production of EVs, thereby increasing economic sustainability. Moreover, with a lower payback time, Tesla can benefit from reduced cost pressure, which can further help in accelerating innovative operations for developing EVs. Therefore, based on the non-financial risks, Tesla can be advised to invest in Project C, as it has the ability to support long-term strategic growth, maintaining sustainability. </w:t>
      </w:r>
    </w:p>
    <w:p>
      <w:pPr>
        <w:pStyle w:val="2"/>
        <w:rPr>
          <w:color w:val="000000"/>
        </w:rPr>
      </w:pPr>
      <w:bookmarkStart w:id="41" w:name="_Toc227926901"/>
      <w:r>
        <w:rPr>
          <w:color w:val="000000"/>
        </w:rPr>
        <w:t>5.2 Suggestion based on capital rationing</w:t>
      </w:r>
      <w:bookmarkEnd w:id="41"/>
    </w:p>
    <w:p>
      <w:pPr>
        <w:rPr>
          <w:color w:val="000000"/>
        </w:rPr>
      </w:pPr>
      <w:r>
        <w:rPr>
          <w:color w:val="000000"/>
        </w:rPr>
        <w:t xml:space="preserve">The investment choice is to be made assuming that Tesla has £100 million only, reflecting a limited funding option. As viewed by Darmansyah, Ali and Parveen (2025), capital rationing helps in avoiding risks while making capital budgeting decisions, influencing selection of projects that provide best returns based on limited budgets. Aligned with the given scenario, the best combination choice concerning the investment projects is to be made that offers better return to Tesla with an investment of £100 million. In this case, considering the NPV, Project A demonstrated an NPV of (8.68), whereas Project B depicted (8.30), and Project C showcased (1.98) </w:t>
      </w:r>
      <w:r>
        <w:rPr>
          <w:b/>
          <w:bCs/>
          <w:i/>
          <w:iCs/>
          <w:color w:val="000000"/>
        </w:rPr>
        <w:t>(Refer to Appendix 9)</w:t>
      </w:r>
      <w:r>
        <w:rPr>
          <w:color w:val="000000"/>
        </w:rPr>
        <w:t xml:space="preserve">. This apparently implies that Project C is the best choice, followed by Project B, reflecting an investment of £50 million each. However, to make the final decision, the combined profitability assessment is crucial, reflecting the usefulness of capital rationing. </w:t>
      </w:r>
    </w:p>
    <w:p>
      <w:pPr>
        <w:jc w:val="center"/>
        <w:rPr>
          <w:color w:val="000000"/>
        </w:rPr>
      </w:pPr>
      <w:r>
        <w:rPr>
          <w:color w:val="000000"/>
        </w:rPr>
        <w:drawing>
          <wp:inline distT="114300" distB="114300" distL="114300" distR="114300">
            <wp:extent cx="5314949" cy="1905000"/>
            <wp:effectExtent l="0" t="0" r="0" b="0"/>
            <wp:docPr id="19" name="图片 19"/>
            <wp:cNvGraphicFramePr>
              <a:graphicFrameLocks noChangeAspect="0"/>
            </wp:cNvGraphicFramePr>
            <a:graphic>
              <a:graphicData uri="http://schemas.openxmlformats.org/drawingml/2006/picture">
                <pic:pic>
                  <pic:nvPicPr>
                    <pic:cNvPr id="21" name="图片 21"/>
                    <pic:cNvPicPr/>
                  </pic:nvPicPr>
                  <pic:blipFill>
                    <a:blip r:embed="rId11"/>
                    <a:stretch>
                      <a:fillRect/>
                    </a:stretch>
                  </pic:blipFill>
                  <pic:spPr>
                    <a:xfrm rot="0">
                      <a:off x="0" y="0"/>
                      <a:ext cx="5314949" cy="1905000"/>
                    </a:xfrm>
                    <a:prstGeom prst="rect"/>
                    <a:noFill/>
                    <a:ln w="12700" cmpd="sng" cap="flat">
                      <a:solidFill>
                        <a:srgbClr val="000000"/>
                      </a:solidFill>
                      <a:prstDash val="solid"/>
                      <a:round/>
                    </a:ln>
                  </pic:spPr>
                </pic:pic>
              </a:graphicData>
            </a:graphic>
          </wp:inline>
        </w:drawing>
      </w:r>
    </w:p>
    <w:p>
      <w:pPr>
        <w:pStyle w:val="4"/>
        <w:rPr>
          <w:color w:val="000000"/>
        </w:rPr>
      </w:pPr>
      <w:bookmarkStart w:id="42" w:name="_Toc227926920"/>
      <w:r>
        <w:rPr>
          <w:color w:val="000000"/>
        </w:rPr>
        <w:t>Figure 6: Shareholder Theory</w:t>
      </w:r>
      <w:bookmarkEnd w:id="42"/>
    </w:p>
    <w:p>
      <w:pPr>
        <w:jc w:val="center"/>
        <w:rPr>
          <w:color w:val="000000"/>
        </w:rPr>
      </w:pPr>
      <w:r>
        <w:rPr>
          <w:color w:val="000000"/>
        </w:rPr>
        <w:t xml:space="preserve">(Source: Narbel and Muff, 2017) </w:t>
      </w:r>
    </w:p>
    <w:p>
      <w:pPr>
        <w:rPr>
          <w:color w:val="000000"/>
        </w:rPr>
      </w:pPr>
      <w:r>
        <w:rPr>
          <w:color w:val="000000"/>
        </w:rPr>
        <w:t xml:space="preserve">The three projects have been combined to analyse the maximum profitability of the combinations, which can help Tesla make an informed decision. As found, the combined profitability of Project A and B is (16.98), Project B and C is (10.29), and (A+C) is (10.66) </w:t>
      </w:r>
      <w:r>
        <w:rPr>
          <w:b/>
          <w:bCs/>
          <w:i/>
          <w:iCs/>
          <w:color w:val="000000"/>
        </w:rPr>
        <w:t>(Refer to Appendix 9).</w:t>
      </w:r>
      <w:r>
        <w:rPr>
          <w:color w:val="000000"/>
        </w:rPr>
        <w:t xml:space="preserve"> This indicates that Project A+C, and B+C are comparatively better than Project A+C, as it showcases a higher negative profitability </w:t>
      </w:r>
      <w:r>
        <w:rPr>
          <w:b/>
          <w:bCs/>
          <w:i/>
          <w:iCs/>
          <w:color w:val="000000"/>
        </w:rPr>
        <w:t>(Refer to Figure 6)</w:t>
      </w:r>
      <w:r>
        <w:rPr>
          <w:color w:val="000000"/>
        </w:rPr>
        <w:t xml:space="preserve">. The analysis of investment profitability based on NPV allows organisations to assess the economic efficiency of the project to generate returns, and benefit organisations with better profitability (Dobrowolski and Drozdowski, 2022). Concerning the alternatives, the combination of Project B and C is found to be the best, as it depicts a lower negative NPV compared to the other combination of projects. The </w:t>
      </w:r>
      <w:r>
        <w:rPr>
          <w:b/>
          <w:bCs/>
          <w:i/>
          <w:iCs/>
          <w:color w:val="000000"/>
        </w:rPr>
        <w:t>Shareholder Theory</w:t>
      </w:r>
      <w:r>
        <w:rPr>
          <w:color w:val="000000"/>
        </w:rPr>
        <w:t xml:space="preserve"> demonstrates that investment decisions are the commitment that businesses make aiming to generate more profits to offer better returns to shareholders (Narbel and Muff, 2017). In this regard, Tesla needs to consider Projects that generate least negative NPV, showcasing a better potential to generate better profits compared to other projects. </w:t>
      </w:r>
    </w:p>
    <w:p>
      <w:pPr>
        <w:rPr>
          <w:color w:val="000000"/>
        </w:rPr>
      </w:pPr>
      <w:r>
        <w:rPr>
          <w:color w:val="000000"/>
        </w:rPr>
        <w:t xml:space="preserve">The combination of Project B and C can be beneficial for Tesla as Project B has a better cash flow, which can help in maintaining the liquidity position, thereby reducing the challenges of insolvency. In addition, with better PBP and PI, Project C can help Tesla overcome the challenges of rising costs, thereby recovering the initial project cost within 3.6 years. On the other hand, the IRR of 8.39% depicts that the project is able to generate more returns, depicting a better financial flexibility. Concerning the capital rationing concept, the allocation of £100 million in this combination of projects can benefit the company in improving the operational efficiency. It can positively impact production, and technological developments, enabling Tesla to address the strategic goals of innovation and sustainability. However, it can further help in the long-term financial growth and success, thereby increasing competitiveness of the firm. Therefore, Tesla can be recommended to invest in Project B and C combinedly to achieve better financial stability through higher returns. </w:t>
      </w:r>
    </w:p>
    <w:p>
      <w:pPr>
        <w:pStyle w:val="1"/>
        <w:rPr>
          <w:color w:val="000000"/>
        </w:rPr>
      </w:pPr>
      <w:bookmarkStart w:id="43" w:name="_Toc227926902"/>
      <w:r>
        <w:rPr>
          <w:color w:val="000000"/>
        </w:rPr>
        <w:t>6. Conclusion</w:t>
      </w:r>
      <w:bookmarkEnd w:id="43"/>
    </w:p>
    <w:p>
      <w:pPr>
        <w:rPr>
          <w:color w:val="000000"/>
        </w:rPr>
      </w:pPr>
      <w:r>
        <w:rPr>
          <w:color w:val="000000"/>
        </w:rPr>
        <w:t xml:space="preserve">The study has assessed the financial performance and strategic direction of Tesla relying on ratio analysis, cash flow analysis, working capital analysis and investment appraisal methodologies. The analysis demonstrated that Tesla has continued to generate strong revenue and cash flows but that its profitability and efficiency ratios have suffered due to increases in cost, capital outlay and competition. Cash holdings are high with adequate liquidity but working capital pressures and an increase in the cash operating cycle suggesting short-term cash efficiency issues. Hence, Leverage ratio is low which decreases risk but also tax savings, while ROE, ROA and ROIC have fallen, suggesting diminished capital efficiency and shareholders value. However, strong operating cash flows continue to ensure short-term financial stability and operational resilience of Tesla. Additionally, the financial position of Tesla can be viewed as a transitional period in which the company is undertaking high-risk investments in expansion and innovation that is impacting its short-term profitability. Hence, the efficiency in future is likely to be increased through strategic restructuring and better working capital management. Sustainable technologies and internal market penetration keep the company in a good position of long-term expansion. Thus, ongoing emphasis on cost control and asset utilisation is very necessary in the future. </w:t>
      </w:r>
    </w:p>
    <w:p>
      <w:pPr>
        <w:pStyle w:val="1"/>
      </w:pPr>
      <w:bookmarkStart w:id="44" w:name="_smkrx7wema13"/>
      <w:bookmarkEnd w:id="44"/>
      <w:r>
        <w:br w:type="page"/>
      </w:r>
    </w:p>
    <w:p>
      <w:pPr>
        <w:pStyle w:val="1"/>
        <w:rPr>
          <w:sz w:val="36"/>
          <w:szCs w:val="36"/>
        </w:rPr>
      </w:pPr>
      <w:bookmarkStart w:id="45" w:name="_Toc227926903"/>
      <w:r>
        <w:t>References</w:t>
      </w:r>
      <w:bookmarkEnd w:id="45"/>
    </w:p>
    <w:p>
      <w:pPr>
        <w:spacing w:after="240"/>
      </w:pPr>
      <w:r>
        <w:t xml:space="preserve">Abdulai, M. G., Dary, S. K. and Domanban, P. B. (2024) ‘Adoption of digital payment platforms and trade credit activities among informal firms in Ghana’, </w:t>
      </w:r>
      <w:r>
        <w:rPr>
          <w:i/>
          <w:iCs/>
        </w:rPr>
        <w:t>Heliyon</w:t>
      </w:r>
      <w:r>
        <w:t xml:space="preserve">, 10(11), pp. e32302–e32302. doi: </w:t>
      </w:r>
      <w:r>
        <w:rPr>
          <w:color w:val="1155CC"/>
          <w:u w:val="single"/>
        </w:rPr>
        <w:fldChar w:fldCharType="begin"/>
      </w:r>
      <w:r>
        <w:instrText>HYPERLINK "https://doi.org/10.1016/j.heliyon.2024.e32302"</w:instrText>
      </w:r>
      <w:r>
        <w:rPr>
          <w:color w:val="1155CC"/>
          <w:u w:val="single"/>
        </w:rPr>
        <w:fldChar w:fldCharType="separate"/>
      </w:r>
      <w:r>
        <w:rPr>
          <w:color w:val="1155CC"/>
          <w:u w:val="single"/>
        </w:rPr>
        <w:t>https://doi.org/10.1016/j.heliyon.2024.e32302</w:t>
      </w:r>
      <w:r>
        <w:rPr>
          <w:color w:val="1155CC"/>
          <w:u w:val="single"/>
        </w:rPr>
        <w:fldChar w:fldCharType="end"/>
      </w:r>
      <w:r>
        <w:t xml:space="preserve"> (Accessed: 03 April 2026).</w:t>
      </w:r>
    </w:p>
    <w:p>
      <w:pPr>
        <w:spacing w:after="240"/>
      </w:pPr>
      <w:r>
        <w:t xml:space="preserve">Alshehadeh, A. R., Nahleh, I. T. A. and AlZyoud, I. A. (2025) ‘The Impact of Financial and Non-Financial Information on Investment Decision-Making in the Jordanian Business Environment’, </w:t>
      </w:r>
      <w:r>
        <w:rPr>
          <w:i/>
          <w:iCs/>
        </w:rPr>
        <w:t>Al-Zaytoonah Journal of Business</w:t>
      </w:r>
      <w:r>
        <w:t xml:space="preserve">, 1(1), pp. 1–8. Available at: </w:t>
      </w:r>
      <w:r>
        <w:rPr>
          <w:color w:val="1155CC"/>
          <w:u w:val="single"/>
        </w:rPr>
        <w:fldChar w:fldCharType="begin"/>
      </w:r>
      <w:r>
        <w:instrText>HYPERLINK "https://www.researchgate.net/publication/390668678_The_Impact_of_Financial_and_Non-Financial_Information_on_Investment_Decision-Making_in_the_Jordanian_Business_Environment"</w:instrText>
      </w:r>
      <w:r>
        <w:rPr>
          <w:color w:val="1155CC"/>
          <w:u w:val="single"/>
        </w:rPr>
        <w:fldChar w:fldCharType="separate"/>
      </w:r>
      <w:r>
        <w:rPr>
          <w:color w:val="1155CC"/>
          <w:u w:val="single"/>
        </w:rPr>
        <w:t>https://www.researchgate.net/publication/390668678_The_Impact_of_Financial_and_Non-Financial_Information_on_Investment_Decision-Making_in_the_Jordanian_Business_Environment</w:t>
      </w:r>
      <w:r>
        <w:rPr>
          <w:color w:val="1155CC"/>
          <w:u w:val="single"/>
        </w:rPr>
        <w:fldChar w:fldCharType="end"/>
      </w:r>
      <w:r>
        <w:t xml:space="preserve"> (Accessed: 17 April 2026).</w:t>
      </w:r>
    </w:p>
    <w:p>
      <w:pPr>
        <w:spacing w:after="240"/>
      </w:pPr>
      <w:r>
        <w:t xml:space="preserve">Arwani, A., Masrur, M. and Muhammad, R. (2024) ‘Profit Growth: Redefining Success with an Advanced ROA Model’, </w:t>
      </w:r>
      <w:r>
        <w:rPr>
          <w:i/>
          <w:iCs/>
        </w:rPr>
        <w:t>Owner</w:t>
      </w:r>
      <w:r>
        <w:t xml:space="preserve">, 8(4), pp. 4507–4523. doi: </w:t>
      </w:r>
      <w:r>
        <w:rPr>
          <w:color w:val="1155CC"/>
          <w:u w:val="single"/>
        </w:rPr>
        <w:fldChar w:fldCharType="begin"/>
      </w:r>
      <w:r>
        <w:instrText>HYPERLINK "https://doi.org/10.33395/owner.v8i4.2489"</w:instrText>
      </w:r>
      <w:r>
        <w:rPr>
          <w:color w:val="1155CC"/>
          <w:u w:val="single"/>
        </w:rPr>
        <w:fldChar w:fldCharType="separate"/>
      </w:r>
      <w:r>
        <w:rPr>
          <w:color w:val="1155CC"/>
          <w:u w:val="single"/>
        </w:rPr>
        <w:t>https://doi.org/10.33395/owner.v8i4.2489</w:t>
      </w:r>
      <w:r>
        <w:rPr>
          <w:color w:val="1155CC"/>
          <w:u w:val="single"/>
        </w:rPr>
        <w:fldChar w:fldCharType="end"/>
      </w:r>
      <w:r>
        <w:t xml:space="preserve"> (Accessed: 07 April 2026).</w:t>
      </w:r>
    </w:p>
    <w:p>
      <w:pPr>
        <w:spacing w:after="240"/>
      </w:pPr>
      <w:r>
        <w:t xml:space="preserve">Bagsic, C. </w:t>
      </w:r>
      <w:r>
        <w:rPr>
          <w:i/>
          <w:iCs/>
        </w:rPr>
        <w:t>et al.</w:t>
      </w:r>
      <w:r>
        <w:t xml:space="preserve"> (2025) ‘The impact of currency depreciation and foreign exchange positions on bank lending: Evidence from an emerging market’, </w:t>
      </w:r>
      <w:r>
        <w:rPr>
          <w:i/>
          <w:iCs/>
        </w:rPr>
        <w:t>Emerging Markets Review</w:t>
      </w:r>
      <w:r>
        <w:t xml:space="preserve">, 66, p. 101279. doi: </w:t>
      </w:r>
      <w:r>
        <w:rPr>
          <w:color w:val="1155CC"/>
          <w:u w:val="single"/>
        </w:rPr>
        <w:fldChar w:fldCharType="begin"/>
      </w:r>
      <w:r>
        <w:instrText>HYPERLINK "https://doi.org/10.1016/j.ememar.2025.101279"</w:instrText>
      </w:r>
      <w:r>
        <w:rPr>
          <w:color w:val="1155CC"/>
          <w:u w:val="single"/>
        </w:rPr>
        <w:fldChar w:fldCharType="separate"/>
      </w:r>
      <w:r>
        <w:rPr>
          <w:color w:val="1155CC"/>
          <w:u w:val="single"/>
        </w:rPr>
        <w:t>https://doi.org/10.1016/j.ememar.2025.101279</w:t>
      </w:r>
      <w:r>
        <w:rPr>
          <w:color w:val="1155CC"/>
          <w:u w:val="single"/>
        </w:rPr>
        <w:fldChar w:fldCharType="end"/>
      </w:r>
      <w:r>
        <w:t xml:space="preserve"> (Accessed: 07 April 2026).</w:t>
      </w:r>
    </w:p>
    <w:p>
      <w:pPr>
        <w:spacing w:after="240"/>
      </w:pPr>
      <w:r>
        <w:t xml:space="preserve">Barbosa, A., Anderson, F. and Simões, P. (2024) ‘Governance and Efficiency in Brazilian Water Utilities: An Analysis Based on Revenue Collection Efficiency’, </w:t>
      </w:r>
      <w:r>
        <w:rPr>
          <w:i/>
          <w:iCs/>
        </w:rPr>
        <w:t>Water</w:t>
      </w:r>
      <w:r>
        <w:t xml:space="preserve">, 16(17), pp. 2483–2483. doi: </w:t>
      </w:r>
      <w:r>
        <w:rPr>
          <w:color w:val="1155CC"/>
          <w:u w:val="single"/>
        </w:rPr>
        <w:fldChar w:fldCharType="begin"/>
      </w:r>
      <w:r>
        <w:instrText>HYPERLINK "https://doi.org/10.3390/w16172483"</w:instrText>
      </w:r>
      <w:r>
        <w:rPr>
          <w:color w:val="1155CC"/>
          <w:u w:val="single"/>
        </w:rPr>
        <w:fldChar w:fldCharType="separate"/>
      </w:r>
      <w:r>
        <w:rPr>
          <w:color w:val="1155CC"/>
          <w:u w:val="single"/>
        </w:rPr>
        <w:t>https://doi.org/10.3390/w16172483</w:t>
      </w:r>
      <w:r>
        <w:rPr>
          <w:color w:val="1155CC"/>
          <w:u w:val="single"/>
        </w:rPr>
        <w:fldChar w:fldCharType="end"/>
      </w:r>
      <w:r>
        <w:t xml:space="preserve"> (Accessed: 05 April 2026).</w:t>
      </w:r>
    </w:p>
    <w:p>
      <w:pPr>
        <w:spacing w:after="240"/>
      </w:pPr>
      <w:r>
        <w:t xml:space="preserve">Carey, N. and Roy, A. (2025) ‘Focus: Tesla struggles to course correct from sales skid’, </w:t>
      </w:r>
      <w:r>
        <w:rPr>
          <w:i/>
          <w:iCs/>
        </w:rPr>
        <w:t>Reuters</w:t>
      </w:r>
      <w:r>
        <w:t xml:space="preserve">, January. Available at: </w:t>
      </w:r>
      <w:r>
        <w:rPr>
          <w:color w:val="1155CC"/>
          <w:u w:val="single"/>
        </w:rPr>
        <w:fldChar w:fldCharType="begin"/>
      </w:r>
      <w:r>
        <w:instrText>HYPERLINK "https://www.reuters.com/business/autos-transportation/tesla-struggles-course-correct-sales-skid-2025-11-26/"</w:instrText>
      </w:r>
      <w:r>
        <w:rPr>
          <w:color w:val="1155CC"/>
          <w:u w:val="single"/>
        </w:rPr>
        <w:fldChar w:fldCharType="separate"/>
      </w:r>
      <w:r>
        <w:rPr>
          <w:color w:val="1155CC"/>
          <w:u w:val="single"/>
        </w:rPr>
        <w:t>https://www.reuters.com/business/autos-transportation/tesla-struggles-course-correct-sales-skid-2025-11-26/</w:t>
      </w:r>
      <w:r>
        <w:rPr>
          <w:color w:val="1155CC"/>
          <w:u w:val="single"/>
        </w:rPr>
        <w:fldChar w:fldCharType="end"/>
      </w:r>
      <w:r>
        <w:t xml:space="preserve"> (Accessed: 20 April 2026).</w:t>
      </w:r>
    </w:p>
    <w:p>
      <w:pPr>
        <w:spacing w:after="240"/>
      </w:pPr>
      <w:r>
        <w:t xml:space="preserve">Carozzani, A. and D’Alpaos, C. (2025) ‘The Real Option Approach to Investment Decisions in Hybrid Renewable Energy Systems: A Systematic Literature Review’, </w:t>
      </w:r>
      <w:r>
        <w:rPr>
          <w:i/>
          <w:iCs/>
        </w:rPr>
        <w:t>Energies</w:t>
      </w:r>
      <w:r>
        <w:t xml:space="preserve">, 18(20), pp. 1–35. doi: </w:t>
      </w:r>
      <w:r>
        <w:rPr>
          <w:color w:val="1155CC"/>
          <w:u w:val="single"/>
        </w:rPr>
        <w:fldChar w:fldCharType="begin"/>
      </w:r>
      <w:r>
        <w:instrText>HYPERLINK "https://doi.org/10.3390/en18205535"</w:instrText>
      </w:r>
      <w:r>
        <w:rPr>
          <w:color w:val="1155CC"/>
          <w:u w:val="single"/>
        </w:rPr>
        <w:fldChar w:fldCharType="separate"/>
      </w:r>
      <w:r>
        <w:rPr>
          <w:color w:val="1155CC"/>
          <w:u w:val="single"/>
        </w:rPr>
        <w:t>https://doi.org/10.3390/en18205535</w:t>
      </w:r>
      <w:r>
        <w:rPr>
          <w:color w:val="1155CC"/>
          <w:u w:val="single"/>
        </w:rPr>
        <w:fldChar w:fldCharType="end"/>
      </w:r>
      <w:r>
        <w:t xml:space="preserve"> (Accessed: 08 April 2026).</w:t>
      </w:r>
    </w:p>
    <w:p>
      <w:pPr>
        <w:spacing w:after="240"/>
      </w:pPr>
      <w:r>
        <w:t xml:space="preserve">Choi, T. Y. </w:t>
      </w:r>
      <w:r>
        <w:rPr>
          <w:i/>
          <w:iCs/>
        </w:rPr>
        <w:t>et al.</w:t>
      </w:r>
      <w:r>
        <w:t xml:space="preserve"> (2023) ‘The supply chain financing ecosystem: Early responses during the COVID-19 crisis’, </w:t>
      </w:r>
      <w:r>
        <w:rPr>
          <w:i/>
          <w:iCs/>
        </w:rPr>
        <w:t>Journal of Purchasing and Supply Management</w:t>
      </w:r>
      <w:r>
        <w:t xml:space="preserve">, 29(4), p. 100836. doi: </w:t>
      </w:r>
      <w:r>
        <w:rPr>
          <w:color w:val="1155CC"/>
          <w:u w:val="single"/>
        </w:rPr>
        <w:fldChar w:fldCharType="begin"/>
      </w:r>
      <w:r>
        <w:instrText>HYPERLINK "https://doi.org/10.1016/j.pursup.2023.100836"</w:instrText>
      </w:r>
      <w:r>
        <w:rPr>
          <w:color w:val="1155CC"/>
          <w:u w:val="single"/>
        </w:rPr>
        <w:fldChar w:fldCharType="separate"/>
      </w:r>
      <w:r>
        <w:rPr>
          <w:color w:val="1155CC"/>
          <w:u w:val="single"/>
        </w:rPr>
        <w:t>https://doi.org/10.1016/j.pursup.2023.100836</w:t>
      </w:r>
      <w:r>
        <w:rPr>
          <w:color w:val="1155CC"/>
          <w:u w:val="single"/>
        </w:rPr>
        <w:fldChar w:fldCharType="end"/>
      </w:r>
      <w:r>
        <w:t xml:space="preserve"> (Accessed: 03 April 2026).</w:t>
      </w:r>
    </w:p>
    <w:p>
      <w:pPr>
        <w:spacing w:after="240"/>
      </w:pPr>
      <w:r>
        <w:t xml:space="preserve">Darmansyah, A., Ali, Q. and Parveen, S. (2025) ‘Sophisticated Capital Budgeting Decisions for Financial Performance and Risk Management—A Tale of Two Business Entities’, </w:t>
      </w:r>
      <w:r>
        <w:rPr>
          <w:i/>
          <w:iCs/>
        </w:rPr>
        <w:t>Journal of Risk and Financial Management</w:t>
      </w:r>
      <w:r>
        <w:t xml:space="preserve">, 18(6), pp. 1–22. doi: </w:t>
      </w:r>
      <w:r>
        <w:rPr>
          <w:color w:val="1155CC"/>
          <w:u w:val="single"/>
        </w:rPr>
        <w:fldChar w:fldCharType="begin"/>
      </w:r>
      <w:r>
        <w:instrText>HYPERLINK "https://doi.org/10.3390/jrfm18060297"</w:instrText>
      </w:r>
      <w:r>
        <w:rPr>
          <w:color w:val="1155CC"/>
          <w:u w:val="single"/>
        </w:rPr>
        <w:fldChar w:fldCharType="separate"/>
      </w:r>
      <w:r>
        <w:rPr>
          <w:color w:val="1155CC"/>
          <w:u w:val="single"/>
        </w:rPr>
        <w:t>https://doi.org/10.3390/jrfm18060297</w:t>
      </w:r>
      <w:r>
        <w:rPr>
          <w:color w:val="1155CC"/>
          <w:u w:val="single"/>
        </w:rPr>
        <w:fldChar w:fldCharType="end"/>
      </w:r>
      <w:r>
        <w:t xml:space="preserve"> (Accessed: 08 April 2026).</w:t>
      </w:r>
    </w:p>
    <w:p>
      <w:pPr>
        <w:spacing w:after="240"/>
      </w:pPr>
      <w:r>
        <w:t xml:space="preserve">Dobrowolski, Z. and Drozdowski, G. (2022) ‘Does the Net Present Value as a Financial Metric Fit Investment in Green Energy Security?’, </w:t>
      </w:r>
      <w:r>
        <w:rPr>
          <w:i/>
          <w:iCs/>
        </w:rPr>
        <w:t>Energies</w:t>
      </w:r>
      <w:r>
        <w:t xml:space="preserve">, 15(1), pp. 1–16. doi: </w:t>
      </w:r>
      <w:r>
        <w:rPr>
          <w:color w:val="1155CC"/>
          <w:u w:val="single"/>
        </w:rPr>
        <w:fldChar w:fldCharType="begin"/>
      </w:r>
      <w:r>
        <w:instrText>HYPERLINK "https://doi.org/10.3390/en15010353"</w:instrText>
      </w:r>
      <w:r>
        <w:rPr>
          <w:color w:val="1155CC"/>
          <w:u w:val="single"/>
        </w:rPr>
        <w:fldChar w:fldCharType="separate"/>
      </w:r>
      <w:r>
        <w:rPr>
          <w:color w:val="1155CC"/>
          <w:u w:val="single"/>
        </w:rPr>
        <w:t>https://doi.org/10.3390/en15010353</w:t>
      </w:r>
      <w:r>
        <w:rPr>
          <w:color w:val="1155CC"/>
          <w:u w:val="single"/>
        </w:rPr>
        <w:fldChar w:fldCharType="end"/>
      </w:r>
      <w:r>
        <w:t xml:space="preserve"> (Accessed: 10 April 2026).</w:t>
      </w:r>
    </w:p>
    <w:p>
      <w:pPr>
        <w:spacing w:after="240"/>
      </w:pPr>
      <w:r>
        <w:t xml:space="preserve">Fang, J. (2022) </w:t>
      </w:r>
      <w:r>
        <w:rPr>
          <w:i/>
          <w:iCs/>
        </w:rPr>
        <w:t>An Overall Financial Analysis of Tesla</w:t>
      </w:r>
      <w:r>
        <w:t>. atlantis-press. Available at: https://www.atlantis-press.com/article/125975330.pdf (Accessed: 20 April 2026).</w:t>
      </w:r>
    </w:p>
    <w:p>
      <w:pPr>
        <w:spacing w:after="240"/>
      </w:pPr>
      <w:r>
        <w:t xml:space="preserve">Fiorentino, R. and Garzella, S. (2015) ‘Synergy management pitfalls in mergers and acquisitions’, </w:t>
      </w:r>
      <w:r>
        <w:rPr>
          <w:i/>
          <w:iCs/>
        </w:rPr>
        <w:t>Management Decision</w:t>
      </w:r>
      <w:r>
        <w:t xml:space="preserve">, 53(7), pp. 1469–1503. doi: </w:t>
      </w:r>
      <w:r>
        <w:rPr>
          <w:color w:val="1155CC"/>
          <w:u w:val="single"/>
        </w:rPr>
        <w:fldChar w:fldCharType="begin"/>
      </w:r>
      <w:r>
        <w:instrText>HYPERLINK "https://doi.org/10.1108/md-12-2014-0692"</w:instrText>
      </w:r>
      <w:r>
        <w:rPr>
          <w:color w:val="1155CC"/>
          <w:u w:val="single"/>
        </w:rPr>
        <w:fldChar w:fldCharType="separate"/>
      </w:r>
      <w:r>
        <w:rPr>
          <w:color w:val="1155CC"/>
          <w:u w:val="single"/>
        </w:rPr>
        <w:t>https://doi.org/10.1108/md-12-2014-0692</w:t>
      </w:r>
      <w:r>
        <w:rPr>
          <w:color w:val="1155CC"/>
          <w:u w:val="single"/>
        </w:rPr>
        <w:fldChar w:fldCharType="end"/>
      </w:r>
      <w:r>
        <w:t xml:space="preserve"> (Accessed: 08 April 2026).</w:t>
      </w:r>
    </w:p>
    <w:p>
      <w:pPr>
        <w:spacing w:after="240"/>
      </w:pPr>
      <w:r>
        <w:t xml:space="preserve">Gao, K. and Huang, X. (2025) ‘The impact of strategic alliances on corporate real investment and its mechanisms from the perspective of organizational learning theory: An empirical analysis based on Chinese listed companies’, </w:t>
      </w:r>
      <w:r>
        <w:rPr>
          <w:i/>
          <w:iCs/>
        </w:rPr>
        <w:t>PLoS ONE</w:t>
      </w:r>
      <w:r>
        <w:t xml:space="preserve">, 20(9), pp. e0332364–e0332364. doi: </w:t>
      </w:r>
      <w:r>
        <w:rPr>
          <w:color w:val="1155CC"/>
          <w:u w:val="single"/>
        </w:rPr>
        <w:fldChar w:fldCharType="begin"/>
      </w:r>
      <w:r>
        <w:instrText>HYPERLINK "https://doi.org/10.1371/journal.pone.0332364"</w:instrText>
      </w:r>
      <w:r>
        <w:rPr>
          <w:color w:val="1155CC"/>
          <w:u w:val="single"/>
        </w:rPr>
        <w:fldChar w:fldCharType="separate"/>
      </w:r>
      <w:r>
        <w:rPr>
          <w:color w:val="1155CC"/>
          <w:u w:val="single"/>
        </w:rPr>
        <w:t>https://doi.org/10.1371/journal.pone.0332364</w:t>
      </w:r>
      <w:r>
        <w:rPr>
          <w:color w:val="1155CC"/>
          <w:u w:val="single"/>
        </w:rPr>
        <w:fldChar w:fldCharType="end"/>
      </w:r>
      <w:r>
        <w:t xml:space="preserve"> (Accessed: 10 April 2026).</w:t>
      </w:r>
    </w:p>
    <w:p>
      <w:pPr>
        <w:spacing w:after="240"/>
      </w:pPr>
      <w:r>
        <w:t xml:space="preserve">Han, F. </w:t>
      </w:r>
      <w:r>
        <w:rPr>
          <w:i/>
          <w:iCs/>
        </w:rPr>
        <w:t>et al.</w:t>
      </w:r>
      <w:r>
        <w:t xml:space="preserve"> (2024) ‘Research on Dynamic Pricing and Long-Term Profit of Companies under Influence of Word of Mouth’, </w:t>
      </w:r>
      <w:r>
        <w:rPr>
          <w:i/>
          <w:iCs/>
        </w:rPr>
        <w:t>Journal of theoretical and applied electronic commerce research</w:t>
      </w:r>
      <w:r>
        <w:t xml:space="preserve">, 19(3), pp. 2157–2179. doi: </w:t>
      </w:r>
      <w:r>
        <w:rPr>
          <w:color w:val="1155CC"/>
          <w:u w:val="single"/>
        </w:rPr>
        <w:fldChar w:fldCharType="begin"/>
      </w:r>
      <w:r>
        <w:instrText>HYPERLINK "https://doi.org/10.3390/jtaer19030105"</w:instrText>
      </w:r>
      <w:r>
        <w:rPr>
          <w:color w:val="1155CC"/>
          <w:u w:val="single"/>
        </w:rPr>
        <w:fldChar w:fldCharType="separate"/>
      </w:r>
      <w:r>
        <w:rPr>
          <w:color w:val="1155CC"/>
          <w:u w:val="single"/>
        </w:rPr>
        <w:t>https://doi.org/10.3390/jtaer19030105</w:t>
      </w:r>
      <w:r>
        <w:rPr>
          <w:color w:val="1155CC"/>
          <w:u w:val="single"/>
        </w:rPr>
        <w:fldChar w:fldCharType="end"/>
      </w:r>
      <w:r>
        <w:t xml:space="preserve"> (Accessed: 05 April 2026).</w:t>
      </w:r>
    </w:p>
    <w:p>
      <w:pPr>
        <w:spacing w:after="240"/>
      </w:pPr>
      <w:r>
        <w:t xml:space="preserve">Jagani, S., Marsillac, E. and Hong, P. (2024) ‘The Electric Vehicle Supply Chain Ecosystem: Changing Roles of Automotive Suppliers’, </w:t>
      </w:r>
      <w:r>
        <w:rPr>
          <w:i/>
          <w:iCs/>
        </w:rPr>
        <w:t>Sustainability</w:t>
      </w:r>
      <w:r>
        <w:t xml:space="preserve">, 16(4), p. 1570. doi: </w:t>
      </w:r>
      <w:r>
        <w:rPr>
          <w:color w:val="1155CC"/>
          <w:u w:val="single"/>
        </w:rPr>
        <w:fldChar w:fldCharType="begin"/>
      </w:r>
      <w:r>
        <w:instrText>HYPERLINK "https://doi.org/10.3390/su16041570"</w:instrText>
      </w:r>
      <w:r>
        <w:rPr>
          <w:color w:val="1155CC"/>
          <w:u w:val="single"/>
        </w:rPr>
        <w:fldChar w:fldCharType="separate"/>
      </w:r>
      <w:r>
        <w:rPr>
          <w:color w:val="1155CC"/>
          <w:u w:val="single"/>
        </w:rPr>
        <w:t>https://doi.org/10.3390/su16041570</w:t>
      </w:r>
      <w:r>
        <w:rPr>
          <w:color w:val="1155CC"/>
          <w:u w:val="single"/>
        </w:rPr>
        <w:fldChar w:fldCharType="end"/>
      </w:r>
      <w:r>
        <w:t xml:space="preserve"> (Accessed: 10 April 2026).</w:t>
      </w:r>
    </w:p>
    <w:p>
      <w:pPr>
        <w:spacing w:after="240"/>
      </w:pPr>
      <w:r>
        <w:t xml:space="preserve">Jermsittiparsert, K. </w:t>
      </w:r>
      <w:r>
        <w:rPr>
          <w:i/>
          <w:iCs/>
        </w:rPr>
        <w:t>et al.</w:t>
      </w:r>
      <w:r>
        <w:t xml:space="preserve"> (2019) ‘Do consumers expect companies to be socially responsible? The impact of corporate social responsibility on buying behavior’, </w:t>
      </w:r>
      <w:r>
        <w:rPr>
          <w:i/>
          <w:iCs/>
        </w:rPr>
        <w:t>Uncertain Supply Chain Management</w:t>
      </w:r>
      <w:r>
        <w:t xml:space="preserve">, 7(4), pp. 741–752. doi: </w:t>
      </w:r>
      <w:r>
        <w:rPr>
          <w:color w:val="1155CC"/>
          <w:u w:val="single"/>
        </w:rPr>
        <w:fldChar w:fldCharType="begin"/>
      </w:r>
      <w:r>
        <w:instrText>HYPERLINK "https://doi.org/10.5267/j.uscm.2019.1.005"</w:instrText>
      </w:r>
      <w:r>
        <w:rPr>
          <w:color w:val="1155CC"/>
          <w:u w:val="single"/>
        </w:rPr>
        <w:fldChar w:fldCharType="separate"/>
      </w:r>
      <w:r>
        <w:rPr>
          <w:color w:val="1155CC"/>
          <w:u w:val="single"/>
        </w:rPr>
        <w:t>https://doi.org/10.5267/j.uscm.2019.1.005</w:t>
      </w:r>
      <w:r>
        <w:rPr>
          <w:color w:val="1155CC"/>
          <w:u w:val="single"/>
        </w:rPr>
        <w:fldChar w:fldCharType="end"/>
      </w:r>
      <w:r>
        <w:t xml:space="preserve"> (Accessed: 05 April 2026).</w:t>
      </w:r>
    </w:p>
    <w:p>
      <w:pPr>
        <w:spacing w:after="240"/>
      </w:pPr>
      <w:r>
        <w:t xml:space="preserve">Jolly, J. (2025a) </w:t>
      </w:r>
      <w:r>
        <w:rPr>
          <w:i/>
          <w:iCs/>
        </w:rPr>
        <w:t>Tesla privately warned UK that weakening EV rules would hit sales</w:t>
      </w:r>
      <w:r>
        <w:t xml:space="preserve">, </w:t>
      </w:r>
      <w:r>
        <w:rPr>
          <w:i/>
          <w:iCs/>
        </w:rPr>
        <w:t>The Guardian</w:t>
      </w:r>
      <w:r>
        <w:t xml:space="preserve">. www.theguardian.com. Available at: </w:t>
      </w:r>
      <w:r>
        <w:rPr>
          <w:color w:val="1155CC"/>
          <w:u w:val="single"/>
        </w:rPr>
        <w:fldChar w:fldCharType="begin"/>
      </w:r>
      <w:r>
        <w:instrText>HYPERLINK "https://www.theguardian.com/technology/2025/dec/03/tesla-uk-ev-rules-sales-elon-musk-electric-car"</w:instrText>
      </w:r>
      <w:r>
        <w:rPr>
          <w:color w:val="1155CC"/>
          <w:u w:val="single"/>
        </w:rPr>
        <w:fldChar w:fldCharType="separate"/>
      </w:r>
      <w:r>
        <w:rPr>
          <w:color w:val="1155CC"/>
          <w:u w:val="single"/>
        </w:rPr>
        <w:t>https://www.theguardian.com/technology/2025/dec/03/tesla-uk-ev-rules-sales-elon-musk-electric-car</w:t>
      </w:r>
      <w:r>
        <w:rPr>
          <w:color w:val="1155CC"/>
          <w:u w:val="single"/>
        </w:rPr>
        <w:fldChar w:fldCharType="end"/>
      </w:r>
      <w:r>
        <w:t xml:space="preserve"> (Accessed: 18 April 2026).</w:t>
      </w:r>
    </w:p>
    <w:p>
      <w:pPr>
        <w:spacing w:after="240"/>
      </w:pPr>
      <w:r>
        <w:t xml:space="preserve">Jolly, J. (2025b) </w:t>
      </w:r>
      <w:r>
        <w:rPr>
          <w:i/>
          <w:iCs/>
        </w:rPr>
        <w:t>Tesla publishes analyst forecasts suggesting sales set to fall</w:t>
      </w:r>
      <w:r>
        <w:t xml:space="preserve">, </w:t>
      </w:r>
      <w:r>
        <w:rPr>
          <w:i/>
          <w:iCs/>
        </w:rPr>
        <w:t>the Guardian</w:t>
      </w:r>
      <w:r>
        <w:t xml:space="preserve">. www.theguardian.com. Available at: </w:t>
      </w:r>
      <w:r>
        <w:rPr>
          <w:color w:val="1155CC"/>
          <w:u w:val="single"/>
        </w:rPr>
        <w:fldChar w:fldCharType="begin"/>
      </w:r>
      <w:r>
        <w:instrText>HYPERLINK "https://www.theguardian.com/technology/2025/dec/31/tesla-surprise-announcement-lower-sales-2025"</w:instrText>
      </w:r>
      <w:r>
        <w:rPr>
          <w:color w:val="1155CC"/>
          <w:u w:val="single"/>
        </w:rPr>
        <w:fldChar w:fldCharType="separate"/>
      </w:r>
      <w:r>
        <w:rPr>
          <w:color w:val="1155CC"/>
          <w:u w:val="single"/>
        </w:rPr>
        <w:t>https://www.theguardian.com/technology/2025/dec/31/tesla-surprise-announcement-lower-sales-2025</w:t>
      </w:r>
      <w:r>
        <w:rPr>
          <w:color w:val="1155CC"/>
          <w:u w:val="single"/>
        </w:rPr>
        <w:fldChar w:fldCharType="end"/>
      </w:r>
      <w:r>
        <w:t xml:space="preserve"> (Accessed: 12 April 2026).</w:t>
      </w:r>
    </w:p>
    <w:p>
      <w:pPr>
        <w:spacing w:after="240"/>
      </w:pPr>
      <w:r>
        <w:t xml:space="preserve">Kaya, O. (2024) ‘The impact of late payments on SMEs’ access to finance: Evidence from credit rationing and loan terms’, </w:t>
      </w:r>
      <w:r>
        <w:rPr>
          <w:i/>
          <w:iCs/>
        </w:rPr>
        <w:t>Economic Modelling</w:t>
      </w:r>
      <w:r>
        <w:t xml:space="preserve">, 141, pp. 106896–106896. doi: </w:t>
      </w:r>
      <w:r>
        <w:rPr>
          <w:color w:val="1155CC"/>
          <w:u w:val="single"/>
        </w:rPr>
        <w:fldChar w:fldCharType="begin"/>
      </w:r>
      <w:r>
        <w:instrText>HYPERLINK "https://doi.org/10.1016/j.econmod.2024.106896"</w:instrText>
      </w:r>
      <w:r>
        <w:rPr>
          <w:color w:val="1155CC"/>
          <w:u w:val="single"/>
        </w:rPr>
        <w:fldChar w:fldCharType="separate"/>
      </w:r>
      <w:r>
        <w:rPr>
          <w:color w:val="1155CC"/>
          <w:u w:val="single"/>
        </w:rPr>
        <w:t>https://doi.org/10.1016/j.econmod.2024.106896</w:t>
      </w:r>
      <w:r>
        <w:rPr>
          <w:color w:val="1155CC"/>
          <w:u w:val="single"/>
        </w:rPr>
        <w:fldChar w:fldCharType="end"/>
      </w:r>
      <w:r>
        <w:t xml:space="preserve"> (Accessed: 12 April 2026).</w:t>
      </w:r>
    </w:p>
    <w:p>
      <w:pPr>
        <w:spacing w:after="240"/>
      </w:pPr>
      <w:r>
        <w:t xml:space="preserve">Khan, M. A. and Vismara, S. (2025) ‘Green bond issuance and corporate environmental and financial performance: A meta-analysis’, </w:t>
      </w:r>
      <w:r>
        <w:rPr>
          <w:i/>
          <w:iCs/>
        </w:rPr>
        <w:t>International Review of Economics &amp; Finance</w:t>
      </w:r>
      <w:r>
        <w:t xml:space="preserve">, 102, p. 104313. doi: </w:t>
      </w:r>
      <w:r>
        <w:rPr>
          <w:color w:val="1155CC"/>
          <w:u w:val="single"/>
        </w:rPr>
        <w:fldChar w:fldCharType="begin"/>
      </w:r>
      <w:r>
        <w:instrText>HYPERLINK "https://doi.org/10.1016/j.iref.2025.104313"</w:instrText>
      </w:r>
      <w:r>
        <w:rPr>
          <w:color w:val="1155CC"/>
          <w:u w:val="single"/>
        </w:rPr>
        <w:fldChar w:fldCharType="separate"/>
      </w:r>
      <w:r>
        <w:rPr>
          <w:color w:val="1155CC"/>
          <w:u w:val="single"/>
        </w:rPr>
        <w:t>https://doi.org/10.1016/j.iref.2025.104313</w:t>
      </w:r>
      <w:r>
        <w:rPr>
          <w:color w:val="1155CC"/>
          <w:u w:val="single"/>
        </w:rPr>
        <w:fldChar w:fldCharType="end"/>
      </w:r>
      <w:r>
        <w:t xml:space="preserve"> (Accessed: 13 April 2026).</w:t>
      </w:r>
    </w:p>
    <w:p>
      <w:pPr>
        <w:spacing w:after="240"/>
      </w:pPr>
      <w:r>
        <w:t xml:space="preserve">Khan, S. J. I. </w:t>
      </w:r>
      <w:r>
        <w:rPr>
          <w:i/>
          <w:iCs/>
        </w:rPr>
        <w:t>et al.</w:t>
      </w:r>
      <w:r>
        <w:t xml:space="preserve"> (2025) ‘Techniques for Investment Decision Making: An Analysis of Firms in Pakistan’, </w:t>
      </w:r>
      <w:r>
        <w:rPr>
          <w:i/>
          <w:iCs/>
        </w:rPr>
        <w:t>Human Nature Journal of Social Sciences</w:t>
      </w:r>
      <w:r>
        <w:t xml:space="preserve">, 6(1), pp. 218–228. doi: </w:t>
      </w:r>
      <w:r>
        <w:rPr>
          <w:color w:val="1155CC"/>
          <w:u w:val="single"/>
        </w:rPr>
        <w:fldChar w:fldCharType="begin"/>
      </w:r>
      <w:r>
        <w:instrText>HYPERLINK "https://doi.org/10.71016/hnjss/csfq9f66"</w:instrText>
      </w:r>
      <w:r>
        <w:rPr>
          <w:color w:val="1155CC"/>
          <w:u w:val="single"/>
        </w:rPr>
        <w:fldChar w:fldCharType="separate"/>
      </w:r>
      <w:r>
        <w:rPr>
          <w:color w:val="1155CC"/>
          <w:u w:val="single"/>
        </w:rPr>
        <w:t>https://doi.org/10.71016/hnjss/csfq9f66</w:t>
      </w:r>
      <w:r>
        <w:rPr>
          <w:color w:val="1155CC"/>
          <w:u w:val="single"/>
        </w:rPr>
        <w:fldChar w:fldCharType="end"/>
      </w:r>
      <w:r>
        <w:t xml:space="preserve"> (Accessed: 13 April 2026).</w:t>
      </w:r>
    </w:p>
    <w:p>
      <w:pPr>
        <w:spacing w:after="240"/>
      </w:pPr>
      <w:r>
        <w:t xml:space="preserve">Khedr, A. M. and Sheeja , R. S. (2024) ‘Enhancing Supply Chain Management with Deep Learning and Machine Learning Techniques: A Review’, </w:t>
      </w:r>
      <w:r>
        <w:rPr>
          <w:i/>
          <w:iCs/>
        </w:rPr>
        <w:t>Journal of Open Innovation Technology Market and Complexity</w:t>
      </w:r>
      <w:r>
        <w:t xml:space="preserve">, 10(4), pp. 100379–100379. doi: </w:t>
      </w:r>
      <w:r>
        <w:rPr>
          <w:color w:val="1155CC"/>
          <w:u w:val="single"/>
        </w:rPr>
        <w:fldChar w:fldCharType="begin"/>
      </w:r>
      <w:r>
        <w:instrText>HYPERLINK "https://doi.org/10.1016/j.joitmc.2024.100379"</w:instrText>
      </w:r>
      <w:r>
        <w:rPr>
          <w:color w:val="1155CC"/>
          <w:u w:val="single"/>
        </w:rPr>
        <w:fldChar w:fldCharType="separate"/>
      </w:r>
      <w:r>
        <w:rPr>
          <w:color w:val="1155CC"/>
          <w:u w:val="single"/>
        </w:rPr>
        <w:t>https://doi.org/10.1016/j.joitmc.2024.100379</w:t>
      </w:r>
      <w:r>
        <w:rPr>
          <w:color w:val="1155CC"/>
          <w:u w:val="single"/>
        </w:rPr>
        <w:fldChar w:fldCharType="end"/>
      </w:r>
      <w:r>
        <w:t xml:space="preserve"> (Accessed: 13 April 2026).</w:t>
      </w:r>
    </w:p>
    <w:p>
      <w:pPr>
        <w:spacing w:after="240"/>
      </w:pPr>
      <w:r>
        <w:t xml:space="preserve">Li, S. </w:t>
      </w:r>
      <w:r>
        <w:rPr>
          <w:i/>
          <w:iCs/>
        </w:rPr>
        <w:t>et al.</w:t>
      </w:r>
      <w:r>
        <w:t xml:space="preserve"> (2025) ‘The impact of green finance on debt financing costs from the perspective of strategic corporate signaling behavior—Evidence from China’, </w:t>
      </w:r>
      <w:r>
        <w:rPr>
          <w:i/>
          <w:iCs/>
        </w:rPr>
        <w:t>International Review of Financial Analysis</w:t>
      </w:r>
      <w:r>
        <w:t xml:space="preserve">, 102, p. 104024. doi: </w:t>
      </w:r>
      <w:r>
        <w:rPr>
          <w:color w:val="1155CC"/>
          <w:u w:val="single"/>
        </w:rPr>
        <w:fldChar w:fldCharType="begin"/>
      </w:r>
      <w:r>
        <w:instrText>HYPERLINK "https://doi.org/10.1016/j.irfa.2025.104024"</w:instrText>
      </w:r>
      <w:r>
        <w:rPr>
          <w:color w:val="1155CC"/>
          <w:u w:val="single"/>
        </w:rPr>
        <w:fldChar w:fldCharType="separate"/>
      </w:r>
      <w:r>
        <w:rPr>
          <w:color w:val="1155CC"/>
          <w:u w:val="single"/>
        </w:rPr>
        <w:t>https://doi.org/10.1016/j.irfa.2025.104024</w:t>
      </w:r>
      <w:r>
        <w:rPr>
          <w:color w:val="1155CC"/>
          <w:u w:val="single"/>
        </w:rPr>
        <w:fldChar w:fldCharType="end"/>
      </w:r>
      <w:r>
        <w:t xml:space="preserve"> (Accessed: 14 April 2026).</w:t>
      </w:r>
    </w:p>
    <w:p>
      <w:pPr>
        <w:spacing w:after="240"/>
      </w:pPr>
      <w:r>
        <w:t xml:space="preserve">Li, Y. </w:t>
      </w:r>
      <w:r>
        <w:rPr>
          <w:i/>
          <w:iCs/>
        </w:rPr>
        <w:t>et al.</w:t>
      </w:r>
      <w:r>
        <w:t xml:space="preserve"> (2025) ‘Vertical integration, supply chain disruptions, and corporate yield spreads’, </w:t>
      </w:r>
      <w:r>
        <w:rPr>
          <w:i/>
          <w:iCs/>
        </w:rPr>
        <w:t>The British Accounting Review</w:t>
      </w:r>
      <w:r>
        <w:t xml:space="preserve">, pp. 101639–101639. doi: </w:t>
      </w:r>
      <w:r>
        <w:rPr>
          <w:color w:val="1155CC"/>
          <w:u w:val="single"/>
        </w:rPr>
        <w:fldChar w:fldCharType="begin"/>
      </w:r>
      <w:r>
        <w:instrText>HYPERLINK "https://doi.org/10.1016/j.bar.2025.101639"</w:instrText>
      </w:r>
      <w:r>
        <w:rPr>
          <w:color w:val="1155CC"/>
          <w:u w:val="single"/>
        </w:rPr>
        <w:fldChar w:fldCharType="separate"/>
      </w:r>
      <w:r>
        <w:rPr>
          <w:color w:val="1155CC"/>
          <w:u w:val="single"/>
        </w:rPr>
        <w:t>https://doi.org/10.1016/j.bar.2025.101639</w:t>
      </w:r>
      <w:r>
        <w:rPr>
          <w:color w:val="1155CC"/>
          <w:u w:val="single"/>
        </w:rPr>
        <w:fldChar w:fldCharType="end"/>
      </w:r>
      <w:r>
        <w:t xml:space="preserve"> (Accessed: 14 April 2026).</w:t>
      </w:r>
    </w:p>
    <w:p>
      <w:pPr>
        <w:spacing w:after="240"/>
      </w:pPr>
      <w:r>
        <w:t xml:space="preserve">Lin, J., Dong, J. and Zheng, Y. (2025) ‘Net Present Value As a Decision Tool During Investment: Evaluating the Effectiveness of Net Present Value (NPV) Against Traditional Investment Appraisal Techniques in Predicting the Financial Success of Technology Startups’, </w:t>
      </w:r>
      <w:r>
        <w:rPr>
          <w:i/>
          <w:iCs/>
        </w:rPr>
        <w:t>Advances in Economics, Management and Political Sciences</w:t>
      </w:r>
      <w:r>
        <w:t xml:space="preserve">, 217(1), pp. 41–60. doi: </w:t>
      </w:r>
      <w:r>
        <w:rPr>
          <w:color w:val="1155CC"/>
          <w:u w:val="single"/>
        </w:rPr>
        <w:fldChar w:fldCharType="begin"/>
      </w:r>
      <w:r>
        <w:instrText>HYPERLINK "https://doi.org/10.54254/2754-1169/2024.26903"</w:instrText>
      </w:r>
      <w:r>
        <w:rPr>
          <w:color w:val="1155CC"/>
          <w:u w:val="single"/>
        </w:rPr>
        <w:fldChar w:fldCharType="separate"/>
      </w:r>
      <w:r>
        <w:rPr>
          <w:color w:val="1155CC"/>
          <w:u w:val="single"/>
        </w:rPr>
        <w:t>https://doi.org/10.54254/2754-1169/2024.26903</w:t>
      </w:r>
      <w:r>
        <w:rPr>
          <w:color w:val="1155CC"/>
          <w:u w:val="single"/>
        </w:rPr>
        <w:fldChar w:fldCharType="end"/>
      </w:r>
      <w:r>
        <w:t xml:space="preserve"> (Accessed: 18 April 2026).</w:t>
      </w:r>
    </w:p>
    <w:p>
      <w:pPr>
        <w:spacing w:after="240"/>
      </w:pPr>
      <w:r>
        <w:t xml:space="preserve">Lin, X., Huang, H. and Lin, Q. (2024) ‘Horizontal mergers between public and private firms in vertically-differentiated markets’, </w:t>
      </w:r>
      <w:r>
        <w:rPr>
          <w:i/>
          <w:iCs/>
        </w:rPr>
        <w:t>Journal of the Operational Research Society</w:t>
      </w:r>
      <w:r>
        <w:t xml:space="preserve">, 76(5), pp. 881–903. doi: </w:t>
      </w:r>
      <w:r>
        <w:rPr>
          <w:color w:val="1155CC"/>
          <w:u w:val="single"/>
        </w:rPr>
        <w:fldChar w:fldCharType="begin"/>
      </w:r>
      <w:r>
        <w:instrText>HYPERLINK "https://doi.org/10.1080/01605682.2024.2398763"</w:instrText>
      </w:r>
      <w:r>
        <w:rPr>
          <w:color w:val="1155CC"/>
          <w:u w:val="single"/>
        </w:rPr>
        <w:fldChar w:fldCharType="separate"/>
      </w:r>
      <w:r>
        <w:rPr>
          <w:color w:val="1155CC"/>
          <w:u w:val="single"/>
        </w:rPr>
        <w:t>https://doi.org/10.1080/01605682.2024.2398763</w:t>
      </w:r>
      <w:r>
        <w:rPr>
          <w:color w:val="1155CC"/>
          <w:u w:val="single"/>
        </w:rPr>
        <w:fldChar w:fldCharType="end"/>
      </w:r>
      <w:r>
        <w:t xml:space="preserve"> (Accessed: 18 April 2026).</w:t>
      </w:r>
    </w:p>
    <w:p>
      <w:pPr>
        <w:spacing w:after="240"/>
      </w:pPr>
      <w:r>
        <w:t xml:space="preserve">Malhotra, D., Singh, R. and Ramani, L. (2024) ‘Navigating market volatility: risk and return insights from Indian mutual funds’, </w:t>
      </w:r>
      <w:r>
        <w:rPr>
          <w:i/>
          <w:iCs/>
        </w:rPr>
        <w:t>Cogent Economics &amp; Finance</w:t>
      </w:r>
      <w:r>
        <w:t xml:space="preserve">, 12(1). doi: </w:t>
      </w:r>
      <w:r>
        <w:rPr>
          <w:color w:val="1155CC"/>
          <w:u w:val="single"/>
        </w:rPr>
        <w:fldChar w:fldCharType="begin"/>
      </w:r>
      <w:r>
        <w:instrText>HYPERLINK "https://doi.org/10.1080/23322039.2024.2431535"</w:instrText>
      </w:r>
      <w:r>
        <w:rPr>
          <w:color w:val="1155CC"/>
          <w:u w:val="single"/>
        </w:rPr>
        <w:fldChar w:fldCharType="separate"/>
      </w:r>
      <w:r>
        <w:rPr>
          <w:color w:val="1155CC"/>
          <w:u w:val="single"/>
        </w:rPr>
        <w:t>https://doi.org/10.1080/23322039.2024.2431535</w:t>
      </w:r>
      <w:r>
        <w:rPr>
          <w:color w:val="1155CC"/>
          <w:u w:val="single"/>
        </w:rPr>
        <w:fldChar w:fldCharType="end"/>
      </w:r>
      <w:r>
        <w:t xml:space="preserve"> (Accessed: 12 April 2026).</w:t>
      </w:r>
    </w:p>
    <w:p>
      <w:pPr>
        <w:spacing w:after="240"/>
      </w:pPr>
      <w:r>
        <w:t xml:space="preserve">Mioduchowska-Jaroszewicz, E. (2023) ‘Investment decisions based on the financial performance of related parties’, </w:t>
      </w:r>
      <w:r>
        <w:rPr>
          <w:i/>
          <w:iCs/>
        </w:rPr>
        <w:t>Procedia Computer Science</w:t>
      </w:r>
      <w:r>
        <w:t xml:space="preserve">, 225, pp. 3313–3321. doi: </w:t>
      </w:r>
      <w:r>
        <w:rPr>
          <w:color w:val="1155CC"/>
          <w:u w:val="single"/>
        </w:rPr>
        <w:fldChar w:fldCharType="begin"/>
      </w:r>
      <w:r>
        <w:instrText>HYPERLINK "https://doi.org/10.1016/j.procs.2023.10.325"</w:instrText>
      </w:r>
      <w:r>
        <w:rPr>
          <w:color w:val="1155CC"/>
          <w:u w:val="single"/>
        </w:rPr>
        <w:fldChar w:fldCharType="separate"/>
      </w:r>
      <w:r>
        <w:rPr>
          <w:color w:val="1155CC"/>
          <w:u w:val="single"/>
        </w:rPr>
        <w:t>https://doi.org/10.1016/j.procs.2023.10.325</w:t>
      </w:r>
      <w:r>
        <w:rPr>
          <w:color w:val="1155CC"/>
          <w:u w:val="single"/>
        </w:rPr>
        <w:fldChar w:fldCharType="end"/>
      </w:r>
      <w:r>
        <w:t xml:space="preserve"> (Accessed: 11 April 2026).</w:t>
      </w:r>
    </w:p>
    <w:p>
      <w:pPr>
        <w:spacing w:after="240"/>
      </w:pPr>
      <w:r>
        <w:t xml:space="preserve">Narbel, F. and Muff, K. (2017) ‘Should the Evolution of Stakeholder Theory Be Discontinued Given Its Limitations?’, </w:t>
      </w:r>
      <w:r>
        <w:rPr>
          <w:i/>
          <w:iCs/>
        </w:rPr>
        <w:t>Theoretical Economics Letters</w:t>
      </w:r>
      <w:r>
        <w:t xml:space="preserve">, 07(05), pp. 1357–1381. doi: </w:t>
      </w:r>
      <w:r>
        <w:rPr>
          <w:color w:val="1155CC"/>
          <w:u w:val="single"/>
        </w:rPr>
        <w:fldChar w:fldCharType="begin"/>
      </w:r>
      <w:r>
        <w:instrText>HYPERLINK "https://doi.org/10.4236/tel.2017.75092"</w:instrText>
      </w:r>
      <w:r>
        <w:rPr>
          <w:color w:val="1155CC"/>
          <w:u w:val="single"/>
        </w:rPr>
        <w:fldChar w:fldCharType="separate"/>
      </w:r>
      <w:r>
        <w:rPr>
          <w:color w:val="1155CC"/>
          <w:u w:val="single"/>
        </w:rPr>
        <w:t>https://doi.org/10.4236/tel.2017.75092</w:t>
      </w:r>
      <w:r>
        <w:rPr>
          <w:color w:val="1155CC"/>
          <w:u w:val="single"/>
        </w:rPr>
        <w:fldChar w:fldCharType="end"/>
      </w:r>
      <w:r>
        <w:t xml:space="preserve"> (Accessed: 18 April 2026).</w:t>
      </w:r>
    </w:p>
    <w:p>
      <w:pPr>
        <w:spacing w:after="240"/>
      </w:pPr>
      <w:r>
        <w:t xml:space="preserve">Olaoye, F. O., Adekanbi, J. A. and Oluwadare, O. E. (2019) ‘Working Capital Management and Firms’ Profitability: Evidence from Quoted Firms on the Nigerian Stock Exchange’, </w:t>
      </w:r>
      <w:r>
        <w:rPr>
          <w:i/>
          <w:iCs/>
        </w:rPr>
        <w:t>Intelligent Information Management</w:t>
      </w:r>
      <w:r>
        <w:t xml:space="preserve">, 11(03), pp. 43–60. doi: </w:t>
      </w:r>
      <w:r>
        <w:rPr>
          <w:color w:val="1155CC"/>
          <w:u w:val="single"/>
        </w:rPr>
        <w:fldChar w:fldCharType="begin"/>
      </w:r>
      <w:r>
        <w:instrText>HYPERLINK "https://doi.org/10.4236/iim.2019.113005"</w:instrText>
      </w:r>
      <w:r>
        <w:rPr>
          <w:color w:val="1155CC"/>
          <w:u w:val="single"/>
        </w:rPr>
        <w:fldChar w:fldCharType="separate"/>
      </w:r>
      <w:r>
        <w:rPr>
          <w:color w:val="1155CC"/>
          <w:u w:val="single"/>
        </w:rPr>
        <w:t>https://doi.org/10.4236/iim.2019.113005</w:t>
      </w:r>
      <w:r>
        <w:rPr>
          <w:color w:val="1155CC"/>
          <w:u w:val="single"/>
        </w:rPr>
        <w:fldChar w:fldCharType="end"/>
      </w:r>
      <w:r>
        <w:t xml:space="preserve"> (Accessed: 10 April 2026).</w:t>
      </w:r>
    </w:p>
    <w:p>
      <w:pPr>
        <w:spacing w:after="240"/>
      </w:pPr>
      <w:r>
        <w:t xml:space="preserve">Park, H. W. (2025) ‘Leverage–led growth in the circuit of capital model with a banking sector’, </w:t>
      </w:r>
      <w:r>
        <w:rPr>
          <w:i/>
          <w:iCs/>
        </w:rPr>
        <w:t>Economic Modelling</w:t>
      </w:r>
      <w:r>
        <w:t xml:space="preserve">. doi: </w:t>
      </w:r>
      <w:r>
        <w:rPr>
          <w:color w:val="1155CC"/>
          <w:u w:val="single"/>
        </w:rPr>
        <w:fldChar w:fldCharType="begin"/>
      </w:r>
      <w:r>
        <w:instrText>HYPERLINK "https://doi.org/10.1016/j.econmod.2025.107275"</w:instrText>
      </w:r>
      <w:r>
        <w:rPr>
          <w:color w:val="1155CC"/>
          <w:u w:val="single"/>
        </w:rPr>
        <w:fldChar w:fldCharType="separate"/>
      </w:r>
      <w:r>
        <w:rPr>
          <w:color w:val="1155CC"/>
          <w:u w:val="single"/>
        </w:rPr>
        <w:t>https://doi.org/10.1016/j.econmod.2025.107275</w:t>
      </w:r>
      <w:r>
        <w:rPr>
          <w:color w:val="1155CC"/>
          <w:u w:val="single"/>
        </w:rPr>
        <w:fldChar w:fldCharType="end"/>
      </w:r>
      <w:r>
        <w:t xml:space="preserve"> (Accessed: 20 April 2026).</w:t>
      </w:r>
    </w:p>
    <w:p>
      <w:pPr>
        <w:spacing w:after="240"/>
      </w:pPr>
      <w:r>
        <w:t xml:space="preserve">Partridge, J. (2025) </w:t>
      </w:r>
      <w:r>
        <w:rPr>
          <w:i/>
          <w:iCs/>
        </w:rPr>
        <w:t>UK government plays down reports of plan to bring EV sales target review forward</w:t>
      </w:r>
      <w:r>
        <w:t xml:space="preserve">, </w:t>
      </w:r>
      <w:r>
        <w:rPr>
          <w:i/>
          <w:iCs/>
        </w:rPr>
        <w:t>The Guardian</w:t>
      </w:r>
      <w:r>
        <w:t xml:space="preserve">. www.theguardian.com. Available at: </w:t>
      </w:r>
      <w:r>
        <w:rPr>
          <w:color w:val="1155CC"/>
          <w:u w:val="single"/>
        </w:rPr>
        <w:fldChar w:fldCharType="begin"/>
      </w:r>
      <w:r>
        <w:instrText>HYPERLINK "https://www.theguardian.com/business/2025/dec/17/uk-to-bring-forward-review-of-ev-sales-targets-from-2027-to-next-year"</w:instrText>
      </w:r>
      <w:r>
        <w:rPr>
          <w:color w:val="1155CC"/>
          <w:u w:val="single"/>
        </w:rPr>
        <w:fldChar w:fldCharType="separate"/>
      </w:r>
      <w:r>
        <w:rPr>
          <w:color w:val="1155CC"/>
          <w:u w:val="single"/>
        </w:rPr>
        <w:t>https://www.theguardian.com/business/2025/dec/17/uk-to-bring-forward-review-of-ev-sales-targets-from-2027-to-next-year</w:t>
      </w:r>
      <w:r>
        <w:rPr>
          <w:color w:val="1155CC"/>
          <w:u w:val="single"/>
        </w:rPr>
        <w:fldChar w:fldCharType="end"/>
      </w:r>
      <w:r>
        <w:t xml:space="preserve"> (Accessed: 20 April 2026).</w:t>
      </w:r>
    </w:p>
    <w:p>
      <w:pPr>
        <w:spacing w:after="240"/>
      </w:pPr>
      <w:r>
        <w:t xml:space="preserve">Reuters (2025) ‘Tesla ramps up battery cell investments at German gigafactory’, </w:t>
      </w:r>
      <w:r>
        <w:rPr>
          <w:i/>
          <w:iCs/>
        </w:rPr>
        <w:t>Reuters</w:t>
      </w:r>
      <w:r>
        <w:t xml:space="preserve">. Available at: </w:t>
      </w:r>
      <w:r>
        <w:rPr>
          <w:color w:val="1155CC"/>
          <w:u w:val="single"/>
        </w:rPr>
        <w:fldChar w:fldCharType="begin"/>
      </w:r>
      <w:r>
        <w:instrText>HYPERLINK "https://www.reuters.com/business/autos-transportation/tesla-ramps-up-battery-cell-investments-german-gigafactory-2025-12-16/"</w:instrText>
      </w:r>
      <w:r>
        <w:rPr>
          <w:color w:val="1155CC"/>
          <w:u w:val="single"/>
        </w:rPr>
        <w:fldChar w:fldCharType="separate"/>
      </w:r>
      <w:r>
        <w:rPr>
          <w:color w:val="1155CC"/>
          <w:u w:val="single"/>
        </w:rPr>
        <w:t>https://www.reuters.com/business/autos-transportation/tesla-ramps-up-battery-cell-investments-german-gigafactory-2025-12-16/</w:t>
      </w:r>
      <w:r>
        <w:rPr>
          <w:color w:val="1155CC"/>
          <w:u w:val="single"/>
        </w:rPr>
        <w:fldChar w:fldCharType="end"/>
      </w:r>
      <w:r>
        <w:t xml:space="preserve"> (Accessed: 23 April 2026).</w:t>
      </w:r>
    </w:p>
    <w:p>
      <w:pPr>
        <w:spacing w:after="240"/>
      </w:pPr>
      <w:r>
        <w:t xml:space="preserve">Setyopurnomo, R. </w:t>
      </w:r>
      <w:r>
        <w:rPr>
          <w:i/>
          <w:iCs/>
        </w:rPr>
        <w:t>et al.</w:t>
      </w:r>
      <w:r>
        <w:t xml:space="preserve"> (2024) ‘Enhancing operation effectiveness by maximizing daily EBITDA as a turnaround strategy execution system to enhance operation performance and profitability’, </w:t>
      </w:r>
      <w:r>
        <w:rPr>
          <w:i/>
          <w:iCs/>
        </w:rPr>
        <w:t>Journal of Open Innovation: Technology, Market, and Complexity</w:t>
      </w:r>
      <w:r>
        <w:t xml:space="preserve">, 11(1), p. 100431. doi: </w:t>
      </w:r>
      <w:r>
        <w:rPr>
          <w:color w:val="1155CC"/>
          <w:u w:val="single"/>
        </w:rPr>
        <w:fldChar w:fldCharType="begin"/>
      </w:r>
      <w:r>
        <w:instrText>HYPERLINK "https://doi.org/10.1016/j.joitmc.2024.100431"</w:instrText>
      </w:r>
      <w:r>
        <w:rPr>
          <w:color w:val="1155CC"/>
          <w:u w:val="single"/>
        </w:rPr>
        <w:fldChar w:fldCharType="separate"/>
      </w:r>
      <w:r>
        <w:rPr>
          <w:color w:val="1155CC"/>
          <w:u w:val="single"/>
        </w:rPr>
        <w:t>https://doi.org/10.1016/j.joitmc.2024.100431</w:t>
      </w:r>
      <w:r>
        <w:rPr>
          <w:color w:val="1155CC"/>
          <w:u w:val="single"/>
        </w:rPr>
        <w:fldChar w:fldCharType="end"/>
      </w:r>
      <w:r>
        <w:t xml:space="preserve"> (Accessed: 08 April 2026).</w:t>
      </w:r>
    </w:p>
    <w:p>
      <w:pPr>
        <w:spacing w:after="240"/>
      </w:pPr>
      <w:r>
        <w:t xml:space="preserve">Tesla (2021) </w:t>
      </w:r>
      <w:r>
        <w:rPr>
          <w:i/>
          <w:iCs/>
        </w:rPr>
        <w:t>UNITED STATES SECURITIES AND EXCHANGE COMMISSION</w:t>
      </w:r>
      <w:r>
        <w:t xml:space="preserve">. Available at: </w:t>
      </w:r>
      <w:r>
        <w:rPr>
          <w:color w:val="1155CC"/>
          <w:u w:val="single"/>
        </w:rPr>
        <w:fldChar w:fldCharType="begin"/>
      </w:r>
      <w:r>
        <w:instrText>HYPERLINK "https://ir.tesla.com/_flysystem/s3/sec/000095017021002253/tsla-20210930-gen.pdf"</w:instrText>
      </w:r>
      <w:r>
        <w:rPr>
          <w:color w:val="1155CC"/>
          <w:u w:val="single"/>
        </w:rPr>
        <w:fldChar w:fldCharType="separate"/>
      </w:r>
      <w:r>
        <w:rPr>
          <w:color w:val="1155CC"/>
          <w:u w:val="single"/>
        </w:rPr>
        <w:t>https://ir.tesla.com/_flysystem/s3/sec/000095017021002253/tsla-20210930-gen.pdf</w:t>
      </w:r>
      <w:r>
        <w:rPr>
          <w:color w:val="1155CC"/>
          <w:u w:val="single"/>
        </w:rPr>
        <w:fldChar w:fldCharType="end"/>
      </w:r>
      <w:r>
        <w:t xml:space="preserve"> (Accessed: 04 April 2026).</w:t>
      </w:r>
    </w:p>
    <w:p>
      <w:pPr>
        <w:spacing w:after="240"/>
      </w:pPr>
      <w:r>
        <w:t xml:space="preserve">Tesla (2023a) </w:t>
      </w:r>
      <w:r>
        <w:rPr>
          <w:i/>
          <w:iCs/>
        </w:rPr>
        <w:t>Annual Report</w:t>
      </w:r>
      <w:r>
        <w:t xml:space="preserve">. Available at: </w:t>
      </w:r>
      <w:r>
        <w:rPr>
          <w:color w:val="1155CC"/>
          <w:u w:val="single"/>
        </w:rPr>
        <w:fldChar w:fldCharType="begin"/>
      </w:r>
      <w:r>
        <w:instrText>HYPERLINK "https://ir.tesla.com/_flysystem/s3/sec/000162828024002390/tsla-20231231-gen.pdf"</w:instrText>
      </w:r>
      <w:r>
        <w:rPr>
          <w:color w:val="1155CC"/>
          <w:u w:val="single"/>
        </w:rPr>
        <w:fldChar w:fldCharType="separate"/>
      </w:r>
      <w:r>
        <w:rPr>
          <w:color w:val="1155CC"/>
          <w:u w:val="single"/>
        </w:rPr>
        <w:t>https://ir.tesla.com/_flysystem/s3/sec/000162828024002390/tsla-20231231-gen.pdf</w:t>
      </w:r>
      <w:r>
        <w:rPr>
          <w:color w:val="1155CC"/>
          <w:u w:val="single"/>
        </w:rPr>
        <w:fldChar w:fldCharType="end"/>
      </w:r>
      <w:r>
        <w:t xml:space="preserve"> (Accessed: 04 April 2026).</w:t>
      </w:r>
    </w:p>
    <w:p>
      <w:pPr>
        <w:spacing w:after="240"/>
      </w:pPr>
      <w:r>
        <w:t xml:space="preserve">Tesla (2023b) </w:t>
      </w:r>
      <w:r>
        <w:rPr>
          <w:i/>
          <w:iCs/>
        </w:rPr>
        <w:t>Continuing Our Investment in Nevada</w:t>
      </w:r>
      <w:r>
        <w:t xml:space="preserve">, </w:t>
      </w:r>
      <w:r>
        <w:rPr>
          <w:i/>
          <w:iCs/>
        </w:rPr>
        <w:t>Tesla</w:t>
      </w:r>
      <w:r>
        <w:t xml:space="preserve">. www.tesla.com. Available at: </w:t>
      </w:r>
      <w:r>
        <w:rPr>
          <w:color w:val="1155CC"/>
          <w:u w:val="single"/>
        </w:rPr>
        <w:fldChar w:fldCharType="begin"/>
      </w:r>
      <w:r>
        <w:instrText>HYPERLINK "https://www.tesla.com/blog/continuing-our-investment-nevada"</w:instrText>
      </w:r>
      <w:r>
        <w:rPr>
          <w:color w:val="1155CC"/>
          <w:u w:val="single"/>
        </w:rPr>
        <w:fldChar w:fldCharType="separate"/>
      </w:r>
      <w:r>
        <w:rPr>
          <w:color w:val="1155CC"/>
          <w:u w:val="single"/>
        </w:rPr>
        <w:t>https://www.tesla.com/blog/continuing-our-investment-nevada</w:t>
      </w:r>
      <w:r>
        <w:rPr>
          <w:color w:val="1155CC"/>
          <w:u w:val="single"/>
        </w:rPr>
        <w:fldChar w:fldCharType="end"/>
      </w:r>
      <w:r>
        <w:t xml:space="preserve"> (Accessed: 16 April 2026).</w:t>
      </w:r>
    </w:p>
    <w:p>
      <w:pPr>
        <w:spacing w:after="240"/>
      </w:pPr>
      <w:r>
        <w:t xml:space="preserve">Tesla (2025) </w:t>
      </w:r>
      <w:r>
        <w:rPr>
          <w:i/>
          <w:iCs/>
        </w:rPr>
        <w:t>UNITED STATES SECURITIES AND EXCHANGE COMMISSION</w:t>
      </w:r>
      <w:r>
        <w:t xml:space="preserve">. Available at: </w:t>
      </w:r>
      <w:r>
        <w:rPr>
          <w:color w:val="1155CC"/>
          <w:u w:val="single"/>
        </w:rPr>
        <w:fldChar w:fldCharType="begin"/>
      </w:r>
      <w:r>
        <w:instrText>HYPERLINK "https://ir.tesla.com/_flysystem/s3/sec/000162828026003952/tsla-20251231-gen.pdf"</w:instrText>
      </w:r>
      <w:r>
        <w:rPr>
          <w:color w:val="1155CC"/>
          <w:u w:val="single"/>
        </w:rPr>
        <w:fldChar w:fldCharType="separate"/>
      </w:r>
      <w:r>
        <w:rPr>
          <w:color w:val="1155CC"/>
          <w:u w:val="single"/>
        </w:rPr>
        <w:t>https://ir.tesla.com/_flysystem/s3/sec/000162828026003952/tsla-20251231-gen.pdf</w:t>
      </w:r>
      <w:r>
        <w:rPr>
          <w:color w:val="1155CC"/>
          <w:u w:val="single"/>
        </w:rPr>
        <w:fldChar w:fldCharType="end"/>
      </w:r>
      <w:r>
        <w:t xml:space="preserve"> (Accessed: 04 April 2026).</w:t>
      </w:r>
    </w:p>
    <w:p>
      <w:pPr>
        <w:spacing w:after="240"/>
      </w:pPr>
      <w:r>
        <w:t xml:space="preserve">Tesla (2026) </w:t>
      </w:r>
      <w:r>
        <w:rPr>
          <w:i/>
          <w:iCs/>
        </w:rPr>
        <w:t>Q4 and FY 2025 of Tesla</w:t>
      </w:r>
      <w:r>
        <w:t xml:space="preserve">. assets-ir.tesla.com. Available at: </w:t>
      </w:r>
      <w:r>
        <w:rPr>
          <w:color w:val="1155CC"/>
          <w:u w:val="single"/>
        </w:rPr>
        <w:fldChar w:fldCharType="begin"/>
      </w:r>
      <w:r>
        <w:instrText>HYPERLINK "https://assets-ir.tesla.com/tesla-contents/IR/TSLA-Q4-2025-Update.pdf"</w:instrText>
      </w:r>
      <w:r>
        <w:rPr>
          <w:color w:val="1155CC"/>
          <w:u w:val="single"/>
        </w:rPr>
        <w:fldChar w:fldCharType="separate"/>
      </w:r>
      <w:r>
        <w:rPr>
          <w:color w:val="1155CC"/>
          <w:u w:val="single"/>
        </w:rPr>
        <w:t>https://assets-ir.tesla.com/tesla-contents/IR/TSLA-Q4-2025-Update.pdf</w:t>
      </w:r>
      <w:r>
        <w:rPr>
          <w:color w:val="1155CC"/>
          <w:u w:val="single"/>
        </w:rPr>
        <w:fldChar w:fldCharType="end"/>
      </w:r>
      <w:r>
        <w:t xml:space="preserve"> (Accessed: 18 April 2026).</w:t>
      </w:r>
    </w:p>
    <w:p>
      <w:pPr>
        <w:spacing w:after="240"/>
      </w:pPr>
      <w:r>
        <w:t xml:space="preserve">World Bank (2023) </w:t>
      </w:r>
      <w:r>
        <w:rPr>
          <w:i/>
          <w:iCs/>
        </w:rPr>
        <w:t>What Explains Global Inflation</w:t>
      </w:r>
      <w:r>
        <w:t xml:space="preserve">, </w:t>
      </w:r>
      <w:r>
        <w:rPr>
          <w:i/>
          <w:iCs/>
        </w:rPr>
        <w:t>World Bank</w:t>
      </w:r>
      <w:r>
        <w:t xml:space="preserve">. www.worldbank.org. Available at: </w:t>
      </w:r>
      <w:r>
        <w:rPr>
          <w:color w:val="1155CC"/>
          <w:u w:val="single"/>
        </w:rPr>
        <w:fldChar w:fldCharType="begin"/>
      </w:r>
      <w:r>
        <w:instrText>HYPERLINK "https://www.worldbank.org/en/research/brief/global-inflation"</w:instrText>
      </w:r>
      <w:r>
        <w:rPr>
          <w:color w:val="1155CC"/>
          <w:u w:val="single"/>
        </w:rPr>
        <w:fldChar w:fldCharType="separate"/>
      </w:r>
      <w:r>
        <w:rPr>
          <w:color w:val="1155CC"/>
          <w:u w:val="single"/>
        </w:rPr>
        <w:t>https://www.worldbank.org/en/research/brief/global-inflation</w:t>
      </w:r>
      <w:r>
        <w:rPr>
          <w:color w:val="1155CC"/>
          <w:u w:val="single"/>
        </w:rPr>
        <w:fldChar w:fldCharType="end"/>
      </w:r>
      <w:r>
        <w:t xml:space="preserve"> (Accessed: 13 April 2026).</w:t>
      </w:r>
    </w:p>
    <w:p>
      <w:pPr>
        <w:spacing w:after="240"/>
      </w:pPr>
      <w:r>
        <w:t xml:space="preserve">Zhang, Y. (2022) ‘The Effectiveness of NPV and IRR Used in Fundamental Financial Markets’, </w:t>
      </w:r>
      <w:r>
        <w:rPr>
          <w:i/>
          <w:iCs/>
        </w:rPr>
        <w:t>Advances in Economics, Business and Management Research</w:t>
      </w:r>
      <w:r>
        <w:t xml:space="preserve">, 648, pp. 1208–1212. doi: </w:t>
      </w:r>
      <w:r>
        <w:rPr>
          <w:color w:val="1155CC"/>
          <w:u w:val="single"/>
        </w:rPr>
        <w:fldChar w:fldCharType="begin"/>
      </w:r>
      <w:r>
        <w:instrText>HYPERLINK "https://doi.org/10.2991/aebmr.k.220307.200"</w:instrText>
      </w:r>
      <w:r>
        <w:rPr>
          <w:color w:val="1155CC"/>
          <w:u w:val="single"/>
        </w:rPr>
        <w:fldChar w:fldCharType="separate"/>
      </w:r>
      <w:r>
        <w:rPr>
          <w:color w:val="1155CC"/>
          <w:u w:val="single"/>
        </w:rPr>
        <w:t>https://doi.org/10.2991/aebmr.k.220307.200</w:t>
      </w:r>
      <w:r>
        <w:rPr>
          <w:color w:val="1155CC"/>
          <w:u w:val="single"/>
        </w:rPr>
        <w:fldChar w:fldCharType="end"/>
      </w:r>
      <w:r>
        <w:t xml:space="preserve"> (Accessed: 05 April 2026).</w:t>
      </w:r>
    </w:p>
    <w:p/>
    <w:p>
      <w:r>
        <w:br w:type="page"/>
      </w:r>
    </w:p>
    <w:p>
      <w:pPr>
        <w:pStyle w:val="1"/>
      </w:pPr>
      <w:bookmarkStart w:id="46" w:name="_Toc227926904"/>
      <w:r>
        <w:t>Appendices</w:t>
      </w:r>
      <w:bookmarkEnd w:id="46"/>
    </w:p>
    <w:p>
      <w:pPr>
        <w:pStyle w:val="2"/>
      </w:pPr>
      <w:bookmarkStart w:id="47" w:name="_Toc227926905"/>
      <w:r>
        <w:t>Appendix 1: Profitability Ratios</w:t>
      </w:r>
      <w:bookmarkEnd w:id="47"/>
    </w:p>
    <w:p>
      <w:pPr>
        <w:jc w:val="center"/>
      </w:pPr>
      <w:r>
        <w:drawing>
          <wp:inline distT="114300" distB="114300" distL="114300" distR="114300">
            <wp:extent cx="4872038" cy="3010628"/>
            <wp:effectExtent l="0" t="0" r="0" b="0"/>
            <wp:docPr id="22" name="图片 22"/>
            <wp:cNvGraphicFramePr>
              <a:graphicFrameLocks noChangeAspect="0"/>
            </wp:cNvGraphicFramePr>
            <a:graphic>
              <a:graphicData uri="http://schemas.openxmlformats.org/drawingml/2006/picture">
                <pic:pic>
                  <pic:nvPicPr>
                    <pic:cNvPr id="24" name="图片 24"/>
                    <pic:cNvPicPr/>
                  </pic:nvPicPr>
                  <pic:blipFill>
                    <a:blip r:embed="rId12"/>
                    <a:stretch>
                      <a:fillRect/>
                    </a:stretch>
                  </pic:blipFill>
                  <pic:spPr>
                    <a:xfrm rot="0">
                      <a:off x="0" y="0"/>
                      <a:ext cx="4872038" cy="3010628"/>
                    </a:xfrm>
                    <a:prstGeom prst="rect"/>
                    <a:noFill/>
                    <a:ln w="12700" cmpd="sng" cap="flat">
                      <a:solidFill>
                        <a:srgbClr val="000000"/>
                      </a:solidFill>
                      <a:prstDash val="solid"/>
                      <a:round/>
                    </a:ln>
                  </pic:spPr>
                </pic:pic>
              </a:graphicData>
            </a:graphic>
          </wp:inline>
        </w:drawing>
      </w:r>
    </w:p>
    <w:p>
      <w:pPr>
        <w:pStyle w:val="4"/>
      </w:pPr>
      <w:bookmarkStart w:id="48" w:name="_Toc227926921"/>
      <w:r>
        <w:t>Figure 7: Profitability Ratios</w:t>
      </w:r>
      <w:bookmarkEnd w:id="48"/>
    </w:p>
    <w:p>
      <w:pPr>
        <w:jc w:val="center"/>
      </w:pPr>
      <w:r>
        <w:t>(Source: Tesla, 2025, 2023a, 2021)</w:t>
      </w:r>
    </w:p>
    <w:tbl>
      <w:tblPr>
        <w:jc w:val="left"/>
        <w:tblInd w:w="0" w:type="dxa"/>
        <w:tblW w:w="5000" w:type="pct"/>
        <w:tblBorders>
          <w:top w:val="none" w:sz="0" w:space="0" w:color="auto"/>
          <w:left w:val="none" w:sz="0" w:space="0" w:color="auto"/>
          <w:bottom w:val="none" w:sz="0" w:space="0" w:color="auto"/>
          <w:right w:val="none" w:sz="0" w:space="0" w:color="auto"/>
        </w:tblBorders>
        <w:tblCellMar>
          <w:top w:w="0" w:type="dxa"/>
          <w:left w:w="0" w:type="dxa"/>
          <w:bottom w:w="0" w:type="dxa"/>
          <w:right w:w="0" w:type="dxa"/>
        </w:tblCellMar>
      </w:tblPr>
      <w:tblGrid>
        <w:gridCol w:w="3762"/>
        <w:gridCol w:w="1050"/>
        <w:gridCol w:w="1051"/>
        <w:gridCol w:w="1051"/>
        <w:gridCol w:w="1051"/>
        <w:gridCol w:w="1051"/>
      </w:tblGrid>
      <w:tr>
        <w:trPr>
          <w:trHeight w:val="315"/>
        </w:trPr>
        <w:tc>
          <w:tcPr>
            <w:tcW w:w="2086" w:type="pct"/>
            <w:tcBorders>
              <w:top w:val="single" w:sz="5" w:space="0" w:color="000000"/>
              <w:left w:val="single" w:sz="5" w:space="0" w:color="000000"/>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b/>
                <w:bCs/>
                <w:sz w:val="20"/>
                <w:szCs w:val="20"/>
              </w:rPr>
              <w:t>Profitability Ratios</w:t>
            </w:r>
          </w:p>
        </w:tc>
        <w:tc>
          <w:tcPr>
            <w:tcW w:w="582" w:type="pct"/>
            <w:tcBorders>
              <w:top w:val="single" w:sz="5" w:space="0" w:color="000000"/>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b/>
                <w:bCs/>
                <w:sz w:val="20"/>
                <w:szCs w:val="20"/>
              </w:rPr>
              <w:t>2025 ($m)</w:t>
            </w:r>
          </w:p>
        </w:tc>
        <w:tc>
          <w:tcPr>
            <w:tcW w:w="583" w:type="pct"/>
            <w:tcBorders>
              <w:top w:val="single" w:sz="5" w:space="0" w:color="000000"/>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b/>
                <w:bCs/>
                <w:sz w:val="20"/>
                <w:szCs w:val="20"/>
              </w:rPr>
              <w:t>2024 ($m)</w:t>
            </w:r>
          </w:p>
        </w:tc>
        <w:tc>
          <w:tcPr>
            <w:tcW w:w="583" w:type="pct"/>
            <w:tcBorders>
              <w:top w:val="single" w:sz="5" w:space="0" w:color="000000"/>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b/>
                <w:bCs/>
                <w:sz w:val="20"/>
                <w:szCs w:val="20"/>
              </w:rPr>
              <w:t>2023 ($m)</w:t>
            </w:r>
          </w:p>
        </w:tc>
        <w:tc>
          <w:tcPr>
            <w:tcW w:w="583" w:type="pct"/>
            <w:tcBorders>
              <w:top w:val="single" w:sz="5" w:space="0" w:color="000000"/>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b/>
                <w:bCs/>
                <w:sz w:val="20"/>
                <w:szCs w:val="20"/>
              </w:rPr>
              <w:t>2022 ($m)</w:t>
            </w:r>
          </w:p>
        </w:tc>
        <w:tc>
          <w:tcPr>
            <w:tcW w:w="583" w:type="pct"/>
            <w:tcBorders>
              <w:top w:val="single" w:sz="5" w:space="0" w:color="000000"/>
              <w:left w:val="nil"/>
              <w:bottom w:val="nil"/>
              <w:right w:val="single" w:sz="5" w:space="0" w:color="000000"/>
            </w:tcBorders>
            <w:tcMar>
              <w:top w:w="40" w:type="dxa"/>
              <w:left w:w="40" w:type="dxa"/>
              <w:bottom w:w="40" w:type="dxa"/>
              <w:right w:w="40" w:type="dxa"/>
            </w:tcMar>
            <w:vAlign w:val="bottom"/>
          </w:tcPr>
          <w:p>
            <w:pPr>
              <w:widowControl w:val="0"/>
              <w:spacing w:line="276" w:lineRule="auto"/>
              <w:jc w:val="center"/>
              <w:rPr>
                <w:sz w:val="20"/>
                <w:szCs w:val="20"/>
              </w:rPr>
            </w:pPr>
            <w:r>
              <w:rPr>
                <w:b/>
                <w:bCs/>
                <w:sz w:val="20"/>
                <w:szCs w:val="20"/>
              </w:rPr>
              <w:t>2021 ($m)</w:t>
            </w:r>
          </w:p>
        </w:tc>
      </w:tr>
      <w:tr>
        <w:trPr>
          <w:trHeight w:val="315"/>
        </w:trPr>
        <w:tc>
          <w:tcPr>
            <w:tcW w:w="2086"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left"/>
              <w:rPr>
                <w:sz w:val="20"/>
                <w:szCs w:val="20"/>
              </w:rPr>
            </w:pPr>
            <w:r>
              <w:rPr>
                <w:sz w:val="20"/>
                <w:szCs w:val="20"/>
              </w:rPr>
              <w:t>Gross Profit</w:t>
            </w:r>
          </w:p>
        </w:tc>
        <w:tc>
          <w:tcPr>
            <w:tcW w:w="582"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17,094</w:t>
            </w:r>
          </w:p>
        </w:tc>
        <w:tc>
          <w:tcPr>
            <w:tcW w:w="583"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17,450</w:t>
            </w:r>
          </w:p>
        </w:tc>
        <w:tc>
          <w:tcPr>
            <w:tcW w:w="583"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17,660</w:t>
            </w:r>
          </w:p>
        </w:tc>
        <w:tc>
          <w:tcPr>
            <w:tcW w:w="583"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20,853</w:t>
            </w:r>
          </w:p>
        </w:tc>
        <w:tc>
          <w:tcPr>
            <w:tcW w:w="583" w:type="pct"/>
            <w:tcBorders>
              <w:top w:val="nil"/>
              <w:left w:val="nil"/>
              <w:bottom w:val="nil"/>
              <w:right w:val="single" w:sz="5" w:space="0" w:color="000000"/>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13,606</w:t>
            </w:r>
          </w:p>
        </w:tc>
      </w:tr>
      <w:tr>
        <w:trPr>
          <w:trHeight w:val="315"/>
        </w:trPr>
        <w:tc>
          <w:tcPr>
            <w:tcW w:w="2086"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left"/>
              <w:rPr>
                <w:sz w:val="20"/>
                <w:szCs w:val="20"/>
              </w:rPr>
            </w:pPr>
            <w:r>
              <w:rPr>
                <w:sz w:val="20"/>
                <w:szCs w:val="20"/>
              </w:rPr>
              <w:t>Sales</w:t>
            </w:r>
          </w:p>
        </w:tc>
        <w:tc>
          <w:tcPr>
            <w:tcW w:w="582"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94,827</w:t>
            </w:r>
          </w:p>
        </w:tc>
        <w:tc>
          <w:tcPr>
            <w:tcW w:w="583"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97,690</w:t>
            </w:r>
          </w:p>
        </w:tc>
        <w:tc>
          <w:tcPr>
            <w:tcW w:w="583"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96,773</w:t>
            </w:r>
          </w:p>
        </w:tc>
        <w:tc>
          <w:tcPr>
            <w:tcW w:w="583"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81,462</w:t>
            </w:r>
          </w:p>
        </w:tc>
        <w:tc>
          <w:tcPr>
            <w:tcW w:w="583" w:type="pct"/>
            <w:tcBorders>
              <w:top w:val="nil"/>
              <w:left w:val="nil"/>
              <w:bottom w:val="nil"/>
              <w:right w:val="single" w:sz="5" w:space="0" w:color="000000"/>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53,823</w:t>
            </w:r>
          </w:p>
        </w:tc>
      </w:tr>
      <w:tr>
        <w:trPr>
          <w:trHeight w:val="315"/>
        </w:trPr>
        <w:tc>
          <w:tcPr>
            <w:tcW w:w="2086"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left"/>
              <w:rPr>
                <w:sz w:val="20"/>
                <w:szCs w:val="20"/>
              </w:rPr>
            </w:pPr>
            <w:r>
              <w:rPr>
                <w:b/>
                <w:bCs/>
                <w:i/>
                <w:iCs/>
                <w:sz w:val="20"/>
                <w:szCs w:val="20"/>
              </w:rPr>
              <w:t>Gross Profit Margin</w:t>
            </w:r>
          </w:p>
        </w:tc>
        <w:tc>
          <w:tcPr>
            <w:tcW w:w="582"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b/>
                <w:bCs/>
                <w:i/>
                <w:iCs/>
                <w:sz w:val="20"/>
                <w:szCs w:val="20"/>
              </w:rPr>
              <w:t>18.03%</w:t>
            </w:r>
          </w:p>
        </w:tc>
        <w:tc>
          <w:tcPr>
            <w:tcW w:w="583"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b/>
                <w:bCs/>
                <w:i/>
                <w:iCs/>
                <w:sz w:val="20"/>
                <w:szCs w:val="20"/>
              </w:rPr>
              <w:t>17.86%</w:t>
            </w:r>
          </w:p>
        </w:tc>
        <w:tc>
          <w:tcPr>
            <w:tcW w:w="583"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b/>
                <w:bCs/>
                <w:i/>
                <w:iCs/>
                <w:sz w:val="20"/>
                <w:szCs w:val="20"/>
              </w:rPr>
              <w:t>18.25%</w:t>
            </w:r>
          </w:p>
        </w:tc>
        <w:tc>
          <w:tcPr>
            <w:tcW w:w="583"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b/>
                <w:bCs/>
                <w:i/>
                <w:iCs/>
                <w:sz w:val="20"/>
                <w:szCs w:val="20"/>
              </w:rPr>
              <w:t>25.60%</w:t>
            </w:r>
          </w:p>
        </w:tc>
        <w:tc>
          <w:tcPr>
            <w:tcW w:w="583" w:type="pct"/>
            <w:tcBorders>
              <w:top w:val="nil"/>
              <w:left w:val="nil"/>
              <w:bottom w:val="nil"/>
              <w:right w:val="single" w:sz="5" w:space="0" w:color="000000"/>
            </w:tcBorders>
            <w:tcMar>
              <w:top w:w="40" w:type="dxa"/>
              <w:left w:w="40" w:type="dxa"/>
              <w:bottom w:w="40" w:type="dxa"/>
              <w:right w:w="40" w:type="dxa"/>
            </w:tcMar>
            <w:vAlign w:val="bottom"/>
          </w:tcPr>
          <w:p>
            <w:pPr>
              <w:widowControl w:val="0"/>
              <w:spacing w:line="276" w:lineRule="auto"/>
              <w:jc w:val="right"/>
              <w:rPr>
                <w:sz w:val="20"/>
                <w:szCs w:val="20"/>
              </w:rPr>
            </w:pPr>
            <w:r>
              <w:rPr>
                <w:b/>
                <w:bCs/>
                <w:i/>
                <w:iCs/>
                <w:sz w:val="20"/>
                <w:szCs w:val="20"/>
              </w:rPr>
              <w:t>25.28%</w:t>
            </w:r>
          </w:p>
        </w:tc>
      </w:tr>
      <w:tr>
        <w:trPr>
          <w:trHeight w:val="315"/>
        </w:trPr>
        <w:tc>
          <w:tcPr>
            <w:tcW w:w="2086"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left"/>
              <w:rPr>
                <w:sz w:val="20"/>
                <w:szCs w:val="20"/>
              </w:rPr>
            </w:pPr>
            <w:r>
              <w:rPr>
                <w:i/>
                <w:iCs/>
                <w:sz w:val="20"/>
                <w:szCs w:val="20"/>
              </w:rPr>
              <w:t>Formula: Gross Profit​ / Sales</w:t>
            </w:r>
          </w:p>
        </w:tc>
        <w:tc>
          <w:tcPr>
            <w:tcW w:w="582" w:type="pct"/>
            <w:tcBorders>
              <w:top w:val="nil"/>
              <w:left w:val="nil"/>
              <w:bottom w:val="nil"/>
              <w:right w:val="nil"/>
            </w:tcBorders>
            <w:tcMar>
              <w:top w:w="40" w:type="dxa"/>
              <w:left w:w="40" w:type="dxa"/>
              <w:bottom w:w="40" w:type="dxa"/>
              <w:right w:w="40" w:type="dxa"/>
            </w:tcMar>
            <w:vAlign w:val="bottom"/>
          </w:tcPr>
          <w:p>
            <w:pPr>
              <w:widowControl w:val="0"/>
              <w:spacing w:line="276" w:lineRule="auto"/>
              <w:jc w:val="left"/>
              <w:rPr>
                <w:sz w:val="20"/>
                <w:szCs w:val="20"/>
              </w:rPr>
            </w:pPr>
          </w:p>
        </w:tc>
        <w:tc>
          <w:tcPr>
            <w:tcW w:w="583" w:type="pct"/>
            <w:tcBorders>
              <w:top w:val="nil"/>
              <w:left w:val="nil"/>
              <w:bottom w:val="nil"/>
              <w:right w:val="nil"/>
            </w:tcBorders>
            <w:tcMar>
              <w:top w:w="40" w:type="dxa"/>
              <w:left w:w="40" w:type="dxa"/>
              <w:bottom w:w="40" w:type="dxa"/>
              <w:right w:w="40" w:type="dxa"/>
            </w:tcMar>
            <w:vAlign w:val="bottom"/>
          </w:tcPr>
          <w:p>
            <w:pPr>
              <w:widowControl w:val="0"/>
              <w:spacing w:line="276" w:lineRule="auto"/>
              <w:jc w:val="left"/>
              <w:rPr>
                <w:sz w:val="20"/>
                <w:szCs w:val="20"/>
              </w:rPr>
            </w:pPr>
          </w:p>
        </w:tc>
        <w:tc>
          <w:tcPr>
            <w:tcW w:w="583" w:type="pct"/>
            <w:tcBorders>
              <w:top w:val="nil"/>
              <w:left w:val="nil"/>
              <w:bottom w:val="nil"/>
              <w:right w:val="nil"/>
            </w:tcBorders>
            <w:tcMar>
              <w:top w:w="40" w:type="dxa"/>
              <w:left w:w="40" w:type="dxa"/>
              <w:bottom w:w="40" w:type="dxa"/>
              <w:right w:w="40" w:type="dxa"/>
            </w:tcMar>
            <w:vAlign w:val="bottom"/>
          </w:tcPr>
          <w:p>
            <w:pPr>
              <w:widowControl w:val="0"/>
              <w:spacing w:line="276" w:lineRule="auto"/>
              <w:jc w:val="left"/>
              <w:rPr>
                <w:sz w:val="20"/>
                <w:szCs w:val="20"/>
              </w:rPr>
            </w:pPr>
          </w:p>
        </w:tc>
        <w:tc>
          <w:tcPr>
            <w:tcW w:w="583" w:type="pct"/>
            <w:tcBorders>
              <w:top w:val="nil"/>
              <w:left w:val="nil"/>
              <w:bottom w:val="nil"/>
              <w:right w:val="nil"/>
            </w:tcBorders>
            <w:tcMar>
              <w:top w:w="40" w:type="dxa"/>
              <w:left w:w="40" w:type="dxa"/>
              <w:bottom w:w="40" w:type="dxa"/>
              <w:right w:w="40" w:type="dxa"/>
            </w:tcMar>
            <w:vAlign w:val="bottom"/>
          </w:tcPr>
          <w:p>
            <w:pPr>
              <w:widowControl w:val="0"/>
              <w:spacing w:line="276" w:lineRule="auto"/>
              <w:jc w:val="left"/>
              <w:rPr>
                <w:sz w:val="20"/>
                <w:szCs w:val="20"/>
              </w:rPr>
            </w:pPr>
          </w:p>
        </w:tc>
        <w:tc>
          <w:tcPr>
            <w:tcW w:w="583" w:type="pct"/>
            <w:tcBorders>
              <w:top w:val="nil"/>
              <w:left w:val="nil"/>
              <w:bottom w:val="nil"/>
              <w:right w:val="single" w:sz="5" w:space="0" w:color="000000"/>
            </w:tcBorders>
            <w:tcMar>
              <w:top w:w="40" w:type="dxa"/>
              <w:left w:w="40" w:type="dxa"/>
              <w:bottom w:w="40" w:type="dxa"/>
              <w:right w:w="40" w:type="dxa"/>
            </w:tcMar>
            <w:vAlign w:val="bottom"/>
          </w:tcPr>
          <w:p>
            <w:pPr>
              <w:widowControl w:val="0"/>
              <w:spacing w:line="276" w:lineRule="auto"/>
              <w:jc w:val="left"/>
              <w:rPr>
                <w:sz w:val="20"/>
                <w:szCs w:val="20"/>
              </w:rPr>
            </w:pPr>
          </w:p>
        </w:tc>
      </w:tr>
      <w:tr>
        <w:trPr>
          <w:trHeight w:val="315"/>
        </w:trPr>
        <w:tc>
          <w:tcPr>
            <w:tcW w:w="2086"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left"/>
              <w:rPr>
                <w:sz w:val="20"/>
                <w:szCs w:val="20"/>
              </w:rPr>
            </w:pPr>
            <w:r>
              <w:rPr>
                <w:sz w:val="20"/>
                <w:szCs w:val="20"/>
              </w:rPr>
              <w:t>EBIT</w:t>
            </w:r>
          </w:p>
        </w:tc>
        <w:tc>
          <w:tcPr>
            <w:tcW w:w="582"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4,355</w:t>
            </w:r>
          </w:p>
        </w:tc>
        <w:tc>
          <w:tcPr>
            <w:tcW w:w="583"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7,076</w:t>
            </w:r>
          </w:p>
        </w:tc>
        <w:tc>
          <w:tcPr>
            <w:tcW w:w="583"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8,891</w:t>
            </w:r>
          </w:p>
        </w:tc>
        <w:tc>
          <w:tcPr>
            <w:tcW w:w="583"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13,656</w:t>
            </w:r>
          </w:p>
        </w:tc>
        <w:tc>
          <w:tcPr>
            <w:tcW w:w="583" w:type="pct"/>
            <w:tcBorders>
              <w:top w:val="nil"/>
              <w:left w:val="nil"/>
              <w:bottom w:val="nil"/>
              <w:right w:val="single" w:sz="5" w:space="0" w:color="000000"/>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6,523</w:t>
            </w:r>
          </w:p>
        </w:tc>
      </w:tr>
      <w:tr>
        <w:trPr>
          <w:trHeight w:val="315"/>
        </w:trPr>
        <w:tc>
          <w:tcPr>
            <w:tcW w:w="2086"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left"/>
              <w:rPr>
                <w:sz w:val="20"/>
                <w:szCs w:val="20"/>
              </w:rPr>
            </w:pPr>
            <w:r>
              <w:rPr>
                <w:sz w:val="20"/>
                <w:szCs w:val="20"/>
              </w:rPr>
              <w:t>Sales</w:t>
            </w:r>
          </w:p>
        </w:tc>
        <w:tc>
          <w:tcPr>
            <w:tcW w:w="582"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94,827</w:t>
            </w:r>
          </w:p>
        </w:tc>
        <w:tc>
          <w:tcPr>
            <w:tcW w:w="583"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97,690</w:t>
            </w:r>
          </w:p>
        </w:tc>
        <w:tc>
          <w:tcPr>
            <w:tcW w:w="583"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96,773</w:t>
            </w:r>
          </w:p>
        </w:tc>
        <w:tc>
          <w:tcPr>
            <w:tcW w:w="583"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81,462</w:t>
            </w:r>
          </w:p>
        </w:tc>
        <w:tc>
          <w:tcPr>
            <w:tcW w:w="583" w:type="pct"/>
            <w:tcBorders>
              <w:top w:val="nil"/>
              <w:left w:val="nil"/>
              <w:bottom w:val="nil"/>
              <w:right w:val="single" w:sz="5" w:space="0" w:color="000000"/>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53,823</w:t>
            </w:r>
          </w:p>
        </w:tc>
      </w:tr>
      <w:tr>
        <w:trPr>
          <w:trHeight w:val="315"/>
        </w:trPr>
        <w:tc>
          <w:tcPr>
            <w:tcW w:w="2086"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left"/>
              <w:rPr>
                <w:sz w:val="20"/>
                <w:szCs w:val="20"/>
              </w:rPr>
            </w:pPr>
            <w:r>
              <w:rPr>
                <w:b/>
                <w:bCs/>
                <w:i/>
                <w:iCs/>
                <w:sz w:val="20"/>
                <w:szCs w:val="20"/>
              </w:rPr>
              <w:t>Operating Margin</w:t>
            </w:r>
          </w:p>
        </w:tc>
        <w:tc>
          <w:tcPr>
            <w:tcW w:w="582"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b/>
                <w:bCs/>
                <w:i/>
                <w:iCs/>
                <w:sz w:val="20"/>
                <w:szCs w:val="20"/>
              </w:rPr>
              <w:t>4.59%</w:t>
            </w:r>
          </w:p>
        </w:tc>
        <w:tc>
          <w:tcPr>
            <w:tcW w:w="583"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b/>
                <w:bCs/>
                <w:i/>
                <w:iCs/>
                <w:sz w:val="20"/>
                <w:szCs w:val="20"/>
              </w:rPr>
              <w:t>7.24%</w:t>
            </w:r>
          </w:p>
        </w:tc>
        <w:tc>
          <w:tcPr>
            <w:tcW w:w="583"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b/>
                <w:bCs/>
                <w:i/>
                <w:iCs/>
                <w:sz w:val="20"/>
                <w:szCs w:val="20"/>
              </w:rPr>
              <w:t>9.19%</w:t>
            </w:r>
          </w:p>
        </w:tc>
        <w:tc>
          <w:tcPr>
            <w:tcW w:w="583"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b/>
                <w:bCs/>
                <w:i/>
                <w:iCs/>
                <w:sz w:val="20"/>
                <w:szCs w:val="20"/>
              </w:rPr>
              <w:t>16.76%</w:t>
            </w:r>
          </w:p>
        </w:tc>
        <w:tc>
          <w:tcPr>
            <w:tcW w:w="583" w:type="pct"/>
            <w:tcBorders>
              <w:top w:val="nil"/>
              <w:left w:val="nil"/>
              <w:bottom w:val="nil"/>
              <w:right w:val="single" w:sz="5" w:space="0" w:color="000000"/>
            </w:tcBorders>
            <w:tcMar>
              <w:top w:w="40" w:type="dxa"/>
              <w:left w:w="40" w:type="dxa"/>
              <w:bottom w:w="40" w:type="dxa"/>
              <w:right w:w="40" w:type="dxa"/>
            </w:tcMar>
            <w:vAlign w:val="bottom"/>
          </w:tcPr>
          <w:p>
            <w:pPr>
              <w:widowControl w:val="0"/>
              <w:spacing w:line="276" w:lineRule="auto"/>
              <w:jc w:val="right"/>
              <w:rPr>
                <w:sz w:val="20"/>
                <w:szCs w:val="20"/>
              </w:rPr>
            </w:pPr>
            <w:r>
              <w:rPr>
                <w:b/>
                <w:bCs/>
                <w:i/>
                <w:iCs/>
                <w:sz w:val="20"/>
                <w:szCs w:val="20"/>
              </w:rPr>
              <w:t>12.12%</w:t>
            </w:r>
          </w:p>
        </w:tc>
      </w:tr>
      <w:tr>
        <w:trPr>
          <w:trHeight w:val="315"/>
        </w:trPr>
        <w:tc>
          <w:tcPr>
            <w:tcW w:w="2086"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left"/>
              <w:rPr>
                <w:sz w:val="20"/>
                <w:szCs w:val="20"/>
              </w:rPr>
            </w:pPr>
            <w:r>
              <w:rPr>
                <w:i/>
                <w:iCs/>
                <w:sz w:val="20"/>
                <w:szCs w:val="20"/>
              </w:rPr>
              <w:t>Formula: EBIT / Sales</w:t>
            </w:r>
          </w:p>
        </w:tc>
        <w:tc>
          <w:tcPr>
            <w:tcW w:w="582" w:type="pct"/>
            <w:tcBorders>
              <w:top w:val="nil"/>
              <w:left w:val="nil"/>
              <w:bottom w:val="nil"/>
              <w:right w:val="nil"/>
            </w:tcBorders>
            <w:tcMar>
              <w:top w:w="40" w:type="dxa"/>
              <w:left w:w="40" w:type="dxa"/>
              <w:bottom w:w="40" w:type="dxa"/>
              <w:right w:w="40" w:type="dxa"/>
            </w:tcMar>
            <w:vAlign w:val="bottom"/>
          </w:tcPr>
          <w:p>
            <w:pPr>
              <w:widowControl w:val="0"/>
              <w:spacing w:line="276" w:lineRule="auto"/>
              <w:jc w:val="left"/>
              <w:rPr>
                <w:sz w:val="20"/>
                <w:szCs w:val="20"/>
              </w:rPr>
            </w:pPr>
          </w:p>
        </w:tc>
        <w:tc>
          <w:tcPr>
            <w:tcW w:w="583" w:type="pct"/>
            <w:tcBorders>
              <w:top w:val="nil"/>
              <w:left w:val="nil"/>
              <w:bottom w:val="nil"/>
              <w:right w:val="nil"/>
            </w:tcBorders>
            <w:tcMar>
              <w:top w:w="40" w:type="dxa"/>
              <w:left w:w="40" w:type="dxa"/>
              <w:bottom w:w="40" w:type="dxa"/>
              <w:right w:w="40" w:type="dxa"/>
            </w:tcMar>
            <w:vAlign w:val="bottom"/>
          </w:tcPr>
          <w:p>
            <w:pPr>
              <w:widowControl w:val="0"/>
              <w:spacing w:line="276" w:lineRule="auto"/>
              <w:jc w:val="left"/>
              <w:rPr>
                <w:sz w:val="20"/>
                <w:szCs w:val="20"/>
              </w:rPr>
            </w:pPr>
          </w:p>
        </w:tc>
        <w:tc>
          <w:tcPr>
            <w:tcW w:w="583" w:type="pct"/>
            <w:tcBorders>
              <w:top w:val="nil"/>
              <w:left w:val="nil"/>
              <w:bottom w:val="nil"/>
              <w:right w:val="nil"/>
            </w:tcBorders>
            <w:tcMar>
              <w:top w:w="40" w:type="dxa"/>
              <w:left w:w="40" w:type="dxa"/>
              <w:bottom w:w="40" w:type="dxa"/>
              <w:right w:w="40" w:type="dxa"/>
            </w:tcMar>
            <w:vAlign w:val="bottom"/>
          </w:tcPr>
          <w:p>
            <w:pPr>
              <w:widowControl w:val="0"/>
              <w:spacing w:line="276" w:lineRule="auto"/>
              <w:jc w:val="left"/>
              <w:rPr>
                <w:sz w:val="20"/>
                <w:szCs w:val="20"/>
              </w:rPr>
            </w:pPr>
          </w:p>
        </w:tc>
        <w:tc>
          <w:tcPr>
            <w:tcW w:w="583" w:type="pct"/>
            <w:tcBorders>
              <w:top w:val="nil"/>
              <w:left w:val="nil"/>
              <w:bottom w:val="nil"/>
              <w:right w:val="nil"/>
            </w:tcBorders>
            <w:tcMar>
              <w:top w:w="40" w:type="dxa"/>
              <w:left w:w="40" w:type="dxa"/>
              <w:bottom w:w="40" w:type="dxa"/>
              <w:right w:w="40" w:type="dxa"/>
            </w:tcMar>
            <w:vAlign w:val="bottom"/>
          </w:tcPr>
          <w:p>
            <w:pPr>
              <w:widowControl w:val="0"/>
              <w:spacing w:line="276" w:lineRule="auto"/>
              <w:jc w:val="left"/>
              <w:rPr>
                <w:sz w:val="20"/>
                <w:szCs w:val="20"/>
              </w:rPr>
            </w:pPr>
          </w:p>
        </w:tc>
        <w:tc>
          <w:tcPr>
            <w:tcW w:w="583" w:type="pct"/>
            <w:tcBorders>
              <w:top w:val="nil"/>
              <w:left w:val="nil"/>
              <w:bottom w:val="nil"/>
              <w:right w:val="single" w:sz="5" w:space="0" w:color="000000"/>
            </w:tcBorders>
            <w:tcMar>
              <w:top w:w="40" w:type="dxa"/>
              <w:left w:w="40" w:type="dxa"/>
              <w:bottom w:w="40" w:type="dxa"/>
              <w:right w:w="40" w:type="dxa"/>
            </w:tcMar>
            <w:vAlign w:val="bottom"/>
          </w:tcPr>
          <w:p>
            <w:pPr>
              <w:widowControl w:val="0"/>
              <w:spacing w:line="276" w:lineRule="auto"/>
              <w:jc w:val="left"/>
              <w:rPr>
                <w:sz w:val="20"/>
                <w:szCs w:val="20"/>
              </w:rPr>
            </w:pPr>
          </w:p>
        </w:tc>
      </w:tr>
      <w:tr>
        <w:trPr>
          <w:trHeight w:val="315"/>
        </w:trPr>
        <w:tc>
          <w:tcPr>
            <w:tcW w:w="2086"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left"/>
              <w:rPr>
                <w:sz w:val="20"/>
                <w:szCs w:val="20"/>
              </w:rPr>
            </w:pPr>
            <w:r>
              <w:rPr>
                <w:sz w:val="20"/>
                <w:szCs w:val="20"/>
              </w:rPr>
              <w:t>Net Income</w:t>
            </w:r>
          </w:p>
        </w:tc>
        <w:tc>
          <w:tcPr>
            <w:tcW w:w="582"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3,855</w:t>
            </w:r>
          </w:p>
        </w:tc>
        <w:tc>
          <w:tcPr>
            <w:tcW w:w="583"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7,153</w:t>
            </w:r>
          </w:p>
        </w:tc>
        <w:tc>
          <w:tcPr>
            <w:tcW w:w="583"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14,997</w:t>
            </w:r>
          </w:p>
        </w:tc>
        <w:tc>
          <w:tcPr>
            <w:tcW w:w="583"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12,556</w:t>
            </w:r>
          </w:p>
        </w:tc>
        <w:tc>
          <w:tcPr>
            <w:tcW w:w="583" w:type="pct"/>
            <w:tcBorders>
              <w:top w:val="nil"/>
              <w:left w:val="nil"/>
              <w:bottom w:val="nil"/>
              <w:right w:val="single" w:sz="5" w:space="0" w:color="000000"/>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5,644</w:t>
            </w:r>
          </w:p>
        </w:tc>
      </w:tr>
      <w:tr>
        <w:trPr>
          <w:trHeight w:val="315"/>
        </w:trPr>
        <w:tc>
          <w:tcPr>
            <w:tcW w:w="2086"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left"/>
              <w:rPr>
                <w:sz w:val="20"/>
                <w:szCs w:val="20"/>
              </w:rPr>
            </w:pPr>
            <w:r>
              <w:rPr>
                <w:sz w:val="20"/>
                <w:szCs w:val="20"/>
              </w:rPr>
              <w:t>Sales</w:t>
            </w:r>
          </w:p>
        </w:tc>
        <w:tc>
          <w:tcPr>
            <w:tcW w:w="582"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94,827</w:t>
            </w:r>
          </w:p>
        </w:tc>
        <w:tc>
          <w:tcPr>
            <w:tcW w:w="583"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97,690</w:t>
            </w:r>
          </w:p>
        </w:tc>
        <w:tc>
          <w:tcPr>
            <w:tcW w:w="583"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96,773</w:t>
            </w:r>
          </w:p>
        </w:tc>
        <w:tc>
          <w:tcPr>
            <w:tcW w:w="583"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81,462</w:t>
            </w:r>
          </w:p>
        </w:tc>
        <w:tc>
          <w:tcPr>
            <w:tcW w:w="583" w:type="pct"/>
            <w:tcBorders>
              <w:top w:val="nil"/>
              <w:left w:val="nil"/>
              <w:bottom w:val="nil"/>
              <w:right w:val="single" w:sz="5" w:space="0" w:color="000000"/>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53,823</w:t>
            </w:r>
          </w:p>
        </w:tc>
      </w:tr>
      <w:tr>
        <w:trPr>
          <w:trHeight w:val="315"/>
        </w:trPr>
        <w:tc>
          <w:tcPr>
            <w:tcW w:w="2086"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left"/>
              <w:rPr>
                <w:sz w:val="20"/>
                <w:szCs w:val="20"/>
              </w:rPr>
            </w:pPr>
            <w:r>
              <w:rPr>
                <w:b/>
                <w:bCs/>
                <w:i/>
                <w:iCs/>
                <w:sz w:val="20"/>
                <w:szCs w:val="20"/>
              </w:rPr>
              <w:t>Net Profit Margin</w:t>
            </w:r>
          </w:p>
        </w:tc>
        <w:tc>
          <w:tcPr>
            <w:tcW w:w="582"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b/>
                <w:bCs/>
                <w:i/>
                <w:iCs/>
                <w:sz w:val="20"/>
                <w:szCs w:val="20"/>
              </w:rPr>
              <w:t>4.07%</w:t>
            </w:r>
          </w:p>
        </w:tc>
        <w:tc>
          <w:tcPr>
            <w:tcW w:w="583"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b/>
                <w:bCs/>
                <w:i/>
                <w:iCs/>
                <w:sz w:val="20"/>
                <w:szCs w:val="20"/>
              </w:rPr>
              <w:t>7.32%</w:t>
            </w:r>
          </w:p>
        </w:tc>
        <w:tc>
          <w:tcPr>
            <w:tcW w:w="583"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b/>
                <w:bCs/>
                <w:i/>
                <w:iCs/>
                <w:sz w:val="20"/>
                <w:szCs w:val="20"/>
              </w:rPr>
              <w:t>15.50%</w:t>
            </w:r>
          </w:p>
        </w:tc>
        <w:tc>
          <w:tcPr>
            <w:tcW w:w="583"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b/>
                <w:bCs/>
                <w:i/>
                <w:iCs/>
                <w:sz w:val="20"/>
                <w:szCs w:val="20"/>
              </w:rPr>
              <w:t>15.41%</w:t>
            </w:r>
          </w:p>
        </w:tc>
        <w:tc>
          <w:tcPr>
            <w:tcW w:w="583" w:type="pct"/>
            <w:tcBorders>
              <w:top w:val="nil"/>
              <w:left w:val="nil"/>
              <w:bottom w:val="nil"/>
              <w:right w:val="single" w:sz="5" w:space="0" w:color="000000"/>
            </w:tcBorders>
            <w:tcMar>
              <w:top w:w="40" w:type="dxa"/>
              <w:left w:w="40" w:type="dxa"/>
              <w:bottom w:w="40" w:type="dxa"/>
              <w:right w:w="40" w:type="dxa"/>
            </w:tcMar>
            <w:vAlign w:val="bottom"/>
          </w:tcPr>
          <w:p>
            <w:pPr>
              <w:widowControl w:val="0"/>
              <w:spacing w:line="276" w:lineRule="auto"/>
              <w:jc w:val="right"/>
              <w:rPr>
                <w:sz w:val="20"/>
                <w:szCs w:val="20"/>
              </w:rPr>
            </w:pPr>
            <w:r>
              <w:rPr>
                <w:b/>
                <w:bCs/>
                <w:i/>
                <w:iCs/>
                <w:sz w:val="20"/>
                <w:szCs w:val="20"/>
              </w:rPr>
              <w:t>10.49%</w:t>
            </w:r>
          </w:p>
        </w:tc>
      </w:tr>
      <w:tr>
        <w:trPr>
          <w:trHeight w:val="315"/>
        </w:trPr>
        <w:tc>
          <w:tcPr>
            <w:tcW w:w="2086"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left"/>
              <w:rPr>
                <w:sz w:val="20"/>
                <w:szCs w:val="20"/>
              </w:rPr>
            </w:pPr>
            <w:r>
              <w:rPr>
                <w:i/>
                <w:iCs/>
                <w:sz w:val="20"/>
                <w:szCs w:val="20"/>
              </w:rPr>
              <w:t>Formula: Net Income / Sales</w:t>
            </w:r>
          </w:p>
        </w:tc>
        <w:tc>
          <w:tcPr>
            <w:tcW w:w="582" w:type="pct"/>
            <w:tcBorders>
              <w:top w:val="nil"/>
              <w:left w:val="nil"/>
              <w:bottom w:val="nil"/>
              <w:right w:val="nil"/>
            </w:tcBorders>
            <w:tcMar>
              <w:top w:w="40" w:type="dxa"/>
              <w:left w:w="40" w:type="dxa"/>
              <w:bottom w:w="40" w:type="dxa"/>
              <w:right w:w="40" w:type="dxa"/>
            </w:tcMar>
            <w:vAlign w:val="bottom"/>
          </w:tcPr>
          <w:p>
            <w:pPr>
              <w:widowControl w:val="0"/>
              <w:spacing w:line="276" w:lineRule="auto"/>
              <w:jc w:val="left"/>
              <w:rPr>
                <w:sz w:val="20"/>
                <w:szCs w:val="20"/>
              </w:rPr>
            </w:pPr>
          </w:p>
        </w:tc>
        <w:tc>
          <w:tcPr>
            <w:tcW w:w="583" w:type="pct"/>
            <w:tcBorders>
              <w:top w:val="nil"/>
              <w:left w:val="nil"/>
              <w:bottom w:val="nil"/>
              <w:right w:val="nil"/>
            </w:tcBorders>
            <w:tcMar>
              <w:top w:w="40" w:type="dxa"/>
              <w:left w:w="40" w:type="dxa"/>
              <w:bottom w:w="40" w:type="dxa"/>
              <w:right w:w="40" w:type="dxa"/>
            </w:tcMar>
            <w:vAlign w:val="bottom"/>
          </w:tcPr>
          <w:p>
            <w:pPr>
              <w:widowControl w:val="0"/>
              <w:spacing w:line="276" w:lineRule="auto"/>
              <w:jc w:val="left"/>
              <w:rPr>
                <w:sz w:val="20"/>
                <w:szCs w:val="20"/>
              </w:rPr>
            </w:pPr>
          </w:p>
        </w:tc>
        <w:tc>
          <w:tcPr>
            <w:tcW w:w="583" w:type="pct"/>
            <w:tcBorders>
              <w:top w:val="nil"/>
              <w:left w:val="nil"/>
              <w:bottom w:val="nil"/>
              <w:right w:val="nil"/>
            </w:tcBorders>
            <w:tcMar>
              <w:top w:w="40" w:type="dxa"/>
              <w:left w:w="40" w:type="dxa"/>
              <w:bottom w:w="40" w:type="dxa"/>
              <w:right w:w="40" w:type="dxa"/>
            </w:tcMar>
            <w:vAlign w:val="bottom"/>
          </w:tcPr>
          <w:p>
            <w:pPr>
              <w:widowControl w:val="0"/>
              <w:spacing w:line="276" w:lineRule="auto"/>
              <w:jc w:val="left"/>
              <w:rPr>
                <w:sz w:val="20"/>
                <w:szCs w:val="20"/>
              </w:rPr>
            </w:pPr>
          </w:p>
        </w:tc>
        <w:tc>
          <w:tcPr>
            <w:tcW w:w="583" w:type="pct"/>
            <w:tcBorders>
              <w:top w:val="nil"/>
              <w:left w:val="nil"/>
              <w:bottom w:val="nil"/>
              <w:right w:val="nil"/>
            </w:tcBorders>
            <w:tcMar>
              <w:top w:w="40" w:type="dxa"/>
              <w:left w:w="40" w:type="dxa"/>
              <w:bottom w:w="40" w:type="dxa"/>
              <w:right w:w="40" w:type="dxa"/>
            </w:tcMar>
            <w:vAlign w:val="bottom"/>
          </w:tcPr>
          <w:p>
            <w:pPr>
              <w:widowControl w:val="0"/>
              <w:spacing w:line="276" w:lineRule="auto"/>
              <w:jc w:val="left"/>
              <w:rPr>
                <w:sz w:val="20"/>
                <w:szCs w:val="20"/>
              </w:rPr>
            </w:pPr>
          </w:p>
        </w:tc>
        <w:tc>
          <w:tcPr>
            <w:tcW w:w="583" w:type="pct"/>
            <w:tcBorders>
              <w:top w:val="nil"/>
              <w:left w:val="nil"/>
              <w:bottom w:val="nil"/>
              <w:right w:val="single" w:sz="5" w:space="0" w:color="000000"/>
            </w:tcBorders>
            <w:tcMar>
              <w:top w:w="40" w:type="dxa"/>
              <w:left w:w="40" w:type="dxa"/>
              <w:bottom w:w="40" w:type="dxa"/>
              <w:right w:w="40" w:type="dxa"/>
            </w:tcMar>
            <w:vAlign w:val="bottom"/>
          </w:tcPr>
          <w:p>
            <w:pPr>
              <w:widowControl w:val="0"/>
              <w:spacing w:line="276" w:lineRule="auto"/>
              <w:jc w:val="left"/>
              <w:rPr>
                <w:sz w:val="20"/>
                <w:szCs w:val="20"/>
              </w:rPr>
            </w:pPr>
          </w:p>
        </w:tc>
      </w:tr>
      <w:tr>
        <w:trPr>
          <w:trHeight w:val="315"/>
        </w:trPr>
        <w:tc>
          <w:tcPr>
            <w:tcW w:w="2086"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left"/>
              <w:rPr>
                <w:sz w:val="20"/>
                <w:szCs w:val="20"/>
              </w:rPr>
            </w:pPr>
            <w:r>
              <w:rPr>
                <w:sz w:val="20"/>
                <w:szCs w:val="20"/>
              </w:rPr>
              <w:t>EBIT</w:t>
            </w:r>
          </w:p>
        </w:tc>
        <w:tc>
          <w:tcPr>
            <w:tcW w:w="582"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4,355</w:t>
            </w:r>
          </w:p>
        </w:tc>
        <w:tc>
          <w:tcPr>
            <w:tcW w:w="583"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7,076</w:t>
            </w:r>
          </w:p>
        </w:tc>
        <w:tc>
          <w:tcPr>
            <w:tcW w:w="583"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8,891</w:t>
            </w:r>
          </w:p>
        </w:tc>
        <w:tc>
          <w:tcPr>
            <w:tcW w:w="583"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13,656</w:t>
            </w:r>
          </w:p>
        </w:tc>
        <w:tc>
          <w:tcPr>
            <w:tcW w:w="583" w:type="pct"/>
            <w:tcBorders>
              <w:top w:val="nil"/>
              <w:left w:val="nil"/>
              <w:bottom w:val="nil"/>
              <w:right w:val="single" w:sz="5" w:space="0" w:color="000000"/>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6,523</w:t>
            </w:r>
          </w:p>
        </w:tc>
      </w:tr>
      <w:tr>
        <w:trPr>
          <w:trHeight w:val="315"/>
        </w:trPr>
        <w:tc>
          <w:tcPr>
            <w:tcW w:w="2086"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left"/>
              <w:rPr>
                <w:sz w:val="20"/>
                <w:szCs w:val="20"/>
              </w:rPr>
            </w:pPr>
            <w:r>
              <w:rPr>
                <w:sz w:val="20"/>
                <w:szCs w:val="20"/>
              </w:rPr>
              <w:t>Total Assets</w:t>
            </w:r>
          </w:p>
        </w:tc>
        <w:tc>
          <w:tcPr>
            <w:tcW w:w="582"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137,806</w:t>
            </w:r>
          </w:p>
        </w:tc>
        <w:tc>
          <w:tcPr>
            <w:tcW w:w="583"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122,070</w:t>
            </w:r>
          </w:p>
        </w:tc>
        <w:tc>
          <w:tcPr>
            <w:tcW w:w="583"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106,618</w:t>
            </w:r>
          </w:p>
        </w:tc>
        <w:tc>
          <w:tcPr>
            <w:tcW w:w="583"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82,338</w:t>
            </w:r>
          </w:p>
        </w:tc>
        <w:tc>
          <w:tcPr>
            <w:tcW w:w="583" w:type="pct"/>
            <w:tcBorders>
              <w:top w:val="nil"/>
              <w:left w:val="nil"/>
              <w:bottom w:val="nil"/>
              <w:right w:val="single" w:sz="5" w:space="0" w:color="000000"/>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62,131</w:t>
            </w:r>
          </w:p>
        </w:tc>
      </w:tr>
      <w:tr>
        <w:trPr>
          <w:trHeight w:val="315"/>
        </w:trPr>
        <w:tc>
          <w:tcPr>
            <w:tcW w:w="2086"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left"/>
              <w:rPr>
                <w:sz w:val="20"/>
                <w:szCs w:val="20"/>
              </w:rPr>
            </w:pPr>
            <w:r>
              <w:rPr>
                <w:sz w:val="20"/>
                <w:szCs w:val="20"/>
              </w:rPr>
              <w:t>Current Liabilities</w:t>
            </w:r>
          </w:p>
        </w:tc>
        <w:tc>
          <w:tcPr>
            <w:tcW w:w="582"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31,714</w:t>
            </w:r>
          </w:p>
        </w:tc>
        <w:tc>
          <w:tcPr>
            <w:tcW w:w="583"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28,821</w:t>
            </w:r>
          </w:p>
        </w:tc>
        <w:tc>
          <w:tcPr>
            <w:tcW w:w="583"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28,748</w:t>
            </w:r>
          </w:p>
        </w:tc>
        <w:tc>
          <w:tcPr>
            <w:tcW w:w="583"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26,709</w:t>
            </w:r>
          </w:p>
        </w:tc>
        <w:tc>
          <w:tcPr>
            <w:tcW w:w="583" w:type="pct"/>
            <w:tcBorders>
              <w:top w:val="nil"/>
              <w:left w:val="nil"/>
              <w:bottom w:val="nil"/>
              <w:right w:val="single" w:sz="5" w:space="0" w:color="000000"/>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19,705</w:t>
            </w:r>
          </w:p>
        </w:tc>
      </w:tr>
      <w:tr>
        <w:trPr>
          <w:trHeight w:val="315"/>
        </w:trPr>
        <w:tc>
          <w:tcPr>
            <w:tcW w:w="2086"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left"/>
              <w:rPr>
                <w:sz w:val="20"/>
                <w:szCs w:val="20"/>
              </w:rPr>
            </w:pPr>
            <w:r>
              <w:rPr>
                <w:b/>
                <w:bCs/>
                <w:i/>
                <w:iCs/>
                <w:sz w:val="20"/>
                <w:szCs w:val="20"/>
              </w:rPr>
              <w:t>ROCE</w:t>
            </w:r>
          </w:p>
        </w:tc>
        <w:tc>
          <w:tcPr>
            <w:tcW w:w="582"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b/>
                <w:bCs/>
                <w:i/>
                <w:iCs/>
                <w:sz w:val="20"/>
                <w:szCs w:val="20"/>
              </w:rPr>
              <w:t>4.10%</w:t>
            </w:r>
          </w:p>
        </w:tc>
        <w:tc>
          <w:tcPr>
            <w:tcW w:w="583"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b/>
                <w:bCs/>
                <w:i/>
                <w:iCs/>
                <w:sz w:val="20"/>
                <w:szCs w:val="20"/>
              </w:rPr>
              <w:t>7.59%</w:t>
            </w:r>
          </w:p>
        </w:tc>
        <w:tc>
          <w:tcPr>
            <w:tcW w:w="583"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b/>
                <w:bCs/>
                <w:i/>
                <w:iCs/>
                <w:sz w:val="20"/>
                <w:szCs w:val="20"/>
              </w:rPr>
              <w:t>11.42%</w:t>
            </w:r>
          </w:p>
        </w:tc>
        <w:tc>
          <w:tcPr>
            <w:tcW w:w="583"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b/>
                <w:bCs/>
                <w:i/>
                <w:iCs/>
                <w:sz w:val="20"/>
                <w:szCs w:val="20"/>
              </w:rPr>
              <w:t>24.55%</w:t>
            </w:r>
          </w:p>
        </w:tc>
        <w:tc>
          <w:tcPr>
            <w:tcW w:w="583" w:type="pct"/>
            <w:tcBorders>
              <w:top w:val="nil"/>
              <w:left w:val="nil"/>
              <w:bottom w:val="nil"/>
              <w:right w:val="single" w:sz="5" w:space="0" w:color="000000"/>
            </w:tcBorders>
            <w:tcMar>
              <w:top w:w="40" w:type="dxa"/>
              <w:left w:w="40" w:type="dxa"/>
              <w:bottom w:w="40" w:type="dxa"/>
              <w:right w:w="40" w:type="dxa"/>
            </w:tcMar>
            <w:vAlign w:val="bottom"/>
          </w:tcPr>
          <w:p>
            <w:pPr>
              <w:widowControl w:val="0"/>
              <w:spacing w:line="276" w:lineRule="auto"/>
              <w:jc w:val="right"/>
              <w:rPr>
                <w:sz w:val="20"/>
                <w:szCs w:val="20"/>
              </w:rPr>
            </w:pPr>
            <w:r>
              <w:rPr>
                <w:b/>
                <w:bCs/>
                <w:i/>
                <w:iCs/>
                <w:sz w:val="20"/>
                <w:szCs w:val="20"/>
              </w:rPr>
              <w:t>15.38%</w:t>
            </w:r>
          </w:p>
        </w:tc>
      </w:tr>
      <w:tr>
        <w:trPr>
          <w:trHeight w:val="315"/>
        </w:trPr>
        <w:tc>
          <w:tcPr>
            <w:tcW w:w="2086" w:type="pct"/>
            <w:tcBorders>
              <w:top w:val="nil"/>
              <w:left w:val="single" w:sz="5" w:space="0" w:color="000000"/>
              <w:bottom w:val="single" w:sz="5" w:space="0" w:color="000000"/>
              <w:right w:val="nil"/>
            </w:tcBorders>
            <w:tcMar>
              <w:top w:w="40" w:type="dxa"/>
              <w:left w:w="40" w:type="dxa"/>
              <w:bottom w:w="40" w:type="dxa"/>
              <w:right w:w="40" w:type="dxa"/>
            </w:tcMar>
            <w:vAlign w:val="bottom"/>
          </w:tcPr>
          <w:p>
            <w:pPr>
              <w:widowControl w:val="0"/>
              <w:spacing w:line="276" w:lineRule="auto"/>
              <w:jc w:val="left"/>
              <w:rPr>
                <w:sz w:val="20"/>
                <w:szCs w:val="20"/>
              </w:rPr>
            </w:pPr>
            <w:r>
              <w:rPr>
                <w:i/>
                <w:iCs/>
                <w:sz w:val="20"/>
                <w:szCs w:val="20"/>
              </w:rPr>
              <w:t>Formula = EBIT / (Total Assets - Current Liabilities)</w:t>
            </w:r>
          </w:p>
        </w:tc>
        <w:tc>
          <w:tcPr>
            <w:tcW w:w="582" w:type="pct"/>
            <w:tcBorders>
              <w:top w:val="nil"/>
              <w:left w:val="nil"/>
              <w:bottom w:val="single" w:sz="5" w:space="0" w:color="000000"/>
              <w:right w:val="nil"/>
            </w:tcBorders>
            <w:tcMar>
              <w:top w:w="40" w:type="dxa"/>
              <w:left w:w="40" w:type="dxa"/>
              <w:bottom w:w="40" w:type="dxa"/>
              <w:right w:w="40" w:type="dxa"/>
            </w:tcMar>
            <w:vAlign w:val="bottom"/>
          </w:tcPr>
          <w:p>
            <w:pPr>
              <w:widowControl w:val="0"/>
              <w:spacing w:line="276" w:lineRule="auto"/>
              <w:jc w:val="left"/>
              <w:rPr>
                <w:sz w:val="20"/>
                <w:szCs w:val="20"/>
              </w:rPr>
            </w:pPr>
          </w:p>
        </w:tc>
        <w:tc>
          <w:tcPr>
            <w:tcW w:w="583" w:type="pct"/>
            <w:tcBorders>
              <w:top w:val="nil"/>
              <w:left w:val="nil"/>
              <w:bottom w:val="single" w:sz="5" w:space="0" w:color="000000"/>
              <w:right w:val="nil"/>
            </w:tcBorders>
            <w:tcMar>
              <w:top w:w="40" w:type="dxa"/>
              <w:left w:w="40" w:type="dxa"/>
              <w:bottom w:w="40" w:type="dxa"/>
              <w:right w:w="40" w:type="dxa"/>
            </w:tcMar>
            <w:vAlign w:val="bottom"/>
          </w:tcPr>
          <w:p>
            <w:pPr>
              <w:widowControl w:val="0"/>
              <w:spacing w:line="276" w:lineRule="auto"/>
              <w:jc w:val="left"/>
              <w:rPr>
                <w:sz w:val="20"/>
                <w:szCs w:val="20"/>
              </w:rPr>
            </w:pPr>
          </w:p>
        </w:tc>
        <w:tc>
          <w:tcPr>
            <w:tcW w:w="583" w:type="pct"/>
            <w:tcBorders>
              <w:top w:val="nil"/>
              <w:left w:val="nil"/>
              <w:bottom w:val="single" w:sz="5" w:space="0" w:color="000000"/>
              <w:right w:val="nil"/>
            </w:tcBorders>
            <w:tcMar>
              <w:top w:w="40" w:type="dxa"/>
              <w:left w:w="40" w:type="dxa"/>
              <w:bottom w:w="40" w:type="dxa"/>
              <w:right w:w="40" w:type="dxa"/>
            </w:tcMar>
            <w:vAlign w:val="bottom"/>
          </w:tcPr>
          <w:p>
            <w:pPr>
              <w:widowControl w:val="0"/>
              <w:spacing w:line="276" w:lineRule="auto"/>
              <w:jc w:val="left"/>
              <w:rPr>
                <w:sz w:val="20"/>
                <w:szCs w:val="20"/>
              </w:rPr>
            </w:pPr>
          </w:p>
        </w:tc>
        <w:tc>
          <w:tcPr>
            <w:tcW w:w="583" w:type="pct"/>
            <w:tcBorders>
              <w:top w:val="nil"/>
              <w:left w:val="nil"/>
              <w:bottom w:val="single" w:sz="5" w:space="0" w:color="000000"/>
              <w:right w:val="nil"/>
            </w:tcBorders>
            <w:tcMar>
              <w:top w:w="40" w:type="dxa"/>
              <w:left w:w="40" w:type="dxa"/>
              <w:bottom w:w="40" w:type="dxa"/>
              <w:right w:w="40" w:type="dxa"/>
            </w:tcMar>
            <w:vAlign w:val="bottom"/>
          </w:tcPr>
          <w:p>
            <w:pPr>
              <w:widowControl w:val="0"/>
              <w:spacing w:line="276" w:lineRule="auto"/>
              <w:jc w:val="left"/>
              <w:rPr>
                <w:sz w:val="20"/>
                <w:szCs w:val="20"/>
              </w:rPr>
            </w:pPr>
          </w:p>
        </w:tc>
        <w:tc>
          <w:tcPr>
            <w:tcW w:w="583" w:type="pct"/>
            <w:tcBorders>
              <w:top w:val="nil"/>
              <w:left w:val="nil"/>
              <w:bottom w:val="single" w:sz="5" w:space="0" w:color="000000"/>
              <w:right w:val="single" w:sz="5" w:space="0" w:color="000000"/>
            </w:tcBorders>
            <w:tcMar>
              <w:top w:w="40" w:type="dxa"/>
              <w:left w:w="40" w:type="dxa"/>
              <w:bottom w:w="40" w:type="dxa"/>
              <w:right w:w="40" w:type="dxa"/>
            </w:tcMar>
            <w:vAlign w:val="bottom"/>
          </w:tcPr>
          <w:p>
            <w:pPr>
              <w:widowControl w:val="0"/>
              <w:spacing w:line="276" w:lineRule="auto"/>
              <w:jc w:val="left"/>
              <w:rPr>
                <w:sz w:val="20"/>
                <w:szCs w:val="20"/>
              </w:rPr>
            </w:pPr>
          </w:p>
        </w:tc>
      </w:tr>
    </w:tbl>
    <w:p>
      <w:pPr>
        <w:pStyle w:val="5"/>
      </w:pPr>
      <w:bookmarkStart w:id="49" w:name="_Toc227926969"/>
      <w:r>
        <w:t>Table 1: Profitability Ratios</w:t>
      </w:r>
      <w:bookmarkEnd w:id="49"/>
    </w:p>
    <w:p>
      <w:pPr>
        <w:jc w:val="center"/>
      </w:pPr>
      <w:r>
        <w:t>(Source: Tesla, 2025, 2023a, 2021)</w:t>
        <w:br w:type="page"/>
      </w:r>
    </w:p>
    <w:p>
      <w:pPr>
        <w:pStyle w:val="2"/>
      </w:pPr>
      <w:bookmarkStart w:id="50" w:name="_Toc227926906"/>
      <w:r>
        <w:t>Appendix 2: Liquidity Ratios</w:t>
      </w:r>
      <w:bookmarkEnd w:id="50"/>
    </w:p>
    <w:p>
      <w:pPr>
        <w:jc w:val="center"/>
      </w:pPr>
      <w:r>
        <w:drawing>
          <wp:inline distT="114300" distB="114300" distL="114300" distR="114300">
            <wp:extent cx="4452938" cy="2670283"/>
            <wp:effectExtent l="0" t="0" r="0" b="0"/>
            <wp:docPr id="25" name="图片 25"/>
            <wp:cNvGraphicFramePr>
              <a:graphicFrameLocks noChangeAspect="0"/>
            </wp:cNvGraphicFramePr>
            <a:graphic>
              <a:graphicData uri="http://schemas.openxmlformats.org/drawingml/2006/picture">
                <pic:pic>
                  <pic:nvPicPr>
                    <pic:cNvPr id="27" name="图片 27"/>
                    <pic:cNvPicPr/>
                  </pic:nvPicPr>
                  <pic:blipFill>
                    <a:blip r:embed="rId13"/>
                    <a:stretch>
                      <a:fillRect/>
                    </a:stretch>
                  </pic:blipFill>
                  <pic:spPr>
                    <a:xfrm rot="0">
                      <a:off x="0" y="0"/>
                      <a:ext cx="4452938" cy="2670283"/>
                    </a:xfrm>
                    <a:prstGeom prst="rect"/>
                    <a:noFill/>
                    <a:ln w="12700" cmpd="sng" cap="flat">
                      <a:solidFill>
                        <a:srgbClr val="000000"/>
                      </a:solidFill>
                      <a:prstDash val="solid"/>
                      <a:round/>
                    </a:ln>
                  </pic:spPr>
                </pic:pic>
              </a:graphicData>
            </a:graphic>
          </wp:inline>
        </w:drawing>
      </w:r>
    </w:p>
    <w:p>
      <w:pPr>
        <w:pStyle w:val="4"/>
      </w:pPr>
      <w:bookmarkStart w:id="51" w:name="_Toc227926922"/>
      <w:r>
        <w:t>Figure 8: Liquidity Ratios</w:t>
      </w:r>
      <w:bookmarkEnd w:id="51"/>
    </w:p>
    <w:p>
      <w:pPr>
        <w:jc w:val="center"/>
      </w:pPr>
      <w:r>
        <w:t>(Source: Tesla, 2025, 2023a, 2021)</w:t>
      </w:r>
    </w:p>
    <w:tbl>
      <w:tblPr>
        <w:jc w:val="left"/>
        <w:tblInd w:w="0" w:type="dxa"/>
        <w:tblW w:w="5000" w:type="pct"/>
        <w:tblBorders>
          <w:top w:val="none" w:sz="0" w:space="0" w:color="auto"/>
          <w:left w:val="none" w:sz="0" w:space="0" w:color="auto"/>
          <w:bottom w:val="none" w:sz="0" w:space="0" w:color="auto"/>
          <w:right w:val="none" w:sz="0" w:space="0" w:color="auto"/>
        </w:tblBorders>
        <w:tblCellMar>
          <w:top w:w="0" w:type="dxa"/>
          <w:left w:w="0" w:type="dxa"/>
          <w:bottom w:w="0" w:type="dxa"/>
          <w:right w:w="0" w:type="dxa"/>
        </w:tblCellMar>
      </w:tblPr>
      <w:tblGrid>
        <w:gridCol w:w="3751"/>
        <w:gridCol w:w="1053"/>
        <w:gridCol w:w="1053"/>
        <w:gridCol w:w="1053"/>
        <w:gridCol w:w="1053"/>
        <w:gridCol w:w="1053"/>
      </w:tblGrid>
      <w:tr>
        <w:trPr>
          <w:trHeight w:val="315"/>
        </w:trPr>
        <w:tc>
          <w:tcPr>
            <w:tcW w:w="2080" w:type="pct"/>
            <w:tcBorders>
              <w:top w:val="single" w:sz="5" w:space="0" w:color="000000"/>
              <w:left w:val="single" w:sz="5" w:space="0" w:color="000000"/>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b/>
                <w:bCs/>
                <w:sz w:val="20"/>
                <w:szCs w:val="20"/>
              </w:rPr>
              <w:t>Liquidity Ratios</w:t>
            </w:r>
          </w:p>
        </w:tc>
        <w:tc>
          <w:tcPr>
            <w:tcW w:w="584" w:type="pct"/>
            <w:tcBorders>
              <w:top w:val="single" w:sz="5" w:space="0" w:color="000000"/>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b/>
                <w:bCs/>
                <w:sz w:val="20"/>
                <w:szCs w:val="20"/>
              </w:rPr>
              <w:t>2025 ($m)</w:t>
            </w:r>
          </w:p>
        </w:tc>
        <w:tc>
          <w:tcPr>
            <w:tcW w:w="584" w:type="pct"/>
            <w:tcBorders>
              <w:top w:val="single" w:sz="5" w:space="0" w:color="000000"/>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b/>
                <w:bCs/>
                <w:sz w:val="20"/>
                <w:szCs w:val="20"/>
              </w:rPr>
              <w:t>2024 ($m)</w:t>
            </w:r>
          </w:p>
        </w:tc>
        <w:tc>
          <w:tcPr>
            <w:tcW w:w="584" w:type="pct"/>
            <w:tcBorders>
              <w:top w:val="single" w:sz="5" w:space="0" w:color="000000"/>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b/>
                <w:bCs/>
                <w:sz w:val="20"/>
                <w:szCs w:val="20"/>
              </w:rPr>
              <w:t>2023 ($m)</w:t>
            </w:r>
          </w:p>
        </w:tc>
        <w:tc>
          <w:tcPr>
            <w:tcW w:w="584" w:type="pct"/>
            <w:tcBorders>
              <w:top w:val="single" w:sz="5" w:space="0" w:color="000000"/>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b/>
                <w:bCs/>
                <w:sz w:val="20"/>
                <w:szCs w:val="20"/>
              </w:rPr>
              <w:t>2022 ($m)</w:t>
            </w:r>
          </w:p>
        </w:tc>
        <w:tc>
          <w:tcPr>
            <w:tcW w:w="584" w:type="pct"/>
            <w:tcBorders>
              <w:top w:val="single" w:sz="5" w:space="0" w:color="000000"/>
              <w:left w:val="nil"/>
              <w:bottom w:val="nil"/>
              <w:right w:val="single" w:sz="5" w:space="0" w:color="000000"/>
            </w:tcBorders>
            <w:tcMar>
              <w:top w:w="40" w:type="dxa"/>
              <w:left w:w="40" w:type="dxa"/>
              <w:bottom w:w="40" w:type="dxa"/>
              <w:right w:w="40" w:type="dxa"/>
            </w:tcMar>
            <w:vAlign w:val="bottom"/>
          </w:tcPr>
          <w:p>
            <w:pPr>
              <w:widowControl w:val="0"/>
              <w:spacing w:line="276" w:lineRule="auto"/>
              <w:jc w:val="center"/>
              <w:rPr>
                <w:sz w:val="20"/>
                <w:szCs w:val="20"/>
              </w:rPr>
            </w:pPr>
            <w:r>
              <w:rPr>
                <w:b/>
                <w:bCs/>
                <w:sz w:val="20"/>
                <w:szCs w:val="20"/>
              </w:rPr>
              <w:t>2021 ($m)</w:t>
            </w:r>
          </w:p>
        </w:tc>
      </w:tr>
      <w:tr>
        <w:trPr>
          <w:trHeight w:val="315"/>
        </w:trPr>
        <w:tc>
          <w:tcPr>
            <w:tcW w:w="2080"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left"/>
              <w:rPr>
                <w:sz w:val="20"/>
                <w:szCs w:val="20"/>
              </w:rPr>
            </w:pPr>
            <w:r>
              <w:rPr>
                <w:sz w:val="20"/>
                <w:szCs w:val="20"/>
              </w:rPr>
              <w:t>Current Assets</w:t>
            </w:r>
          </w:p>
        </w:tc>
        <w:tc>
          <w:tcPr>
            <w:tcW w:w="584"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68,642</w:t>
            </w:r>
          </w:p>
        </w:tc>
        <w:tc>
          <w:tcPr>
            <w:tcW w:w="584"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58,360</w:t>
            </w:r>
          </w:p>
        </w:tc>
        <w:tc>
          <w:tcPr>
            <w:tcW w:w="584"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49,616</w:t>
            </w:r>
          </w:p>
        </w:tc>
        <w:tc>
          <w:tcPr>
            <w:tcW w:w="584"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40,917</w:t>
            </w:r>
          </w:p>
        </w:tc>
        <w:tc>
          <w:tcPr>
            <w:tcW w:w="584" w:type="pct"/>
            <w:tcBorders>
              <w:top w:val="nil"/>
              <w:left w:val="nil"/>
              <w:bottom w:val="nil"/>
              <w:right w:val="single" w:sz="5" w:space="0" w:color="000000"/>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27,100</w:t>
            </w:r>
          </w:p>
        </w:tc>
      </w:tr>
      <w:tr>
        <w:trPr>
          <w:trHeight w:val="315"/>
        </w:trPr>
        <w:tc>
          <w:tcPr>
            <w:tcW w:w="2080"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left"/>
              <w:rPr>
                <w:sz w:val="20"/>
                <w:szCs w:val="20"/>
              </w:rPr>
            </w:pPr>
            <w:r>
              <w:rPr>
                <w:sz w:val="20"/>
                <w:szCs w:val="20"/>
              </w:rPr>
              <w:t>Current Liabilities</w:t>
            </w:r>
          </w:p>
        </w:tc>
        <w:tc>
          <w:tcPr>
            <w:tcW w:w="584"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31,714</w:t>
            </w:r>
          </w:p>
        </w:tc>
        <w:tc>
          <w:tcPr>
            <w:tcW w:w="584"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28,821</w:t>
            </w:r>
          </w:p>
        </w:tc>
        <w:tc>
          <w:tcPr>
            <w:tcW w:w="584"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28,748</w:t>
            </w:r>
          </w:p>
        </w:tc>
        <w:tc>
          <w:tcPr>
            <w:tcW w:w="584"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26,709</w:t>
            </w:r>
          </w:p>
        </w:tc>
        <w:tc>
          <w:tcPr>
            <w:tcW w:w="584" w:type="pct"/>
            <w:tcBorders>
              <w:top w:val="nil"/>
              <w:left w:val="nil"/>
              <w:bottom w:val="nil"/>
              <w:right w:val="single" w:sz="5" w:space="0" w:color="000000"/>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19,705</w:t>
            </w:r>
          </w:p>
        </w:tc>
      </w:tr>
      <w:tr>
        <w:trPr>
          <w:trHeight w:val="315"/>
        </w:trPr>
        <w:tc>
          <w:tcPr>
            <w:tcW w:w="2080"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left"/>
              <w:rPr>
                <w:sz w:val="20"/>
                <w:szCs w:val="20"/>
              </w:rPr>
            </w:pPr>
            <w:r>
              <w:rPr>
                <w:b/>
                <w:bCs/>
                <w:i/>
                <w:iCs/>
                <w:sz w:val="20"/>
                <w:szCs w:val="20"/>
              </w:rPr>
              <w:t>Current Ratio</w:t>
            </w:r>
          </w:p>
        </w:tc>
        <w:tc>
          <w:tcPr>
            <w:tcW w:w="584"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b/>
                <w:bCs/>
                <w:i/>
                <w:iCs/>
                <w:sz w:val="20"/>
                <w:szCs w:val="20"/>
              </w:rPr>
              <w:t>2.16</w:t>
            </w:r>
          </w:p>
        </w:tc>
        <w:tc>
          <w:tcPr>
            <w:tcW w:w="584"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b/>
                <w:bCs/>
                <w:i/>
                <w:iCs/>
                <w:sz w:val="20"/>
                <w:szCs w:val="20"/>
              </w:rPr>
              <w:t>2.02</w:t>
            </w:r>
          </w:p>
        </w:tc>
        <w:tc>
          <w:tcPr>
            <w:tcW w:w="584"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b/>
                <w:bCs/>
                <w:i/>
                <w:iCs/>
                <w:sz w:val="20"/>
                <w:szCs w:val="20"/>
              </w:rPr>
              <w:t>1.73</w:t>
            </w:r>
          </w:p>
        </w:tc>
        <w:tc>
          <w:tcPr>
            <w:tcW w:w="584"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b/>
                <w:bCs/>
                <w:i/>
                <w:iCs/>
                <w:sz w:val="20"/>
                <w:szCs w:val="20"/>
              </w:rPr>
              <w:t>1.53</w:t>
            </w:r>
          </w:p>
        </w:tc>
        <w:tc>
          <w:tcPr>
            <w:tcW w:w="584" w:type="pct"/>
            <w:tcBorders>
              <w:top w:val="nil"/>
              <w:left w:val="nil"/>
              <w:bottom w:val="nil"/>
              <w:right w:val="single" w:sz="5" w:space="0" w:color="000000"/>
            </w:tcBorders>
            <w:tcMar>
              <w:top w:w="40" w:type="dxa"/>
              <w:left w:w="40" w:type="dxa"/>
              <w:bottom w:w="40" w:type="dxa"/>
              <w:right w:w="40" w:type="dxa"/>
            </w:tcMar>
            <w:vAlign w:val="bottom"/>
          </w:tcPr>
          <w:p>
            <w:pPr>
              <w:widowControl w:val="0"/>
              <w:spacing w:line="276" w:lineRule="auto"/>
              <w:jc w:val="right"/>
              <w:rPr>
                <w:sz w:val="20"/>
                <w:szCs w:val="20"/>
              </w:rPr>
            </w:pPr>
            <w:r>
              <w:rPr>
                <w:b/>
                <w:bCs/>
                <w:i/>
                <w:iCs/>
                <w:sz w:val="20"/>
                <w:szCs w:val="20"/>
              </w:rPr>
              <w:t>1.38</w:t>
            </w:r>
          </w:p>
        </w:tc>
      </w:tr>
      <w:tr>
        <w:trPr>
          <w:trHeight w:val="315"/>
        </w:trPr>
        <w:tc>
          <w:tcPr>
            <w:tcW w:w="2080"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left"/>
              <w:rPr>
                <w:sz w:val="20"/>
                <w:szCs w:val="20"/>
              </w:rPr>
            </w:pPr>
            <w:r>
              <w:rPr>
                <w:i/>
                <w:iCs/>
                <w:sz w:val="20"/>
                <w:szCs w:val="20"/>
              </w:rPr>
              <w:t>Formula: Current Assets / Current Liabilities</w:t>
            </w:r>
          </w:p>
        </w:tc>
        <w:tc>
          <w:tcPr>
            <w:tcW w:w="584" w:type="pct"/>
            <w:tcBorders>
              <w:top w:val="nil"/>
              <w:left w:val="nil"/>
              <w:bottom w:val="nil"/>
              <w:right w:val="nil"/>
            </w:tcBorders>
            <w:tcMar>
              <w:top w:w="40" w:type="dxa"/>
              <w:left w:w="40" w:type="dxa"/>
              <w:bottom w:w="40" w:type="dxa"/>
              <w:right w:w="40" w:type="dxa"/>
            </w:tcMar>
            <w:vAlign w:val="bottom"/>
          </w:tcPr>
          <w:p>
            <w:pPr>
              <w:widowControl w:val="0"/>
              <w:spacing w:line="276" w:lineRule="auto"/>
              <w:jc w:val="left"/>
              <w:rPr>
                <w:sz w:val="20"/>
                <w:szCs w:val="20"/>
              </w:rPr>
            </w:pPr>
          </w:p>
        </w:tc>
        <w:tc>
          <w:tcPr>
            <w:tcW w:w="584" w:type="pct"/>
            <w:tcBorders>
              <w:top w:val="nil"/>
              <w:left w:val="nil"/>
              <w:bottom w:val="nil"/>
              <w:right w:val="nil"/>
            </w:tcBorders>
            <w:tcMar>
              <w:top w:w="40" w:type="dxa"/>
              <w:left w:w="40" w:type="dxa"/>
              <w:bottom w:w="40" w:type="dxa"/>
              <w:right w:w="40" w:type="dxa"/>
            </w:tcMar>
            <w:vAlign w:val="bottom"/>
          </w:tcPr>
          <w:p>
            <w:pPr>
              <w:widowControl w:val="0"/>
              <w:spacing w:line="276" w:lineRule="auto"/>
              <w:jc w:val="left"/>
              <w:rPr>
                <w:sz w:val="20"/>
                <w:szCs w:val="20"/>
              </w:rPr>
            </w:pPr>
          </w:p>
        </w:tc>
        <w:tc>
          <w:tcPr>
            <w:tcW w:w="584" w:type="pct"/>
            <w:tcBorders>
              <w:top w:val="nil"/>
              <w:left w:val="nil"/>
              <w:bottom w:val="nil"/>
              <w:right w:val="nil"/>
            </w:tcBorders>
            <w:tcMar>
              <w:top w:w="40" w:type="dxa"/>
              <w:left w:w="40" w:type="dxa"/>
              <w:bottom w:w="40" w:type="dxa"/>
              <w:right w:w="40" w:type="dxa"/>
            </w:tcMar>
            <w:vAlign w:val="bottom"/>
          </w:tcPr>
          <w:p>
            <w:pPr>
              <w:widowControl w:val="0"/>
              <w:spacing w:line="276" w:lineRule="auto"/>
              <w:jc w:val="left"/>
              <w:rPr>
                <w:sz w:val="20"/>
                <w:szCs w:val="20"/>
              </w:rPr>
            </w:pPr>
          </w:p>
        </w:tc>
        <w:tc>
          <w:tcPr>
            <w:tcW w:w="584" w:type="pct"/>
            <w:tcBorders>
              <w:top w:val="nil"/>
              <w:left w:val="nil"/>
              <w:bottom w:val="nil"/>
              <w:right w:val="nil"/>
            </w:tcBorders>
            <w:tcMar>
              <w:top w:w="40" w:type="dxa"/>
              <w:left w:w="40" w:type="dxa"/>
              <w:bottom w:w="40" w:type="dxa"/>
              <w:right w:w="40" w:type="dxa"/>
            </w:tcMar>
            <w:vAlign w:val="bottom"/>
          </w:tcPr>
          <w:p>
            <w:pPr>
              <w:widowControl w:val="0"/>
              <w:spacing w:line="276" w:lineRule="auto"/>
              <w:jc w:val="left"/>
              <w:rPr>
                <w:sz w:val="20"/>
                <w:szCs w:val="20"/>
              </w:rPr>
            </w:pPr>
          </w:p>
        </w:tc>
        <w:tc>
          <w:tcPr>
            <w:tcW w:w="584" w:type="pct"/>
            <w:tcBorders>
              <w:top w:val="nil"/>
              <w:left w:val="nil"/>
              <w:bottom w:val="nil"/>
              <w:right w:val="single" w:sz="5" w:space="0" w:color="000000"/>
            </w:tcBorders>
            <w:tcMar>
              <w:top w:w="40" w:type="dxa"/>
              <w:left w:w="40" w:type="dxa"/>
              <w:bottom w:w="40" w:type="dxa"/>
              <w:right w:w="40" w:type="dxa"/>
            </w:tcMar>
            <w:vAlign w:val="bottom"/>
          </w:tcPr>
          <w:p>
            <w:pPr>
              <w:widowControl w:val="0"/>
              <w:spacing w:line="276" w:lineRule="auto"/>
              <w:jc w:val="left"/>
              <w:rPr>
                <w:sz w:val="20"/>
                <w:szCs w:val="20"/>
              </w:rPr>
            </w:pPr>
          </w:p>
        </w:tc>
      </w:tr>
      <w:tr>
        <w:trPr>
          <w:trHeight w:val="315"/>
        </w:trPr>
        <w:tc>
          <w:tcPr>
            <w:tcW w:w="2080"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left"/>
              <w:rPr>
                <w:sz w:val="20"/>
                <w:szCs w:val="20"/>
              </w:rPr>
            </w:pPr>
            <w:r>
              <w:rPr>
                <w:sz w:val="20"/>
                <w:szCs w:val="20"/>
              </w:rPr>
              <w:t>Current Assets</w:t>
            </w:r>
          </w:p>
        </w:tc>
        <w:tc>
          <w:tcPr>
            <w:tcW w:w="584"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68,642</w:t>
            </w:r>
          </w:p>
        </w:tc>
        <w:tc>
          <w:tcPr>
            <w:tcW w:w="584"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58,360</w:t>
            </w:r>
          </w:p>
        </w:tc>
        <w:tc>
          <w:tcPr>
            <w:tcW w:w="584"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49,616</w:t>
            </w:r>
          </w:p>
        </w:tc>
        <w:tc>
          <w:tcPr>
            <w:tcW w:w="584"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40,917</w:t>
            </w:r>
          </w:p>
        </w:tc>
        <w:tc>
          <w:tcPr>
            <w:tcW w:w="584" w:type="pct"/>
            <w:tcBorders>
              <w:top w:val="nil"/>
              <w:left w:val="nil"/>
              <w:bottom w:val="nil"/>
              <w:right w:val="single" w:sz="5" w:space="0" w:color="000000"/>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27,100</w:t>
            </w:r>
          </w:p>
        </w:tc>
      </w:tr>
      <w:tr>
        <w:trPr>
          <w:trHeight w:val="315"/>
        </w:trPr>
        <w:tc>
          <w:tcPr>
            <w:tcW w:w="2080"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left"/>
              <w:rPr>
                <w:sz w:val="20"/>
                <w:szCs w:val="20"/>
              </w:rPr>
            </w:pPr>
            <w:r>
              <w:rPr>
                <w:sz w:val="20"/>
                <w:szCs w:val="20"/>
              </w:rPr>
              <w:t>Inventory</w:t>
            </w:r>
          </w:p>
        </w:tc>
        <w:tc>
          <w:tcPr>
            <w:tcW w:w="584"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12,392</w:t>
            </w:r>
          </w:p>
        </w:tc>
        <w:tc>
          <w:tcPr>
            <w:tcW w:w="584"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12,017</w:t>
            </w:r>
          </w:p>
        </w:tc>
        <w:tc>
          <w:tcPr>
            <w:tcW w:w="584"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13,626</w:t>
            </w:r>
          </w:p>
        </w:tc>
        <w:tc>
          <w:tcPr>
            <w:tcW w:w="584"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12,839</w:t>
            </w:r>
          </w:p>
        </w:tc>
        <w:tc>
          <w:tcPr>
            <w:tcW w:w="584" w:type="pct"/>
            <w:tcBorders>
              <w:top w:val="nil"/>
              <w:left w:val="nil"/>
              <w:bottom w:val="nil"/>
              <w:right w:val="single" w:sz="5" w:space="0" w:color="000000"/>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5,757</w:t>
            </w:r>
          </w:p>
        </w:tc>
      </w:tr>
      <w:tr>
        <w:trPr>
          <w:trHeight w:val="315"/>
        </w:trPr>
        <w:tc>
          <w:tcPr>
            <w:tcW w:w="2080"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left"/>
              <w:rPr>
                <w:sz w:val="20"/>
                <w:szCs w:val="20"/>
              </w:rPr>
            </w:pPr>
            <w:r>
              <w:rPr>
                <w:sz w:val="20"/>
                <w:szCs w:val="20"/>
              </w:rPr>
              <w:t>Current Liabilities</w:t>
            </w:r>
          </w:p>
        </w:tc>
        <w:tc>
          <w:tcPr>
            <w:tcW w:w="584"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31,714</w:t>
            </w:r>
          </w:p>
        </w:tc>
        <w:tc>
          <w:tcPr>
            <w:tcW w:w="584"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28,821</w:t>
            </w:r>
          </w:p>
        </w:tc>
        <w:tc>
          <w:tcPr>
            <w:tcW w:w="584"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28,748</w:t>
            </w:r>
          </w:p>
        </w:tc>
        <w:tc>
          <w:tcPr>
            <w:tcW w:w="584"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26,709</w:t>
            </w:r>
          </w:p>
        </w:tc>
        <w:tc>
          <w:tcPr>
            <w:tcW w:w="584" w:type="pct"/>
            <w:tcBorders>
              <w:top w:val="nil"/>
              <w:left w:val="nil"/>
              <w:bottom w:val="nil"/>
              <w:right w:val="single" w:sz="5" w:space="0" w:color="000000"/>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19,705</w:t>
            </w:r>
          </w:p>
        </w:tc>
      </w:tr>
      <w:tr>
        <w:trPr>
          <w:trHeight w:val="315"/>
        </w:trPr>
        <w:tc>
          <w:tcPr>
            <w:tcW w:w="2080"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left"/>
              <w:rPr>
                <w:sz w:val="20"/>
                <w:szCs w:val="20"/>
              </w:rPr>
            </w:pPr>
            <w:r>
              <w:rPr>
                <w:b/>
                <w:bCs/>
                <w:i/>
                <w:iCs/>
                <w:sz w:val="20"/>
                <w:szCs w:val="20"/>
              </w:rPr>
              <w:t>Quick Ratio</w:t>
            </w:r>
          </w:p>
        </w:tc>
        <w:tc>
          <w:tcPr>
            <w:tcW w:w="584"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b/>
                <w:bCs/>
                <w:i/>
                <w:iCs/>
                <w:sz w:val="20"/>
                <w:szCs w:val="20"/>
              </w:rPr>
              <w:t>1.77</w:t>
            </w:r>
          </w:p>
        </w:tc>
        <w:tc>
          <w:tcPr>
            <w:tcW w:w="584"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b/>
                <w:bCs/>
                <w:i/>
                <w:iCs/>
                <w:sz w:val="20"/>
                <w:szCs w:val="20"/>
              </w:rPr>
              <w:t>1.61</w:t>
            </w:r>
          </w:p>
        </w:tc>
        <w:tc>
          <w:tcPr>
            <w:tcW w:w="584"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b/>
                <w:bCs/>
                <w:i/>
                <w:iCs/>
                <w:sz w:val="20"/>
                <w:szCs w:val="20"/>
              </w:rPr>
              <w:t>1.25</w:t>
            </w:r>
          </w:p>
        </w:tc>
        <w:tc>
          <w:tcPr>
            <w:tcW w:w="584"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b/>
                <w:bCs/>
                <w:i/>
                <w:iCs/>
                <w:sz w:val="20"/>
                <w:szCs w:val="20"/>
              </w:rPr>
              <w:t>1.05</w:t>
            </w:r>
          </w:p>
        </w:tc>
        <w:tc>
          <w:tcPr>
            <w:tcW w:w="584" w:type="pct"/>
            <w:tcBorders>
              <w:top w:val="nil"/>
              <w:left w:val="nil"/>
              <w:bottom w:val="nil"/>
              <w:right w:val="single" w:sz="5" w:space="0" w:color="000000"/>
            </w:tcBorders>
            <w:tcMar>
              <w:top w:w="40" w:type="dxa"/>
              <w:left w:w="40" w:type="dxa"/>
              <w:bottom w:w="40" w:type="dxa"/>
              <w:right w:w="40" w:type="dxa"/>
            </w:tcMar>
            <w:vAlign w:val="bottom"/>
          </w:tcPr>
          <w:p>
            <w:pPr>
              <w:widowControl w:val="0"/>
              <w:spacing w:line="276" w:lineRule="auto"/>
              <w:jc w:val="right"/>
              <w:rPr>
                <w:sz w:val="20"/>
                <w:szCs w:val="20"/>
              </w:rPr>
            </w:pPr>
            <w:r>
              <w:rPr>
                <w:b/>
                <w:bCs/>
                <w:i/>
                <w:iCs/>
                <w:sz w:val="20"/>
                <w:szCs w:val="20"/>
              </w:rPr>
              <w:t>1.08</w:t>
            </w:r>
          </w:p>
        </w:tc>
      </w:tr>
      <w:tr>
        <w:trPr>
          <w:trHeight w:val="315"/>
        </w:trPr>
        <w:tc>
          <w:tcPr>
            <w:tcW w:w="2080"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left"/>
              <w:rPr>
                <w:sz w:val="20"/>
                <w:szCs w:val="20"/>
              </w:rPr>
            </w:pPr>
            <w:r>
              <w:rPr>
                <w:i/>
                <w:iCs/>
                <w:sz w:val="20"/>
                <w:szCs w:val="20"/>
              </w:rPr>
              <w:t>Formula: (Current Assets - Inventory) / Current Liabilities</w:t>
            </w:r>
          </w:p>
        </w:tc>
        <w:tc>
          <w:tcPr>
            <w:tcW w:w="584" w:type="pct"/>
            <w:tcBorders>
              <w:top w:val="nil"/>
              <w:left w:val="nil"/>
              <w:bottom w:val="nil"/>
              <w:right w:val="nil"/>
            </w:tcBorders>
            <w:tcMar>
              <w:top w:w="40" w:type="dxa"/>
              <w:left w:w="40" w:type="dxa"/>
              <w:bottom w:w="40" w:type="dxa"/>
              <w:right w:w="40" w:type="dxa"/>
            </w:tcMar>
            <w:vAlign w:val="bottom"/>
          </w:tcPr>
          <w:p>
            <w:pPr>
              <w:widowControl w:val="0"/>
              <w:spacing w:line="276" w:lineRule="auto"/>
              <w:jc w:val="left"/>
              <w:rPr>
                <w:sz w:val="20"/>
                <w:szCs w:val="20"/>
              </w:rPr>
            </w:pPr>
          </w:p>
        </w:tc>
        <w:tc>
          <w:tcPr>
            <w:tcW w:w="584" w:type="pct"/>
            <w:tcBorders>
              <w:top w:val="nil"/>
              <w:left w:val="nil"/>
              <w:bottom w:val="nil"/>
              <w:right w:val="nil"/>
            </w:tcBorders>
            <w:tcMar>
              <w:top w:w="40" w:type="dxa"/>
              <w:left w:w="40" w:type="dxa"/>
              <w:bottom w:w="40" w:type="dxa"/>
              <w:right w:w="40" w:type="dxa"/>
            </w:tcMar>
            <w:vAlign w:val="bottom"/>
          </w:tcPr>
          <w:p>
            <w:pPr>
              <w:widowControl w:val="0"/>
              <w:spacing w:line="276" w:lineRule="auto"/>
              <w:jc w:val="left"/>
              <w:rPr>
                <w:sz w:val="20"/>
                <w:szCs w:val="20"/>
              </w:rPr>
            </w:pPr>
          </w:p>
        </w:tc>
        <w:tc>
          <w:tcPr>
            <w:tcW w:w="584" w:type="pct"/>
            <w:tcBorders>
              <w:top w:val="nil"/>
              <w:left w:val="nil"/>
              <w:bottom w:val="nil"/>
              <w:right w:val="nil"/>
            </w:tcBorders>
            <w:tcMar>
              <w:top w:w="40" w:type="dxa"/>
              <w:left w:w="40" w:type="dxa"/>
              <w:bottom w:w="40" w:type="dxa"/>
              <w:right w:w="40" w:type="dxa"/>
            </w:tcMar>
            <w:vAlign w:val="bottom"/>
          </w:tcPr>
          <w:p>
            <w:pPr>
              <w:widowControl w:val="0"/>
              <w:spacing w:line="276" w:lineRule="auto"/>
              <w:jc w:val="left"/>
              <w:rPr>
                <w:sz w:val="20"/>
                <w:szCs w:val="20"/>
              </w:rPr>
            </w:pPr>
          </w:p>
        </w:tc>
        <w:tc>
          <w:tcPr>
            <w:tcW w:w="584" w:type="pct"/>
            <w:tcBorders>
              <w:top w:val="nil"/>
              <w:left w:val="nil"/>
              <w:bottom w:val="nil"/>
              <w:right w:val="nil"/>
            </w:tcBorders>
            <w:tcMar>
              <w:top w:w="40" w:type="dxa"/>
              <w:left w:w="40" w:type="dxa"/>
              <w:bottom w:w="40" w:type="dxa"/>
              <w:right w:w="40" w:type="dxa"/>
            </w:tcMar>
            <w:vAlign w:val="bottom"/>
          </w:tcPr>
          <w:p>
            <w:pPr>
              <w:widowControl w:val="0"/>
              <w:spacing w:line="276" w:lineRule="auto"/>
              <w:jc w:val="left"/>
              <w:rPr>
                <w:sz w:val="20"/>
                <w:szCs w:val="20"/>
              </w:rPr>
            </w:pPr>
          </w:p>
        </w:tc>
        <w:tc>
          <w:tcPr>
            <w:tcW w:w="584" w:type="pct"/>
            <w:tcBorders>
              <w:top w:val="nil"/>
              <w:left w:val="nil"/>
              <w:bottom w:val="nil"/>
              <w:right w:val="single" w:sz="5" w:space="0" w:color="000000"/>
            </w:tcBorders>
            <w:tcMar>
              <w:top w:w="40" w:type="dxa"/>
              <w:left w:w="40" w:type="dxa"/>
              <w:bottom w:w="40" w:type="dxa"/>
              <w:right w:w="40" w:type="dxa"/>
            </w:tcMar>
            <w:vAlign w:val="bottom"/>
          </w:tcPr>
          <w:p>
            <w:pPr>
              <w:widowControl w:val="0"/>
              <w:spacing w:line="276" w:lineRule="auto"/>
              <w:jc w:val="left"/>
              <w:rPr>
                <w:sz w:val="20"/>
                <w:szCs w:val="20"/>
              </w:rPr>
            </w:pPr>
          </w:p>
        </w:tc>
      </w:tr>
      <w:tr>
        <w:trPr>
          <w:trHeight w:val="315"/>
        </w:trPr>
        <w:tc>
          <w:tcPr>
            <w:tcW w:w="2080"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left"/>
              <w:rPr>
                <w:sz w:val="20"/>
                <w:szCs w:val="20"/>
              </w:rPr>
            </w:pPr>
            <w:r>
              <w:rPr>
                <w:sz w:val="20"/>
                <w:szCs w:val="20"/>
              </w:rPr>
              <w:t>Cash</w:t>
            </w:r>
          </w:p>
        </w:tc>
        <w:tc>
          <w:tcPr>
            <w:tcW w:w="584"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16,513</w:t>
            </w:r>
          </w:p>
        </w:tc>
        <w:tc>
          <w:tcPr>
            <w:tcW w:w="584"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16,139</w:t>
            </w:r>
          </w:p>
        </w:tc>
        <w:tc>
          <w:tcPr>
            <w:tcW w:w="584"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16,398</w:t>
            </w:r>
          </w:p>
        </w:tc>
        <w:tc>
          <w:tcPr>
            <w:tcW w:w="584"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16,253</w:t>
            </w:r>
          </w:p>
        </w:tc>
        <w:tc>
          <w:tcPr>
            <w:tcW w:w="584" w:type="pct"/>
            <w:tcBorders>
              <w:top w:val="nil"/>
              <w:left w:val="nil"/>
              <w:bottom w:val="nil"/>
              <w:right w:val="single" w:sz="5" w:space="0" w:color="000000"/>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17,576</w:t>
            </w:r>
          </w:p>
        </w:tc>
      </w:tr>
      <w:tr>
        <w:trPr>
          <w:trHeight w:val="315"/>
        </w:trPr>
        <w:tc>
          <w:tcPr>
            <w:tcW w:w="2080"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left"/>
              <w:rPr>
                <w:sz w:val="20"/>
                <w:szCs w:val="20"/>
              </w:rPr>
            </w:pPr>
            <w:r>
              <w:rPr>
                <w:sz w:val="20"/>
                <w:szCs w:val="20"/>
              </w:rPr>
              <w:t>Current Liabilities</w:t>
            </w:r>
          </w:p>
        </w:tc>
        <w:tc>
          <w:tcPr>
            <w:tcW w:w="584"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31,714</w:t>
            </w:r>
          </w:p>
        </w:tc>
        <w:tc>
          <w:tcPr>
            <w:tcW w:w="584"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28,821</w:t>
            </w:r>
          </w:p>
        </w:tc>
        <w:tc>
          <w:tcPr>
            <w:tcW w:w="584"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28,748</w:t>
            </w:r>
          </w:p>
        </w:tc>
        <w:tc>
          <w:tcPr>
            <w:tcW w:w="584"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26,709</w:t>
            </w:r>
          </w:p>
        </w:tc>
        <w:tc>
          <w:tcPr>
            <w:tcW w:w="584" w:type="pct"/>
            <w:tcBorders>
              <w:top w:val="nil"/>
              <w:left w:val="nil"/>
              <w:bottom w:val="nil"/>
              <w:right w:val="single" w:sz="5" w:space="0" w:color="000000"/>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19,705</w:t>
            </w:r>
          </w:p>
        </w:tc>
      </w:tr>
      <w:tr>
        <w:trPr>
          <w:trHeight w:val="315"/>
        </w:trPr>
        <w:tc>
          <w:tcPr>
            <w:tcW w:w="2080"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left"/>
              <w:rPr>
                <w:sz w:val="20"/>
                <w:szCs w:val="20"/>
              </w:rPr>
            </w:pPr>
            <w:r>
              <w:rPr>
                <w:b/>
                <w:bCs/>
                <w:i/>
                <w:iCs/>
                <w:sz w:val="20"/>
                <w:szCs w:val="20"/>
              </w:rPr>
              <w:t>Cash Ratio</w:t>
            </w:r>
          </w:p>
        </w:tc>
        <w:tc>
          <w:tcPr>
            <w:tcW w:w="584"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b/>
                <w:bCs/>
                <w:i/>
                <w:iCs/>
                <w:sz w:val="20"/>
                <w:szCs w:val="20"/>
              </w:rPr>
              <w:t>0.52</w:t>
            </w:r>
          </w:p>
        </w:tc>
        <w:tc>
          <w:tcPr>
            <w:tcW w:w="584"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b/>
                <w:bCs/>
                <w:i/>
                <w:iCs/>
                <w:sz w:val="20"/>
                <w:szCs w:val="20"/>
              </w:rPr>
              <w:t>0.56</w:t>
            </w:r>
          </w:p>
        </w:tc>
        <w:tc>
          <w:tcPr>
            <w:tcW w:w="584"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b/>
                <w:bCs/>
                <w:i/>
                <w:iCs/>
                <w:sz w:val="20"/>
                <w:szCs w:val="20"/>
              </w:rPr>
              <w:t>0.57</w:t>
            </w:r>
          </w:p>
        </w:tc>
        <w:tc>
          <w:tcPr>
            <w:tcW w:w="584"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b/>
                <w:bCs/>
                <w:i/>
                <w:iCs/>
                <w:sz w:val="20"/>
                <w:szCs w:val="20"/>
              </w:rPr>
              <w:t>0.61</w:t>
            </w:r>
          </w:p>
        </w:tc>
        <w:tc>
          <w:tcPr>
            <w:tcW w:w="584" w:type="pct"/>
            <w:tcBorders>
              <w:top w:val="nil"/>
              <w:left w:val="nil"/>
              <w:bottom w:val="nil"/>
              <w:right w:val="single" w:sz="5" w:space="0" w:color="000000"/>
            </w:tcBorders>
            <w:tcMar>
              <w:top w:w="40" w:type="dxa"/>
              <w:left w:w="40" w:type="dxa"/>
              <w:bottom w:w="40" w:type="dxa"/>
              <w:right w:w="40" w:type="dxa"/>
            </w:tcMar>
            <w:vAlign w:val="bottom"/>
          </w:tcPr>
          <w:p>
            <w:pPr>
              <w:widowControl w:val="0"/>
              <w:spacing w:line="276" w:lineRule="auto"/>
              <w:jc w:val="right"/>
              <w:rPr>
                <w:sz w:val="20"/>
                <w:szCs w:val="20"/>
              </w:rPr>
            </w:pPr>
            <w:r>
              <w:rPr>
                <w:b/>
                <w:bCs/>
                <w:i/>
                <w:iCs/>
                <w:sz w:val="20"/>
                <w:szCs w:val="20"/>
              </w:rPr>
              <w:t>0.89</w:t>
            </w:r>
          </w:p>
        </w:tc>
      </w:tr>
      <w:tr>
        <w:trPr>
          <w:trHeight w:val="315"/>
        </w:trPr>
        <w:tc>
          <w:tcPr>
            <w:tcW w:w="2080" w:type="pct"/>
            <w:tcBorders>
              <w:top w:val="nil"/>
              <w:left w:val="single" w:sz="5" w:space="0" w:color="000000"/>
              <w:bottom w:val="single" w:sz="5" w:space="0" w:color="000000"/>
              <w:right w:val="nil"/>
            </w:tcBorders>
            <w:tcMar>
              <w:top w:w="40" w:type="dxa"/>
              <w:left w:w="40" w:type="dxa"/>
              <w:bottom w:w="40" w:type="dxa"/>
              <w:right w:w="40" w:type="dxa"/>
            </w:tcMar>
            <w:vAlign w:val="bottom"/>
          </w:tcPr>
          <w:p>
            <w:pPr>
              <w:widowControl w:val="0"/>
              <w:spacing w:line="276" w:lineRule="auto"/>
              <w:jc w:val="left"/>
              <w:rPr>
                <w:sz w:val="20"/>
                <w:szCs w:val="20"/>
              </w:rPr>
            </w:pPr>
            <w:r>
              <w:rPr>
                <w:i/>
                <w:iCs/>
                <w:sz w:val="20"/>
                <w:szCs w:val="20"/>
              </w:rPr>
              <w:t>Formula: Cash / Current Liabilities</w:t>
            </w:r>
          </w:p>
        </w:tc>
        <w:tc>
          <w:tcPr>
            <w:tcW w:w="584" w:type="pct"/>
            <w:tcBorders>
              <w:top w:val="nil"/>
              <w:left w:val="nil"/>
              <w:bottom w:val="single" w:sz="5" w:space="0" w:color="000000"/>
              <w:right w:val="nil"/>
            </w:tcBorders>
            <w:tcMar>
              <w:top w:w="40" w:type="dxa"/>
              <w:left w:w="40" w:type="dxa"/>
              <w:bottom w:w="40" w:type="dxa"/>
              <w:right w:w="40" w:type="dxa"/>
            </w:tcMar>
            <w:vAlign w:val="bottom"/>
          </w:tcPr>
          <w:p>
            <w:pPr>
              <w:widowControl w:val="0"/>
              <w:spacing w:line="276" w:lineRule="auto"/>
              <w:jc w:val="left"/>
              <w:rPr>
                <w:sz w:val="20"/>
                <w:szCs w:val="20"/>
              </w:rPr>
            </w:pPr>
          </w:p>
        </w:tc>
        <w:tc>
          <w:tcPr>
            <w:tcW w:w="584" w:type="pct"/>
            <w:tcBorders>
              <w:top w:val="nil"/>
              <w:left w:val="nil"/>
              <w:bottom w:val="single" w:sz="5" w:space="0" w:color="000000"/>
              <w:right w:val="nil"/>
            </w:tcBorders>
            <w:tcMar>
              <w:top w:w="40" w:type="dxa"/>
              <w:left w:w="40" w:type="dxa"/>
              <w:bottom w:w="40" w:type="dxa"/>
              <w:right w:w="40" w:type="dxa"/>
            </w:tcMar>
            <w:vAlign w:val="bottom"/>
          </w:tcPr>
          <w:p>
            <w:pPr>
              <w:widowControl w:val="0"/>
              <w:spacing w:line="276" w:lineRule="auto"/>
              <w:jc w:val="left"/>
              <w:rPr>
                <w:sz w:val="20"/>
                <w:szCs w:val="20"/>
              </w:rPr>
            </w:pPr>
          </w:p>
        </w:tc>
        <w:tc>
          <w:tcPr>
            <w:tcW w:w="584" w:type="pct"/>
            <w:tcBorders>
              <w:top w:val="nil"/>
              <w:left w:val="nil"/>
              <w:bottom w:val="single" w:sz="5" w:space="0" w:color="000000"/>
              <w:right w:val="nil"/>
            </w:tcBorders>
            <w:tcMar>
              <w:top w:w="40" w:type="dxa"/>
              <w:left w:w="40" w:type="dxa"/>
              <w:bottom w:w="40" w:type="dxa"/>
              <w:right w:w="40" w:type="dxa"/>
            </w:tcMar>
            <w:vAlign w:val="bottom"/>
          </w:tcPr>
          <w:p>
            <w:pPr>
              <w:widowControl w:val="0"/>
              <w:spacing w:line="276" w:lineRule="auto"/>
              <w:jc w:val="left"/>
              <w:rPr>
                <w:sz w:val="20"/>
                <w:szCs w:val="20"/>
              </w:rPr>
            </w:pPr>
          </w:p>
        </w:tc>
        <w:tc>
          <w:tcPr>
            <w:tcW w:w="584" w:type="pct"/>
            <w:tcBorders>
              <w:top w:val="nil"/>
              <w:left w:val="nil"/>
              <w:bottom w:val="single" w:sz="5" w:space="0" w:color="000000"/>
              <w:right w:val="nil"/>
            </w:tcBorders>
            <w:tcMar>
              <w:top w:w="40" w:type="dxa"/>
              <w:left w:w="40" w:type="dxa"/>
              <w:bottom w:w="40" w:type="dxa"/>
              <w:right w:w="40" w:type="dxa"/>
            </w:tcMar>
            <w:vAlign w:val="bottom"/>
          </w:tcPr>
          <w:p>
            <w:pPr>
              <w:widowControl w:val="0"/>
              <w:spacing w:line="276" w:lineRule="auto"/>
              <w:jc w:val="left"/>
              <w:rPr>
                <w:sz w:val="20"/>
                <w:szCs w:val="20"/>
              </w:rPr>
            </w:pPr>
          </w:p>
        </w:tc>
        <w:tc>
          <w:tcPr>
            <w:tcW w:w="584" w:type="pct"/>
            <w:tcBorders>
              <w:top w:val="nil"/>
              <w:left w:val="nil"/>
              <w:bottom w:val="single" w:sz="5" w:space="0" w:color="000000"/>
              <w:right w:val="single" w:sz="5" w:space="0" w:color="000000"/>
            </w:tcBorders>
            <w:tcMar>
              <w:top w:w="40" w:type="dxa"/>
              <w:left w:w="40" w:type="dxa"/>
              <w:bottom w:w="40" w:type="dxa"/>
              <w:right w:w="40" w:type="dxa"/>
            </w:tcMar>
            <w:vAlign w:val="bottom"/>
          </w:tcPr>
          <w:p>
            <w:pPr>
              <w:widowControl w:val="0"/>
              <w:spacing w:line="276" w:lineRule="auto"/>
              <w:jc w:val="left"/>
              <w:rPr>
                <w:sz w:val="20"/>
                <w:szCs w:val="20"/>
              </w:rPr>
            </w:pPr>
          </w:p>
        </w:tc>
      </w:tr>
    </w:tbl>
    <w:p>
      <w:pPr>
        <w:pStyle w:val="5"/>
      </w:pPr>
      <w:bookmarkStart w:id="52" w:name="_Toc227926970"/>
      <w:r>
        <w:t>Table 2: Liquidity Ratios</w:t>
      </w:r>
      <w:bookmarkEnd w:id="52"/>
    </w:p>
    <w:p>
      <w:pPr>
        <w:jc w:val="center"/>
      </w:pPr>
      <w:r>
        <w:t>(Source: Tesla, 2025, 2023a, 2021)</w:t>
      </w:r>
    </w:p>
    <w:p>
      <w:pPr>
        <w:pStyle w:val="2"/>
      </w:pPr>
      <w:bookmarkStart w:id="53" w:name="_Toc227926907"/>
      <w:r>
        <w:t>Appendix 3: Efficiency Ratios</w:t>
      </w:r>
      <w:bookmarkEnd w:id="53"/>
    </w:p>
    <w:p>
      <w:pPr>
        <w:jc w:val="center"/>
      </w:pPr>
      <w:r>
        <w:drawing>
          <wp:inline distT="114300" distB="114300" distL="114300" distR="114300">
            <wp:extent cx="4852988" cy="2910179"/>
            <wp:effectExtent l="0" t="0" r="0" b="0"/>
            <wp:docPr id="28" name="图片 28"/>
            <wp:cNvGraphicFramePr>
              <a:graphicFrameLocks noChangeAspect="0"/>
            </wp:cNvGraphicFramePr>
            <a:graphic>
              <a:graphicData uri="http://schemas.openxmlformats.org/drawingml/2006/picture">
                <pic:pic>
                  <pic:nvPicPr>
                    <pic:cNvPr id="30" name="图片 30"/>
                    <pic:cNvPicPr/>
                  </pic:nvPicPr>
                  <pic:blipFill>
                    <a:blip r:embed="rId14"/>
                    <a:stretch>
                      <a:fillRect/>
                    </a:stretch>
                  </pic:blipFill>
                  <pic:spPr>
                    <a:xfrm rot="0">
                      <a:off x="0" y="0"/>
                      <a:ext cx="4852988" cy="2910179"/>
                    </a:xfrm>
                    <a:prstGeom prst="rect"/>
                    <a:noFill/>
                    <a:ln w="12700" cmpd="sng" cap="flat">
                      <a:solidFill>
                        <a:srgbClr val="000000"/>
                      </a:solidFill>
                      <a:prstDash val="solid"/>
                      <a:round/>
                    </a:ln>
                  </pic:spPr>
                </pic:pic>
              </a:graphicData>
            </a:graphic>
          </wp:inline>
        </w:drawing>
      </w:r>
    </w:p>
    <w:p>
      <w:pPr>
        <w:pStyle w:val="4"/>
      </w:pPr>
      <w:bookmarkStart w:id="54" w:name="_Toc227926923"/>
      <w:r>
        <w:t>Figure 9: Efficiency Ratios</w:t>
      </w:r>
      <w:bookmarkEnd w:id="54"/>
    </w:p>
    <w:p>
      <w:pPr>
        <w:jc w:val="center"/>
      </w:pPr>
      <w:r>
        <w:t>(Source: Tesla, 2025, 2023a, 2021)</w:t>
      </w:r>
    </w:p>
    <w:tbl>
      <w:tblPr>
        <w:jc w:val="left"/>
        <w:tblInd w:w="0" w:type="dxa"/>
        <w:tblW w:w="5000" w:type="pct"/>
        <w:tblBorders>
          <w:top w:val="none" w:sz="0" w:space="0" w:color="auto"/>
          <w:left w:val="none" w:sz="0" w:space="0" w:color="auto"/>
          <w:bottom w:val="none" w:sz="0" w:space="0" w:color="auto"/>
          <w:right w:val="none" w:sz="0" w:space="0" w:color="auto"/>
        </w:tblBorders>
        <w:tblCellMar>
          <w:top w:w="0" w:type="dxa"/>
          <w:left w:w="0" w:type="dxa"/>
          <w:bottom w:w="0" w:type="dxa"/>
          <w:right w:w="0" w:type="dxa"/>
        </w:tblCellMar>
      </w:tblPr>
      <w:tblGrid>
        <w:gridCol w:w="3488"/>
        <w:gridCol w:w="1105"/>
        <w:gridCol w:w="1105"/>
        <w:gridCol w:w="1105"/>
        <w:gridCol w:w="1105"/>
        <w:gridCol w:w="1105"/>
      </w:tblGrid>
      <w:tr>
        <w:trPr>
          <w:trHeight w:val="315"/>
        </w:trPr>
        <w:tc>
          <w:tcPr>
            <w:tcW w:w="1934" w:type="pct"/>
            <w:tcBorders>
              <w:top w:val="single" w:sz="5" w:space="0" w:color="000000"/>
              <w:left w:val="single" w:sz="5" w:space="0" w:color="000000"/>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b/>
                <w:bCs/>
                <w:sz w:val="20"/>
                <w:szCs w:val="20"/>
              </w:rPr>
              <w:t>Efficiency Ratios</w:t>
            </w:r>
          </w:p>
        </w:tc>
        <w:tc>
          <w:tcPr>
            <w:tcW w:w="613" w:type="pct"/>
            <w:tcBorders>
              <w:top w:val="single" w:sz="5" w:space="0" w:color="000000"/>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b/>
                <w:bCs/>
                <w:sz w:val="20"/>
                <w:szCs w:val="20"/>
              </w:rPr>
              <w:t>2025 ($m)</w:t>
            </w:r>
          </w:p>
        </w:tc>
        <w:tc>
          <w:tcPr>
            <w:tcW w:w="613" w:type="pct"/>
            <w:tcBorders>
              <w:top w:val="single" w:sz="5" w:space="0" w:color="000000"/>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b/>
                <w:bCs/>
                <w:sz w:val="20"/>
                <w:szCs w:val="20"/>
              </w:rPr>
              <w:t>2024 ($m)</w:t>
            </w:r>
          </w:p>
        </w:tc>
        <w:tc>
          <w:tcPr>
            <w:tcW w:w="613" w:type="pct"/>
            <w:tcBorders>
              <w:top w:val="single" w:sz="5" w:space="0" w:color="000000"/>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b/>
                <w:bCs/>
                <w:sz w:val="20"/>
                <w:szCs w:val="20"/>
              </w:rPr>
              <w:t>2023 ($m)</w:t>
            </w:r>
          </w:p>
        </w:tc>
        <w:tc>
          <w:tcPr>
            <w:tcW w:w="613" w:type="pct"/>
            <w:tcBorders>
              <w:top w:val="single" w:sz="5" w:space="0" w:color="000000"/>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b/>
                <w:bCs/>
                <w:sz w:val="20"/>
                <w:szCs w:val="20"/>
              </w:rPr>
              <w:t>2022 ($m)</w:t>
            </w:r>
          </w:p>
        </w:tc>
        <w:tc>
          <w:tcPr>
            <w:tcW w:w="613" w:type="pct"/>
            <w:tcBorders>
              <w:top w:val="single" w:sz="5" w:space="0" w:color="000000"/>
              <w:left w:val="nil"/>
              <w:bottom w:val="nil"/>
              <w:right w:val="single" w:sz="5" w:space="0" w:color="000000"/>
            </w:tcBorders>
            <w:tcMar>
              <w:top w:w="40" w:type="dxa"/>
              <w:left w:w="40" w:type="dxa"/>
              <w:bottom w:w="40" w:type="dxa"/>
              <w:right w:w="40" w:type="dxa"/>
            </w:tcMar>
            <w:vAlign w:val="bottom"/>
          </w:tcPr>
          <w:p>
            <w:pPr>
              <w:widowControl w:val="0"/>
              <w:spacing w:line="276" w:lineRule="auto"/>
              <w:jc w:val="center"/>
              <w:rPr>
                <w:sz w:val="20"/>
                <w:szCs w:val="20"/>
              </w:rPr>
            </w:pPr>
            <w:r>
              <w:rPr>
                <w:b/>
                <w:bCs/>
                <w:sz w:val="20"/>
                <w:szCs w:val="20"/>
              </w:rPr>
              <w:t>2021 ($m)</w:t>
            </w:r>
          </w:p>
        </w:tc>
      </w:tr>
      <w:tr>
        <w:trPr>
          <w:trHeight w:val="315"/>
        </w:trPr>
        <w:tc>
          <w:tcPr>
            <w:tcW w:w="1934"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left"/>
              <w:rPr>
                <w:sz w:val="20"/>
                <w:szCs w:val="20"/>
              </w:rPr>
            </w:pPr>
            <w:r>
              <w:rPr>
                <w:sz w:val="20"/>
                <w:szCs w:val="20"/>
              </w:rPr>
              <w:t>Sales</w:t>
            </w:r>
          </w:p>
        </w:tc>
        <w:tc>
          <w:tcPr>
            <w:tcW w:w="613"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94,827</w:t>
            </w:r>
          </w:p>
        </w:tc>
        <w:tc>
          <w:tcPr>
            <w:tcW w:w="613"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97,690</w:t>
            </w:r>
          </w:p>
        </w:tc>
        <w:tc>
          <w:tcPr>
            <w:tcW w:w="613"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96,773</w:t>
            </w:r>
          </w:p>
        </w:tc>
        <w:tc>
          <w:tcPr>
            <w:tcW w:w="613"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81,462</w:t>
            </w:r>
          </w:p>
        </w:tc>
        <w:tc>
          <w:tcPr>
            <w:tcW w:w="613" w:type="pct"/>
            <w:tcBorders>
              <w:top w:val="nil"/>
              <w:left w:val="nil"/>
              <w:bottom w:val="nil"/>
              <w:right w:val="single" w:sz="5" w:space="0" w:color="000000"/>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53,823</w:t>
            </w:r>
          </w:p>
        </w:tc>
      </w:tr>
      <w:tr>
        <w:trPr>
          <w:trHeight w:val="315"/>
        </w:trPr>
        <w:tc>
          <w:tcPr>
            <w:tcW w:w="1934"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left"/>
              <w:rPr>
                <w:sz w:val="20"/>
                <w:szCs w:val="20"/>
              </w:rPr>
            </w:pPr>
            <w:r>
              <w:rPr>
                <w:sz w:val="20"/>
                <w:szCs w:val="20"/>
              </w:rPr>
              <w:t>Total Assets</w:t>
            </w:r>
          </w:p>
        </w:tc>
        <w:tc>
          <w:tcPr>
            <w:tcW w:w="613"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137,806</w:t>
            </w:r>
          </w:p>
        </w:tc>
        <w:tc>
          <w:tcPr>
            <w:tcW w:w="613"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122,070</w:t>
            </w:r>
          </w:p>
        </w:tc>
        <w:tc>
          <w:tcPr>
            <w:tcW w:w="613"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106,618</w:t>
            </w:r>
          </w:p>
        </w:tc>
        <w:tc>
          <w:tcPr>
            <w:tcW w:w="613"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82,338</w:t>
            </w:r>
          </w:p>
        </w:tc>
        <w:tc>
          <w:tcPr>
            <w:tcW w:w="613" w:type="pct"/>
            <w:tcBorders>
              <w:top w:val="nil"/>
              <w:left w:val="nil"/>
              <w:bottom w:val="nil"/>
              <w:right w:val="single" w:sz="5" w:space="0" w:color="000000"/>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62,131</w:t>
            </w:r>
          </w:p>
        </w:tc>
      </w:tr>
      <w:tr>
        <w:trPr>
          <w:trHeight w:val="315"/>
        </w:trPr>
        <w:tc>
          <w:tcPr>
            <w:tcW w:w="1934"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left"/>
              <w:rPr>
                <w:sz w:val="20"/>
                <w:szCs w:val="20"/>
              </w:rPr>
            </w:pPr>
            <w:r>
              <w:rPr>
                <w:b/>
                <w:bCs/>
                <w:i/>
                <w:iCs/>
                <w:sz w:val="20"/>
                <w:szCs w:val="20"/>
              </w:rPr>
              <w:t>Asset Turnover</w:t>
            </w:r>
          </w:p>
        </w:tc>
        <w:tc>
          <w:tcPr>
            <w:tcW w:w="613"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b/>
                <w:bCs/>
                <w:i/>
                <w:iCs/>
                <w:sz w:val="20"/>
                <w:szCs w:val="20"/>
              </w:rPr>
              <w:t>0.69</w:t>
            </w:r>
          </w:p>
        </w:tc>
        <w:tc>
          <w:tcPr>
            <w:tcW w:w="613"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b/>
                <w:bCs/>
                <w:i/>
                <w:iCs/>
                <w:sz w:val="20"/>
                <w:szCs w:val="20"/>
              </w:rPr>
              <w:t>0.80</w:t>
            </w:r>
          </w:p>
        </w:tc>
        <w:tc>
          <w:tcPr>
            <w:tcW w:w="613"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b/>
                <w:bCs/>
                <w:i/>
                <w:iCs/>
                <w:sz w:val="20"/>
                <w:szCs w:val="20"/>
              </w:rPr>
              <w:t>0.91</w:t>
            </w:r>
          </w:p>
        </w:tc>
        <w:tc>
          <w:tcPr>
            <w:tcW w:w="613"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b/>
                <w:bCs/>
                <w:i/>
                <w:iCs/>
                <w:sz w:val="20"/>
                <w:szCs w:val="20"/>
              </w:rPr>
              <w:t>0.99</w:t>
            </w:r>
          </w:p>
        </w:tc>
        <w:tc>
          <w:tcPr>
            <w:tcW w:w="613" w:type="pct"/>
            <w:tcBorders>
              <w:top w:val="nil"/>
              <w:left w:val="nil"/>
              <w:bottom w:val="nil"/>
              <w:right w:val="single" w:sz="5" w:space="0" w:color="000000"/>
            </w:tcBorders>
            <w:tcMar>
              <w:top w:w="40" w:type="dxa"/>
              <w:left w:w="40" w:type="dxa"/>
              <w:bottom w:w="40" w:type="dxa"/>
              <w:right w:w="40" w:type="dxa"/>
            </w:tcMar>
            <w:vAlign w:val="bottom"/>
          </w:tcPr>
          <w:p>
            <w:pPr>
              <w:widowControl w:val="0"/>
              <w:spacing w:line="276" w:lineRule="auto"/>
              <w:jc w:val="right"/>
              <w:rPr>
                <w:sz w:val="20"/>
                <w:szCs w:val="20"/>
              </w:rPr>
            </w:pPr>
            <w:r>
              <w:rPr>
                <w:b/>
                <w:bCs/>
                <w:i/>
                <w:iCs/>
                <w:sz w:val="20"/>
                <w:szCs w:val="20"/>
              </w:rPr>
              <w:t>0.87</w:t>
            </w:r>
          </w:p>
        </w:tc>
      </w:tr>
      <w:tr>
        <w:trPr>
          <w:trHeight w:val="315"/>
        </w:trPr>
        <w:tc>
          <w:tcPr>
            <w:tcW w:w="1934"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left"/>
              <w:rPr>
                <w:sz w:val="20"/>
                <w:szCs w:val="20"/>
              </w:rPr>
            </w:pPr>
            <w:r>
              <w:rPr>
                <w:sz w:val="20"/>
                <w:szCs w:val="20"/>
              </w:rPr>
              <w:t>Formula: Sales / Total Assets</w:t>
            </w:r>
          </w:p>
        </w:tc>
        <w:tc>
          <w:tcPr>
            <w:tcW w:w="613" w:type="pct"/>
            <w:tcBorders>
              <w:top w:val="nil"/>
              <w:left w:val="nil"/>
              <w:bottom w:val="nil"/>
              <w:right w:val="nil"/>
            </w:tcBorders>
            <w:tcMar>
              <w:top w:w="40" w:type="dxa"/>
              <w:left w:w="40" w:type="dxa"/>
              <w:bottom w:w="40" w:type="dxa"/>
              <w:right w:w="40" w:type="dxa"/>
            </w:tcMar>
            <w:vAlign w:val="bottom"/>
          </w:tcPr>
          <w:p>
            <w:pPr>
              <w:widowControl w:val="0"/>
              <w:spacing w:line="276" w:lineRule="auto"/>
              <w:jc w:val="left"/>
              <w:rPr>
                <w:sz w:val="20"/>
                <w:szCs w:val="20"/>
              </w:rPr>
            </w:pPr>
          </w:p>
        </w:tc>
        <w:tc>
          <w:tcPr>
            <w:tcW w:w="613" w:type="pct"/>
            <w:tcBorders>
              <w:top w:val="nil"/>
              <w:left w:val="nil"/>
              <w:bottom w:val="nil"/>
              <w:right w:val="nil"/>
            </w:tcBorders>
            <w:tcMar>
              <w:top w:w="40" w:type="dxa"/>
              <w:left w:w="40" w:type="dxa"/>
              <w:bottom w:w="40" w:type="dxa"/>
              <w:right w:w="40" w:type="dxa"/>
            </w:tcMar>
            <w:vAlign w:val="bottom"/>
          </w:tcPr>
          <w:p>
            <w:pPr>
              <w:widowControl w:val="0"/>
              <w:spacing w:line="276" w:lineRule="auto"/>
              <w:jc w:val="left"/>
              <w:rPr>
                <w:sz w:val="20"/>
                <w:szCs w:val="20"/>
              </w:rPr>
            </w:pPr>
          </w:p>
        </w:tc>
        <w:tc>
          <w:tcPr>
            <w:tcW w:w="613" w:type="pct"/>
            <w:tcBorders>
              <w:top w:val="nil"/>
              <w:left w:val="nil"/>
              <w:bottom w:val="nil"/>
              <w:right w:val="nil"/>
            </w:tcBorders>
            <w:tcMar>
              <w:top w:w="40" w:type="dxa"/>
              <w:left w:w="40" w:type="dxa"/>
              <w:bottom w:w="40" w:type="dxa"/>
              <w:right w:w="40" w:type="dxa"/>
            </w:tcMar>
            <w:vAlign w:val="bottom"/>
          </w:tcPr>
          <w:p>
            <w:pPr>
              <w:widowControl w:val="0"/>
              <w:spacing w:line="276" w:lineRule="auto"/>
              <w:jc w:val="left"/>
              <w:rPr>
                <w:sz w:val="20"/>
                <w:szCs w:val="20"/>
              </w:rPr>
            </w:pPr>
          </w:p>
        </w:tc>
        <w:tc>
          <w:tcPr>
            <w:tcW w:w="613" w:type="pct"/>
            <w:tcBorders>
              <w:top w:val="nil"/>
              <w:left w:val="nil"/>
              <w:bottom w:val="nil"/>
              <w:right w:val="nil"/>
            </w:tcBorders>
            <w:tcMar>
              <w:top w:w="40" w:type="dxa"/>
              <w:left w:w="40" w:type="dxa"/>
              <w:bottom w:w="40" w:type="dxa"/>
              <w:right w:w="40" w:type="dxa"/>
            </w:tcMar>
            <w:vAlign w:val="bottom"/>
          </w:tcPr>
          <w:p>
            <w:pPr>
              <w:widowControl w:val="0"/>
              <w:spacing w:line="276" w:lineRule="auto"/>
              <w:jc w:val="left"/>
              <w:rPr>
                <w:sz w:val="20"/>
                <w:szCs w:val="20"/>
              </w:rPr>
            </w:pPr>
          </w:p>
        </w:tc>
        <w:tc>
          <w:tcPr>
            <w:tcW w:w="613" w:type="pct"/>
            <w:tcBorders>
              <w:top w:val="nil"/>
              <w:left w:val="nil"/>
              <w:bottom w:val="nil"/>
              <w:right w:val="single" w:sz="5" w:space="0" w:color="000000"/>
            </w:tcBorders>
            <w:tcMar>
              <w:top w:w="40" w:type="dxa"/>
              <w:left w:w="40" w:type="dxa"/>
              <w:bottom w:w="40" w:type="dxa"/>
              <w:right w:w="40" w:type="dxa"/>
            </w:tcMar>
            <w:vAlign w:val="bottom"/>
          </w:tcPr>
          <w:p>
            <w:pPr>
              <w:widowControl w:val="0"/>
              <w:spacing w:line="276" w:lineRule="auto"/>
              <w:jc w:val="left"/>
              <w:rPr>
                <w:sz w:val="20"/>
                <w:szCs w:val="20"/>
              </w:rPr>
            </w:pPr>
          </w:p>
        </w:tc>
      </w:tr>
      <w:tr>
        <w:trPr>
          <w:trHeight w:val="315"/>
        </w:trPr>
        <w:tc>
          <w:tcPr>
            <w:tcW w:w="1934"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left"/>
              <w:rPr>
                <w:sz w:val="20"/>
                <w:szCs w:val="20"/>
              </w:rPr>
            </w:pPr>
            <w:r>
              <w:rPr>
                <w:sz w:val="20"/>
                <w:szCs w:val="20"/>
              </w:rPr>
              <w:t>Sales</w:t>
            </w:r>
          </w:p>
        </w:tc>
        <w:tc>
          <w:tcPr>
            <w:tcW w:w="613"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94,827</w:t>
            </w:r>
          </w:p>
        </w:tc>
        <w:tc>
          <w:tcPr>
            <w:tcW w:w="613"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97,690</w:t>
            </w:r>
          </w:p>
        </w:tc>
        <w:tc>
          <w:tcPr>
            <w:tcW w:w="613"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96,773</w:t>
            </w:r>
          </w:p>
        </w:tc>
        <w:tc>
          <w:tcPr>
            <w:tcW w:w="613"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81,462</w:t>
            </w:r>
          </w:p>
        </w:tc>
        <w:tc>
          <w:tcPr>
            <w:tcW w:w="613" w:type="pct"/>
            <w:tcBorders>
              <w:top w:val="nil"/>
              <w:left w:val="nil"/>
              <w:bottom w:val="nil"/>
              <w:right w:val="single" w:sz="5" w:space="0" w:color="000000"/>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53,823</w:t>
            </w:r>
          </w:p>
        </w:tc>
      </w:tr>
      <w:tr>
        <w:trPr>
          <w:trHeight w:val="315"/>
        </w:trPr>
        <w:tc>
          <w:tcPr>
            <w:tcW w:w="1934"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left"/>
              <w:rPr>
                <w:sz w:val="20"/>
                <w:szCs w:val="20"/>
              </w:rPr>
            </w:pPr>
            <w:r>
              <w:rPr>
                <w:sz w:val="20"/>
                <w:szCs w:val="20"/>
              </w:rPr>
              <w:t>Fixed Assets</w:t>
            </w:r>
          </w:p>
        </w:tc>
        <w:tc>
          <w:tcPr>
            <w:tcW w:w="613"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40,643</w:t>
            </w:r>
          </w:p>
        </w:tc>
        <w:tc>
          <w:tcPr>
            <w:tcW w:w="613"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35,836</w:t>
            </w:r>
          </w:p>
        </w:tc>
        <w:tc>
          <w:tcPr>
            <w:tcW w:w="613"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29,725</w:t>
            </w:r>
          </w:p>
        </w:tc>
        <w:tc>
          <w:tcPr>
            <w:tcW w:w="613"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23,548</w:t>
            </w:r>
          </w:p>
        </w:tc>
        <w:tc>
          <w:tcPr>
            <w:tcW w:w="613" w:type="pct"/>
            <w:tcBorders>
              <w:top w:val="nil"/>
              <w:left w:val="nil"/>
              <w:bottom w:val="nil"/>
              <w:right w:val="single" w:sz="5" w:space="0" w:color="000000"/>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18,884</w:t>
            </w:r>
          </w:p>
        </w:tc>
      </w:tr>
      <w:tr>
        <w:trPr>
          <w:trHeight w:val="315"/>
        </w:trPr>
        <w:tc>
          <w:tcPr>
            <w:tcW w:w="1934"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left"/>
              <w:rPr>
                <w:sz w:val="20"/>
                <w:szCs w:val="20"/>
              </w:rPr>
            </w:pPr>
            <w:r>
              <w:rPr>
                <w:b/>
                <w:bCs/>
                <w:i/>
                <w:iCs/>
                <w:sz w:val="20"/>
                <w:szCs w:val="20"/>
              </w:rPr>
              <w:t>Fixed Asset Turnover</w:t>
            </w:r>
          </w:p>
        </w:tc>
        <w:tc>
          <w:tcPr>
            <w:tcW w:w="613"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b/>
                <w:bCs/>
                <w:i/>
                <w:iCs/>
                <w:sz w:val="20"/>
                <w:szCs w:val="20"/>
              </w:rPr>
              <w:t>2.33</w:t>
            </w:r>
          </w:p>
        </w:tc>
        <w:tc>
          <w:tcPr>
            <w:tcW w:w="613"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b/>
                <w:bCs/>
                <w:i/>
                <w:iCs/>
                <w:sz w:val="20"/>
                <w:szCs w:val="20"/>
              </w:rPr>
              <w:t>2.73</w:t>
            </w:r>
          </w:p>
        </w:tc>
        <w:tc>
          <w:tcPr>
            <w:tcW w:w="613"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b/>
                <w:bCs/>
                <w:i/>
                <w:iCs/>
                <w:sz w:val="20"/>
                <w:szCs w:val="20"/>
              </w:rPr>
              <w:t>3.26</w:t>
            </w:r>
          </w:p>
        </w:tc>
        <w:tc>
          <w:tcPr>
            <w:tcW w:w="613"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b/>
                <w:bCs/>
                <w:i/>
                <w:iCs/>
                <w:sz w:val="20"/>
                <w:szCs w:val="20"/>
              </w:rPr>
              <w:t>3.46</w:t>
            </w:r>
          </w:p>
        </w:tc>
        <w:tc>
          <w:tcPr>
            <w:tcW w:w="613" w:type="pct"/>
            <w:tcBorders>
              <w:top w:val="nil"/>
              <w:left w:val="nil"/>
              <w:bottom w:val="nil"/>
              <w:right w:val="single" w:sz="5" w:space="0" w:color="000000"/>
            </w:tcBorders>
            <w:tcMar>
              <w:top w:w="40" w:type="dxa"/>
              <w:left w:w="40" w:type="dxa"/>
              <w:bottom w:w="40" w:type="dxa"/>
              <w:right w:w="40" w:type="dxa"/>
            </w:tcMar>
            <w:vAlign w:val="bottom"/>
          </w:tcPr>
          <w:p>
            <w:pPr>
              <w:widowControl w:val="0"/>
              <w:spacing w:line="276" w:lineRule="auto"/>
              <w:jc w:val="right"/>
              <w:rPr>
                <w:sz w:val="20"/>
                <w:szCs w:val="20"/>
              </w:rPr>
            </w:pPr>
            <w:r>
              <w:rPr>
                <w:b/>
                <w:bCs/>
                <w:i/>
                <w:iCs/>
                <w:sz w:val="20"/>
                <w:szCs w:val="20"/>
              </w:rPr>
              <w:t>2.85</w:t>
            </w:r>
          </w:p>
        </w:tc>
      </w:tr>
      <w:tr>
        <w:trPr>
          <w:trHeight w:val="315"/>
        </w:trPr>
        <w:tc>
          <w:tcPr>
            <w:tcW w:w="1934"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left"/>
              <w:rPr>
                <w:sz w:val="20"/>
                <w:szCs w:val="20"/>
              </w:rPr>
            </w:pPr>
            <w:r>
              <w:rPr>
                <w:sz w:val="20"/>
                <w:szCs w:val="20"/>
              </w:rPr>
              <w:t>Formula: Fixed Assets / Fixed Asset Turnover</w:t>
            </w:r>
          </w:p>
        </w:tc>
        <w:tc>
          <w:tcPr>
            <w:tcW w:w="613" w:type="pct"/>
            <w:tcBorders>
              <w:top w:val="nil"/>
              <w:left w:val="nil"/>
              <w:bottom w:val="nil"/>
              <w:right w:val="nil"/>
            </w:tcBorders>
            <w:tcMar>
              <w:top w:w="40" w:type="dxa"/>
              <w:left w:w="40" w:type="dxa"/>
              <w:bottom w:w="40" w:type="dxa"/>
              <w:right w:w="40" w:type="dxa"/>
            </w:tcMar>
            <w:vAlign w:val="bottom"/>
          </w:tcPr>
          <w:p>
            <w:pPr>
              <w:widowControl w:val="0"/>
              <w:spacing w:line="276" w:lineRule="auto"/>
              <w:jc w:val="left"/>
              <w:rPr>
                <w:sz w:val="20"/>
                <w:szCs w:val="20"/>
              </w:rPr>
            </w:pPr>
          </w:p>
        </w:tc>
        <w:tc>
          <w:tcPr>
            <w:tcW w:w="613" w:type="pct"/>
            <w:tcBorders>
              <w:top w:val="nil"/>
              <w:left w:val="nil"/>
              <w:bottom w:val="nil"/>
              <w:right w:val="nil"/>
            </w:tcBorders>
            <w:tcMar>
              <w:top w:w="40" w:type="dxa"/>
              <w:left w:w="40" w:type="dxa"/>
              <w:bottom w:w="40" w:type="dxa"/>
              <w:right w:w="40" w:type="dxa"/>
            </w:tcMar>
            <w:vAlign w:val="bottom"/>
          </w:tcPr>
          <w:p>
            <w:pPr>
              <w:widowControl w:val="0"/>
              <w:spacing w:line="276" w:lineRule="auto"/>
              <w:jc w:val="left"/>
              <w:rPr>
                <w:sz w:val="20"/>
                <w:szCs w:val="20"/>
              </w:rPr>
            </w:pPr>
          </w:p>
        </w:tc>
        <w:tc>
          <w:tcPr>
            <w:tcW w:w="613" w:type="pct"/>
            <w:tcBorders>
              <w:top w:val="nil"/>
              <w:left w:val="nil"/>
              <w:bottom w:val="nil"/>
              <w:right w:val="nil"/>
            </w:tcBorders>
            <w:tcMar>
              <w:top w:w="40" w:type="dxa"/>
              <w:left w:w="40" w:type="dxa"/>
              <w:bottom w:w="40" w:type="dxa"/>
              <w:right w:w="40" w:type="dxa"/>
            </w:tcMar>
            <w:vAlign w:val="bottom"/>
          </w:tcPr>
          <w:p>
            <w:pPr>
              <w:widowControl w:val="0"/>
              <w:spacing w:line="276" w:lineRule="auto"/>
              <w:jc w:val="left"/>
              <w:rPr>
                <w:sz w:val="20"/>
                <w:szCs w:val="20"/>
              </w:rPr>
            </w:pPr>
          </w:p>
        </w:tc>
        <w:tc>
          <w:tcPr>
            <w:tcW w:w="613" w:type="pct"/>
            <w:tcBorders>
              <w:top w:val="nil"/>
              <w:left w:val="nil"/>
              <w:bottom w:val="nil"/>
              <w:right w:val="nil"/>
            </w:tcBorders>
            <w:tcMar>
              <w:top w:w="40" w:type="dxa"/>
              <w:left w:w="40" w:type="dxa"/>
              <w:bottom w:w="40" w:type="dxa"/>
              <w:right w:w="40" w:type="dxa"/>
            </w:tcMar>
            <w:vAlign w:val="bottom"/>
          </w:tcPr>
          <w:p>
            <w:pPr>
              <w:widowControl w:val="0"/>
              <w:spacing w:line="276" w:lineRule="auto"/>
              <w:jc w:val="left"/>
              <w:rPr>
                <w:sz w:val="20"/>
                <w:szCs w:val="20"/>
              </w:rPr>
            </w:pPr>
          </w:p>
        </w:tc>
        <w:tc>
          <w:tcPr>
            <w:tcW w:w="613" w:type="pct"/>
            <w:tcBorders>
              <w:top w:val="nil"/>
              <w:left w:val="nil"/>
              <w:bottom w:val="nil"/>
              <w:right w:val="single" w:sz="5" w:space="0" w:color="000000"/>
            </w:tcBorders>
            <w:tcMar>
              <w:top w:w="40" w:type="dxa"/>
              <w:left w:w="40" w:type="dxa"/>
              <w:bottom w:w="40" w:type="dxa"/>
              <w:right w:w="40" w:type="dxa"/>
            </w:tcMar>
            <w:vAlign w:val="bottom"/>
          </w:tcPr>
          <w:p>
            <w:pPr>
              <w:widowControl w:val="0"/>
              <w:spacing w:line="276" w:lineRule="auto"/>
              <w:jc w:val="left"/>
              <w:rPr>
                <w:sz w:val="20"/>
                <w:szCs w:val="20"/>
              </w:rPr>
            </w:pPr>
          </w:p>
        </w:tc>
      </w:tr>
      <w:tr>
        <w:trPr>
          <w:trHeight w:val="315"/>
        </w:trPr>
        <w:tc>
          <w:tcPr>
            <w:tcW w:w="1934"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left"/>
              <w:rPr>
                <w:sz w:val="20"/>
                <w:szCs w:val="20"/>
              </w:rPr>
            </w:pPr>
            <w:r>
              <w:rPr>
                <w:sz w:val="20"/>
                <w:szCs w:val="20"/>
              </w:rPr>
              <w:t>Cost of Goods Sales</w:t>
            </w:r>
          </w:p>
        </w:tc>
        <w:tc>
          <w:tcPr>
            <w:tcW w:w="613"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77,733</w:t>
            </w:r>
          </w:p>
        </w:tc>
        <w:tc>
          <w:tcPr>
            <w:tcW w:w="613"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80,240</w:t>
            </w:r>
          </w:p>
        </w:tc>
        <w:tc>
          <w:tcPr>
            <w:tcW w:w="613"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79,113</w:t>
            </w:r>
          </w:p>
        </w:tc>
        <w:tc>
          <w:tcPr>
            <w:tcW w:w="613"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60,609</w:t>
            </w:r>
          </w:p>
        </w:tc>
        <w:tc>
          <w:tcPr>
            <w:tcW w:w="613" w:type="pct"/>
            <w:tcBorders>
              <w:top w:val="nil"/>
              <w:left w:val="nil"/>
              <w:bottom w:val="nil"/>
              <w:right w:val="single" w:sz="5" w:space="0" w:color="000000"/>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40,217</w:t>
            </w:r>
          </w:p>
        </w:tc>
      </w:tr>
      <w:tr>
        <w:trPr>
          <w:trHeight w:val="315"/>
        </w:trPr>
        <w:tc>
          <w:tcPr>
            <w:tcW w:w="1934"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left"/>
              <w:rPr>
                <w:sz w:val="20"/>
                <w:szCs w:val="20"/>
              </w:rPr>
            </w:pPr>
            <w:r>
              <w:rPr>
                <w:sz w:val="20"/>
                <w:szCs w:val="20"/>
              </w:rPr>
              <w:t>Inventory</w:t>
            </w:r>
          </w:p>
        </w:tc>
        <w:tc>
          <w:tcPr>
            <w:tcW w:w="613"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12,392</w:t>
            </w:r>
          </w:p>
        </w:tc>
        <w:tc>
          <w:tcPr>
            <w:tcW w:w="613"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12,017</w:t>
            </w:r>
          </w:p>
        </w:tc>
        <w:tc>
          <w:tcPr>
            <w:tcW w:w="613"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13,626</w:t>
            </w:r>
          </w:p>
        </w:tc>
        <w:tc>
          <w:tcPr>
            <w:tcW w:w="613"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12,839</w:t>
            </w:r>
          </w:p>
        </w:tc>
        <w:tc>
          <w:tcPr>
            <w:tcW w:w="613" w:type="pct"/>
            <w:tcBorders>
              <w:top w:val="nil"/>
              <w:left w:val="nil"/>
              <w:bottom w:val="nil"/>
              <w:right w:val="single" w:sz="5" w:space="0" w:color="000000"/>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5,757</w:t>
            </w:r>
          </w:p>
        </w:tc>
      </w:tr>
      <w:tr>
        <w:trPr>
          <w:trHeight w:val="315"/>
        </w:trPr>
        <w:tc>
          <w:tcPr>
            <w:tcW w:w="1934"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left"/>
              <w:rPr>
                <w:sz w:val="20"/>
                <w:szCs w:val="20"/>
              </w:rPr>
            </w:pPr>
            <w:r>
              <w:rPr>
                <w:b/>
                <w:bCs/>
                <w:i/>
                <w:iCs/>
                <w:sz w:val="20"/>
                <w:szCs w:val="20"/>
              </w:rPr>
              <w:t>Inventory Turnover</w:t>
            </w:r>
          </w:p>
        </w:tc>
        <w:tc>
          <w:tcPr>
            <w:tcW w:w="613"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b/>
                <w:bCs/>
                <w:i/>
                <w:iCs/>
                <w:sz w:val="20"/>
                <w:szCs w:val="20"/>
              </w:rPr>
              <w:t>6.27</w:t>
            </w:r>
          </w:p>
        </w:tc>
        <w:tc>
          <w:tcPr>
            <w:tcW w:w="613"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b/>
                <w:bCs/>
                <w:i/>
                <w:iCs/>
                <w:sz w:val="20"/>
                <w:szCs w:val="20"/>
              </w:rPr>
              <w:t>6.68</w:t>
            </w:r>
          </w:p>
        </w:tc>
        <w:tc>
          <w:tcPr>
            <w:tcW w:w="613"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b/>
                <w:bCs/>
                <w:i/>
                <w:iCs/>
                <w:sz w:val="20"/>
                <w:szCs w:val="20"/>
              </w:rPr>
              <w:t>5.81</w:t>
            </w:r>
          </w:p>
        </w:tc>
        <w:tc>
          <w:tcPr>
            <w:tcW w:w="613"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b/>
                <w:bCs/>
                <w:i/>
                <w:iCs/>
                <w:sz w:val="20"/>
                <w:szCs w:val="20"/>
              </w:rPr>
              <w:t>4.72</w:t>
            </w:r>
          </w:p>
        </w:tc>
        <w:tc>
          <w:tcPr>
            <w:tcW w:w="613" w:type="pct"/>
            <w:tcBorders>
              <w:top w:val="nil"/>
              <w:left w:val="nil"/>
              <w:bottom w:val="nil"/>
              <w:right w:val="single" w:sz="5" w:space="0" w:color="000000"/>
            </w:tcBorders>
            <w:tcMar>
              <w:top w:w="40" w:type="dxa"/>
              <w:left w:w="40" w:type="dxa"/>
              <w:bottom w:w="40" w:type="dxa"/>
              <w:right w:w="40" w:type="dxa"/>
            </w:tcMar>
            <w:vAlign w:val="bottom"/>
          </w:tcPr>
          <w:p>
            <w:pPr>
              <w:widowControl w:val="0"/>
              <w:spacing w:line="276" w:lineRule="auto"/>
              <w:jc w:val="right"/>
              <w:rPr>
                <w:sz w:val="20"/>
                <w:szCs w:val="20"/>
              </w:rPr>
            </w:pPr>
            <w:r>
              <w:rPr>
                <w:b/>
                <w:bCs/>
                <w:i/>
                <w:iCs/>
                <w:sz w:val="20"/>
                <w:szCs w:val="20"/>
              </w:rPr>
              <w:t>6.99</w:t>
            </w:r>
          </w:p>
        </w:tc>
      </w:tr>
      <w:tr>
        <w:trPr>
          <w:trHeight w:val="315"/>
        </w:trPr>
        <w:tc>
          <w:tcPr>
            <w:tcW w:w="1934" w:type="pct"/>
            <w:tcBorders>
              <w:top w:val="nil"/>
              <w:left w:val="single" w:sz="5" w:space="0" w:color="000000"/>
              <w:bottom w:val="single" w:sz="5" w:space="0" w:color="000000"/>
              <w:right w:val="nil"/>
            </w:tcBorders>
            <w:tcMar>
              <w:top w:w="40" w:type="dxa"/>
              <w:left w:w="40" w:type="dxa"/>
              <w:bottom w:w="40" w:type="dxa"/>
              <w:right w:w="40" w:type="dxa"/>
            </w:tcMar>
            <w:vAlign w:val="bottom"/>
          </w:tcPr>
          <w:p>
            <w:pPr>
              <w:widowControl w:val="0"/>
              <w:spacing w:line="276" w:lineRule="auto"/>
              <w:jc w:val="left"/>
              <w:rPr>
                <w:sz w:val="20"/>
                <w:szCs w:val="20"/>
              </w:rPr>
            </w:pPr>
            <w:r>
              <w:rPr>
                <w:i/>
                <w:iCs/>
                <w:sz w:val="20"/>
                <w:szCs w:val="20"/>
              </w:rPr>
              <w:t>Formula: Cost of Goods Sales / Inventory</w:t>
            </w:r>
          </w:p>
        </w:tc>
        <w:tc>
          <w:tcPr>
            <w:tcW w:w="613" w:type="pct"/>
            <w:tcBorders>
              <w:top w:val="nil"/>
              <w:left w:val="nil"/>
              <w:bottom w:val="single" w:sz="5" w:space="0" w:color="000000"/>
              <w:right w:val="nil"/>
            </w:tcBorders>
            <w:tcMar>
              <w:top w:w="40" w:type="dxa"/>
              <w:left w:w="40" w:type="dxa"/>
              <w:bottom w:w="40" w:type="dxa"/>
              <w:right w:w="40" w:type="dxa"/>
            </w:tcMar>
            <w:vAlign w:val="bottom"/>
          </w:tcPr>
          <w:p>
            <w:pPr>
              <w:widowControl w:val="0"/>
              <w:spacing w:line="276" w:lineRule="auto"/>
              <w:jc w:val="left"/>
              <w:rPr>
                <w:sz w:val="20"/>
                <w:szCs w:val="20"/>
              </w:rPr>
            </w:pPr>
          </w:p>
        </w:tc>
        <w:tc>
          <w:tcPr>
            <w:tcW w:w="613" w:type="pct"/>
            <w:tcBorders>
              <w:top w:val="nil"/>
              <w:left w:val="nil"/>
              <w:bottom w:val="single" w:sz="5" w:space="0" w:color="000000"/>
              <w:right w:val="nil"/>
            </w:tcBorders>
            <w:tcMar>
              <w:top w:w="40" w:type="dxa"/>
              <w:left w:w="40" w:type="dxa"/>
              <w:bottom w:w="40" w:type="dxa"/>
              <w:right w:w="40" w:type="dxa"/>
            </w:tcMar>
            <w:vAlign w:val="bottom"/>
          </w:tcPr>
          <w:p>
            <w:pPr>
              <w:widowControl w:val="0"/>
              <w:spacing w:line="276" w:lineRule="auto"/>
              <w:jc w:val="left"/>
              <w:rPr>
                <w:sz w:val="20"/>
                <w:szCs w:val="20"/>
              </w:rPr>
            </w:pPr>
          </w:p>
        </w:tc>
        <w:tc>
          <w:tcPr>
            <w:tcW w:w="613" w:type="pct"/>
            <w:tcBorders>
              <w:top w:val="nil"/>
              <w:left w:val="nil"/>
              <w:bottom w:val="single" w:sz="5" w:space="0" w:color="000000"/>
              <w:right w:val="nil"/>
            </w:tcBorders>
            <w:tcMar>
              <w:top w:w="40" w:type="dxa"/>
              <w:left w:w="40" w:type="dxa"/>
              <w:bottom w:w="40" w:type="dxa"/>
              <w:right w:w="40" w:type="dxa"/>
            </w:tcMar>
            <w:vAlign w:val="bottom"/>
          </w:tcPr>
          <w:p>
            <w:pPr>
              <w:widowControl w:val="0"/>
              <w:spacing w:line="276" w:lineRule="auto"/>
              <w:jc w:val="left"/>
              <w:rPr>
                <w:sz w:val="20"/>
                <w:szCs w:val="20"/>
              </w:rPr>
            </w:pPr>
          </w:p>
        </w:tc>
        <w:tc>
          <w:tcPr>
            <w:tcW w:w="613" w:type="pct"/>
            <w:tcBorders>
              <w:top w:val="nil"/>
              <w:left w:val="nil"/>
              <w:bottom w:val="single" w:sz="5" w:space="0" w:color="000000"/>
              <w:right w:val="nil"/>
            </w:tcBorders>
            <w:tcMar>
              <w:top w:w="40" w:type="dxa"/>
              <w:left w:w="40" w:type="dxa"/>
              <w:bottom w:w="40" w:type="dxa"/>
              <w:right w:w="40" w:type="dxa"/>
            </w:tcMar>
            <w:vAlign w:val="bottom"/>
          </w:tcPr>
          <w:p>
            <w:pPr>
              <w:widowControl w:val="0"/>
              <w:spacing w:line="276" w:lineRule="auto"/>
              <w:jc w:val="left"/>
              <w:rPr>
                <w:sz w:val="20"/>
                <w:szCs w:val="20"/>
              </w:rPr>
            </w:pPr>
          </w:p>
        </w:tc>
        <w:tc>
          <w:tcPr>
            <w:tcW w:w="613" w:type="pct"/>
            <w:tcBorders>
              <w:top w:val="nil"/>
              <w:left w:val="nil"/>
              <w:bottom w:val="single" w:sz="5" w:space="0" w:color="000000"/>
              <w:right w:val="single" w:sz="5" w:space="0" w:color="000000"/>
            </w:tcBorders>
            <w:tcMar>
              <w:top w:w="40" w:type="dxa"/>
              <w:left w:w="40" w:type="dxa"/>
              <w:bottom w:w="40" w:type="dxa"/>
              <w:right w:w="40" w:type="dxa"/>
            </w:tcMar>
            <w:vAlign w:val="bottom"/>
          </w:tcPr>
          <w:p>
            <w:pPr>
              <w:widowControl w:val="0"/>
              <w:spacing w:line="276" w:lineRule="auto"/>
              <w:jc w:val="left"/>
              <w:rPr>
                <w:sz w:val="20"/>
                <w:szCs w:val="20"/>
              </w:rPr>
            </w:pPr>
          </w:p>
        </w:tc>
      </w:tr>
    </w:tbl>
    <w:p>
      <w:pPr>
        <w:pStyle w:val="5"/>
      </w:pPr>
      <w:bookmarkStart w:id="55" w:name="_Toc227926971"/>
      <w:r>
        <w:t>Table 3: Efficiency Ratios</w:t>
      </w:r>
      <w:bookmarkEnd w:id="55"/>
    </w:p>
    <w:p>
      <w:pPr>
        <w:jc w:val="center"/>
      </w:pPr>
      <w:r>
        <w:t>(Source: Tesla, 2025, 2023a, 2021)</w:t>
      </w:r>
    </w:p>
    <w:p>
      <w:pPr>
        <w:pStyle w:val="2"/>
      </w:pPr>
      <w:bookmarkStart w:id="56" w:name="_Toc227926908"/>
      <w:r>
        <w:t>Appendix 4: Leverage Ratio</w:t>
      </w:r>
      <w:bookmarkEnd w:id="56"/>
    </w:p>
    <w:p>
      <w:pPr>
        <w:jc w:val="center"/>
      </w:pPr>
      <w:r>
        <w:drawing>
          <wp:inline distT="114300" distB="114300" distL="114300" distR="114300">
            <wp:extent cx="4733735" cy="3263289"/>
            <wp:effectExtent l="0" t="0" r="0" b="0"/>
            <wp:docPr id="31" name="图片 31"/>
            <wp:cNvGraphicFramePr>
              <a:graphicFrameLocks noChangeAspect="0"/>
            </wp:cNvGraphicFramePr>
            <a:graphic>
              <a:graphicData uri="http://schemas.openxmlformats.org/drawingml/2006/picture">
                <pic:pic>
                  <pic:nvPicPr>
                    <pic:cNvPr id="33" name="图片 33"/>
                    <pic:cNvPicPr/>
                  </pic:nvPicPr>
                  <pic:blipFill>
                    <a:blip r:embed="rId15"/>
                    <a:stretch>
                      <a:fillRect/>
                    </a:stretch>
                  </pic:blipFill>
                  <pic:spPr>
                    <a:xfrm rot="0">
                      <a:off x="0" y="0"/>
                      <a:ext cx="4733735" cy="3263289"/>
                    </a:xfrm>
                    <a:prstGeom prst="rect"/>
                    <a:noFill/>
                    <a:ln w="12700" cmpd="sng" cap="flat">
                      <a:solidFill>
                        <a:srgbClr val="000000"/>
                      </a:solidFill>
                      <a:prstDash val="solid"/>
                      <a:round/>
                    </a:ln>
                  </pic:spPr>
                </pic:pic>
              </a:graphicData>
            </a:graphic>
          </wp:inline>
        </w:drawing>
      </w:r>
    </w:p>
    <w:p>
      <w:pPr>
        <w:pStyle w:val="4"/>
      </w:pPr>
      <w:bookmarkStart w:id="57" w:name="_Toc227926924"/>
      <w:r>
        <w:t>Figure 10: Leverage Ratio</w:t>
      </w:r>
      <w:bookmarkEnd w:id="57"/>
    </w:p>
    <w:p>
      <w:pPr>
        <w:jc w:val="center"/>
      </w:pPr>
      <w:r>
        <w:t>(Source: Tesla, 2025, 2023, 2021)</w:t>
      </w:r>
    </w:p>
    <w:tbl>
      <w:tblPr>
        <w:jc w:val="left"/>
        <w:tblInd w:w="0" w:type="dxa"/>
        <w:tblW w:w="5000" w:type="pct"/>
        <w:tblBorders>
          <w:top w:val="none" w:sz="0" w:space="0" w:color="auto"/>
          <w:left w:val="none" w:sz="0" w:space="0" w:color="auto"/>
          <w:bottom w:val="none" w:sz="0" w:space="0" w:color="auto"/>
          <w:right w:val="none" w:sz="0" w:space="0" w:color="auto"/>
        </w:tblBorders>
        <w:tblCellMar>
          <w:top w:w="0" w:type="dxa"/>
          <w:left w:w="0" w:type="dxa"/>
          <w:bottom w:w="0" w:type="dxa"/>
          <w:right w:w="0" w:type="dxa"/>
        </w:tblCellMar>
      </w:tblPr>
      <w:tblGrid>
        <w:gridCol w:w="3237"/>
        <w:gridCol w:w="1156"/>
        <w:gridCol w:w="1156"/>
        <w:gridCol w:w="1156"/>
        <w:gridCol w:w="1156"/>
        <w:gridCol w:w="1156"/>
      </w:tblGrid>
      <w:tr>
        <w:trPr>
          <w:trHeight w:val="315"/>
        </w:trPr>
        <w:tc>
          <w:tcPr>
            <w:tcW w:w="1795" w:type="pct"/>
            <w:tcBorders>
              <w:top w:val="single" w:sz="5" w:space="0" w:color="000000"/>
              <w:left w:val="single" w:sz="5" w:space="0" w:color="000000"/>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b/>
                <w:bCs/>
                <w:sz w:val="20"/>
                <w:szCs w:val="20"/>
              </w:rPr>
              <w:t>Leverage Ratio</w:t>
            </w:r>
          </w:p>
        </w:tc>
        <w:tc>
          <w:tcPr>
            <w:tcW w:w="641" w:type="pct"/>
            <w:tcBorders>
              <w:top w:val="single" w:sz="5" w:space="0" w:color="000000"/>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b/>
                <w:bCs/>
                <w:sz w:val="20"/>
                <w:szCs w:val="20"/>
              </w:rPr>
              <w:t>2025 ($m)</w:t>
            </w:r>
          </w:p>
        </w:tc>
        <w:tc>
          <w:tcPr>
            <w:tcW w:w="641" w:type="pct"/>
            <w:tcBorders>
              <w:top w:val="single" w:sz="5" w:space="0" w:color="000000"/>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b/>
                <w:bCs/>
                <w:sz w:val="20"/>
                <w:szCs w:val="20"/>
              </w:rPr>
              <w:t>2024 ($m)</w:t>
            </w:r>
          </w:p>
        </w:tc>
        <w:tc>
          <w:tcPr>
            <w:tcW w:w="641" w:type="pct"/>
            <w:tcBorders>
              <w:top w:val="single" w:sz="5" w:space="0" w:color="000000"/>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b/>
                <w:bCs/>
                <w:sz w:val="20"/>
                <w:szCs w:val="20"/>
              </w:rPr>
              <w:t>2023 ($m)</w:t>
            </w:r>
          </w:p>
        </w:tc>
        <w:tc>
          <w:tcPr>
            <w:tcW w:w="641" w:type="pct"/>
            <w:tcBorders>
              <w:top w:val="single" w:sz="5" w:space="0" w:color="000000"/>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b/>
                <w:bCs/>
                <w:sz w:val="20"/>
                <w:szCs w:val="20"/>
              </w:rPr>
              <w:t>2022 ($m)</w:t>
            </w:r>
          </w:p>
        </w:tc>
        <w:tc>
          <w:tcPr>
            <w:tcW w:w="641" w:type="pct"/>
            <w:tcBorders>
              <w:top w:val="single" w:sz="5" w:space="0" w:color="000000"/>
              <w:left w:val="nil"/>
              <w:bottom w:val="nil"/>
              <w:right w:val="single" w:sz="5" w:space="0" w:color="000000"/>
            </w:tcBorders>
            <w:tcMar>
              <w:top w:w="40" w:type="dxa"/>
              <w:left w:w="40" w:type="dxa"/>
              <w:bottom w:w="40" w:type="dxa"/>
              <w:right w:w="40" w:type="dxa"/>
            </w:tcMar>
            <w:vAlign w:val="bottom"/>
          </w:tcPr>
          <w:p>
            <w:pPr>
              <w:widowControl w:val="0"/>
              <w:spacing w:line="276" w:lineRule="auto"/>
              <w:jc w:val="center"/>
              <w:rPr>
                <w:sz w:val="20"/>
                <w:szCs w:val="20"/>
              </w:rPr>
            </w:pPr>
            <w:r>
              <w:rPr>
                <w:b/>
                <w:bCs/>
                <w:sz w:val="20"/>
                <w:szCs w:val="20"/>
              </w:rPr>
              <w:t>2021 ($m)</w:t>
            </w:r>
          </w:p>
        </w:tc>
      </w:tr>
      <w:tr>
        <w:trPr>
          <w:trHeight w:val="315"/>
        </w:trPr>
        <w:tc>
          <w:tcPr>
            <w:tcW w:w="1795"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left"/>
              <w:rPr>
                <w:sz w:val="20"/>
                <w:szCs w:val="20"/>
              </w:rPr>
            </w:pPr>
            <w:r>
              <w:rPr>
                <w:sz w:val="20"/>
                <w:szCs w:val="20"/>
              </w:rPr>
              <w:t>Debt</w:t>
            </w:r>
          </w:p>
        </w:tc>
        <w:tc>
          <w:tcPr>
            <w:tcW w:w="641"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21,236</w:t>
            </w:r>
          </w:p>
        </w:tc>
        <w:tc>
          <w:tcPr>
            <w:tcW w:w="641"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18,708</w:t>
            </w:r>
          </w:p>
        </w:tc>
        <w:tc>
          <w:tcPr>
            <w:tcW w:w="641"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13383</w:t>
            </w:r>
          </w:p>
        </w:tc>
        <w:tc>
          <w:tcPr>
            <w:tcW w:w="641"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8429</w:t>
            </w:r>
          </w:p>
        </w:tc>
        <w:tc>
          <w:tcPr>
            <w:tcW w:w="641" w:type="pct"/>
            <w:tcBorders>
              <w:top w:val="nil"/>
              <w:left w:val="nil"/>
              <w:bottom w:val="nil"/>
              <w:right w:val="single" w:sz="5" w:space="0" w:color="000000"/>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8,199</w:t>
            </w:r>
          </w:p>
        </w:tc>
      </w:tr>
      <w:tr>
        <w:trPr>
          <w:trHeight w:val="315"/>
        </w:trPr>
        <w:tc>
          <w:tcPr>
            <w:tcW w:w="1795"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left"/>
              <w:rPr>
                <w:sz w:val="20"/>
                <w:szCs w:val="20"/>
              </w:rPr>
            </w:pPr>
            <w:r>
              <w:rPr>
                <w:sz w:val="20"/>
                <w:szCs w:val="20"/>
              </w:rPr>
              <w:t>Equity</w:t>
            </w:r>
          </w:p>
        </w:tc>
        <w:tc>
          <w:tcPr>
            <w:tcW w:w="641"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82,137</w:t>
            </w:r>
          </w:p>
        </w:tc>
        <w:tc>
          <w:tcPr>
            <w:tcW w:w="641"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72,913</w:t>
            </w:r>
          </w:p>
        </w:tc>
        <w:tc>
          <w:tcPr>
            <w:tcW w:w="641"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62,634</w:t>
            </w:r>
          </w:p>
        </w:tc>
        <w:tc>
          <w:tcPr>
            <w:tcW w:w="641"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44,704</w:t>
            </w:r>
          </w:p>
        </w:tc>
        <w:tc>
          <w:tcPr>
            <w:tcW w:w="641" w:type="pct"/>
            <w:tcBorders>
              <w:top w:val="nil"/>
              <w:left w:val="nil"/>
              <w:bottom w:val="nil"/>
              <w:right w:val="single" w:sz="5" w:space="0" w:color="000000"/>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27,053</w:t>
            </w:r>
          </w:p>
        </w:tc>
      </w:tr>
      <w:tr>
        <w:trPr>
          <w:trHeight w:val="315"/>
        </w:trPr>
        <w:tc>
          <w:tcPr>
            <w:tcW w:w="1795"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left"/>
              <w:rPr>
                <w:sz w:val="20"/>
                <w:szCs w:val="20"/>
              </w:rPr>
            </w:pPr>
            <w:r>
              <w:rPr>
                <w:b/>
                <w:bCs/>
                <w:i/>
                <w:iCs/>
                <w:sz w:val="20"/>
                <w:szCs w:val="20"/>
              </w:rPr>
              <w:t>Debt to Equity</w:t>
            </w:r>
          </w:p>
        </w:tc>
        <w:tc>
          <w:tcPr>
            <w:tcW w:w="641"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b/>
                <w:bCs/>
                <w:i/>
                <w:iCs/>
                <w:sz w:val="20"/>
                <w:szCs w:val="20"/>
              </w:rPr>
              <w:t>0.26</w:t>
            </w:r>
          </w:p>
        </w:tc>
        <w:tc>
          <w:tcPr>
            <w:tcW w:w="641"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b/>
                <w:bCs/>
                <w:i/>
                <w:iCs/>
                <w:sz w:val="20"/>
                <w:szCs w:val="20"/>
              </w:rPr>
              <w:t>0.26</w:t>
            </w:r>
          </w:p>
        </w:tc>
        <w:tc>
          <w:tcPr>
            <w:tcW w:w="641"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b/>
                <w:bCs/>
                <w:i/>
                <w:iCs/>
                <w:sz w:val="20"/>
                <w:szCs w:val="20"/>
              </w:rPr>
              <w:t>0.21</w:t>
            </w:r>
          </w:p>
        </w:tc>
        <w:tc>
          <w:tcPr>
            <w:tcW w:w="641"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b/>
                <w:bCs/>
                <w:i/>
                <w:iCs/>
                <w:sz w:val="20"/>
                <w:szCs w:val="20"/>
              </w:rPr>
              <w:t>0.19</w:t>
            </w:r>
          </w:p>
        </w:tc>
        <w:tc>
          <w:tcPr>
            <w:tcW w:w="641" w:type="pct"/>
            <w:tcBorders>
              <w:top w:val="nil"/>
              <w:left w:val="nil"/>
              <w:bottom w:val="nil"/>
              <w:right w:val="single" w:sz="5" w:space="0" w:color="000000"/>
            </w:tcBorders>
            <w:tcMar>
              <w:top w:w="40" w:type="dxa"/>
              <w:left w:w="40" w:type="dxa"/>
              <w:bottom w:w="40" w:type="dxa"/>
              <w:right w:w="40" w:type="dxa"/>
            </w:tcMar>
            <w:vAlign w:val="bottom"/>
          </w:tcPr>
          <w:p>
            <w:pPr>
              <w:widowControl w:val="0"/>
              <w:spacing w:line="276" w:lineRule="auto"/>
              <w:jc w:val="right"/>
              <w:rPr>
                <w:sz w:val="20"/>
                <w:szCs w:val="20"/>
              </w:rPr>
            </w:pPr>
            <w:r>
              <w:rPr>
                <w:b/>
                <w:bCs/>
                <w:i/>
                <w:iCs/>
                <w:sz w:val="20"/>
                <w:szCs w:val="20"/>
              </w:rPr>
              <w:t>0.30</w:t>
            </w:r>
          </w:p>
        </w:tc>
      </w:tr>
      <w:tr>
        <w:trPr>
          <w:trHeight w:val="315"/>
        </w:trPr>
        <w:tc>
          <w:tcPr>
            <w:tcW w:w="1795"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left"/>
              <w:rPr>
                <w:sz w:val="20"/>
                <w:szCs w:val="20"/>
              </w:rPr>
            </w:pPr>
            <w:r>
              <w:rPr>
                <w:i/>
                <w:iCs/>
                <w:sz w:val="20"/>
                <w:szCs w:val="20"/>
              </w:rPr>
              <w:t>Formula: Total Debt / Total Equity</w:t>
            </w:r>
          </w:p>
        </w:tc>
        <w:tc>
          <w:tcPr>
            <w:tcW w:w="641" w:type="pct"/>
            <w:tcBorders>
              <w:top w:val="nil"/>
              <w:left w:val="nil"/>
              <w:bottom w:val="nil"/>
              <w:right w:val="nil"/>
            </w:tcBorders>
            <w:tcMar>
              <w:top w:w="40" w:type="dxa"/>
              <w:left w:w="40" w:type="dxa"/>
              <w:bottom w:w="40" w:type="dxa"/>
              <w:right w:w="40" w:type="dxa"/>
            </w:tcMar>
            <w:vAlign w:val="bottom"/>
          </w:tcPr>
          <w:p>
            <w:pPr>
              <w:widowControl w:val="0"/>
              <w:spacing w:line="276" w:lineRule="auto"/>
              <w:jc w:val="left"/>
              <w:rPr>
                <w:sz w:val="20"/>
                <w:szCs w:val="20"/>
              </w:rPr>
            </w:pPr>
          </w:p>
        </w:tc>
        <w:tc>
          <w:tcPr>
            <w:tcW w:w="641" w:type="pct"/>
            <w:tcBorders>
              <w:top w:val="nil"/>
              <w:left w:val="nil"/>
              <w:bottom w:val="nil"/>
              <w:right w:val="nil"/>
            </w:tcBorders>
            <w:tcMar>
              <w:top w:w="40" w:type="dxa"/>
              <w:left w:w="40" w:type="dxa"/>
              <w:bottom w:w="40" w:type="dxa"/>
              <w:right w:w="40" w:type="dxa"/>
            </w:tcMar>
            <w:vAlign w:val="bottom"/>
          </w:tcPr>
          <w:p>
            <w:pPr>
              <w:widowControl w:val="0"/>
              <w:spacing w:line="276" w:lineRule="auto"/>
              <w:jc w:val="left"/>
              <w:rPr>
                <w:sz w:val="20"/>
                <w:szCs w:val="20"/>
              </w:rPr>
            </w:pPr>
          </w:p>
        </w:tc>
        <w:tc>
          <w:tcPr>
            <w:tcW w:w="641" w:type="pct"/>
            <w:tcBorders>
              <w:top w:val="nil"/>
              <w:left w:val="nil"/>
              <w:bottom w:val="nil"/>
              <w:right w:val="nil"/>
            </w:tcBorders>
            <w:tcMar>
              <w:top w:w="40" w:type="dxa"/>
              <w:left w:w="40" w:type="dxa"/>
              <w:bottom w:w="40" w:type="dxa"/>
              <w:right w:w="40" w:type="dxa"/>
            </w:tcMar>
            <w:vAlign w:val="bottom"/>
          </w:tcPr>
          <w:p>
            <w:pPr>
              <w:widowControl w:val="0"/>
              <w:spacing w:line="276" w:lineRule="auto"/>
              <w:jc w:val="left"/>
              <w:rPr>
                <w:sz w:val="20"/>
                <w:szCs w:val="20"/>
              </w:rPr>
            </w:pPr>
          </w:p>
        </w:tc>
        <w:tc>
          <w:tcPr>
            <w:tcW w:w="641" w:type="pct"/>
            <w:tcBorders>
              <w:top w:val="nil"/>
              <w:left w:val="nil"/>
              <w:bottom w:val="nil"/>
              <w:right w:val="nil"/>
            </w:tcBorders>
            <w:tcMar>
              <w:top w:w="40" w:type="dxa"/>
              <w:left w:w="40" w:type="dxa"/>
              <w:bottom w:w="40" w:type="dxa"/>
              <w:right w:w="40" w:type="dxa"/>
            </w:tcMar>
            <w:vAlign w:val="bottom"/>
          </w:tcPr>
          <w:p>
            <w:pPr>
              <w:widowControl w:val="0"/>
              <w:spacing w:line="276" w:lineRule="auto"/>
              <w:jc w:val="left"/>
              <w:rPr>
                <w:sz w:val="20"/>
                <w:szCs w:val="20"/>
              </w:rPr>
            </w:pPr>
          </w:p>
        </w:tc>
        <w:tc>
          <w:tcPr>
            <w:tcW w:w="641" w:type="pct"/>
            <w:tcBorders>
              <w:top w:val="nil"/>
              <w:left w:val="nil"/>
              <w:bottom w:val="nil"/>
              <w:right w:val="single" w:sz="5" w:space="0" w:color="000000"/>
            </w:tcBorders>
            <w:tcMar>
              <w:top w:w="40" w:type="dxa"/>
              <w:left w:w="40" w:type="dxa"/>
              <w:bottom w:w="40" w:type="dxa"/>
              <w:right w:w="40" w:type="dxa"/>
            </w:tcMar>
            <w:vAlign w:val="bottom"/>
          </w:tcPr>
          <w:p>
            <w:pPr>
              <w:widowControl w:val="0"/>
              <w:spacing w:line="276" w:lineRule="auto"/>
              <w:jc w:val="left"/>
              <w:rPr>
                <w:sz w:val="20"/>
                <w:szCs w:val="20"/>
              </w:rPr>
            </w:pPr>
          </w:p>
        </w:tc>
      </w:tr>
      <w:tr>
        <w:trPr>
          <w:trHeight w:val="315"/>
        </w:trPr>
        <w:tc>
          <w:tcPr>
            <w:tcW w:w="1795"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left"/>
              <w:rPr>
                <w:sz w:val="20"/>
                <w:szCs w:val="20"/>
              </w:rPr>
            </w:pPr>
            <w:r>
              <w:rPr>
                <w:sz w:val="20"/>
                <w:szCs w:val="20"/>
              </w:rPr>
              <w:t>EBIT</w:t>
            </w:r>
          </w:p>
        </w:tc>
        <w:tc>
          <w:tcPr>
            <w:tcW w:w="641"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4,355</w:t>
            </w:r>
          </w:p>
        </w:tc>
        <w:tc>
          <w:tcPr>
            <w:tcW w:w="641"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7,076</w:t>
            </w:r>
          </w:p>
        </w:tc>
        <w:tc>
          <w:tcPr>
            <w:tcW w:w="641"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8,891</w:t>
            </w:r>
          </w:p>
        </w:tc>
        <w:tc>
          <w:tcPr>
            <w:tcW w:w="641"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13,656</w:t>
            </w:r>
          </w:p>
        </w:tc>
        <w:tc>
          <w:tcPr>
            <w:tcW w:w="641" w:type="pct"/>
            <w:tcBorders>
              <w:top w:val="nil"/>
              <w:left w:val="nil"/>
              <w:bottom w:val="nil"/>
              <w:right w:val="single" w:sz="5" w:space="0" w:color="000000"/>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6,523</w:t>
            </w:r>
          </w:p>
        </w:tc>
      </w:tr>
      <w:tr>
        <w:trPr>
          <w:trHeight w:val="315"/>
        </w:trPr>
        <w:tc>
          <w:tcPr>
            <w:tcW w:w="1795"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left"/>
              <w:rPr>
                <w:sz w:val="20"/>
                <w:szCs w:val="20"/>
              </w:rPr>
            </w:pPr>
            <w:r>
              <w:rPr>
                <w:sz w:val="20"/>
                <w:szCs w:val="20"/>
              </w:rPr>
              <w:t>Interest Expense</w:t>
            </w:r>
          </w:p>
        </w:tc>
        <w:tc>
          <w:tcPr>
            <w:tcW w:w="641"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338</w:t>
            </w:r>
          </w:p>
        </w:tc>
        <w:tc>
          <w:tcPr>
            <w:tcW w:w="641"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350</w:t>
            </w:r>
          </w:p>
        </w:tc>
        <w:tc>
          <w:tcPr>
            <w:tcW w:w="641"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156</w:t>
            </w:r>
          </w:p>
        </w:tc>
        <w:tc>
          <w:tcPr>
            <w:tcW w:w="641"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191</w:t>
            </w:r>
          </w:p>
        </w:tc>
        <w:tc>
          <w:tcPr>
            <w:tcW w:w="641" w:type="pct"/>
            <w:tcBorders>
              <w:top w:val="nil"/>
              <w:left w:val="nil"/>
              <w:bottom w:val="nil"/>
              <w:right w:val="single" w:sz="5" w:space="0" w:color="000000"/>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371</w:t>
            </w:r>
          </w:p>
        </w:tc>
      </w:tr>
      <w:tr>
        <w:trPr>
          <w:trHeight w:val="315"/>
        </w:trPr>
        <w:tc>
          <w:tcPr>
            <w:tcW w:w="1795"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left"/>
              <w:rPr>
                <w:sz w:val="20"/>
                <w:szCs w:val="20"/>
              </w:rPr>
            </w:pPr>
            <w:r>
              <w:rPr>
                <w:b/>
                <w:bCs/>
                <w:i/>
                <w:iCs/>
                <w:sz w:val="20"/>
                <w:szCs w:val="20"/>
              </w:rPr>
              <w:t>Interest Coverage</w:t>
            </w:r>
          </w:p>
        </w:tc>
        <w:tc>
          <w:tcPr>
            <w:tcW w:w="641"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b/>
                <w:bCs/>
                <w:i/>
                <w:iCs/>
                <w:sz w:val="20"/>
                <w:szCs w:val="20"/>
              </w:rPr>
              <w:t>12.88</w:t>
            </w:r>
          </w:p>
        </w:tc>
        <w:tc>
          <w:tcPr>
            <w:tcW w:w="641"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b/>
                <w:bCs/>
                <w:i/>
                <w:iCs/>
                <w:sz w:val="20"/>
                <w:szCs w:val="20"/>
              </w:rPr>
              <w:t>20.22</w:t>
            </w:r>
          </w:p>
        </w:tc>
        <w:tc>
          <w:tcPr>
            <w:tcW w:w="641"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b/>
                <w:bCs/>
                <w:i/>
                <w:iCs/>
                <w:sz w:val="20"/>
                <w:szCs w:val="20"/>
              </w:rPr>
              <w:t>56.99</w:t>
            </w:r>
          </w:p>
        </w:tc>
        <w:tc>
          <w:tcPr>
            <w:tcW w:w="641"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b/>
                <w:bCs/>
                <w:i/>
                <w:iCs/>
                <w:sz w:val="20"/>
                <w:szCs w:val="20"/>
              </w:rPr>
              <w:t>71.50</w:t>
            </w:r>
          </w:p>
        </w:tc>
        <w:tc>
          <w:tcPr>
            <w:tcW w:w="641" w:type="pct"/>
            <w:tcBorders>
              <w:top w:val="nil"/>
              <w:left w:val="nil"/>
              <w:bottom w:val="nil"/>
              <w:right w:val="single" w:sz="5" w:space="0" w:color="000000"/>
            </w:tcBorders>
            <w:tcMar>
              <w:top w:w="40" w:type="dxa"/>
              <w:left w:w="40" w:type="dxa"/>
              <w:bottom w:w="40" w:type="dxa"/>
              <w:right w:w="40" w:type="dxa"/>
            </w:tcMar>
            <w:vAlign w:val="bottom"/>
          </w:tcPr>
          <w:p>
            <w:pPr>
              <w:widowControl w:val="0"/>
              <w:spacing w:line="276" w:lineRule="auto"/>
              <w:jc w:val="right"/>
              <w:rPr>
                <w:sz w:val="20"/>
                <w:szCs w:val="20"/>
              </w:rPr>
            </w:pPr>
            <w:r>
              <w:rPr>
                <w:b/>
                <w:bCs/>
                <w:i/>
                <w:iCs/>
                <w:sz w:val="20"/>
                <w:szCs w:val="20"/>
              </w:rPr>
              <w:t>17.58</w:t>
            </w:r>
          </w:p>
        </w:tc>
      </w:tr>
      <w:tr>
        <w:trPr>
          <w:trHeight w:val="315"/>
        </w:trPr>
        <w:tc>
          <w:tcPr>
            <w:tcW w:w="1795" w:type="pct"/>
            <w:tcBorders>
              <w:top w:val="nil"/>
              <w:left w:val="single" w:sz="5" w:space="0" w:color="000000"/>
              <w:bottom w:val="single" w:sz="5" w:space="0" w:color="000000"/>
              <w:right w:val="nil"/>
            </w:tcBorders>
            <w:tcMar>
              <w:top w:w="40" w:type="dxa"/>
              <w:left w:w="40" w:type="dxa"/>
              <w:bottom w:w="40" w:type="dxa"/>
              <w:right w:w="40" w:type="dxa"/>
            </w:tcMar>
            <w:vAlign w:val="bottom"/>
          </w:tcPr>
          <w:p>
            <w:pPr>
              <w:widowControl w:val="0"/>
              <w:spacing w:line="276" w:lineRule="auto"/>
              <w:jc w:val="left"/>
              <w:rPr>
                <w:sz w:val="20"/>
                <w:szCs w:val="20"/>
              </w:rPr>
            </w:pPr>
            <w:r>
              <w:rPr>
                <w:i/>
                <w:iCs/>
                <w:sz w:val="20"/>
                <w:szCs w:val="20"/>
              </w:rPr>
              <w:t>Formula: EBIT / Interest Expense</w:t>
            </w:r>
          </w:p>
        </w:tc>
        <w:tc>
          <w:tcPr>
            <w:tcW w:w="641" w:type="pct"/>
            <w:tcBorders>
              <w:top w:val="nil"/>
              <w:left w:val="nil"/>
              <w:bottom w:val="single" w:sz="5" w:space="0" w:color="000000"/>
              <w:right w:val="nil"/>
            </w:tcBorders>
            <w:tcMar>
              <w:top w:w="40" w:type="dxa"/>
              <w:left w:w="40" w:type="dxa"/>
              <w:bottom w:w="40" w:type="dxa"/>
              <w:right w:w="40" w:type="dxa"/>
            </w:tcMar>
            <w:vAlign w:val="bottom"/>
          </w:tcPr>
          <w:p>
            <w:pPr>
              <w:widowControl w:val="0"/>
              <w:spacing w:line="276" w:lineRule="auto"/>
              <w:jc w:val="left"/>
              <w:rPr>
                <w:sz w:val="20"/>
                <w:szCs w:val="20"/>
              </w:rPr>
            </w:pPr>
          </w:p>
        </w:tc>
        <w:tc>
          <w:tcPr>
            <w:tcW w:w="641" w:type="pct"/>
            <w:tcBorders>
              <w:top w:val="nil"/>
              <w:left w:val="nil"/>
              <w:bottom w:val="single" w:sz="5" w:space="0" w:color="000000"/>
              <w:right w:val="nil"/>
            </w:tcBorders>
            <w:tcMar>
              <w:top w:w="40" w:type="dxa"/>
              <w:left w:w="40" w:type="dxa"/>
              <w:bottom w:w="40" w:type="dxa"/>
              <w:right w:w="40" w:type="dxa"/>
            </w:tcMar>
            <w:vAlign w:val="bottom"/>
          </w:tcPr>
          <w:p>
            <w:pPr>
              <w:widowControl w:val="0"/>
              <w:spacing w:line="276" w:lineRule="auto"/>
              <w:jc w:val="left"/>
              <w:rPr>
                <w:sz w:val="20"/>
                <w:szCs w:val="20"/>
              </w:rPr>
            </w:pPr>
          </w:p>
        </w:tc>
        <w:tc>
          <w:tcPr>
            <w:tcW w:w="641" w:type="pct"/>
            <w:tcBorders>
              <w:top w:val="nil"/>
              <w:left w:val="nil"/>
              <w:bottom w:val="single" w:sz="5" w:space="0" w:color="000000"/>
              <w:right w:val="nil"/>
            </w:tcBorders>
            <w:tcMar>
              <w:top w:w="40" w:type="dxa"/>
              <w:left w:w="40" w:type="dxa"/>
              <w:bottom w:w="40" w:type="dxa"/>
              <w:right w:w="40" w:type="dxa"/>
            </w:tcMar>
            <w:vAlign w:val="bottom"/>
          </w:tcPr>
          <w:p>
            <w:pPr>
              <w:widowControl w:val="0"/>
              <w:spacing w:line="276" w:lineRule="auto"/>
              <w:jc w:val="left"/>
              <w:rPr>
                <w:sz w:val="20"/>
                <w:szCs w:val="20"/>
              </w:rPr>
            </w:pPr>
          </w:p>
        </w:tc>
        <w:tc>
          <w:tcPr>
            <w:tcW w:w="641" w:type="pct"/>
            <w:tcBorders>
              <w:top w:val="nil"/>
              <w:left w:val="nil"/>
              <w:bottom w:val="single" w:sz="5" w:space="0" w:color="000000"/>
              <w:right w:val="nil"/>
            </w:tcBorders>
            <w:tcMar>
              <w:top w:w="40" w:type="dxa"/>
              <w:left w:w="40" w:type="dxa"/>
              <w:bottom w:w="40" w:type="dxa"/>
              <w:right w:w="40" w:type="dxa"/>
            </w:tcMar>
            <w:vAlign w:val="bottom"/>
          </w:tcPr>
          <w:p>
            <w:pPr>
              <w:widowControl w:val="0"/>
              <w:spacing w:line="276" w:lineRule="auto"/>
              <w:jc w:val="left"/>
              <w:rPr>
                <w:sz w:val="20"/>
                <w:szCs w:val="20"/>
              </w:rPr>
            </w:pPr>
          </w:p>
        </w:tc>
        <w:tc>
          <w:tcPr>
            <w:tcW w:w="641" w:type="pct"/>
            <w:tcBorders>
              <w:top w:val="nil"/>
              <w:left w:val="nil"/>
              <w:bottom w:val="single" w:sz="5" w:space="0" w:color="000000"/>
              <w:right w:val="single" w:sz="5" w:space="0" w:color="000000"/>
            </w:tcBorders>
            <w:tcMar>
              <w:top w:w="40" w:type="dxa"/>
              <w:left w:w="40" w:type="dxa"/>
              <w:bottom w:w="40" w:type="dxa"/>
              <w:right w:w="40" w:type="dxa"/>
            </w:tcMar>
            <w:vAlign w:val="bottom"/>
          </w:tcPr>
          <w:p>
            <w:pPr>
              <w:widowControl w:val="0"/>
              <w:spacing w:line="276" w:lineRule="auto"/>
              <w:jc w:val="left"/>
              <w:rPr>
                <w:sz w:val="20"/>
                <w:szCs w:val="20"/>
              </w:rPr>
            </w:pPr>
          </w:p>
        </w:tc>
      </w:tr>
    </w:tbl>
    <w:p>
      <w:pPr>
        <w:pStyle w:val="5"/>
      </w:pPr>
      <w:bookmarkStart w:id="58" w:name="_Toc227926972"/>
      <w:r>
        <w:t>Table 4: Leverage Ratio</w:t>
      </w:r>
      <w:bookmarkEnd w:id="58"/>
    </w:p>
    <w:p>
      <w:pPr>
        <w:jc w:val="center"/>
      </w:pPr>
      <w:r>
        <w:t>(Source: Tesla, 2025, 2023, 2021)</w:t>
      </w:r>
    </w:p>
    <w:p>
      <w:pPr>
        <w:jc w:val="left"/>
      </w:pPr>
    </w:p>
    <w:p>
      <w:pPr>
        <w:pStyle w:val="2"/>
      </w:pPr>
      <w:bookmarkStart w:id="59" w:name="_flib08rxycc4"/>
      <w:bookmarkEnd w:id="59"/>
      <w:r>
        <w:br w:type="page"/>
      </w:r>
    </w:p>
    <w:p>
      <w:pPr>
        <w:pStyle w:val="2"/>
      </w:pPr>
      <w:bookmarkStart w:id="60" w:name="_Toc227926909"/>
      <w:r>
        <w:t>Appendix 5: Investment Ratio</w:t>
      </w:r>
      <w:bookmarkEnd w:id="60"/>
    </w:p>
    <w:p>
      <w:pPr>
        <w:jc w:val="center"/>
      </w:pPr>
      <w:r>
        <w:drawing>
          <wp:inline distT="114300" distB="114300" distL="114300" distR="114300">
            <wp:extent cx="4872038" cy="2921604"/>
            <wp:effectExtent l="0" t="0" r="0" b="0"/>
            <wp:docPr id="34" name="图片 34"/>
            <wp:cNvGraphicFramePr>
              <a:graphicFrameLocks noChangeAspect="0"/>
            </wp:cNvGraphicFramePr>
            <a:graphic>
              <a:graphicData uri="http://schemas.openxmlformats.org/drawingml/2006/picture">
                <pic:pic>
                  <pic:nvPicPr>
                    <pic:cNvPr id="36" name="图片 36"/>
                    <pic:cNvPicPr/>
                  </pic:nvPicPr>
                  <pic:blipFill>
                    <a:blip r:embed="rId16"/>
                    <a:stretch>
                      <a:fillRect/>
                    </a:stretch>
                  </pic:blipFill>
                  <pic:spPr>
                    <a:xfrm rot="0">
                      <a:off x="0" y="0"/>
                      <a:ext cx="4872038" cy="2921604"/>
                    </a:xfrm>
                    <a:prstGeom prst="rect"/>
                    <a:noFill/>
                    <a:ln w="12700" cmpd="sng" cap="flat">
                      <a:solidFill>
                        <a:srgbClr val="000000"/>
                      </a:solidFill>
                      <a:prstDash val="solid"/>
                      <a:round/>
                    </a:ln>
                  </pic:spPr>
                </pic:pic>
              </a:graphicData>
            </a:graphic>
          </wp:inline>
        </w:drawing>
      </w:r>
    </w:p>
    <w:p>
      <w:pPr>
        <w:pStyle w:val="4"/>
      </w:pPr>
      <w:bookmarkStart w:id="61" w:name="_Toc227926925"/>
      <w:r>
        <w:t>Figure 11: Investment Ratio</w:t>
      </w:r>
      <w:bookmarkEnd w:id="61"/>
    </w:p>
    <w:p>
      <w:pPr>
        <w:jc w:val="center"/>
      </w:pPr>
      <w:r>
        <w:t>(Source: Tesla, 2025, 2023a, 2021)</w:t>
      </w:r>
    </w:p>
    <w:tbl>
      <w:tblPr>
        <w:jc w:val="left"/>
        <w:tblInd w:w="0" w:type="dxa"/>
        <w:tblW w:w="5000" w:type="pct"/>
        <w:tblBorders>
          <w:top w:val="none" w:sz="0" w:space="0" w:color="auto"/>
          <w:left w:val="none" w:sz="0" w:space="0" w:color="auto"/>
          <w:bottom w:val="none" w:sz="0" w:space="0" w:color="auto"/>
          <w:right w:val="none" w:sz="0" w:space="0" w:color="auto"/>
        </w:tblBorders>
        <w:tblCellMar>
          <w:top w:w="0" w:type="dxa"/>
          <w:left w:w="0" w:type="dxa"/>
          <w:bottom w:w="0" w:type="dxa"/>
          <w:right w:w="0" w:type="dxa"/>
        </w:tblCellMar>
      </w:tblPr>
      <w:tblGrid>
        <w:gridCol w:w="3432"/>
        <w:gridCol w:w="1116"/>
        <w:gridCol w:w="1116"/>
        <w:gridCol w:w="1116"/>
        <w:gridCol w:w="1116"/>
        <w:gridCol w:w="1116"/>
      </w:tblGrid>
      <w:tr>
        <w:trPr>
          <w:trHeight w:val="315"/>
        </w:trPr>
        <w:tc>
          <w:tcPr>
            <w:tcW w:w="1903" w:type="pct"/>
            <w:tcBorders>
              <w:top w:val="single" w:sz="5" w:space="0" w:color="000000"/>
              <w:left w:val="single" w:sz="5" w:space="0" w:color="000000"/>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b/>
                <w:bCs/>
                <w:sz w:val="20"/>
                <w:szCs w:val="20"/>
              </w:rPr>
              <w:t>Investment Ratio</w:t>
            </w:r>
          </w:p>
        </w:tc>
        <w:tc>
          <w:tcPr>
            <w:tcW w:w="619" w:type="pct"/>
            <w:tcBorders>
              <w:top w:val="single" w:sz="5" w:space="0" w:color="000000"/>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b/>
                <w:bCs/>
                <w:sz w:val="20"/>
                <w:szCs w:val="20"/>
              </w:rPr>
              <w:t>2025 ($m)</w:t>
            </w:r>
          </w:p>
        </w:tc>
        <w:tc>
          <w:tcPr>
            <w:tcW w:w="619" w:type="pct"/>
            <w:tcBorders>
              <w:top w:val="single" w:sz="5" w:space="0" w:color="000000"/>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b/>
                <w:bCs/>
                <w:sz w:val="20"/>
                <w:szCs w:val="20"/>
              </w:rPr>
              <w:t>2024 ($m)</w:t>
            </w:r>
          </w:p>
        </w:tc>
        <w:tc>
          <w:tcPr>
            <w:tcW w:w="619" w:type="pct"/>
            <w:tcBorders>
              <w:top w:val="single" w:sz="5" w:space="0" w:color="000000"/>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b/>
                <w:bCs/>
                <w:sz w:val="20"/>
                <w:szCs w:val="20"/>
              </w:rPr>
              <w:t>2023 ($m)</w:t>
            </w:r>
          </w:p>
        </w:tc>
        <w:tc>
          <w:tcPr>
            <w:tcW w:w="619" w:type="pct"/>
            <w:tcBorders>
              <w:top w:val="single" w:sz="5" w:space="0" w:color="000000"/>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b/>
                <w:bCs/>
                <w:sz w:val="20"/>
                <w:szCs w:val="20"/>
              </w:rPr>
              <w:t>2022 ($m)</w:t>
            </w:r>
          </w:p>
        </w:tc>
        <w:tc>
          <w:tcPr>
            <w:tcW w:w="619" w:type="pct"/>
            <w:tcBorders>
              <w:top w:val="single" w:sz="5" w:space="0" w:color="000000"/>
              <w:left w:val="nil"/>
              <w:bottom w:val="nil"/>
              <w:right w:val="single" w:sz="5" w:space="0" w:color="000000"/>
            </w:tcBorders>
            <w:tcMar>
              <w:top w:w="40" w:type="dxa"/>
              <w:left w:w="40" w:type="dxa"/>
              <w:bottom w:w="40" w:type="dxa"/>
              <w:right w:w="40" w:type="dxa"/>
            </w:tcMar>
            <w:vAlign w:val="bottom"/>
          </w:tcPr>
          <w:p>
            <w:pPr>
              <w:widowControl w:val="0"/>
              <w:spacing w:line="276" w:lineRule="auto"/>
              <w:jc w:val="center"/>
              <w:rPr>
                <w:sz w:val="20"/>
                <w:szCs w:val="20"/>
              </w:rPr>
            </w:pPr>
            <w:r>
              <w:rPr>
                <w:b/>
                <w:bCs/>
                <w:sz w:val="20"/>
                <w:szCs w:val="20"/>
              </w:rPr>
              <w:t>2021 ($m)</w:t>
            </w:r>
          </w:p>
        </w:tc>
      </w:tr>
      <w:tr>
        <w:trPr>
          <w:trHeight w:val="315"/>
        </w:trPr>
        <w:tc>
          <w:tcPr>
            <w:tcW w:w="1903"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left"/>
              <w:rPr>
                <w:sz w:val="20"/>
                <w:szCs w:val="20"/>
              </w:rPr>
            </w:pPr>
            <w:r>
              <w:rPr>
                <w:sz w:val="20"/>
                <w:szCs w:val="20"/>
              </w:rPr>
              <w:t>Net Income</w:t>
            </w:r>
          </w:p>
        </w:tc>
        <w:tc>
          <w:tcPr>
            <w:tcW w:w="619"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3,855</w:t>
            </w:r>
          </w:p>
        </w:tc>
        <w:tc>
          <w:tcPr>
            <w:tcW w:w="619"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7,153</w:t>
            </w:r>
          </w:p>
        </w:tc>
        <w:tc>
          <w:tcPr>
            <w:tcW w:w="619"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14,997</w:t>
            </w:r>
          </w:p>
        </w:tc>
        <w:tc>
          <w:tcPr>
            <w:tcW w:w="619"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12,556</w:t>
            </w:r>
          </w:p>
        </w:tc>
        <w:tc>
          <w:tcPr>
            <w:tcW w:w="619" w:type="pct"/>
            <w:tcBorders>
              <w:top w:val="nil"/>
              <w:left w:val="nil"/>
              <w:bottom w:val="nil"/>
              <w:right w:val="single" w:sz="5" w:space="0" w:color="000000"/>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5,644</w:t>
            </w:r>
          </w:p>
        </w:tc>
      </w:tr>
      <w:tr>
        <w:trPr>
          <w:trHeight w:val="315"/>
        </w:trPr>
        <w:tc>
          <w:tcPr>
            <w:tcW w:w="1903"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left"/>
              <w:rPr>
                <w:sz w:val="20"/>
                <w:szCs w:val="20"/>
              </w:rPr>
            </w:pPr>
            <w:r>
              <w:rPr>
                <w:sz w:val="20"/>
                <w:szCs w:val="20"/>
              </w:rPr>
              <w:t>Equity</w:t>
            </w:r>
          </w:p>
        </w:tc>
        <w:tc>
          <w:tcPr>
            <w:tcW w:w="619"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82,137</w:t>
            </w:r>
          </w:p>
        </w:tc>
        <w:tc>
          <w:tcPr>
            <w:tcW w:w="619"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72,913</w:t>
            </w:r>
          </w:p>
        </w:tc>
        <w:tc>
          <w:tcPr>
            <w:tcW w:w="619"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62,634</w:t>
            </w:r>
          </w:p>
        </w:tc>
        <w:tc>
          <w:tcPr>
            <w:tcW w:w="619"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44,704</w:t>
            </w:r>
          </w:p>
        </w:tc>
        <w:tc>
          <w:tcPr>
            <w:tcW w:w="619" w:type="pct"/>
            <w:tcBorders>
              <w:top w:val="nil"/>
              <w:left w:val="nil"/>
              <w:bottom w:val="nil"/>
              <w:right w:val="single" w:sz="5" w:space="0" w:color="000000"/>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27,053</w:t>
            </w:r>
          </w:p>
        </w:tc>
      </w:tr>
      <w:tr>
        <w:trPr>
          <w:trHeight w:val="315"/>
        </w:trPr>
        <w:tc>
          <w:tcPr>
            <w:tcW w:w="1903"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left"/>
              <w:rPr>
                <w:sz w:val="20"/>
                <w:szCs w:val="20"/>
              </w:rPr>
            </w:pPr>
            <w:r>
              <w:rPr>
                <w:b/>
                <w:bCs/>
                <w:i/>
                <w:iCs/>
                <w:sz w:val="20"/>
                <w:szCs w:val="20"/>
              </w:rPr>
              <w:t>Return on Equity (ROE)</w:t>
            </w:r>
          </w:p>
        </w:tc>
        <w:tc>
          <w:tcPr>
            <w:tcW w:w="619"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b/>
                <w:bCs/>
                <w:i/>
                <w:iCs/>
                <w:sz w:val="20"/>
                <w:szCs w:val="20"/>
              </w:rPr>
              <w:t>4.69%</w:t>
            </w:r>
          </w:p>
        </w:tc>
        <w:tc>
          <w:tcPr>
            <w:tcW w:w="619"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b/>
                <w:bCs/>
                <w:i/>
                <w:iCs/>
                <w:sz w:val="20"/>
                <w:szCs w:val="20"/>
              </w:rPr>
              <w:t>9.81%</w:t>
            </w:r>
          </w:p>
        </w:tc>
        <w:tc>
          <w:tcPr>
            <w:tcW w:w="619"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b/>
                <w:bCs/>
                <w:i/>
                <w:iCs/>
                <w:sz w:val="20"/>
                <w:szCs w:val="20"/>
              </w:rPr>
              <w:t>23.94%</w:t>
            </w:r>
          </w:p>
        </w:tc>
        <w:tc>
          <w:tcPr>
            <w:tcW w:w="619"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b/>
                <w:bCs/>
                <w:i/>
                <w:iCs/>
                <w:sz w:val="20"/>
                <w:szCs w:val="20"/>
              </w:rPr>
              <w:t>28.09%</w:t>
            </w:r>
          </w:p>
        </w:tc>
        <w:tc>
          <w:tcPr>
            <w:tcW w:w="619" w:type="pct"/>
            <w:tcBorders>
              <w:top w:val="nil"/>
              <w:left w:val="nil"/>
              <w:bottom w:val="nil"/>
              <w:right w:val="single" w:sz="5" w:space="0" w:color="000000"/>
            </w:tcBorders>
            <w:tcMar>
              <w:top w:w="40" w:type="dxa"/>
              <w:left w:w="40" w:type="dxa"/>
              <w:bottom w:w="40" w:type="dxa"/>
              <w:right w:w="40" w:type="dxa"/>
            </w:tcMar>
            <w:vAlign w:val="bottom"/>
          </w:tcPr>
          <w:p>
            <w:pPr>
              <w:widowControl w:val="0"/>
              <w:spacing w:line="276" w:lineRule="auto"/>
              <w:jc w:val="right"/>
              <w:rPr>
                <w:sz w:val="20"/>
                <w:szCs w:val="20"/>
              </w:rPr>
            </w:pPr>
            <w:r>
              <w:rPr>
                <w:b/>
                <w:bCs/>
                <w:i/>
                <w:iCs/>
                <w:sz w:val="20"/>
                <w:szCs w:val="20"/>
              </w:rPr>
              <w:t>20.86%</w:t>
            </w:r>
          </w:p>
        </w:tc>
      </w:tr>
      <w:tr>
        <w:trPr>
          <w:trHeight w:val="315"/>
        </w:trPr>
        <w:tc>
          <w:tcPr>
            <w:tcW w:w="1903"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left"/>
              <w:rPr>
                <w:sz w:val="20"/>
                <w:szCs w:val="20"/>
              </w:rPr>
            </w:pPr>
            <w:r>
              <w:rPr>
                <w:i/>
                <w:iCs/>
                <w:sz w:val="20"/>
                <w:szCs w:val="20"/>
              </w:rPr>
              <w:t>Formula: Net Income / Equity</w:t>
            </w:r>
          </w:p>
        </w:tc>
        <w:tc>
          <w:tcPr>
            <w:tcW w:w="619" w:type="pct"/>
            <w:tcBorders>
              <w:top w:val="nil"/>
              <w:left w:val="nil"/>
              <w:bottom w:val="nil"/>
              <w:right w:val="nil"/>
            </w:tcBorders>
            <w:tcMar>
              <w:top w:w="40" w:type="dxa"/>
              <w:left w:w="40" w:type="dxa"/>
              <w:bottom w:w="40" w:type="dxa"/>
              <w:right w:w="40" w:type="dxa"/>
            </w:tcMar>
            <w:vAlign w:val="bottom"/>
          </w:tcPr>
          <w:p>
            <w:pPr>
              <w:widowControl w:val="0"/>
              <w:spacing w:line="276" w:lineRule="auto"/>
              <w:jc w:val="left"/>
              <w:rPr>
                <w:sz w:val="20"/>
                <w:szCs w:val="20"/>
              </w:rPr>
            </w:pPr>
          </w:p>
        </w:tc>
        <w:tc>
          <w:tcPr>
            <w:tcW w:w="619" w:type="pct"/>
            <w:tcBorders>
              <w:top w:val="nil"/>
              <w:left w:val="nil"/>
              <w:bottom w:val="nil"/>
              <w:right w:val="nil"/>
            </w:tcBorders>
            <w:tcMar>
              <w:top w:w="40" w:type="dxa"/>
              <w:left w:w="40" w:type="dxa"/>
              <w:bottom w:w="40" w:type="dxa"/>
              <w:right w:w="40" w:type="dxa"/>
            </w:tcMar>
            <w:vAlign w:val="bottom"/>
          </w:tcPr>
          <w:p>
            <w:pPr>
              <w:widowControl w:val="0"/>
              <w:spacing w:line="276" w:lineRule="auto"/>
              <w:jc w:val="left"/>
              <w:rPr>
                <w:sz w:val="20"/>
                <w:szCs w:val="20"/>
              </w:rPr>
            </w:pPr>
          </w:p>
        </w:tc>
        <w:tc>
          <w:tcPr>
            <w:tcW w:w="619" w:type="pct"/>
            <w:tcBorders>
              <w:top w:val="nil"/>
              <w:left w:val="nil"/>
              <w:bottom w:val="nil"/>
              <w:right w:val="nil"/>
            </w:tcBorders>
            <w:tcMar>
              <w:top w:w="40" w:type="dxa"/>
              <w:left w:w="40" w:type="dxa"/>
              <w:bottom w:w="40" w:type="dxa"/>
              <w:right w:w="40" w:type="dxa"/>
            </w:tcMar>
            <w:vAlign w:val="bottom"/>
          </w:tcPr>
          <w:p>
            <w:pPr>
              <w:widowControl w:val="0"/>
              <w:spacing w:line="276" w:lineRule="auto"/>
              <w:jc w:val="left"/>
              <w:rPr>
                <w:sz w:val="20"/>
                <w:szCs w:val="20"/>
              </w:rPr>
            </w:pPr>
          </w:p>
        </w:tc>
        <w:tc>
          <w:tcPr>
            <w:tcW w:w="619" w:type="pct"/>
            <w:tcBorders>
              <w:top w:val="nil"/>
              <w:left w:val="nil"/>
              <w:bottom w:val="nil"/>
              <w:right w:val="nil"/>
            </w:tcBorders>
            <w:tcMar>
              <w:top w:w="40" w:type="dxa"/>
              <w:left w:w="40" w:type="dxa"/>
              <w:bottom w:w="40" w:type="dxa"/>
              <w:right w:w="40" w:type="dxa"/>
            </w:tcMar>
            <w:vAlign w:val="bottom"/>
          </w:tcPr>
          <w:p>
            <w:pPr>
              <w:widowControl w:val="0"/>
              <w:spacing w:line="276" w:lineRule="auto"/>
              <w:jc w:val="left"/>
              <w:rPr>
                <w:sz w:val="20"/>
                <w:szCs w:val="20"/>
              </w:rPr>
            </w:pPr>
          </w:p>
        </w:tc>
        <w:tc>
          <w:tcPr>
            <w:tcW w:w="619" w:type="pct"/>
            <w:tcBorders>
              <w:top w:val="nil"/>
              <w:left w:val="nil"/>
              <w:bottom w:val="nil"/>
              <w:right w:val="single" w:sz="5" w:space="0" w:color="000000"/>
            </w:tcBorders>
            <w:tcMar>
              <w:top w:w="40" w:type="dxa"/>
              <w:left w:w="40" w:type="dxa"/>
              <w:bottom w:w="40" w:type="dxa"/>
              <w:right w:w="40" w:type="dxa"/>
            </w:tcMar>
            <w:vAlign w:val="bottom"/>
          </w:tcPr>
          <w:p>
            <w:pPr>
              <w:widowControl w:val="0"/>
              <w:spacing w:line="276" w:lineRule="auto"/>
              <w:jc w:val="left"/>
              <w:rPr>
                <w:sz w:val="20"/>
                <w:szCs w:val="20"/>
              </w:rPr>
            </w:pPr>
          </w:p>
        </w:tc>
      </w:tr>
      <w:tr>
        <w:trPr>
          <w:trHeight w:val="315"/>
        </w:trPr>
        <w:tc>
          <w:tcPr>
            <w:tcW w:w="1903"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left"/>
              <w:rPr>
                <w:sz w:val="20"/>
                <w:szCs w:val="20"/>
              </w:rPr>
            </w:pPr>
            <w:r>
              <w:rPr>
                <w:sz w:val="20"/>
                <w:szCs w:val="20"/>
              </w:rPr>
              <w:t>Net Income</w:t>
            </w:r>
          </w:p>
        </w:tc>
        <w:tc>
          <w:tcPr>
            <w:tcW w:w="619"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3,855</w:t>
            </w:r>
          </w:p>
        </w:tc>
        <w:tc>
          <w:tcPr>
            <w:tcW w:w="619"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7,153</w:t>
            </w:r>
          </w:p>
        </w:tc>
        <w:tc>
          <w:tcPr>
            <w:tcW w:w="619"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14,997</w:t>
            </w:r>
          </w:p>
        </w:tc>
        <w:tc>
          <w:tcPr>
            <w:tcW w:w="619"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12,556</w:t>
            </w:r>
          </w:p>
        </w:tc>
        <w:tc>
          <w:tcPr>
            <w:tcW w:w="619" w:type="pct"/>
            <w:tcBorders>
              <w:top w:val="nil"/>
              <w:left w:val="nil"/>
              <w:bottom w:val="nil"/>
              <w:right w:val="single" w:sz="5" w:space="0" w:color="000000"/>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5,644</w:t>
            </w:r>
          </w:p>
        </w:tc>
      </w:tr>
      <w:tr>
        <w:trPr>
          <w:trHeight w:val="315"/>
        </w:trPr>
        <w:tc>
          <w:tcPr>
            <w:tcW w:w="1903"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left"/>
              <w:rPr>
                <w:sz w:val="20"/>
                <w:szCs w:val="20"/>
              </w:rPr>
            </w:pPr>
            <w:r>
              <w:rPr>
                <w:sz w:val="20"/>
                <w:szCs w:val="20"/>
              </w:rPr>
              <w:t>Total Assets</w:t>
            </w:r>
          </w:p>
        </w:tc>
        <w:tc>
          <w:tcPr>
            <w:tcW w:w="619"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137,806</w:t>
            </w:r>
          </w:p>
        </w:tc>
        <w:tc>
          <w:tcPr>
            <w:tcW w:w="619"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122,070</w:t>
            </w:r>
          </w:p>
        </w:tc>
        <w:tc>
          <w:tcPr>
            <w:tcW w:w="619"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106,618</w:t>
            </w:r>
          </w:p>
        </w:tc>
        <w:tc>
          <w:tcPr>
            <w:tcW w:w="619"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82,338</w:t>
            </w:r>
          </w:p>
        </w:tc>
        <w:tc>
          <w:tcPr>
            <w:tcW w:w="619" w:type="pct"/>
            <w:tcBorders>
              <w:top w:val="nil"/>
              <w:left w:val="nil"/>
              <w:bottom w:val="nil"/>
              <w:right w:val="single" w:sz="5" w:space="0" w:color="000000"/>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62,131</w:t>
            </w:r>
          </w:p>
        </w:tc>
      </w:tr>
      <w:tr>
        <w:trPr>
          <w:trHeight w:val="315"/>
        </w:trPr>
        <w:tc>
          <w:tcPr>
            <w:tcW w:w="1903"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left"/>
              <w:rPr>
                <w:sz w:val="20"/>
                <w:szCs w:val="20"/>
              </w:rPr>
            </w:pPr>
            <w:r>
              <w:rPr>
                <w:b/>
                <w:bCs/>
                <w:i/>
                <w:iCs/>
                <w:sz w:val="20"/>
                <w:szCs w:val="20"/>
              </w:rPr>
              <w:t>Return on Assets (ROA)</w:t>
            </w:r>
          </w:p>
        </w:tc>
        <w:tc>
          <w:tcPr>
            <w:tcW w:w="619"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b/>
                <w:bCs/>
                <w:i/>
                <w:iCs/>
                <w:sz w:val="20"/>
                <w:szCs w:val="20"/>
              </w:rPr>
              <w:t>2.80%</w:t>
            </w:r>
          </w:p>
        </w:tc>
        <w:tc>
          <w:tcPr>
            <w:tcW w:w="619"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b/>
                <w:bCs/>
                <w:i/>
                <w:iCs/>
                <w:sz w:val="20"/>
                <w:szCs w:val="20"/>
              </w:rPr>
              <w:t>5.86%</w:t>
            </w:r>
          </w:p>
        </w:tc>
        <w:tc>
          <w:tcPr>
            <w:tcW w:w="619"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b/>
                <w:bCs/>
                <w:i/>
                <w:iCs/>
                <w:sz w:val="20"/>
                <w:szCs w:val="20"/>
              </w:rPr>
              <w:t>14.07%</w:t>
            </w:r>
          </w:p>
        </w:tc>
        <w:tc>
          <w:tcPr>
            <w:tcW w:w="619"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b/>
                <w:bCs/>
                <w:i/>
                <w:iCs/>
                <w:sz w:val="20"/>
                <w:szCs w:val="20"/>
              </w:rPr>
              <w:t>15.25%</w:t>
            </w:r>
          </w:p>
        </w:tc>
        <w:tc>
          <w:tcPr>
            <w:tcW w:w="619" w:type="pct"/>
            <w:tcBorders>
              <w:top w:val="nil"/>
              <w:left w:val="nil"/>
              <w:bottom w:val="nil"/>
              <w:right w:val="single" w:sz="5" w:space="0" w:color="000000"/>
            </w:tcBorders>
            <w:tcMar>
              <w:top w:w="40" w:type="dxa"/>
              <w:left w:w="40" w:type="dxa"/>
              <w:bottom w:w="40" w:type="dxa"/>
              <w:right w:w="40" w:type="dxa"/>
            </w:tcMar>
            <w:vAlign w:val="bottom"/>
          </w:tcPr>
          <w:p>
            <w:pPr>
              <w:widowControl w:val="0"/>
              <w:spacing w:line="276" w:lineRule="auto"/>
              <w:jc w:val="right"/>
              <w:rPr>
                <w:sz w:val="20"/>
                <w:szCs w:val="20"/>
              </w:rPr>
            </w:pPr>
            <w:r>
              <w:rPr>
                <w:b/>
                <w:bCs/>
                <w:i/>
                <w:iCs/>
                <w:sz w:val="20"/>
                <w:szCs w:val="20"/>
              </w:rPr>
              <w:t>9.08%</w:t>
            </w:r>
          </w:p>
        </w:tc>
      </w:tr>
      <w:tr>
        <w:trPr>
          <w:trHeight w:val="315"/>
        </w:trPr>
        <w:tc>
          <w:tcPr>
            <w:tcW w:w="1903"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left"/>
              <w:rPr>
                <w:sz w:val="20"/>
                <w:szCs w:val="20"/>
              </w:rPr>
            </w:pPr>
            <w:r>
              <w:rPr>
                <w:i/>
                <w:iCs/>
                <w:sz w:val="20"/>
                <w:szCs w:val="20"/>
              </w:rPr>
              <w:t>Formula: Net Income / Total Assets</w:t>
            </w:r>
          </w:p>
        </w:tc>
        <w:tc>
          <w:tcPr>
            <w:tcW w:w="619" w:type="pct"/>
            <w:tcBorders>
              <w:top w:val="nil"/>
              <w:left w:val="nil"/>
              <w:bottom w:val="nil"/>
              <w:right w:val="nil"/>
            </w:tcBorders>
            <w:tcMar>
              <w:top w:w="40" w:type="dxa"/>
              <w:left w:w="40" w:type="dxa"/>
              <w:bottom w:w="40" w:type="dxa"/>
              <w:right w:w="40" w:type="dxa"/>
            </w:tcMar>
            <w:vAlign w:val="bottom"/>
          </w:tcPr>
          <w:p>
            <w:pPr>
              <w:widowControl w:val="0"/>
              <w:spacing w:line="276" w:lineRule="auto"/>
              <w:jc w:val="left"/>
              <w:rPr>
                <w:sz w:val="20"/>
                <w:szCs w:val="20"/>
              </w:rPr>
            </w:pPr>
          </w:p>
        </w:tc>
        <w:tc>
          <w:tcPr>
            <w:tcW w:w="619" w:type="pct"/>
            <w:tcBorders>
              <w:top w:val="nil"/>
              <w:left w:val="nil"/>
              <w:bottom w:val="nil"/>
              <w:right w:val="nil"/>
            </w:tcBorders>
            <w:tcMar>
              <w:top w:w="40" w:type="dxa"/>
              <w:left w:w="40" w:type="dxa"/>
              <w:bottom w:w="40" w:type="dxa"/>
              <w:right w:w="40" w:type="dxa"/>
            </w:tcMar>
            <w:vAlign w:val="bottom"/>
          </w:tcPr>
          <w:p>
            <w:pPr>
              <w:widowControl w:val="0"/>
              <w:spacing w:line="276" w:lineRule="auto"/>
              <w:jc w:val="left"/>
              <w:rPr>
                <w:sz w:val="20"/>
                <w:szCs w:val="20"/>
              </w:rPr>
            </w:pPr>
          </w:p>
        </w:tc>
        <w:tc>
          <w:tcPr>
            <w:tcW w:w="619" w:type="pct"/>
            <w:tcBorders>
              <w:top w:val="nil"/>
              <w:left w:val="nil"/>
              <w:bottom w:val="nil"/>
              <w:right w:val="nil"/>
            </w:tcBorders>
            <w:tcMar>
              <w:top w:w="40" w:type="dxa"/>
              <w:left w:w="40" w:type="dxa"/>
              <w:bottom w:w="40" w:type="dxa"/>
              <w:right w:w="40" w:type="dxa"/>
            </w:tcMar>
            <w:vAlign w:val="bottom"/>
          </w:tcPr>
          <w:p>
            <w:pPr>
              <w:widowControl w:val="0"/>
              <w:spacing w:line="276" w:lineRule="auto"/>
              <w:jc w:val="left"/>
              <w:rPr>
                <w:sz w:val="20"/>
                <w:szCs w:val="20"/>
              </w:rPr>
            </w:pPr>
          </w:p>
        </w:tc>
        <w:tc>
          <w:tcPr>
            <w:tcW w:w="619" w:type="pct"/>
            <w:tcBorders>
              <w:top w:val="nil"/>
              <w:left w:val="nil"/>
              <w:bottom w:val="nil"/>
              <w:right w:val="nil"/>
            </w:tcBorders>
            <w:tcMar>
              <w:top w:w="40" w:type="dxa"/>
              <w:left w:w="40" w:type="dxa"/>
              <w:bottom w:w="40" w:type="dxa"/>
              <w:right w:w="40" w:type="dxa"/>
            </w:tcMar>
            <w:vAlign w:val="bottom"/>
          </w:tcPr>
          <w:p>
            <w:pPr>
              <w:widowControl w:val="0"/>
              <w:spacing w:line="276" w:lineRule="auto"/>
              <w:jc w:val="left"/>
              <w:rPr>
                <w:sz w:val="20"/>
                <w:szCs w:val="20"/>
              </w:rPr>
            </w:pPr>
          </w:p>
        </w:tc>
        <w:tc>
          <w:tcPr>
            <w:tcW w:w="619" w:type="pct"/>
            <w:tcBorders>
              <w:top w:val="nil"/>
              <w:left w:val="nil"/>
              <w:bottom w:val="nil"/>
              <w:right w:val="single" w:sz="5" w:space="0" w:color="000000"/>
            </w:tcBorders>
            <w:tcMar>
              <w:top w:w="40" w:type="dxa"/>
              <w:left w:w="40" w:type="dxa"/>
              <w:bottom w:w="40" w:type="dxa"/>
              <w:right w:w="40" w:type="dxa"/>
            </w:tcMar>
            <w:vAlign w:val="bottom"/>
          </w:tcPr>
          <w:p>
            <w:pPr>
              <w:widowControl w:val="0"/>
              <w:spacing w:line="276" w:lineRule="auto"/>
              <w:jc w:val="left"/>
              <w:rPr>
                <w:sz w:val="20"/>
                <w:szCs w:val="20"/>
              </w:rPr>
            </w:pPr>
          </w:p>
        </w:tc>
      </w:tr>
      <w:tr>
        <w:trPr>
          <w:trHeight w:val="315"/>
        </w:trPr>
        <w:tc>
          <w:tcPr>
            <w:tcW w:w="1903"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left"/>
              <w:rPr>
                <w:sz w:val="20"/>
                <w:szCs w:val="20"/>
              </w:rPr>
            </w:pPr>
            <w:r>
              <w:rPr>
                <w:sz w:val="20"/>
                <w:szCs w:val="20"/>
              </w:rPr>
              <w:t>EBIT</w:t>
            </w:r>
          </w:p>
        </w:tc>
        <w:tc>
          <w:tcPr>
            <w:tcW w:w="619"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4,355</w:t>
            </w:r>
          </w:p>
        </w:tc>
        <w:tc>
          <w:tcPr>
            <w:tcW w:w="619"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7,076</w:t>
            </w:r>
          </w:p>
        </w:tc>
        <w:tc>
          <w:tcPr>
            <w:tcW w:w="619"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8,891</w:t>
            </w:r>
          </w:p>
        </w:tc>
        <w:tc>
          <w:tcPr>
            <w:tcW w:w="619"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13,656</w:t>
            </w:r>
          </w:p>
        </w:tc>
        <w:tc>
          <w:tcPr>
            <w:tcW w:w="619" w:type="pct"/>
            <w:tcBorders>
              <w:top w:val="nil"/>
              <w:left w:val="nil"/>
              <w:bottom w:val="nil"/>
              <w:right w:val="single" w:sz="5" w:space="0" w:color="000000"/>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6,523</w:t>
            </w:r>
          </w:p>
        </w:tc>
      </w:tr>
      <w:tr>
        <w:trPr>
          <w:trHeight w:val="315"/>
        </w:trPr>
        <w:tc>
          <w:tcPr>
            <w:tcW w:w="1903"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left"/>
              <w:rPr>
                <w:sz w:val="20"/>
                <w:szCs w:val="20"/>
              </w:rPr>
            </w:pPr>
            <w:r>
              <w:rPr>
                <w:sz w:val="20"/>
                <w:szCs w:val="20"/>
              </w:rPr>
              <w:t>Equity</w:t>
            </w:r>
          </w:p>
        </w:tc>
        <w:tc>
          <w:tcPr>
            <w:tcW w:w="619"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82,137</w:t>
            </w:r>
          </w:p>
        </w:tc>
        <w:tc>
          <w:tcPr>
            <w:tcW w:w="619"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72,913</w:t>
            </w:r>
          </w:p>
        </w:tc>
        <w:tc>
          <w:tcPr>
            <w:tcW w:w="619"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62,634</w:t>
            </w:r>
          </w:p>
        </w:tc>
        <w:tc>
          <w:tcPr>
            <w:tcW w:w="619"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44,704</w:t>
            </w:r>
          </w:p>
        </w:tc>
        <w:tc>
          <w:tcPr>
            <w:tcW w:w="619" w:type="pct"/>
            <w:tcBorders>
              <w:top w:val="nil"/>
              <w:left w:val="nil"/>
              <w:bottom w:val="nil"/>
              <w:right w:val="single" w:sz="5" w:space="0" w:color="000000"/>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27,053</w:t>
            </w:r>
          </w:p>
        </w:tc>
      </w:tr>
      <w:tr>
        <w:trPr>
          <w:trHeight w:val="315"/>
        </w:trPr>
        <w:tc>
          <w:tcPr>
            <w:tcW w:w="1903"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left"/>
              <w:rPr>
                <w:sz w:val="20"/>
                <w:szCs w:val="20"/>
              </w:rPr>
            </w:pPr>
            <w:r>
              <w:rPr>
                <w:sz w:val="20"/>
                <w:szCs w:val="20"/>
              </w:rPr>
              <w:t>Tax</w:t>
            </w:r>
          </w:p>
        </w:tc>
        <w:tc>
          <w:tcPr>
            <w:tcW w:w="619"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1,423</w:t>
            </w:r>
          </w:p>
        </w:tc>
        <w:tc>
          <w:tcPr>
            <w:tcW w:w="619"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1,837</w:t>
            </w:r>
          </w:p>
        </w:tc>
        <w:tc>
          <w:tcPr>
            <w:tcW w:w="619"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-5,001</w:t>
            </w:r>
          </w:p>
        </w:tc>
        <w:tc>
          <w:tcPr>
            <w:tcW w:w="619"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1,132</w:t>
            </w:r>
          </w:p>
        </w:tc>
        <w:tc>
          <w:tcPr>
            <w:tcW w:w="619" w:type="pct"/>
            <w:tcBorders>
              <w:top w:val="nil"/>
              <w:left w:val="nil"/>
              <w:bottom w:val="nil"/>
              <w:right w:val="single" w:sz="5" w:space="0" w:color="000000"/>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699</w:t>
            </w:r>
          </w:p>
        </w:tc>
      </w:tr>
      <w:tr>
        <w:trPr>
          <w:trHeight w:val="315"/>
        </w:trPr>
        <w:tc>
          <w:tcPr>
            <w:tcW w:w="1903"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left"/>
              <w:rPr>
                <w:sz w:val="20"/>
                <w:szCs w:val="20"/>
              </w:rPr>
            </w:pPr>
            <w:r>
              <w:rPr>
                <w:sz w:val="20"/>
                <w:szCs w:val="20"/>
              </w:rPr>
              <w:t>Total Debt</w:t>
            </w:r>
          </w:p>
        </w:tc>
        <w:tc>
          <w:tcPr>
            <w:tcW w:w="619"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8376</w:t>
            </w:r>
          </w:p>
        </w:tc>
        <w:tc>
          <w:tcPr>
            <w:tcW w:w="619"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8213</w:t>
            </w:r>
          </w:p>
        </w:tc>
        <w:tc>
          <w:tcPr>
            <w:tcW w:w="619"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5230</w:t>
            </w:r>
          </w:p>
        </w:tc>
        <w:tc>
          <w:tcPr>
            <w:tcW w:w="619"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3099</w:t>
            </w:r>
          </w:p>
        </w:tc>
        <w:tc>
          <w:tcPr>
            <w:tcW w:w="619" w:type="pct"/>
            <w:tcBorders>
              <w:top w:val="nil"/>
              <w:left w:val="nil"/>
              <w:bottom w:val="nil"/>
              <w:right w:val="single" w:sz="5" w:space="0" w:color="000000"/>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8154</w:t>
            </w:r>
          </w:p>
        </w:tc>
      </w:tr>
      <w:tr>
        <w:trPr>
          <w:trHeight w:val="315"/>
        </w:trPr>
        <w:tc>
          <w:tcPr>
            <w:tcW w:w="1903"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left"/>
              <w:rPr>
                <w:sz w:val="20"/>
                <w:szCs w:val="20"/>
              </w:rPr>
            </w:pPr>
            <w:r>
              <w:rPr>
                <w:sz w:val="20"/>
                <w:szCs w:val="20"/>
              </w:rPr>
              <w:t>Cash</w:t>
            </w:r>
          </w:p>
        </w:tc>
        <w:tc>
          <w:tcPr>
            <w:tcW w:w="619"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16,513</w:t>
            </w:r>
          </w:p>
        </w:tc>
        <w:tc>
          <w:tcPr>
            <w:tcW w:w="619"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16,139</w:t>
            </w:r>
          </w:p>
        </w:tc>
        <w:tc>
          <w:tcPr>
            <w:tcW w:w="619"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16,398</w:t>
            </w:r>
          </w:p>
        </w:tc>
        <w:tc>
          <w:tcPr>
            <w:tcW w:w="619"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16,253</w:t>
            </w:r>
          </w:p>
        </w:tc>
        <w:tc>
          <w:tcPr>
            <w:tcW w:w="619" w:type="pct"/>
            <w:tcBorders>
              <w:top w:val="nil"/>
              <w:left w:val="nil"/>
              <w:bottom w:val="nil"/>
              <w:right w:val="single" w:sz="5" w:space="0" w:color="000000"/>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17,576</w:t>
            </w:r>
          </w:p>
        </w:tc>
      </w:tr>
      <w:tr>
        <w:trPr>
          <w:trHeight w:val="315"/>
        </w:trPr>
        <w:tc>
          <w:tcPr>
            <w:tcW w:w="1903"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left"/>
              <w:rPr>
                <w:sz w:val="20"/>
                <w:szCs w:val="20"/>
              </w:rPr>
            </w:pPr>
            <w:r>
              <w:rPr>
                <w:sz w:val="20"/>
                <w:szCs w:val="20"/>
              </w:rPr>
              <w:t>Net Debt</w:t>
            </w:r>
          </w:p>
        </w:tc>
        <w:tc>
          <w:tcPr>
            <w:tcW w:w="619"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-8,137</w:t>
            </w:r>
          </w:p>
        </w:tc>
        <w:tc>
          <w:tcPr>
            <w:tcW w:w="619"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-7,926</w:t>
            </w:r>
          </w:p>
        </w:tc>
        <w:tc>
          <w:tcPr>
            <w:tcW w:w="619"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-11,168</w:t>
            </w:r>
          </w:p>
        </w:tc>
        <w:tc>
          <w:tcPr>
            <w:tcW w:w="619"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-13,154</w:t>
            </w:r>
          </w:p>
        </w:tc>
        <w:tc>
          <w:tcPr>
            <w:tcW w:w="619" w:type="pct"/>
            <w:tcBorders>
              <w:top w:val="nil"/>
              <w:left w:val="nil"/>
              <w:bottom w:val="nil"/>
              <w:right w:val="single" w:sz="5" w:space="0" w:color="000000"/>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-9,422</w:t>
            </w:r>
          </w:p>
        </w:tc>
      </w:tr>
      <w:tr>
        <w:trPr>
          <w:trHeight w:val="315"/>
        </w:trPr>
        <w:tc>
          <w:tcPr>
            <w:tcW w:w="1903"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left"/>
              <w:rPr>
                <w:sz w:val="20"/>
                <w:szCs w:val="20"/>
              </w:rPr>
            </w:pPr>
            <w:r>
              <w:rPr>
                <w:b/>
                <w:bCs/>
                <w:i/>
                <w:iCs/>
                <w:sz w:val="20"/>
                <w:szCs w:val="20"/>
              </w:rPr>
              <w:t>Return on Invested Capital (ROIC)</w:t>
            </w:r>
          </w:p>
        </w:tc>
        <w:tc>
          <w:tcPr>
            <w:tcW w:w="619"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b/>
                <w:bCs/>
                <w:i/>
                <w:iCs/>
                <w:sz w:val="20"/>
                <w:szCs w:val="20"/>
              </w:rPr>
              <w:t>3.96%</w:t>
            </w:r>
          </w:p>
        </w:tc>
        <w:tc>
          <w:tcPr>
            <w:tcW w:w="619"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b/>
                <w:bCs/>
                <w:i/>
                <w:iCs/>
                <w:sz w:val="20"/>
                <w:szCs w:val="20"/>
              </w:rPr>
              <w:t>8.06%</w:t>
            </w:r>
          </w:p>
        </w:tc>
        <w:tc>
          <w:tcPr>
            <w:tcW w:w="619"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b/>
                <w:bCs/>
                <w:i/>
                <w:iCs/>
                <w:sz w:val="20"/>
                <w:szCs w:val="20"/>
              </w:rPr>
              <w:t>26.99%</w:t>
            </w:r>
          </w:p>
        </w:tc>
        <w:tc>
          <w:tcPr>
            <w:tcW w:w="619"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b/>
                <w:bCs/>
                <w:i/>
                <w:iCs/>
                <w:sz w:val="20"/>
                <w:szCs w:val="20"/>
              </w:rPr>
              <w:t>39.70%</w:t>
            </w:r>
          </w:p>
        </w:tc>
        <w:tc>
          <w:tcPr>
            <w:tcW w:w="619" w:type="pct"/>
            <w:tcBorders>
              <w:top w:val="nil"/>
              <w:left w:val="nil"/>
              <w:bottom w:val="nil"/>
              <w:right w:val="single" w:sz="5" w:space="0" w:color="000000"/>
            </w:tcBorders>
            <w:tcMar>
              <w:top w:w="40" w:type="dxa"/>
              <w:left w:w="40" w:type="dxa"/>
              <w:bottom w:w="40" w:type="dxa"/>
              <w:right w:w="40" w:type="dxa"/>
            </w:tcMar>
            <w:vAlign w:val="bottom"/>
          </w:tcPr>
          <w:p>
            <w:pPr>
              <w:widowControl w:val="0"/>
              <w:spacing w:line="276" w:lineRule="auto"/>
              <w:jc w:val="right"/>
              <w:rPr>
                <w:sz w:val="20"/>
                <w:szCs w:val="20"/>
              </w:rPr>
            </w:pPr>
            <w:r>
              <w:rPr>
                <w:b/>
                <w:bCs/>
                <w:i/>
                <w:iCs/>
                <w:sz w:val="20"/>
                <w:szCs w:val="20"/>
              </w:rPr>
              <w:t>33.03%</w:t>
            </w:r>
          </w:p>
        </w:tc>
      </w:tr>
      <w:tr>
        <w:trPr>
          <w:trHeight w:val="315"/>
        </w:trPr>
        <w:tc>
          <w:tcPr>
            <w:tcW w:w="1903"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left"/>
              <w:rPr>
                <w:sz w:val="20"/>
                <w:szCs w:val="20"/>
              </w:rPr>
            </w:pPr>
            <w:r>
              <w:rPr>
                <w:i/>
                <w:iCs/>
                <w:sz w:val="20"/>
                <w:szCs w:val="20"/>
              </w:rPr>
              <w:t>Formula: (EBIT-Taxation) / (Total Equity+Net Debt)</w:t>
            </w:r>
          </w:p>
        </w:tc>
        <w:tc>
          <w:tcPr>
            <w:tcW w:w="619" w:type="pct"/>
            <w:tcBorders>
              <w:top w:val="nil"/>
              <w:left w:val="nil"/>
              <w:bottom w:val="nil"/>
              <w:right w:val="nil"/>
            </w:tcBorders>
            <w:tcMar>
              <w:top w:w="40" w:type="dxa"/>
              <w:left w:w="40" w:type="dxa"/>
              <w:bottom w:w="40" w:type="dxa"/>
              <w:right w:w="40" w:type="dxa"/>
            </w:tcMar>
            <w:vAlign w:val="bottom"/>
          </w:tcPr>
          <w:p>
            <w:pPr>
              <w:widowControl w:val="0"/>
              <w:spacing w:line="276" w:lineRule="auto"/>
              <w:jc w:val="left"/>
              <w:rPr>
                <w:sz w:val="20"/>
                <w:szCs w:val="20"/>
              </w:rPr>
            </w:pPr>
          </w:p>
        </w:tc>
        <w:tc>
          <w:tcPr>
            <w:tcW w:w="619" w:type="pct"/>
            <w:tcBorders>
              <w:top w:val="nil"/>
              <w:left w:val="nil"/>
              <w:bottom w:val="nil"/>
              <w:right w:val="nil"/>
            </w:tcBorders>
            <w:tcMar>
              <w:top w:w="40" w:type="dxa"/>
              <w:left w:w="40" w:type="dxa"/>
              <w:bottom w:w="40" w:type="dxa"/>
              <w:right w:w="40" w:type="dxa"/>
            </w:tcMar>
            <w:vAlign w:val="bottom"/>
          </w:tcPr>
          <w:p>
            <w:pPr>
              <w:widowControl w:val="0"/>
              <w:spacing w:line="276" w:lineRule="auto"/>
              <w:jc w:val="left"/>
              <w:rPr>
                <w:sz w:val="20"/>
                <w:szCs w:val="20"/>
              </w:rPr>
            </w:pPr>
          </w:p>
        </w:tc>
        <w:tc>
          <w:tcPr>
            <w:tcW w:w="619" w:type="pct"/>
            <w:tcBorders>
              <w:top w:val="nil"/>
              <w:left w:val="nil"/>
              <w:bottom w:val="nil"/>
              <w:right w:val="nil"/>
            </w:tcBorders>
            <w:tcMar>
              <w:top w:w="40" w:type="dxa"/>
              <w:left w:w="40" w:type="dxa"/>
              <w:bottom w:w="40" w:type="dxa"/>
              <w:right w:w="40" w:type="dxa"/>
            </w:tcMar>
            <w:vAlign w:val="bottom"/>
          </w:tcPr>
          <w:p>
            <w:pPr>
              <w:widowControl w:val="0"/>
              <w:spacing w:line="276" w:lineRule="auto"/>
              <w:jc w:val="left"/>
              <w:rPr>
                <w:sz w:val="20"/>
                <w:szCs w:val="20"/>
              </w:rPr>
            </w:pPr>
          </w:p>
        </w:tc>
        <w:tc>
          <w:tcPr>
            <w:tcW w:w="619" w:type="pct"/>
            <w:tcBorders>
              <w:top w:val="nil"/>
              <w:left w:val="nil"/>
              <w:bottom w:val="nil"/>
              <w:right w:val="nil"/>
            </w:tcBorders>
            <w:tcMar>
              <w:top w:w="40" w:type="dxa"/>
              <w:left w:w="40" w:type="dxa"/>
              <w:bottom w:w="40" w:type="dxa"/>
              <w:right w:w="40" w:type="dxa"/>
            </w:tcMar>
            <w:vAlign w:val="bottom"/>
          </w:tcPr>
          <w:p>
            <w:pPr>
              <w:widowControl w:val="0"/>
              <w:spacing w:line="276" w:lineRule="auto"/>
              <w:jc w:val="left"/>
              <w:rPr>
                <w:sz w:val="20"/>
                <w:szCs w:val="20"/>
              </w:rPr>
            </w:pPr>
          </w:p>
        </w:tc>
        <w:tc>
          <w:tcPr>
            <w:tcW w:w="619" w:type="pct"/>
            <w:tcBorders>
              <w:top w:val="nil"/>
              <w:left w:val="nil"/>
              <w:bottom w:val="nil"/>
              <w:right w:val="single" w:sz="5" w:space="0" w:color="000000"/>
            </w:tcBorders>
            <w:tcMar>
              <w:top w:w="40" w:type="dxa"/>
              <w:left w:w="40" w:type="dxa"/>
              <w:bottom w:w="40" w:type="dxa"/>
              <w:right w:w="40" w:type="dxa"/>
            </w:tcMar>
            <w:vAlign w:val="bottom"/>
          </w:tcPr>
          <w:p>
            <w:pPr>
              <w:widowControl w:val="0"/>
              <w:spacing w:line="276" w:lineRule="auto"/>
              <w:jc w:val="left"/>
              <w:rPr>
                <w:sz w:val="20"/>
                <w:szCs w:val="20"/>
              </w:rPr>
            </w:pPr>
          </w:p>
        </w:tc>
      </w:tr>
      <w:tr>
        <w:trPr>
          <w:trHeight w:val="315"/>
        </w:trPr>
        <w:tc>
          <w:tcPr>
            <w:tcW w:w="1903"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left"/>
              <w:rPr>
                <w:sz w:val="20"/>
                <w:szCs w:val="20"/>
              </w:rPr>
            </w:pPr>
            <w:r>
              <w:rPr>
                <w:sz w:val="20"/>
                <w:szCs w:val="20"/>
              </w:rPr>
              <w:t>Net Income</w:t>
            </w:r>
          </w:p>
        </w:tc>
        <w:tc>
          <w:tcPr>
            <w:tcW w:w="619"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3,855</w:t>
            </w:r>
          </w:p>
        </w:tc>
        <w:tc>
          <w:tcPr>
            <w:tcW w:w="619"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7,153</w:t>
            </w:r>
          </w:p>
        </w:tc>
        <w:tc>
          <w:tcPr>
            <w:tcW w:w="619"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14,997</w:t>
            </w:r>
          </w:p>
        </w:tc>
        <w:tc>
          <w:tcPr>
            <w:tcW w:w="619"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12,556</w:t>
            </w:r>
          </w:p>
        </w:tc>
        <w:tc>
          <w:tcPr>
            <w:tcW w:w="619" w:type="pct"/>
            <w:tcBorders>
              <w:top w:val="nil"/>
              <w:left w:val="nil"/>
              <w:bottom w:val="nil"/>
              <w:right w:val="single" w:sz="5" w:space="0" w:color="000000"/>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5,644</w:t>
            </w:r>
          </w:p>
        </w:tc>
      </w:tr>
      <w:tr>
        <w:trPr>
          <w:trHeight w:val="315"/>
        </w:trPr>
        <w:tc>
          <w:tcPr>
            <w:tcW w:w="1903"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left"/>
              <w:rPr>
                <w:sz w:val="20"/>
                <w:szCs w:val="20"/>
              </w:rPr>
            </w:pPr>
            <w:r>
              <w:rPr>
                <w:sz w:val="20"/>
                <w:szCs w:val="20"/>
              </w:rPr>
              <w:t>Shares outstanding</w:t>
            </w:r>
          </w:p>
        </w:tc>
        <w:tc>
          <w:tcPr>
            <w:tcW w:w="619"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3,751</w:t>
            </w:r>
          </w:p>
        </w:tc>
        <w:tc>
          <w:tcPr>
            <w:tcW w:w="619"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3,216</w:t>
            </w:r>
          </w:p>
        </w:tc>
        <w:tc>
          <w:tcPr>
            <w:tcW w:w="619"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3,185</w:t>
            </w:r>
          </w:p>
        </w:tc>
        <w:tc>
          <w:tcPr>
            <w:tcW w:w="619"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3,164</w:t>
            </w:r>
          </w:p>
        </w:tc>
        <w:tc>
          <w:tcPr>
            <w:tcW w:w="619" w:type="pct"/>
            <w:tcBorders>
              <w:top w:val="nil"/>
              <w:left w:val="nil"/>
              <w:bottom w:val="nil"/>
              <w:right w:val="single" w:sz="5" w:space="0" w:color="000000"/>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1,004</w:t>
            </w:r>
          </w:p>
        </w:tc>
      </w:tr>
      <w:tr>
        <w:trPr>
          <w:trHeight w:val="315"/>
        </w:trPr>
        <w:tc>
          <w:tcPr>
            <w:tcW w:w="1903"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left"/>
              <w:rPr>
                <w:b/>
                <w:bCs/>
                <w:i/>
                <w:iCs/>
                <w:sz w:val="20"/>
                <w:szCs w:val="20"/>
              </w:rPr>
            </w:pPr>
            <w:r>
              <w:rPr>
                <w:b/>
                <w:bCs/>
                <w:i/>
                <w:iCs/>
                <w:sz w:val="20"/>
                <w:szCs w:val="20"/>
              </w:rPr>
              <w:t>Earnings Per Share (EPS)</w:t>
            </w:r>
          </w:p>
        </w:tc>
        <w:tc>
          <w:tcPr>
            <w:tcW w:w="619"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b/>
                <w:bCs/>
                <w:i/>
                <w:iCs/>
                <w:sz w:val="20"/>
                <w:szCs w:val="20"/>
              </w:rPr>
              <w:t>1.03</w:t>
            </w:r>
          </w:p>
        </w:tc>
        <w:tc>
          <w:tcPr>
            <w:tcW w:w="619"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b/>
                <w:bCs/>
                <w:i/>
                <w:iCs/>
                <w:sz w:val="20"/>
                <w:szCs w:val="20"/>
              </w:rPr>
              <w:t>2.22</w:t>
            </w:r>
          </w:p>
        </w:tc>
        <w:tc>
          <w:tcPr>
            <w:tcW w:w="619"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b/>
                <w:bCs/>
                <w:i/>
                <w:iCs/>
                <w:sz w:val="20"/>
                <w:szCs w:val="20"/>
              </w:rPr>
              <w:t>4.71</w:t>
            </w:r>
          </w:p>
        </w:tc>
        <w:tc>
          <w:tcPr>
            <w:tcW w:w="619"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b/>
                <w:bCs/>
                <w:i/>
                <w:iCs/>
                <w:sz w:val="20"/>
                <w:szCs w:val="20"/>
              </w:rPr>
              <w:t>3.97</w:t>
            </w:r>
          </w:p>
        </w:tc>
        <w:tc>
          <w:tcPr>
            <w:tcW w:w="619" w:type="pct"/>
            <w:tcBorders>
              <w:top w:val="nil"/>
              <w:left w:val="nil"/>
              <w:bottom w:val="nil"/>
              <w:right w:val="single" w:sz="5" w:space="0" w:color="000000"/>
            </w:tcBorders>
            <w:tcMar>
              <w:top w:w="40" w:type="dxa"/>
              <w:left w:w="40" w:type="dxa"/>
              <w:bottom w:w="40" w:type="dxa"/>
              <w:right w:w="40" w:type="dxa"/>
            </w:tcMar>
            <w:vAlign w:val="bottom"/>
          </w:tcPr>
          <w:p>
            <w:pPr>
              <w:widowControl w:val="0"/>
              <w:spacing w:line="276" w:lineRule="auto"/>
              <w:jc w:val="right"/>
              <w:rPr>
                <w:sz w:val="20"/>
                <w:szCs w:val="20"/>
              </w:rPr>
            </w:pPr>
            <w:r>
              <w:rPr>
                <w:b/>
                <w:bCs/>
                <w:i/>
                <w:iCs/>
                <w:sz w:val="20"/>
                <w:szCs w:val="20"/>
              </w:rPr>
              <w:t>5.62</w:t>
            </w:r>
          </w:p>
        </w:tc>
      </w:tr>
      <w:tr>
        <w:trPr>
          <w:trHeight w:val="315"/>
        </w:trPr>
        <w:tc>
          <w:tcPr>
            <w:tcW w:w="1903" w:type="pct"/>
            <w:tcBorders>
              <w:top w:val="nil"/>
              <w:left w:val="single" w:sz="5" w:space="0" w:color="000000"/>
              <w:bottom w:val="single" w:sz="5" w:space="0" w:color="000000"/>
              <w:right w:val="nil"/>
            </w:tcBorders>
            <w:tcMar>
              <w:top w:w="40" w:type="dxa"/>
              <w:left w:w="40" w:type="dxa"/>
              <w:bottom w:w="40" w:type="dxa"/>
              <w:right w:w="40" w:type="dxa"/>
            </w:tcMar>
            <w:vAlign w:val="bottom"/>
          </w:tcPr>
          <w:p>
            <w:pPr>
              <w:widowControl w:val="0"/>
              <w:spacing w:line="276" w:lineRule="auto"/>
              <w:jc w:val="left"/>
              <w:rPr>
                <w:sz w:val="20"/>
                <w:szCs w:val="20"/>
              </w:rPr>
            </w:pPr>
            <w:r>
              <w:rPr>
                <w:i/>
                <w:iCs/>
                <w:sz w:val="20"/>
                <w:szCs w:val="20"/>
              </w:rPr>
              <w:t>Formula: Net Income / Shares outstanding</w:t>
            </w:r>
          </w:p>
        </w:tc>
        <w:tc>
          <w:tcPr>
            <w:tcW w:w="619" w:type="pct"/>
            <w:tcBorders>
              <w:top w:val="nil"/>
              <w:left w:val="nil"/>
              <w:bottom w:val="single" w:sz="5" w:space="0" w:color="000000"/>
              <w:right w:val="nil"/>
            </w:tcBorders>
            <w:tcMar>
              <w:top w:w="40" w:type="dxa"/>
              <w:left w:w="40" w:type="dxa"/>
              <w:bottom w:w="40" w:type="dxa"/>
              <w:right w:w="40" w:type="dxa"/>
            </w:tcMar>
            <w:vAlign w:val="bottom"/>
          </w:tcPr>
          <w:p>
            <w:pPr>
              <w:widowControl w:val="0"/>
              <w:spacing w:line="276" w:lineRule="auto"/>
              <w:jc w:val="left"/>
              <w:rPr>
                <w:sz w:val="20"/>
                <w:szCs w:val="20"/>
              </w:rPr>
            </w:pPr>
          </w:p>
        </w:tc>
        <w:tc>
          <w:tcPr>
            <w:tcW w:w="619" w:type="pct"/>
            <w:tcBorders>
              <w:top w:val="nil"/>
              <w:left w:val="nil"/>
              <w:bottom w:val="single" w:sz="5" w:space="0" w:color="000000"/>
              <w:right w:val="nil"/>
            </w:tcBorders>
            <w:tcMar>
              <w:top w:w="40" w:type="dxa"/>
              <w:left w:w="40" w:type="dxa"/>
              <w:bottom w:w="40" w:type="dxa"/>
              <w:right w:w="40" w:type="dxa"/>
            </w:tcMar>
            <w:vAlign w:val="bottom"/>
          </w:tcPr>
          <w:p>
            <w:pPr>
              <w:widowControl w:val="0"/>
              <w:spacing w:line="276" w:lineRule="auto"/>
              <w:jc w:val="left"/>
              <w:rPr>
                <w:sz w:val="20"/>
                <w:szCs w:val="20"/>
              </w:rPr>
            </w:pPr>
          </w:p>
        </w:tc>
        <w:tc>
          <w:tcPr>
            <w:tcW w:w="619" w:type="pct"/>
            <w:tcBorders>
              <w:top w:val="nil"/>
              <w:left w:val="nil"/>
              <w:bottom w:val="single" w:sz="5" w:space="0" w:color="000000"/>
              <w:right w:val="nil"/>
            </w:tcBorders>
            <w:tcMar>
              <w:top w:w="40" w:type="dxa"/>
              <w:left w:w="40" w:type="dxa"/>
              <w:bottom w:w="40" w:type="dxa"/>
              <w:right w:w="40" w:type="dxa"/>
            </w:tcMar>
            <w:vAlign w:val="bottom"/>
          </w:tcPr>
          <w:p>
            <w:pPr>
              <w:widowControl w:val="0"/>
              <w:spacing w:line="276" w:lineRule="auto"/>
              <w:jc w:val="left"/>
              <w:rPr>
                <w:sz w:val="20"/>
                <w:szCs w:val="20"/>
              </w:rPr>
            </w:pPr>
          </w:p>
        </w:tc>
        <w:tc>
          <w:tcPr>
            <w:tcW w:w="619" w:type="pct"/>
            <w:tcBorders>
              <w:top w:val="nil"/>
              <w:left w:val="nil"/>
              <w:bottom w:val="single" w:sz="5" w:space="0" w:color="000000"/>
              <w:right w:val="nil"/>
            </w:tcBorders>
            <w:tcMar>
              <w:top w:w="40" w:type="dxa"/>
              <w:left w:w="40" w:type="dxa"/>
              <w:bottom w:w="40" w:type="dxa"/>
              <w:right w:w="40" w:type="dxa"/>
            </w:tcMar>
            <w:vAlign w:val="bottom"/>
          </w:tcPr>
          <w:p>
            <w:pPr>
              <w:widowControl w:val="0"/>
              <w:spacing w:line="276" w:lineRule="auto"/>
              <w:jc w:val="left"/>
              <w:rPr>
                <w:sz w:val="20"/>
                <w:szCs w:val="20"/>
              </w:rPr>
            </w:pPr>
          </w:p>
        </w:tc>
        <w:tc>
          <w:tcPr>
            <w:tcW w:w="619" w:type="pct"/>
            <w:tcBorders>
              <w:top w:val="nil"/>
              <w:left w:val="nil"/>
              <w:bottom w:val="single" w:sz="5" w:space="0" w:color="000000"/>
              <w:right w:val="single" w:sz="5" w:space="0" w:color="000000"/>
            </w:tcBorders>
            <w:tcMar>
              <w:top w:w="40" w:type="dxa"/>
              <w:left w:w="40" w:type="dxa"/>
              <w:bottom w:w="40" w:type="dxa"/>
              <w:right w:w="40" w:type="dxa"/>
            </w:tcMar>
            <w:vAlign w:val="bottom"/>
          </w:tcPr>
          <w:p>
            <w:pPr>
              <w:widowControl w:val="0"/>
              <w:spacing w:line="276" w:lineRule="auto"/>
              <w:jc w:val="left"/>
              <w:rPr>
                <w:sz w:val="20"/>
                <w:szCs w:val="20"/>
              </w:rPr>
            </w:pPr>
          </w:p>
        </w:tc>
      </w:tr>
    </w:tbl>
    <w:p>
      <w:pPr>
        <w:pStyle w:val="5"/>
      </w:pPr>
      <w:bookmarkStart w:id="62" w:name="_Toc227926973"/>
      <w:r>
        <w:t>Table 5: Investment Ratio</w:t>
      </w:r>
      <w:bookmarkEnd w:id="62"/>
    </w:p>
    <w:p>
      <w:pPr>
        <w:jc w:val="center"/>
      </w:pPr>
      <w:r>
        <w:t>(Source: Tesla, 2025, 2023a, 2021)</w:t>
      </w:r>
    </w:p>
    <w:p>
      <w:pPr>
        <w:pStyle w:val="2"/>
      </w:pPr>
      <w:bookmarkStart w:id="63" w:name="_4ouxs6hviyr1"/>
      <w:bookmarkEnd w:id="63"/>
      <w:r>
        <w:br w:type="page"/>
      </w:r>
    </w:p>
    <w:p>
      <w:pPr>
        <w:pStyle w:val="2"/>
      </w:pPr>
      <w:bookmarkStart w:id="64" w:name="_Toc227926910"/>
      <w:r>
        <w:t>Appendix 6: Cash Flow Ratios</w:t>
      </w:r>
      <w:bookmarkEnd w:id="64"/>
    </w:p>
    <w:p>
      <w:pPr>
        <w:jc w:val="center"/>
      </w:pPr>
      <w:r>
        <w:drawing>
          <wp:inline distT="114300" distB="114300" distL="114300" distR="114300">
            <wp:extent cx="4652963" cy="2790232"/>
            <wp:effectExtent l="0" t="0" r="0" b="0"/>
            <wp:docPr id="37" name="图片 37"/>
            <wp:cNvGraphicFramePr>
              <a:graphicFrameLocks noChangeAspect="0"/>
            </wp:cNvGraphicFramePr>
            <a:graphic>
              <a:graphicData uri="http://schemas.openxmlformats.org/drawingml/2006/picture">
                <pic:pic>
                  <pic:nvPicPr>
                    <pic:cNvPr id="39" name="图片 39"/>
                    <pic:cNvPicPr/>
                  </pic:nvPicPr>
                  <pic:blipFill>
                    <a:blip r:embed="rId17"/>
                    <a:stretch>
                      <a:fillRect/>
                    </a:stretch>
                  </pic:blipFill>
                  <pic:spPr>
                    <a:xfrm rot="0">
                      <a:off x="0" y="0"/>
                      <a:ext cx="4652963" cy="2790232"/>
                    </a:xfrm>
                    <a:prstGeom prst="rect"/>
                    <a:noFill/>
                    <a:ln w="12700" cmpd="sng" cap="flat">
                      <a:solidFill>
                        <a:srgbClr val="000000"/>
                      </a:solidFill>
                      <a:prstDash val="solid"/>
                      <a:round/>
                    </a:ln>
                  </pic:spPr>
                </pic:pic>
              </a:graphicData>
            </a:graphic>
          </wp:inline>
        </w:drawing>
      </w:r>
    </w:p>
    <w:p>
      <w:pPr>
        <w:pStyle w:val="4"/>
      </w:pPr>
      <w:bookmarkStart w:id="65" w:name="_Toc227926926"/>
      <w:r>
        <w:t>Figure 12: Cash Flow Ratios</w:t>
      </w:r>
      <w:bookmarkEnd w:id="65"/>
    </w:p>
    <w:p>
      <w:pPr>
        <w:jc w:val="center"/>
      </w:pPr>
      <w:r>
        <w:t>(Source: Tesla, 2025, 2023a, 2021)</w:t>
      </w:r>
    </w:p>
    <w:tbl>
      <w:tblPr>
        <w:jc w:val="left"/>
        <w:tblInd w:w="0" w:type="dxa"/>
        <w:tblW w:w="5000" w:type="pct"/>
        <w:tblBorders>
          <w:top w:val="none" w:sz="0" w:space="0" w:color="auto"/>
          <w:left w:val="none" w:sz="0" w:space="0" w:color="auto"/>
          <w:bottom w:val="none" w:sz="0" w:space="0" w:color="auto"/>
          <w:right w:val="none" w:sz="0" w:space="0" w:color="auto"/>
        </w:tblBorders>
        <w:tblCellMar>
          <w:top w:w="0" w:type="dxa"/>
          <w:left w:w="0" w:type="dxa"/>
          <w:bottom w:w="0" w:type="dxa"/>
          <w:right w:w="0" w:type="dxa"/>
        </w:tblCellMar>
      </w:tblPr>
      <w:tblGrid>
        <w:gridCol w:w="3547"/>
        <w:gridCol w:w="1095"/>
        <w:gridCol w:w="1095"/>
        <w:gridCol w:w="1095"/>
        <w:gridCol w:w="1095"/>
        <w:gridCol w:w="1095"/>
      </w:tblGrid>
      <w:tr>
        <w:trPr>
          <w:trHeight w:val="315"/>
        </w:trPr>
        <w:tc>
          <w:tcPr>
            <w:tcW w:w="1967" w:type="pct"/>
            <w:tcBorders>
              <w:top w:val="single" w:sz="5" w:space="0" w:color="000000"/>
              <w:left w:val="single" w:sz="5" w:space="0" w:color="000000"/>
              <w:bottom w:val="nil"/>
              <w:right w:val="nil"/>
            </w:tcBorders>
            <w:tcMar>
              <w:top w:w="40" w:type="dxa"/>
              <w:left w:w="40" w:type="dxa"/>
              <w:bottom w:w="40" w:type="dxa"/>
              <w:right w:w="40" w:type="dxa"/>
            </w:tcMar>
            <w:vAlign w:val="bottom"/>
          </w:tcPr>
          <w:p>
            <w:pPr>
              <w:widowControl w:val="0"/>
              <w:spacing w:line="276" w:lineRule="auto"/>
              <w:jc w:val="center"/>
              <w:rPr>
                <w:b/>
                <w:bCs/>
                <w:sz w:val="20"/>
                <w:szCs w:val="20"/>
              </w:rPr>
            </w:pPr>
            <w:r>
              <w:rPr>
                <w:b/>
                <w:bCs/>
                <w:sz w:val="20"/>
                <w:szCs w:val="20"/>
              </w:rPr>
              <w:t>Cash Flow Ratios</w:t>
            </w:r>
          </w:p>
        </w:tc>
        <w:tc>
          <w:tcPr>
            <w:tcW w:w="607" w:type="pct"/>
            <w:tcBorders>
              <w:top w:val="single" w:sz="5" w:space="0" w:color="000000"/>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b/>
                <w:bCs/>
                <w:sz w:val="20"/>
                <w:szCs w:val="20"/>
              </w:rPr>
              <w:t>2025 ($m)</w:t>
            </w:r>
          </w:p>
        </w:tc>
        <w:tc>
          <w:tcPr>
            <w:tcW w:w="607" w:type="pct"/>
            <w:tcBorders>
              <w:top w:val="single" w:sz="5" w:space="0" w:color="000000"/>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b/>
                <w:bCs/>
                <w:sz w:val="20"/>
                <w:szCs w:val="20"/>
              </w:rPr>
              <w:t>2024 ($m)</w:t>
            </w:r>
          </w:p>
        </w:tc>
        <w:tc>
          <w:tcPr>
            <w:tcW w:w="607" w:type="pct"/>
            <w:tcBorders>
              <w:top w:val="single" w:sz="5" w:space="0" w:color="000000"/>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b/>
                <w:bCs/>
                <w:sz w:val="20"/>
                <w:szCs w:val="20"/>
              </w:rPr>
              <w:t>2023 ($m)</w:t>
            </w:r>
          </w:p>
        </w:tc>
        <w:tc>
          <w:tcPr>
            <w:tcW w:w="607" w:type="pct"/>
            <w:tcBorders>
              <w:top w:val="single" w:sz="5" w:space="0" w:color="000000"/>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b/>
                <w:bCs/>
                <w:sz w:val="20"/>
                <w:szCs w:val="20"/>
              </w:rPr>
              <w:t>2022 ($m)</w:t>
            </w:r>
          </w:p>
        </w:tc>
        <w:tc>
          <w:tcPr>
            <w:tcW w:w="607" w:type="pct"/>
            <w:tcBorders>
              <w:top w:val="single" w:sz="5" w:space="0" w:color="000000"/>
              <w:left w:val="nil"/>
              <w:bottom w:val="nil"/>
              <w:right w:val="single" w:sz="5" w:space="0" w:color="000000"/>
            </w:tcBorders>
            <w:tcMar>
              <w:top w:w="40" w:type="dxa"/>
              <w:left w:w="40" w:type="dxa"/>
              <w:bottom w:w="40" w:type="dxa"/>
              <w:right w:w="40" w:type="dxa"/>
            </w:tcMar>
            <w:vAlign w:val="bottom"/>
          </w:tcPr>
          <w:p>
            <w:pPr>
              <w:widowControl w:val="0"/>
              <w:spacing w:line="276" w:lineRule="auto"/>
              <w:jc w:val="center"/>
              <w:rPr>
                <w:sz w:val="20"/>
                <w:szCs w:val="20"/>
              </w:rPr>
            </w:pPr>
            <w:r>
              <w:rPr>
                <w:b/>
                <w:bCs/>
                <w:sz w:val="20"/>
                <w:szCs w:val="20"/>
              </w:rPr>
              <w:t>2021 ($m)</w:t>
            </w:r>
          </w:p>
        </w:tc>
      </w:tr>
      <w:tr>
        <w:trPr>
          <w:trHeight w:val="315"/>
        </w:trPr>
        <w:tc>
          <w:tcPr>
            <w:tcW w:w="1967"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left"/>
              <w:rPr>
                <w:sz w:val="20"/>
                <w:szCs w:val="20"/>
              </w:rPr>
            </w:pPr>
            <w:r>
              <w:rPr>
                <w:sz w:val="20"/>
                <w:szCs w:val="20"/>
              </w:rPr>
              <w:t>Operating Cash Flow​</w:t>
            </w:r>
          </w:p>
        </w:tc>
        <w:tc>
          <w:tcPr>
            <w:tcW w:w="607"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14,747</w:t>
            </w:r>
          </w:p>
        </w:tc>
        <w:tc>
          <w:tcPr>
            <w:tcW w:w="607"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14,923</w:t>
            </w:r>
          </w:p>
        </w:tc>
        <w:tc>
          <w:tcPr>
            <w:tcW w:w="607"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13,256</w:t>
            </w:r>
          </w:p>
        </w:tc>
        <w:tc>
          <w:tcPr>
            <w:tcW w:w="607"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14,724</w:t>
            </w:r>
          </w:p>
        </w:tc>
        <w:tc>
          <w:tcPr>
            <w:tcW w:w="607" w:type="pct"/>
            <w:tcBorders>
              <w:top w:val="nil"/>
              <w:left w:val="nil"/>
              <w:bottom w:val="nil"/>
              <w:right w:val="single" w:sz="5" w:space="0" w:color="000000"/>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6,912</w:t>
            </w:r>
          </w:p>
        </w:tc>
      </w:tr>
      <w:tr>
        <w:trPr>
          <w:trHeight w:val="315"/>
        </w:trPr>
        <w:tc>
          <w:tcPr>
            <w:tcW w:w="1967"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left"/>
              <w:rPr>
                <w:sz w:val="20"/>
                <w:szCs w:val="20"/>
              </w:rPr>
            </w:pPr>
            <w:r>
              <w:rPr>
                <w:sz w:val="20"/>
                <w:szCs w:val="20"/>
              </w:rPr>
              <w:t>Current Liabilities</w:t>
            </w:r>
          </w:p>
        </w:tc>
        <w:tc>
          <w:tcPr>
            <w:tcW w:w="607"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31,714</w:t>
            </w:r>
          </w:p>
        </w:tc>
        <w:tc>
          <w:tcPr>
            <w:tcW w:w="607"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28,821</w:t>
            </w:r>
          </w:p>
        </w:tc>
        <w:tc>
          <w:tcPr>
            <w:tcW w:w="607"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28,748</w:t>
            </w:r>
          </w:p>
        </w:tc>
        <w:tc>
          <w:tcPr>
            <w:tcW w:w="607"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26,709</w:t>
            </w:r>
          </w:p>
        </w:tc>
        <w:tc>
          <w:tcPr>
            <w:tcW w:w="607" w:type="pct"/>
            <w:tcBorders>
              <w:top w:val="nil"/>
              <w:left w:val="nil"/>
              <w:bottom w:val="nil"/>
              <w:right w:val="single" w:sz="5" w:space="0" w:color="000000"/>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19,705</w:t>
            </w:r>
          </w:p>
        </w:tc>
      </w:tr>
      <w:tr>
        <w:trPr>
          <w:trHeight w:val="315"/>
        </w:trPr>
        <w:tc>
          <w:tcPr>
            <w:tcW w:w="1967"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left"/>
              <w:rPr>
                <w:sz w:val="20"/>
                <w:szCs w:val="20"/>
              </w:rPr>
            </w:pPr>
            <w:r>
              <w:rPr>
                <w:b/>
                <w:bCs/>
                <w:i/>
                <w:iCs/>
                <w:sz w:val="20"/>
                <w:szCs w:val="20"/>
              </w:rPr>
              <w:t>Operating Cash Flow Ratio</w:t>
            </w:r>
          </w:p>
        </w:tc>
        <w:tc>
          <w:tcPr>
            <w:tcW w:w="607"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b/>
                <w:bCs/>
                <w:i/>
                <w:iCs/>
                <w:sz w:val="20"/>
                <w:szCs w:val="20"/>
              </w:rPr>
              <w:t>0.46</w:t>
            </w:r>
          </w:p>
        </w:tc>
        <w:tc>
          <w:tcPr>
            <w:tcW w:w="607"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b/>
                <w:bCs/>
                <w:i/>
                <w:iCs/>
                <w:sz w:val="20"/>
                <w:szCs w:val="20"/>
              </w:rPr>
              <w:t>0.52</w:t>
            </w:r>
          </w:p>
        </w:tc>
        <w:tc>
          <w:tcPr>
            <w:tcW w:w="607"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b/>
                <w:bCs/>
                <w:i/>
                <w:iCs/>
                <w:sz w:val="20"/>
                <w:szCs w:val="20"/>
              </w:rPr>
              <w:t>0.46</w:t>
            </w:r>
          </w:p>
        </w:tc>
        <w:tc>
          <w:tcPr>
            <w:tcW w:w="607"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b/>
                <w:bCs/>
                <w:i/>
                <w:iCs/>
                <w:sz w:val="20"/>
                <w:szCs w:val="20"/>
              </w:rPr>
              <w:t>0.55</w:t>
            </w:r>
          </w:p>
        </w:tc>
        <w:tc>
          <w:tcPr>
            <w:tcW w:w="607" w:type="pct"/>
            <w:tcBorders>
              <w:top w:val="nil"/>
              <w:left w:val="nil"/>
              <w:bottom w:val="nil"/>
              <w:right w:val="single" w:sz="5" w:space="0" w:color="000000"/>
            </w:tcBorders>
            <w:tcMar>
              <w:top w:w="40" w:type="dxa"/>
              <w:left w:w="40" w:type="dxa"/>
              <w:bottom w:w="40" w:type="dxa"/>
              <w:right w:w="40" w:type="dxa"/>
            </w:tcMar>
            <w:vAlign w:val="bottom"/>
          </w:tcPr>
          <w:p>
            <w:pPr>
              <w:widowControl w:val="0"/>
              <w:spacing w:line="276" w:lineRule="auto"/>
              <w:jc w:val="right"/>
              <w:rPr>
                <w:sz w:val="20"/>
                <w:szCs w:val="20"/>
              </w:rPr>
            </w:pPr>
            <w:r>
              <w:rPr>
                <w:b/>
                <w:bCs/>
                <w:i/>
                <w:iCs/>
                <w:sz w:val="20"/>
                <w:szCs w:val="20"/>
              </w:rPr>
              <w:t>0.35</w:t>
            </w:r>
          </w:p>
        </w:tc>
      </w:tr>
      <w:tr>
        <w:trPr>
          <w:trHeight w:val="315"/>
        </w:trPr>
        <w:tc>
          <w:tcPr>
            <w:tcW w:w="1967"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left"/>
              <w:rPr>
                <w:sz w:val="20"/>
                <w:szCs w:val="20"/>
              </w:rPr>
            </w:pPr>
            <w:r>
              <w:rPr>
                <w:i/>
                <w:iCs/>
                <w:sz w:val="20"/>
                <w:szCs w:val="20"/>
              </w:rPr>
              <w:t>Formula: Operating Cash Flow​ / Current Liabilities</w:t>
            </w:r>
          </w:p>
        </w:tc>
        <w:tc>
          <w:tcPr>
            <w:tcW w:w="607" w:type="pct"/>
            <w:tcBorders>
              <w:top w:val="nil"/>
              <w:left w:val="nil"/>
              <w:bottom w:val="nil"/>
              <w:right w:val="nil"/>
            </w:tcBorders>
            <w:tcMar>
              <w:top w:w="40" w:type="dxa"/>
              <w:left w:w="40" w:type="dxa"/>
              <w:bottom w:w="40" w:type="dxa"/>
              <w:right w:w="40" w:type="dxa"/>
            </w:tcMar>
            <w:vAlign w:val="bottom"/>
          </w:tcPr>
          <w:p>
            <w:pPr>
              <w:widowControl w:val="0"/>
              <w:spacing w:line="276" w:lineRule="auto"/>
              <w:jc w:val="left"/>
              <w:rPr>
                <w:sz w:val="20"/>
                <w:szCs w:val="20"/>
              </w:rPr>
            </w:pPr>
          </w:p>
        </w:tc>
        <w:tc>
          <w:tcPr>
            <w:tcW w:w="607" w:type="pct"/>
            <w:tcBorders>
              <w:top w:val="nil"/>
              <w:left w:val="nil"/>
              <w:bottom w:val="nil"/>
              <w:right w:val="nil"/>
            </w:tcBorders>
            <w:tcMar>
              <w:top w:w="40" w:type="dxa"/>
              <w:left w:w="40" w:type="dxa"/>
              <w:bottom w:w="40" w:type="dxa"/>
              <w:right w:w="40" w:type="dxa"/>
            </w:tcMar>
            <w:vAlign w:val="bottom"/>
          </w:tcPr>
          <w:p>
            <w:pPr>
              <w:widowControl w:val="0"/>
              <w:spacing w:line="276" w:lineRule="auto"/>
              <w:jc w:val="left"/>
              <w:rPr>
                <w:sz w:val="20"/>
                <w:szCs w:val="20"/>
              </w:rPr>
            </w:pPr>
          </w:p>
        </w:tc>
        <w:tc>
          <w:tcPr>
            <w:tcW w:w="607" w:type="pct"/>
            <w:tcBorders>
              <w:top w:val="nil"/>
              <w:left w:val="nil"/>
              <w:bottom w:val="nil"/>
              <w:right w:val="nil"/>
            </w:tcBorders>
            <w:tcMar>
              <w:top w:w="40" w:type="dxa"/>
              <w:left w:w="40" w:type="dxa"/>
              <w:bottom w:w="40" w:type="dxa"/>
              <w:right w:w="40" w:type="dxa"/>
            </w:tcMar>
            <w:vAlign w:val="bottom"/>
          </w:tcPr>
          <w:p>
            <w:pPr>
              <w:widowControl w:val="0"/>
              <w:spacing w:line="276" w:lineRule="auto"/>
              <w:jc w:val="left"/>
              <w:rPr>
                <w:sz w:val="20"/>
                <w:szCs w:val="20"/>
              </w:rPr>
            </w:pPr>
          </w:p>
        </w:tc>
        <w:tc>
          <w:tcPr>
            <w:tcW w:w="607" w:type="pct"/>
            <w:tcBorders>
              <w:top w:val="nil"/>
              <w:left w:val="nil"/>
              <w:bottom w:val="nil"/>
              <w:right w:val="nil"/>
            </w:tcBorders>
            <w:tcMar>
              <w:top w:w="40" w:type="dxa"/>
              <w:left w:w="40" w:type="dxa"/>
              <w:bottom w:w="40" w:type="dxa"/>
              <w:right w:w="40" w:type="dxa"/>
            </w:tcMar>
            <w:vAlign w:val="bottom"/>
          </w:tcPr>
          <w:p>
            <w:pPr>
              <w:widowControl w:val="0"/>
              <w:spacing w:line="276" w:lineRule="auto"/>
              <w:jc w:val="left"/>
              <w:rPr>
                <w:sz w:val="20"/>
                <w:szCs w:val="20"/>
              </w:rPr>
            </w:pPr>
          </w:p>
        </w:tc>
        <w:tc>
          <w:tcPr>
            <w:tcW w:w="607" w:type="pct"/>
            <w:tcBorders>
              <w:top w:val="nil"/>
              <w:left w:val="nil"/>
              <w:bottom w:val="nil"/>
              <w:right w:val="single" w:sz="5" w:space="0" w:color="000000"/>
            </w:tcBorders>
            <w:tcMar>
              <w:top w:w="40" w:type="dxa"/>
              <w:left w:w="40" w:type="dxa"/>
              <w:bottom w:w="40" w:type="dxa"/>
              <w:right w:w="40" w:type="dxa"/>
            </w:tcMar>
            <w:vAlign w:val="bottom"/>
          </w:tcPr>
          <w:p>
            <w:pPr>
              <w:widowControl w:val="0"/>
              <w:spacing w:line="276" w:lineRule="auto"/>
              <w:jc w:val="left"/>
              <w:rPr>
                <w:sz w:val="20"/>
                <w:szCs w:val="20"/>
              </w:rPr>
            </w:pPr>
          </w:p>
        </w:tc>
      </w:tr>
      <w:tr>
        <w:trPr>
          <w:trHeight w:val="315"/>
        </w:trPr>
        <w:tc>
          <w:tcPr>
            <w:tcW w:w="1967"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left"/>
              <w:rPr>
                <w:sz w:val="20"/>
                <w:szCs w:val="20"/>
              </w:rPr>
            </w:pPr>
            <w:r>
              <w:rPr>
                <w:sz w:val="20"/>
                <w:szCs w:val="20"/>
              </w:rPr>
              <w:t>Operating Cash Flow​</w:t>
            </w:r>
          </w:p>
        </w:tc>
        <w:tc>
          <w:tcPr>
            <w:tcW w:w="607"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14,747</w:t>
            </w:r>
          </w:p>
        </w:tc>
        <w:tc>
          <w:tcPr>
            <w:tcW w:w="607"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14,923</w:t>
            </w:r>
          </w:p>
        </w:tc>
        <w:tc>
          <w:tcPr>
            <w:tcW w:w="607"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13,256</w:t>
            </w:r>
          </w:p>
        </w:tc>
        <w:tc>
          <w:tcPr>
            <w:tcW w:w="607"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14,724</w:t>
            </w:r>
          </w:p>
        </w:tc>
        <w:tc>
          <w:tcPr>
            <w:tcW w:w="607" w:type="pct"/>
            <w:tcBorders>
              <w:top w:val="nil"/>
              <w:left w:val="nil"/>
              <w:bottom w:val="nil"/>
              <w:right w:val="single" w:sz="5" w:space="0" w:color="000000"/>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6,912</w:t>
            </w:r>
          </w:p>
        </w:tc>
      </w:tr>
      <w:tr>
        <w:trPr>
          <w:trHeight w:val="315"/>
        </w:trPr>
        <w:tc>
          <w:tcPr>
            <w:tcW w:w="1967"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left"/>
              <w:rPr>
                <w:sz w:val="20"/>
                <w:szCs w:val="20"/>
              </w:rPr>
            </w:pPr>
            <w:r>
              <w:rPr>
                <w:sz w:val="20"/>
                <w:szCs w:val="20"/>
              </w:rPr>
              <w:t>Total Debt</w:t>
            </w:r>
          </w:p>
        </w:tc>
        <w:tc>
          <w:tcPr>
            <w:tcW w:w="607"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8376</w:t>
            </w:r>
          </w:p>
        </w:tc>
        <w:tc>
          <w:tcPr>
            <w:tcW w:w="607"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8213</w:t>
            </w:r>
          </w:p>
        </w:tc>
        <w:tc>
          <w:tcPr>
            <w:tcW w:w="607"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5230</w:t>
            </w:r>
          </w:p>
        </w:tc>
        <w:tc>
          <w:tcPr>
            <w:tcW w:w="607"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3099</w:t>
            </w:r>
          </w:p>
        </w:tc>
        <w:tc>
          <w:tcPr>
            <w:tcW w:w="607" w:type="pct"/>
            <w:tcBorders>
              <w:top w:val="nil"/>
              <w:left w:val="nil"/>
              <w:bottom w:val="nil"/>
              <w:right w:val="single" w:sz="5" w:space="0" w:color="000000"/>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8154</w:t>
            </w:r>
          </w:p>
        </w:tc>
      </w:tr>
      <w:tr>
        <w:trPr>
          <w:trHeight w:val="315"/>
        </w:trPr>
        <w:tc>
          <w:tcPr>
            <w:tcW w:w="1967"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left"/>
              <w:rPr>
                <w:sz w:val="20"/>
                <w:szCs w:val="20"/>
              </w:rPr>
            </w:pPr>
            <w:r>
              <w:rPr>
                <w:b/>
                <w:bCs/>
                <w:i/>
                <w:iCs/>
                <w:sz w:val="20"/>
                <w:szCs w:val="20"/>
              </w:rPr>
              <w:t>Cash Flow to Debt Ratio</w:t>
            </w:r>
          </w:p>
        </w:tc>
        <w:tc>
          <w:tcPr>
            <w:tcW w:w="607"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b/>
                <w:bCs/>
                <w:i/>
                <w:iCs/>
                <w:sz w:val="20"/>
                <w:szCs w:val="20"/>
              </w:rPr>
              <w:t>1.76</w:t>
            </w:r>
          </w:p>
        </w:tc>
        <w:tc>
          <w:tcPr>
            <w:tcW w:w="607"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b/>
                <w:bCs/>
                <w:i/>
                <w:iCs/>
                <w:sz w:val="20"/>
                <w:szCs w:val="20"/>
              </w:rPr>
              <w:t>1.82</w:t>
            </w:r>
          </w:p>
        </w:tc>
        <w:tc>
          <w:tcPr>
            <w:tcW w:w="607"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b/>
                <w:bCs/>
                <w:i/>
                <w:iCs/>
                <w:sz w:val="20"/>
                <w:szCs w:val="20"/>
              </w:rPr>
              <w:t>2.53</w:t>
            </w:r>
          </w:p>
        </w:tc>
        <w:tc>
          <w:tcPr>
            <w:tcW w:w="607"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b/>
                <w:bCs/>
                <w:i/>
                <w:iCs/>
                <w:sz w:val="20"/>
                <w:szCs w:val="20"/>
              </w:rPr>
              <w:t>4.75</w:t>
            </w:r>
          </w:p>
        </w:tc>
        <w:tc>
          <w:tcPr>
            <w:tcW w:w="607" w:type="pct"/>
            <w:tcBorders>
              <w:top w:val="nil"/>
              <w:left w:val="nil"/>
              <w:bottom w:val="nil"/>
              <w:right w:val="single" w:sz="5" w:space="0" w:color="000000"/>
            </w:tcBorders>
            <w:tcMar>
              <w:top w:w="40" w:type="dxa"/>
              <w:left w:w="40" w:type="dxa"/>
              <w:bottom w:w="40" w:type="dxa"/>
              <w:right w:w="40" w:type="dxa"/>
            </w:tcMar>
            <w:vAlign w:val="bottom"/>
          </w:tcPr>
          <w:p>
            <w:pPr>
              <w:widowControl w:val="0"/>
              <w:spacing w:line="276" w:lineRule="auto"/>
              <w:jc w:val="right"/>
              <w:rPr>
                <w:sz w:val="20"/>
                <w:szCs w:val="20"/>
              </w:rPr>
            </w:pPr>
            <w:r>
              <w:rPr>
                <w:b/>
                <w:bCs/>
                <w:i/>
                <w:iCs/>
                <w:sz w:val="20"/>
                <w:szCs w:val="20"/>
              </w:rPr>
              <w:t>0.85</w:t>
            </w:r>
          </w:p>
        </w:tc>
      </w:tr>
      <w:tr>
        <w:trPr>
          <w:trHeight w:val="315"/>
        </w:trPr>
        <w:tc>
          <w:tcPr>
            <w:tcW w:w="1967"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left"/>
              <w:rPr>
                <w:sz w:val="20"/>
                <w:szCs w:val="20"/>
              </w:rPr>
            </w:pPr>
            <w:r>
              <w:rPr>
                <w:i/>
                <w:iCs/>
                <w:sz w:val="20"/>
                <w:szCs w:val="20"/>
              </w:rPr>
              <w:t>Formula: Operating Cash Flow​ / Total Debt</w:t>
            </w:r>
          </w:p>
        </w:tc>
        <w:tc>
          <w:tcPr>
            <w:tcW w:w="607" w:type="pct"/>
            <w:tcBorders>
              <w:top w:val="nil"/>
              <w:left w:val="nil"/>
              <w:bottom w:val="nil"/>
              <w:right w:val="nil"/>
            </w:tcBorders>
            <w:tcMar>
              <w:top w:w="40" w:type="dxa"/>
              <w:left w:w="40" w:type="dxa"/>
              <w:bottom w:w="40" w:type="dxa"/>
              <w:right w:w="40" w:type="dxa"/>
            </w:tcMar>
            <w:vAlign w:val="bottom"/>
          </w:tcPr>
          <w:p>
            <w:pPr>
              <w:widowControl w:val="0"/>
              <w:spacing w:line="276" w:lineRule="auto"/>
              <w:jc w:val="left"/>
              <w:rPr>
                <w:sz w:val="20"/>
                <w:szCs w:val="20"/>
              </w:rPr>
            </w:pPr>
          </w:p>
        </w:tc>
        <w:tc>
          <w:tcPr>
            <w:tcW w:w="607" w:type="pct"/>
            <w:tcBorders>
              <w:top w:val="nil"/>
              <w:left w:val="nil"/>
              <w:bottom w:val="nil"/>
              <w:right w:val="nil"/>
            </w:tcBorders>
            <w:tcMar>
              <w:top w:w="40" w:type="dxa"/>
              <w:left w:w="40" w:type="dxa"/>
              <w:bottom w:w="40" w:type="dxa"/>
              <w:right w:w="40" w:type="dxa"/>
            </w:tcMar>
            <w:vAlign w:val="bottom"/>
          </w:tcPr>
          <w:p>
            <w:pPr>
              <w:widowControl w:val="0"/>
              <w:spacing w:line="276" w:lineRule="auto"/>
              <w:jc w:val="left"/>
              <w:rPr>
                <w:sz w:val="20"/>
                <w:szCs w:val="20"/>
              </w:rPr>
            </w:pPr>
          </w:p>
        </w:tc>
        <w:tc>
          <w:tcPr>
            <w:tcW w:w="607" w:type="pct"/>
            <w:tcBorders>
              <w:top w:val="nil"/>
              <w:left w:val="nil"/>
              <w:bottom w:val="nil"/>
              <w:right w:val="nil"/>
            </w:tcBorders>
            <w:tcMar>
              <w:top w:w="40" w:type="dxa"/>
              <w:left w:w="40" w:type="dxa"/>
              <w:bottom w:w="40" w:type="dxa"/>
              <w:right w:w="40" w:type="dxa"/>
            </w:tcMar>
            <w:vAlign w:val="bottom"/>
          </w:tcPr>
          <w:p>
            <w:pPr>
              <w:widowControl w:val="0"/>
              <w:spacing w:line="276" w:lineRule="auto"/>
              <w:jc w:val="left"/>
              <w:rPr>
                <w:sz w:val="20"/>
                <w:szCs w:val="20"/>
              </w:rPr>
            </w:pPr>
          </w:p>
        </w:tc>
        <w:tc>
          <w:tcPr>
            <w:tcW w:w="607" w:type="pct"/>
            <w:tcBorders>
              <w:top w:val="nil"/>
              <w:left w:val="nil"/>
              <w:bottom w:val="nil"/>
              <w:right w:val="nil"/>
            </w:tcBorders>
            <w:tcMar>
              <w:top w:w="40" w:type="dxa"/>
              <w:left w:w="40" w:type="dxa"/>
              <w:bottom w:w="40" w:type="dxa"/>
              <w:right w:w="40" w:type="dxa"/>
            </w:tcMar>
            <w:vAlign w:val="bottom"/>
          </w:tcPr>
          <w:p>
            <w:pPr>
              <w:widowControl w:val="0"/>
              <w:spacing w:line="276" w:lineRule="auto"/>
              <w:jc w:val="left"/>
              <w:rPr>
                <w:sz w:val="20"/>
                <w:szCs w:val="20"/>
              </w:rPr>
            </w:pPr>
          </w:p>
        </w:tc>
        <w:tc>
          <w:tcPr>
            <w:tcW w:w="607" w:type="pct"/>
            <w:tcBorders>
              <w:top w:val="nil"/>
              <w:left w:val="nil"/>
              <w:bottom w:val="nil"/>
              <w:right w:val="single" w:sz="5" w:space="0" w:color="000000"/>
            </w:tcBorders>
            <w:tcMar>
              <w:top w:w="40" w:type="dxa"/>
              <w:left w:w="40" w:type="dxa"/>
              <w:bottom w:w="40" w:type="dxa"/>
              <w:right w:w="40" w:type="dxa"/>
            </w:tcMar>
            <w:vAlign w:val="bottom"/>
          </w:tcPr>
          <w:p>
            <w:pPr>
              <w:widowControl w:val="0"/>
              <w:spacing w:line="276" w:lineRule="auto"/>
              <w:jc w:val="left"/>
              <w:rPr>
                <w:sz w:val="20"/>
                <w:szCs w:val="20"/>
              </w:rPr>
            </w:pPr>
          </w:p>
        </w:tc>
      </w:tr>
      <w:tr>
        <w:trPr>
          <w:trHeight w:val="315"/>
        </w:trPr>
        <w:tc>
          <w:tcPr>
            <w:tcW w:w="1967"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left"/>
              <w:rPr>
                <w:sz w:val="20"/>
                <w:szCs w:val="20"/>
              </w:rPr>
            </w:pPr>
            <w:r>
              <w:rPr>
                <w:sz w:val="20"/>
                <w:szCs w:val="20"/>
              </w:rPr>
              <w:t>Operating Cash Flow​</w:t>
            </w:r>
          </w:p>
        </w:tc>
        <w:tc>
          <w:tcPr>
            <w:tcW w:w="607"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14,747</w:t>
            </w:r>
          </w:p>
        </w:tc>
        <w:tc>
          <w:tcPr>
            <w:tcW w:w="607"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14,923</w:t>
            </w:r>
          </w:p>
        </w:tc>
        <w:tc>
          <w:tcPr>
            <w:tcW w:w="607"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13,256</w:t>
            </w:r>
          </w:p>
        </w:tc>
        <w:tc>
          <w:tcPr>
            <w:tcW w:w="607"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14,724</w:t>
            </w:r>
          </w:p>
        </w:tc>
        <w:tc>
          <w:tcPr>
            <w:tcW w:w="607" w:type="pct"/>
            <w:tcBorders>
              <w:top w:val="nil"/>
              <w:left w:val="nil"/>
              <w:bottom w:val="nil"/>
              <w:right w:val="single" w:sz="5" w:space="0" w:color="000000"/>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6,912</w:t>
            </w:r>
          </w:p>
        </w:tc>
      </w:tr>
      <w:tr>
        <w:trPr>
          <w:trHeight w:val="315"/>
        </w:trPr>
        <w:tc>
          <w:tcPr>
            <w:tcW w:w="1967"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left"/>
              <w:rPr>
                <w:sz w:val="20"/>
                <w:szCs w:val="20"/>
              </w:rPr>
            </w:pPr>
            <w:r>
              <w:rPr>
                <w:sz w:val="20"/>
                <w:szCs w:val="20"/>
              </w:rPr>
              <w:t>Sales</w:t>
            </w:r>
          </w:p>
        </w:tc>
        <w:tc>
          <w:tcPr>
            <w:tcW w:w="607"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94,827</w:t>
            </w:r>
          </w:p>
        </w:tc>
        <w:tc>
          <w:tcPr>
            <w:tcW w:w="607"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97,690</w:t>
            </w:r>
          </w:p>
        </w:tc>
        <w:tc>
          <w:tcPr>
            <w:tcW w:w="607"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96,773</w:t>
            </w:r>
          </w:p>
        </w:tc>
        <w:tc>
          <w:tcPr>
            <w:tcW w:w="607"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81,462</w:t>
            </w:r>
          </w:p>
        </w:tc>
        <w:tc>
          <w:tcPr>
            <w:tcW w:w="607" w:type="pct"/>
            <w:tcBorders>
              <w:top w:val="nil"/>
              <w:left w:val="nil"/>
              <w:bottom w:val="nil"/>
              <w:right w:val="single" w:sz="5" w:space="0" w:color="000000"/>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53,823</w:t>
            </w:r>
          </w:p>
        </w:tc>
      </w:tr>
      <w:tr>
        <w:trPr>
          <w:trHeight w:val="315"/>
        </w:trPr>
        <w:tc>
          <w:tcPr>
            <w:tcW w:w="1967"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left"/>
              <w:rPr>
                <w:sz w:val="20"/>
                <w:szCs w:val="20"/>
              </w:rPr>
            </w:pPr>
            <w:r>
              <w:rPr>
                <w:b/>
                <w:bCs/>
                <w:i/>
                <w:iCs/>
                <w:sz w:val="20"/>
                <w:szCs w:val="20"/>
              </w:rPr>
              <w:t>Cash Flow Margin</w:t>
            </w:r>
          </w:p>
        </w:tc>
        <w:tc>
          <w:tcPr>
            <w:tcW w:w="607"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b/>
                <w:bCs/>
                <w:i/>
                <w:iCs/>
                <w:sz w:val="20"/>
                <w:szCs w:val="20"/>
              </w:rPr>
              <w:t>15.55%</w:t>
            </w:r>
          </w:p>
        </w:tc>
        <w:tc>
          <w:tcPr>
            <w:tcW w:w="607"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b/>
                <w:bCs/>
                <w:i/>
                <w:iCs/>
                <w:sz w:val="20"/>
                <w:szCs w:val="20"/>
              </w:rPr>
              <w:t>15.28%</w:t>
            </w:r>
          </w:p>
        </w:tc>
        <w:tc>
          <w:tcPr>
            <w:tcW w:w="607"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b/>
                <w:bCs/>
                <w:i/>
                <w:iCs/>
                <w:sz w:val="20"/>
                <w:szCs w:val="20"/>
              </w:rPr>
              <w:t>13.70%</w:t>
            </w:r>
          </w:p>
        </w:tc>
        <w:tc>
          <w:tcPr>
            <w:tcW w:w="607"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b/>
                <w:bCs/>
                <w:i/>
                <w:iCs/>
                <w:sz w:val="20"/>
                <w:szCs w:val="20"/>
              </w:rPr>
              <w:t>18.07%</w:t>
            </w:r>
          </w:p>
        </w:tc>
        <w:tc>
          <w:tcPr>
            <w:tcW w:w="607" w:type="pct"/>
            <w:tcBorders>
              <w:top w:val="nil"/>
              <w:left w:val="nil"/>
              <w:bottom w:val="nil"/>
              <w:right w:val="single" w:sz="5" w:space="0" w:color="000000"/>
            </w:tcBorders>
            <w:tcMar>
              <w:top w:w="40" w:type="dxa"/>
              <w:left w:w="40" w:type="dxa"/>
              <w:bottom w:w="40" w:type="dxa"/>
              <w:right w:w="40" w:type="dxa"/>
            </w:tcMar>
            <w:vAlign w:val="bottom"/>
          </w:tcPr>
          <w:p>
            <w:pPr>
              <w:widowControl w:val="0"/>
              <w:spacing w:line="276" w:lineRule="auto"/>
              <w:jc w:val="right"/>
              <w:rPr>
                <w:sz w:val="20"/>
                <w:szCs w:val="20"/>
              </w:rPr>
            </w:pPr>
            <w:r>
              <w:rPr>
                <w:b/>
                <w:bCs/>
                <w:i/>
                <w:iCs/>
                <w:sz w:val="20"/>
                <w:szCs w:val="20"/>
              </w:rPr>
              <w:t>12.84%</w:t>
            </w:r>
          </w:p>
        </w:tc>
      </w:tr>
      <w:tr>
        <w:trPr>
          <w:trHeight w:val="315"/>
        </w:trPr>
        <w:tc>
          <w:tcPr>
            <w:tcW w:w="1967"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left"/>
              <w:rPr>
                <w:sz w:val="20"/>
                <w:szCs w:val="20"/>
              </w:rPr>
            </w:pPr>
            <w:r>
              <w:rPr>
                <w:i/>
                <w:iCs/>
                <w:sz w:val="20"/>
                <w:szCs w:val="20"/>
              </w:rPr>
              <w:t>Formula: Operating Cash Flow​ / Sales</w:t>
            </w:r>
          </w:p>
        </w:tc>
        <w:tc>
          <w:tcPr>
            <w:tcW w:w="607" w:type="pct"/>
            <w:tcBorders>
              <w:top w:val="nil"/>
              <w:left w:val="nil"/>
              <w:bottom w:val="nil"/>
              <w:right w:val="nil"/>
            </w:tcBorders>
            <w:tcMar>
              <w:top w:w="40" w:type="dxa"/>
              <w:left w:w="40" w:type="dxa"/>
              <w:bottom w:w="40" w:type="dxa"/>
              <w:right w:w="40" w:type="dxa"/>
            </w:tcMar>
            <w:vAlign w:val="bottom"/>
          </w:tcPr>
          <w:p>
            <w:pPr>
              <w:widowControl w:val="0"/>
              <w:spacing w:line="276" w:lineRule="auto"/>
              <w:jc w:val="left"/>
              <w:rPr>
                <w:sz w:val="20"/>
                <w:szCs w:val="20"/>
              </w:rPr>
            </w:pPr>
          </w:p>
        </w:tc>
        <w:tc>
          <w:tcPr>
            <w:tcW w:w="607" w:type="pct"/>
            <w:tcBorders>
              <w:top w:val="nil"/>
              <w:left w:val="nil"/>
              <w:bottom w:val="nil"/>
              <w:right w:val="nil"/>
            </w:tcBorders>
            <w:tcMar>
              <w:top w:w="40" w:type="dxa"/>
              <w:left w:w="40" w:type="dxa"/>
              <w:bottom w:w="40" w:type="dxa"/>
              <w:right w:w="40" w:type="dxa"/>
            </w:tcMar>
            <w:vAlign w:val="bottom"/>
          </w:tcPr>
          <w:p>
            <w:pPr>
              <w:widowControl w:val="0"/>
              <w:spacing w:line="276" w:lineRule="auto"/>
              <w:jc w:val="left"/>
              <w:rPr>
                <w:sz w:val="20"/>
                <w:szCs w:val="20"/>
              </w:rPr>
            </w:pPr>
          </w:p>
        </w:tc>
        <w:tc>
          <w:tcPr>
            <w:tcW w:w="607" w:type="pct"/>
            <w:tcBorders>
              <w:top w:val="nil"/>
              <w:left w:val="nil"/>
              <w:bottom w:val="nil"/>
              <w:right w:val="nil"/>
            </w:tcBorders>
            <w:tcMar>
              <w:top w:w="40" w:type="dxa"/>
              <w:left w:w="40" w:type="dxa"/>
              <w:bottom w:w="40" w:type="dxa"/>
              <w:right w:w="40" w:type="dxa"/>
            </w:tcMar>
            <w:vAlign w:val="bottom"/>
          </w:tcPr>
          <w:p>
            <w:pPr>
              <w:widowControl w:val="0"/>
              <w:spacing w:line="276" w:lineRule="auto"/>
              <w:jc w:val="left"/>
              <w:rPr>
                <w:sz w:val="20"/>
                <w:szCs w:val="20"/>
              </w:rPr>
            </w:pPr>
          </w:p>
        </w:tc>
        <w:tc>
          <w:tcPr>
            <w:tcW w:w="607" w:type="pct"/>
            <w:tcBorders>
              <w:top w:val="nil"/>
              <w:left w:val="nil"/>
              <w:bottom w:val="nil"/>
              <w:right w:val="nil"/>
            </w:tcBorders>
            <w:tcMar>
              <w:top w:w="40" w:type="dxa"/>
              <w:left w:w="40" w:type="dxa"/>
              <w:bottom w:w="40" w:type="dxa"/>
              <w:right w:w="40" w:type="dxa"/>
            </w:tcMar>
            <w:vAlign w:val="bottom"/>
          </w:tcPr>
          <w:p>
            <w:pPr>
              <w:widowControl w:val="0"/>
              <w:spacing w:line="276" w:lineRule="auto"/>
              <w:jc w:val="left"/>
              <w:rPr>
                <w:sz w:val="20"/>
                <w:szCs w:val="20"/>
              </w:rPr>
            </w:pPr>
          </w:p>
        </w:tc>
        <w:tc>
          <w:tcPr>
            <w:tcW w:w="607" w:type="pct"/>
            <w:tcBorders>
              <w:top w:val="nil"/>
              <w:left w:val="nil"/>
              <w:bottom w:val="nil"/>
              <w:right w:val="single" w:sz="5" w:space="0" w:color="000000"/>
            </w:tcBorders>
            <w:tcMar>
              <w:top w:w="40" w:type="dxa"/>
              <w:left w:w="40" w:type="dxa"/>
              <w:bottom w:w="40" w:type="dxa"/>
              <w:right w:w="40" w:type="dxa"/>
            </w:tcMar>
            <w:vAlign w:val="bottom"/>
          </w:tcPr>
          <w:p>
            <w:pPr>
              <w:widowControl w:val="0"/>
              <w:spacing w:line="276" w:lineRule="auto"/>
              <w:jc w:val="left"/>
              <w:rPr>
                <w:sz w:val="20"/>
                <w:szCs w:val="20"/>
              </w:rPr>
            </w:pPr>
          </w:p>
        </w:tc>
      </w:tr>
      <w:tr>
        <w:trPr>
          <w:trHeight w:val="315"/>
        </w:trPr>
        <w:tc>
          <w:tcPr>
            <w:tcW w:w="1967"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left"/>
              <w:rPr>
                <w:sz w:val="20"/>
                <w:szCs w:val="20"/>
              </w:rPr>
            </w:pPr>
            <w:r>
              <w:rPr>
                <w:sz w:val="20"/>
                <w:szCs w:val="20"/>
              </w:rPr>
              <w:t>Operating Cash Flow​</w:t>
            </w:r>
          </w:p>
        </w:tc>
        <w:tc>
          <w:tcPr>
            <w:tcW w:w="607"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14,747</w:t>
            </w:r>
          </w:p>
        </w:tc>
        <w:tc>
          <w:tcPr>
            <w:tcW w:w="607"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14,923</w:t>
            </w:r>
          </w:p>
        </w:tc>
        <w:tc>
          <w:tcPr>
            <w:tcW w:w="607"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13,256</w:t>
            </w:r>
          </w:p>
        </w:tc>
        <w:tc>
          <w:tcPr>
            <w:tcW w:w="607"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14,724</w:t>
            </w:r>
          </w:p>
        </w:tc>
        <w:tc>
          <w:tcPr>
            <w:tcW w:w="607" w:type="pct"/>
            <w:tcBorders>
              <w:top w:val="nil"/>
              <w:left w:val="nil"/>
              <w:bottom w:val="nil"/>
              <w:right w:val="single" w:sz="5" w:space="0" w:color="000000"/>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6,912</w:t>
            </w:r>
          </w:p>
        </w:tc>
      </w:tr>
      <w:tr>
        <w:trPr>
          <w:trHeight w:val="315"/>
        </w:trPr>
        <w:tc>
          <w:tcPr>
            <w:tcW w:w="1967"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left"/>
              <w:rPr>
                <w:sz w:val="20"/>
                <w:szCs w:val="20"/>
              </w:rPr>
            </w:pPr>
            <w:r>
              <w:rPr>
                <w:sz w:val="20"/>
                <w:szCs w:val="20"/>
              </w:rPr>
              <w:t>Capital Expenditure</w:t>
            </w:r>
          </w:p>
        </w:tc>
        <w:tc>
          <w:tcPr>
            <w:tcW w:w="607"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8,527</w:t>
            </w:r>
          </w:p>
        </w:tc>
        <w:tc>
          <w:tcPr>
            <w:tcW w:w="607"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11,342</w:t>
            </w:r>
          </w:p>
        </w:tc>
        <w:tc>
          <w:tcPr>
            <w:tcW w:w="607"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8,898</w:t>
            </w:r>
          </w:p>
        </w:tc>
        <w:tc>
          <w:tcPr>
            <w:tcW w:w="607"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7,158</w:t>
            </w:r>
          </w:p>
        </w:tc>
        <w:tc>
          <w:tcPr>
            <w:tcW w:w="607" w:type="pct"/>
            <w:tcBorders>
              <w:top w:val="nil"/>
              <w:left w:val="nil"/>
              <w:bottom w:val="nil"/>
              <w:right w:val="single" w:sz="5" w:space="0" w:color="000000"/>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4,672</w:t>
            </w:r>
          </w:p>
        </w:tc>
      </w:tr>
      <w:tr>
        <w:trPr>
          <w:trHeight w:val="315"/>
        </w:trPr>
        <w:tc>
          <w:tcPr>
            <w:tcW w:w="1967"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left"/>
              <w:rPr>
                <w:sz w:val="20"/>
                <w:szCs w:val="20"/>
              </w:rPr>
            </w:pPr>
            <w:r>
              <w:rPr>
                <w:b/>
                <w:bCs/>
                <w:i/>
                <w:iCs/>
                <w:sz w:val="20"/>
                <w:szCs w:val="20"/>
              </w:rPr>
              <w:t>Free Cash Flow (FCF)</w:t>
            </w:r>
          </w:p>
        </w:tc>
        <w:tc>
          <w:tcPr>
            <w:tcW w:w="607"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b/>
                <w:bCs/>
                <w:i/>
                <w:iCs/>
                <w:sz w:val="20"/>
                <w:szCs w:val="20"/>
              </w:rPr>
              <w:t>6,220</w:t>
            </w:r>
          </w:p>
        </w:tc>
        <w:tc>
          <w:tcPr>
            <w:tcW w:w="607"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b/>
                <w:bCs/>
                <w:i/>
                <w:iCs/>
                <w:sz w:val="20"/>
                <w:szCs w:val="20"/>
              </w:rPr>
              <w:t>3,581</w:t>
            </w:r>
          </w:p>
        </w:tc>
        <w:tc>
          <w:tcPr>
            <w:tcW w:w="607"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b/>
                <w:bCs/>
                <w:i/>
                <w:iCs/>
                <w:sz w:val="20"/>
                <w:szCs w:val="20"/>
              </w:rPr>
              <w:t>4,358</w:t>
            </w:r>
          </w:p>
        </w:tc>
        <w:tc>
          <w:tcPr>
            <w:tcW w:w="607"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b/>
                <w:bCs/>
                <w:i/>
                <w:iCs/>
                <w:sz w:val="20"/>
                <w:szCs w:val="20"/>
              </w:rPr>
              <w:t>7,566</w:t>
            </w:r>
          </w:p>
        </w:tc>
        <w:tc>
          <w:tcPr>
            <w:tcW w:w="607" w:type="pct"/>
            <w:tcBorders>
              <w:top w:val="nil"/>
              <w:left w:val="nil"/>
              <w:bottom w:val="nil"/>
              <w:right w:val="single" w:sz="5" w:space="0" w:color="000000"/>
            </w:tcBorders>
            <w:tcMar>
              <w:top w:w="40" w:type="dxa"/>
              <w:left w:w="40" w:type="dxa"/>
              <w:bottom w:w="40" w:type="dxa"/>
              <w:right w:w="40" w:type="dxa"/>
            </w:tcMar>
            <w:vAlign w:val="bottom"/>
          </w:tcPr>
          <w:p>
            <w:pPr>
              <w:widowControl w:val="0"/>
              <w:spacing w:line="276" w:lineRule="auto"/>
              <w:jc w:val="right"/>
              <w:rPr>
                <w:sz w:val="20"/>
                <w:szCs w:val="20"/>
              </w:rPr>
            </w:pPr>
            <w:r>
              <w:rPr>
                <w:b/>
                <w:bCs/>
                <w:i/>
                <w:iCs/>
                <w:sz w:val="20"/>
                <w:szCs w:val="20"/>
              </w:rPr>
              <w:t>2,240</w:t>
            </w:r>
          </w:p>
        </w:tc>
      </w:tr>
      <w:tr>
        <w:trPr>
          <w:trHeight w:val="315"/>
        </w:trPr>
        <w:tc>
          <w:tcPr>
            <w:tcW w:w="1967"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left"/>
              <w:rPr>
                <w:sz w:val="20"/>
                <w:szCs w:val="20"/>
              </w:rPr>
            </w:pPr>
            <w:r>
              <w:rPr>
                <w:i/>
                <w:iCs/>
                <w:sz w:val="20"/>
                <w:szCs w:val="20"/>
              </w:rPr>
              <w:t>Formula: Operating Cash Flow - Capital Expenditure</w:t>
            </w:r>
          </w:p>
        </w:tc>
        <w:tc>
          <w:tcPr>
            <w:tcW w:w="607" w:type="pct"/>
            <w:tcBorders>
              <w:top w:val="nil"/>
              <w:left w:val="nil"/>
              <w:bottom w:val="nil"/>
              <w:right w:val="nil"/>
            </w:tcBorders>
            <w:tcMar>
              <w:top w:w="40" w:type="dxa"/>
              <w:left w:w="40" w:type="dxa"/>
              <w:bottom w:w="40" w:type="dxa"/>
              <w:right w:w="40" w:type="dxa"/>
            </w:tcMar>
            <w:vAlign w:val="bottom"/>
          </w:tcPr>
          <w:p>
            <w:pPr>
              <w:widowControl w:val="0"/>
              <w:spacing w:line="276" w:lineRule="auto"/>
              <w:jc w:val="left"/>
              <w:rPr>
                <w:sz w:val="20"/>
                <w:szCs w:val="20"/>
              </w:rPr>
            </w:pPr>
          </w:p>
        </w:tc>
        <w:tc>
          <w:tcPr>
            <w:tcW w:w="607" w:type="pct"/>
            <w:tcBorders>
              <w:top w:val="nil"/>
              <w:left w:val="nil"/>
              <w:bottom w:val="nil"/>
              <w:right w:val="nil"/>
            </w:tcBorders>
            <w:tcMar>
              <w:top w:w="40" w:type="dxa"/>
              <w:left w:w="40" w:type="dxa"/>
              <w:bottom w:w="40" w:type="dxa"/>
              <w:right w:w="40" w:type="dxa"/>
            </w:tcMar>
            <w:vAlign w:val="bottom"/>
          </w:tcPr>
          <w:p>
            <w:pPr>
              <w:widowControl w:val="0"/>
              <w:spacing w:line="276" w:lineRule="auto"/>
              <w:jc w:val="left"/>
              <w:rPr>
                <w:sz w:val="20"/>
                <w:szCs w:val="20"/>
              </w:rPr>
            </w:pPr>
          </w:p>
        </w:tc>
        <w:tc>
          <w:tcPr>
            <w:tcW w:w="607" w:type="pct"/>
            <w:tcBorders>
              <w:top w:val="nil"/>
              <w:left w:val="nil"/>
              <w:bottom w:val="nil"/>
              <w:right w:val="nil"/>
            </w:tcBorders>
            <w:tcMar>
              <w:top w:w="40" w:type="dxa"/>
              <w:left w:w="40" w:type="dxa"/>
              <w:bottom w:w="40" w:type="dxa"/>
              <w:right w:w="40" w:type="dxa"/>
            </w:tcMar>
            <w:vAlign w:val="bottom"/>
          </w:tcPr>
          <w:p>
            <w:pPr>
              <w:widowControl w:val="0"/>
              <w:spacing w:line="276" w:lineRule="auto"/>
              <w:jc w:val="left"/>
              <w:rPr>
                <w:sz w:val="20"/>
                <w:szCs w:val="20"/>
              </w:rPr>
            </w:pPr>
          </w:p>
        </w:tc>
        <w:tc>
          <w:tcPr>
            <w:tcW w:w="607" w:type="pct"/>
            <w:tcBorders>
              <w:top w:val="nil"/>
              <w:left w:val="nil"/>
              <w:bottom w:val="nil"/>
              <w:right w:val="nil"/>
            </w:tcBorders>
            <w:tcMar>
              <w:top w:w="40" w:type="dxa"/>
              <w:left w:w="40" w:type="dxa"/>
              <w:bottom w:w="40" w:type="dxa"/>
              <w:right w:w="40" w:type="dxa"/>
            </w:tcMar>
            <w:vAlign w:val="bottom"/>
          </w:tcPr>
          <w:p>
            <w:pPr>
              <w:widowControl w:val="0"/>
              <w:spacing w:line="276" w:lineRule="auto"/>
              <w:jc w:val="left"/>
              <w:rPr>
                <w:sz w:val="20"/>
                <w:szCs w:val="20"/>
              </w:rPr>
            </w:pPr>
          </w:p>
        </w:tc>
        <w:tc>
          <w:tcPr>
            <w:tcW w:w="607" w:type="pct"/>
            <w:tcBorders>
              <w:top w:val="nil"/>
              <w:left w:val="nil"/>
              <w:bottom w:val="nil"/>
              <w:right w:val="single" w:sz="5" w:space="0" w:color="000000"/>
            </w:tcBorders>
            <w:tcMar>
              <w:top w:w="40" w:type="dxa"/>
              <w:left w:w="40" w:type="dxa"/>
              <w:bottom w:w="40" w:type="dxa"/>
              <w:right w:w="40" w:type="dxa"/>
            </w:tcMar>
            <w:vAlign w:val="bottom"/>
          </w:tcPr>
          <w:p>
            <w:pPr>
              <w:widowControl w:val="0"/>
              <w:spacing w:line="276" w:lineRule="auto"/>
              <w:jc w:val="left"/>
              <w:rPr>
                <w:sz w:val="20"/>
                <w:szCs w:val="20"/>
              </w:rPr>
            </w:pPr>
          </w:p>
        </w:tc>
      </w:tr>
      <w:tr>
        <w:trPr>
          <w:trHeight w:val="315"/>
        </w:trPr>
        <w:tc>
          <w:tcPr>
            <w:tcW w:w="1967"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left"/>
              <w:rPr>
                <w:sz w:val="20"/>
                <w:szCs w:val="20"/>
              </w:rPr>
            </w:pPr>
            <w:r>
              <w:rPr>
                <w:sz w:val="20"/>
                <w:szCs w:val="20"/>
              </w:rPr>
              <w:t>Free Cash Flow (FCF)</w:t>
            </w:r>
          </w:p>
        </w:tc>
        <w:tc>
          <w:tcPr>
            <w:tcW w:w="607"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6,220</w:t>
            </w:r>
          </w:p>
        </w:tc>
        <w:tc>
          <w:tcPr>
            <w:tcW w:w="607"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3,581</w:t>
            </w:r>
          </w:p>
        </w:tc>
        <w:tc>
          <w:tcPr>
            <w:tcW w:w="607"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4,358</w:t>
            </w:r>
          </w:p>
        </w:tc>
        <w:tc>
          <w:tcPr>
            <w:tcW w:w="607"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7,566</w:t>
            </w:r>
          </w:p>
        </w:tc>
        <w:tc>
          <w:tcPr>
            <w:tcW w:w="607" w:type="pct"/>
            <w:tcBorders>
              <w:top w:val="nil"/>
              <w:left w:val="nil"/>
              <w:bottom w:val="nil"/>
              <w:right w:val="single" w:sz="5" w:space="0" w:color="000000"/>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2,240</w:t>
            </w:r>
          </w:p>
        </w:tc>
      </w:tr>
      <w:tr>
        <w:trPr>
          <w:trHeight w:val="315"/>
        </w:trPr>
        <w:tc>
          <w:tcPr>
            <w:tcW w:w="1967"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left"/>
              <w:rPr>
                <w:sz w:val="20"/>
                <w:szCs w:val="20"/>
              </w:rPr>
            </w:pPr>
            <w:r>
              <w:rPr>
                <w:sz w:val="20"/>
                <w:szCs w:val="20"/>
              </w:rPr>
              <w:t>Sales</w:t>
            </w:r>
          </w:p>
        </w:tc>
        <w:tc>
          <w:tcPr>
            <w:tcW w:w="607"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94,827</w:t>
            </w:r>
          </w:p>
        </w:tc>
        <w:tc>
          <w:tcPr>
            <w:tcW w:w="607"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97,690</w:t>
            </w:r>
          </w:p>
        </w:tc>
        <w:tc>
          <w:tcPr>
            <w:tcW w:w="607"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96,773</w:t>
            </w:r>
          </w:p>
        </w:tc>
        <w:tc>
          <w:tcPr>
            <w:tcW w:w="607"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81,462</w:t>
            </w:r>
          </w:p>
        </w:tc>
        <w:tc>
          <w:tcPr>
            <w:tcW w:w="607" w:type="pct"/>
            <w:tcBorders>
              <w:top w:val="nil"/>
              <w:left w:val="nil"/>
              <w:bottom w:val="nil"/>
              <w:right w:val="single" w:sz="5" w:space="0" w:color="000000"/>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53,823</w:t>
            </w:r>
          </w:p>
        </w:tc>
      </w:tr>
      <w:tr>
        <w:trPr>
          <w:trHeight w:val="315"/>
        </w:trPr>
        <w:tc>
          <w:tcPr>
            <w:tcW w:w="1967"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left"/>
              <w:rPr>
                <w:sz w:val="20"/>
                <w:szCs w:val="20"/>
              </w:rPr>
            </w:pPr>
            <w:r>
              <w:rPr>
                <w:b/>
                <w:bCs/>
                <w:i/>
                <w:iCs/>
                <w:sz w:val="20"/>
                <w:szCs w:val="20"/>
              </w:rPr>
              <w:t>Free Cash Flow Margin</w:t>
            </w:r>
          </w:p>
        </w:tc>
        <w:tc>
          <w:tcPr>
            <w:tcW w:w="607"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b/>
                <w:bCs/>
                <w:i/>
                <w:iCs/>
                <w:sz w:val="20"/>
                <w:szCs w:val="20"/>
              </w:rPr>
              <w:t>6.56%</w:t>
            </w:r>
          </w:p>
        </w:tc>
        <w:tc>
          <w:tcPr>
            <w:tcW w:w="607"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b/>
                <w:bCs/>
                <w:i/>
                <w:iCs/>
                <w:sz w:val="20"/>
                <w:szCs w:val="20"/>
              </w:rPr>
              <w:t>3.67%</w:t>
            </w:r>
          </w:p>
        </w:tc>
        <w:tc>
          <w:tcPr>
            <w:tcW w:w="607"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b/>
                <w:bCs/>
                <w:i/>
                <w:iCs/>
                <w:sz w:val="20"/>
                <w:szCs w:val="20"/>
              </w:rPr>
              <w:t>4.50%</w:t>
            </w:r>
          </w:p>
        </w:tc>
        <w:tc>
          <w:tcPr>
            <w:tcW w:w="607"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b/>
                <w:bCs/>
                <w:i/>
                <w:iCs/>
                <w:sz w:val="20"/>
                <w:szCs w:val="20"/>
              </w:rPr>
              <w:t>9.29%</w:t>
            </w:r>
          </w:p>
        </w:tc>
        <w:tc>
          <w:tcPr>
            <w:tcW w:w="607" w:type="pct"/>
            <w:tcBorders>
              <w:top w:val="nil"/>
              <w:left w:val="nil"/>
              <w:bottom w:val="nil"/>
              <w:right w:val="single" w:sz="5" w:space="0" w:color="000000"/>
            </w:tcBorders>
            <w:tcMar>
              <w:top w:w="40" w:type="dxa"/>
              <w:left w:w="40" w:type="dxa"/>
              <w:bottom w:w="40" w:type="dxa"/>
              <w:right w:w="40" w:type="dxa"/>
            </w:tcMar>
            <w:vAlign w:val="bottom"/>
          </w:tcPr>
          <w:p>
            <w:pPr>
              <w:widowControl w:val="0"/>
              <w:spacing w:line="276" w:lineRule="auto"/>
              <w:jc w:val="right"/>
              <w:rPr>
                <w:sz w:val="20"/>
                <w:szCs w:val="20"/>
              </w:rPr>
            </w:pPr>
            <w:r>
              <w:rPr>
                <w:b/>
                <w:bCs/>
                <w:i/>
                <w:iCs/>
                <w:sz w:val="20"/>
                <w:szCs w:val="20"/>
              </w:rPr>
              <w:t>4.16%</w:t>
            </w:r>
          </w:p>
        </w:tc>
      </w:tr>
      <w:tr>
        <w:trPr>
          <w:trHeight w:val="315"/>
        </w:trPr>
        <w:tc>
          <w:tcPr>
            <w:tcW w:w="1967" w:type="pct"/>
            <w:tcBorders>
              <w:top w:val="nil"/>
              <w:left w:val="single" w:sz="5" w:space="0" w:color="000000"/>
              <w:bottom w:val="single" w:sz="5" w:space="0" w:color="000000"/>
              <w:right w:val="nil"/>
            </w:tcBorders>
            <w:tcMar>
              <w:top w:w="40" w:type="dxa"/>
              <w:left w:w="40" w:type="dxa"/>
              <w:bottom w:w="40" w:type="dxa"/>
              <w:right w:w="40" w:type="dxa"/>
            </w:tcMar>
            <w:vAlign w:val="bottom"/>
          </w:tcPr>
          <w:p>
            <w:pPr>
              <w:widowControl w:val="0"/>
              <w:spacing w:line="276" w:lineRule="auto"/>
              <w:jc w:val="left"/>
              <w:rPr>
                <w:sz w:val="20"/>
                <w:szCs w:val="20"/>
              </w:rPr>
            </w:pPr>
            <w:r>
              <w:rPr>
                <w:i/>
                <w:iCs/>
                <w:sz w:val="20"/>
                <w:szCs w:val="20"/>
              </w:rPr>
              <w:t>Formula: Free Cash Flow (FCF) / Sales</w:t>
            </w:r>
          </w:p>
        </w:tc>
        <w:tc>
          <w:tcPr>
            <w:tcW w:w="607" w:type="pct"/>
            <w:tcBorders>
              <w:top w:val="nil"/>
              <w:left w:val="nil"/>
              <w:bottom w:val="single" w:sz="5" w:space="0" w:color="000000"/>
              <w:right w:val="nil"/>
            </w:tcBorders>
            <w:tcMar>
              <w:top w:w="40" w:type="dxa"/>
              <w:left w:w="40" w:type="dxa"/>
              <w:bottom w:w="40" w:type="dxa"/>
              <w:right w:w="40" w:type="dxa"/>
            </w:tcMar>
            <w:vAlign w:val="bottom"/>
          </w:tcPr>
          <w:p>
            <w:pPr>
              <w:widowControl w:val="0"/>
              <w:spacing w:line="276" w:lineRule="auto"/>
              <w:jc w:val="left"/>
              <w:rPr>
                <w:sz w:val="20"/>
                <w:szCs w:val="20"/>
              </w:rPr>
            </w:pPr>
          </w:p>
        </w:tc>
        <w:tc>
          <w:tcPr>
            <w:tcW w:w="607" w:type="pct"/>
            <w:tcBorders>
              <w:top w:val="nil"/>
              <w:left w:val="nil"/>
              <w:bottom w:val="single" w:sz="5" w:space="0" w:color="000000"/>
              <w:right w:val="nil"/>
            </w:tcBorders>
            <w:tcMar>
              <w:top w:w="40" w:type="dxa"/>
              <w:left w:w="40" w:type="dxa"/>
              <w:bottom w:w="40" w:type="dxa"/>
              <w:right w:w="40" w:type="dxa"/>
            </w:tcMar>
            <w:vAlign w:val="bottom"/>
          </w:tcPr>
          <w:p>
            <w:pPr>
              <w:widowControl w:val="0"/>
              <w:spacing w:line="276" w:lineRule="auto"/>
              <w:jc w:val="left"/>
              <w:rPr>
                <w:sz w:val="20"/>
                <w:szCs w:val="20"/>
              </w:rPr>
            </w:pPr>
          </w:p>
        </w:tc>
        <w:tc>
          <w:tcPr>
            <w:tcW w:w="607" w:type="pct"/>
            <w:tcBorders>
              <w:top w:val="nil"/>
              <w:left w:val="nil"/>
              <w:bottom w:val="single" w:sz="5" w:space="0" w:color="000000"/>
              <w:right w:val="nil"/>
            </w:tcBorders>
            <w:tcMar>
              <w:top w:w="40" w:type="dxa"/>
              <w:left w:w="40" w:type="dxa"/>
              <w:bottom w:w="40" w:type="dxa"/>
              <w:right w:w="40" w:type="dxa"/>
            </w:tcMar>
            <w:vAlign w:val="bottom"/>
          </w:tcPr>
          <w:p>
            <w:pPr>
              <w:widowControl w:val="0"/>
              <w:spacing w:line="276" w:lineRule="auto"/>
              <w:jc w:val="left"/>
              <w:rPr>
                <w:sz w:val="20"/>
                <w:szCs w:val="20"/>
              </w:rPr>
            </w:pPr>
          </w:p>
        </w:tc>
        <w:tc>
          <w:tcPr>
            <w:tcW w:w="607" w:type="pct"/>
            <w:tcBorders>
              <w:top w:val="nil"/>
              <w:left w:val="nil"/>
              <w:bottom w:val="single" w:sz="5" w:space="0" w:color="000000"/>
              <w:right w:val="nil"/>
            </w:tcBorders>
            <w:tcMar>
              <w:top w:w="40" w:type="dxa"/>
              <w:left w:w="40" w:type="dxa"/>
              <w:bottom w:w="40" w:type="dxa"/>
              <w:right w:w="40" w:type="dxa"/>
            </w:tcMar>
            <w:vAlign w:val="bottom"/>
          </w:tcPr>
          <w:p>
            <w:pPr>
              <w:widowControl w:val="0"/>
              <w:spacing w:line="276" w:lineRule="auto"/>
              <w:jc w:val="left"/>
              <w:rPr>
                <w:sz w:val="20"/>
                <w:szCs w:val="20"/>
              </w:rPr>
            </w:pPr>
          </w:p>
        </w:tc>
        <w:tc>
          <w:tcPr>
            <w:tcW w:w="607" w:type="pct"/>
            <w:tcBorders>
              <w:top w:val="nil"/>
              <w:left w:val="nil"/>
              <w:bottom w:val="single" w:sz="5" w:space="0" w:color="000000"/>
              <w:right w:val="single" w:sz="5" w:space="0" w:color="000000"/>
            </w:tcBorders>
            <w:tcMar>
              <w:top w:w="40" w:type="dxa"/>
              <w:left w:w="40" w:type="dxa"/>
              <w:bottom w:w="40" w:type="dxa"/>
              <w:right w:w="40" w:type="dxa"/>
            </w:tcMar>
            <w:vAlign w:val="bottom"/>
          </w:tcPr>
          <w:p>
            <w:pPr>
              <w:widowControl w:val="0"/>
              <w:spacing w:line="276" w:lineRule="auto"/>
              <w:jc w:val="left"/>
              <w:rPr>
                <w:sz w:val="20"/>
                <w:szCs w:val="20"/>
              </w:rPr>
            </w:pPr>
          </w:p>
        </w:tc>
      </w:tr>
    </w:tbl>
    <w:p>
      <w:pPr>
        <w:pStyle w:val="5"/>
      </w:pPr>
      <w:bookmarkStart w:id="66" w:name="_Toc227926974"/>
      <w:r>
        <w:t>Table 6: Cash Flow Ratios</w:t>
      </w:r>
      <w:bookmarkEnd w:id="66"/>
    </w:p>
    <w:p>
      <w:pPr>
        <w:jc w:val="center"/>
      </w:pPr>
      <w:r>
        <w:t>(Source: Tesla, 2025, 2023a, 2021)</w:t>
      </w:r>
    </w:p>
    <w:p>
      <w:pPr>
        <w:pStyle w:val="2"/>
      </w:pPr>
      <w:bookmarkStart w:id="67" w:name="_4jgmlxhhqiqk"/>
      <w:bookmarkEnd w:id="67"/>
      <w:r>
        <w:br w:type="page"/>
      </w:r>
    </w:p>
    <w:p>
      <w:pPr>
        <w:pStyle w:val="2"/>
      </w:pPr>
      <w:bookmarkStart w:id="68" w:name="_Toc227926911"/>
      <w:r>
        <w:t>Appendix 7: Working Capital Ratios</w:t>
      </w:r>
      <w:bookmarkEnd w:id="68"/>
    </w:p>
    <w:p>
      <w:pPr>
        <w:jc w:val="center"/>
      </w:pPr>
      <w:r>
        <w:drawing>
          <wp:inline distT="114300" distB="114300" distL="114300" distR="114300">
            <wp:extent cx="4529138" cy="2941682"/>
            <wp:effectExtent l="0" t="0" r="0" b="0"/>
            <wp:docPr id="40" name="图片 40"/>
            <wp:cNvGraphicFramePr>
              <a:graphicFrameLocks noChangeAspect="0"/>
            </wp:cNvGraphicFramePr>
            <a:graphic>
              <a:graphicData uri="http://schemas.openxmlformats.org/drawingml/2006/picture">
                <pic:pic>
                  <pic:nvPicPr>
                    <pic:cNvPr id="42" name="图片 42"/>
                    <pic:cNvPicPr/>
                  </pic:nvPicPr>
                  <pic:blipFill>
                    <a:blip r:embed="rId18"/>
                    <a:stretch>
                      <a:fillRect/>
                    </a:stretch>
                  </pic:blipFill>
                  <pic:spPr>
                    <a:xfrm rot="0">
                      <a:off x="0" y="0"/>
                      <a:ext cx="4529138" cy="2941682"/>
                    </a:xfrm>
                    <a:prstGeom prst="rect"/>
                    <a:noFill/>
                    <a:ln w="12700" cmpd="sng" cap="flat">
                      <a:solidFill>
                        <a:srgbClr val="000000"/>
                      </a:solidFill>
                      <a:prstDash val="solid"/>
                      <a:round/>
                    </a:ln>
                  </pic:spPr>
                </pic:pic>
              </a:graphicData>
            </a:graphic>
          </wp:inline>
        </w:drawing>
      </w:r>
    </w:p>
    <w:p>
      <w:pPr>
        <w:pStyle w:val="4"/>
      </w:pPr>
      <w:bookmarkStart w:id="69" w:name="_Toc227926927"/>
      <w:r>
        <w:t>Figure 13: Working Capital Ratios</w:t>
      </w:r>
      <w:bookmarkEnd w:id="69"/>
    </w:p>
    <w:p>
      <w:pPr>
        <w:jc w:val="center"/>
      </w:pPr>
      <w:r>
        <w:t>(Source: Tesla, 2025, 2023a, 2021)</w:t>
      </w:r>
    </w:p>
    <w:tbl>
      <w:tblPr>
        <w:jc w:val="left"/>
        <w:tblInd w:w="0" w:type="dxa"/>
        <w:tblW w:w="5000" w:type="pct"/>
        <w:tblBorders>
          <w:top w:val="none" w:sz="0" w:space="0" w:color="auto"/>
          <w:left w:val="none" w:sz="0" w:space="0" w:color="auto"/>
          <w:bottom w:val="none" w:sz="0" w:space="0" w:color="auto"/>
          <w:right w:val="none" w:sz="0" w:space="0" w:color="auto"/>
        </w:tblBorders>
        <w:tblCellMar>
          <w:top w:w="0" w:type="dxa"/>
          <w:left w:w="0" w:type="dxa"/>
          <w:bottom w:w="0" w:type="dxa"/>
          <w:right w:w="0" w:type="dxa"/>
        </w:tblCellMar>
      </w:tblPr>
      <w:tblGrid>
        <w:gridCol w:w="3982"/>
        <w:gridCol w:w="1006"/>
        <w:gridCol w:w="1006"/>
        <w:gridCol w:w="1006"/>
        <w:gridCol w:w="1006"/>
        <w:gridCol w:w="1006"/>
      </w:tblGrid>
      <w:tr>
        <w:trPr>
          <w:trHeight w:val="315"/>
        </w:trPr>
        <w:tc>
          <w:tcPr>
            <w:tcW w:w="2208" w:type="pct"/>
            <w:tcBorders>
              <w:top w:val="single" w:sz="5" w:space="0" w:color="000000"/>
              <w:left w:val="single" w:sz="5" w:space="0" w:color="000000"/>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b/>
                <w:bCs/>
                <w:sz w:val="20"/>
                <w:szCs w:val="20"/>
              </w:rPr>
              <w:t>Working Capital Ratios</w:t>
            </w:r>
          </w:p>
        </w:tc>
        <w:tc>
          <w:tcPr>
            <w:tcW w:w="558" w:type="pct"/>
            <w:tcBorders>
              <w:top w:val="single" w:sz="5" w:space="0" w:color="000000"/>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b/>
                <w:bCs/>
                <w:sz w:val="20"/>
                <w:szCs w:val="20"/>
              </w:rPr>
              <w:t>2025 ($m)</w:t>
            </w:r>
          </w:p>
        </w:tc>
        <w:tc>
          <w:tcPr>
            <w:tcW w:w="558" w:type="pct"/>
            <w:tcBorders>
              <w:top w:val="single" w:sz="5" w:space="0" w:color="000000"/>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b/>
                <w:bCs/>
                <w:sz w:val="20"/>
                <w:szCs w:val="20"/>
              </w:rPr>
              <w:t>2024 ($m)</w:t>
            </w:r>
          </w:p>
        </w:tc>
        <w:tc>
          <w:tcPr>
            <w:tcW w:w="558" w:type="pct"/>
            <w:tcBorders>
              <w:top w:val="single" w:sz="5" w:space="0" w:color="000000"/>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b/>
                <w:bCs/>
                <w:sz w:val="20"/>
                <w:szCs w:val="20"/>
              </w:rPr>
              <w:t>2023 ($m)</w:t>
            </w:r>
          </w:p>
        </w:tc>
        <w:tc>
          <w:tcPr>
            <w:tcW w:w="558" w:type="pct"/>
            <w:tcBorders>
              <w:top w:val="single" w:sz="5" w:space="0" w:color="000000"/>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b/>
                <w:bCs/>
                <w:sz w:val="20"/>
                <w:szCs w:val="20"/>
              </w:rPr>
              <w:t>2022 ($m)</w:t>
            </w:r>
          </w:p>
        </w:tc>
        <w:tc>
          <w:tcPr>
            <w:tcW w:w="558" w:type="pct"/>
            <w:tcBorders>
              <w:top w:val="single" w:sz="5" w:space="0" w:color="000000"/>
              <w:left w:val="nil"/>
              <w:bottom w:val="nil"/>
              <w:right w:val="single" w:sz="5" w:space="0" w:color="000000"/>
            </w:tcBorders>
            <w:tcMar>
              <w:top w:w="40" w:type="dxa"/>
              <w:left w:w="40" w:type="dxa"/>
              <w:bottom w:w="40" w:type="dxa"/>
              <w:right w:w="40" w:type="dxa"/>
            </w:tcMar>
            <w:vAlign w:val="bottom"/>
          </w:tcPr>
          <w:p>
            <w:pPr>
              <w:widowControl w:val="0"/>
              <w:spacing w:line="276" w:lineRule="auto"/>
              <w:jc w:val="center"/>
              <w:rPr>
                <w:sz w:val="20"/>
                <w:szCs w:val="20"/>
              </w:rPr>
            </w:pPr>
            <w:r>
              <w:rPr>
                <w:b/>
                <w:bCs/>
                <w:sz w:val="20"/>
                <w:szCs w:val="20"/>
              </w:rPr>
              <w:t>2021 ($m)</w:t>
            </w:r>
          </w:p>
        </w:tc>
      </w:tr>
      <w:tr>
        <w:trPr>
          <w:trHeight w:val="315"/>
        </w:trPr>
        <w:tc>
          <w:tcPr>
            <w:tcW w:w="2208"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left"/>
              <w:rPr>
                <w:sz w:val="20"/>
                <w:szCs w:val="20"/>
              </w:rPr>
            </w:pPr>
            <w:r>
              <w:rPr>
                <w:sz w:val="20"/>
                <w:szCs w:val="20"/>
              </w:rPr>
              <w:t>Accounts Receivable​</w:t>
            </w:r>
          </w:p>
        </w:tc>
        <w:tc>
          <w:tcPr>
            <w:tcW w:w="558"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4,576</w:t>
            </w:r>
          </w:p>
        </w:tc>
        <w:tc>
          <w:tcPr>
            <w:tcW w:w="558"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4,418</w:t>
            </w:r>
          </w:p>
        </w:tc>
        <w:tc>
          <w:tcPr>
            <w:tcW w:w="558"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3,508</w:t>
            </w:r>
          </w:p>
        </w:tc>
        <w:tc>
          <w:tcPr>
            <w:tcW w:w="558"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2,952</w:t>
            </w:r>
          </w:p>
        </w:tc>
        <w:tc>
          <w:tcPr>
            <w:tcW w:w="558" w:type="pct"/>
            <w:tcBorders>
              <w:top w:val="nil"/>
              <w:left w:val="nil"/>
              <w:bottom w:val="nil"/>
              <w:right w:val="single" w:sz="5" w:space="0" w:color="000000"/>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1,962</w:t>
            </w:r>
          </w:p>
        </w:tc>
      </w:tr>
      <w:tr>
        <w:trPr>
          <w:trHeight w:val="315"/>
        </w:trPr>
        <w:tc>
          <w:tcPr>
            <w:tcW w:w="2208"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left"/>
              <w:rPr>
                <w:sz w:val="20"/>
                <w:szCs w:val="20"/>
              </w:rPr>
            </w:pPr>
            <w:r>
              <w:rPr>
                <w:sz w:val="20"/>
                <w:szCs w:val="20"/>
              </w:rPr>
              <w:t>Sales</w:t>
            </w:r>
          </w:p>
        </w:tc>
        <w:tc>
          <w:tcPr>
            <w:tcW w:w="558"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94,827</w:t>
            </w:r>
          </w:p>
        </w:tc>
        <w:tc>
          <w:tcPr>
            <w:tcW w:w="558"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97,690</w:t>
            </w:r>
          </w:p>
        </w:tc>
        <w:tc>
          <w:tcPr>
            <w:tcW w:w="558"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96,773</w:t>
            </w:r>
          </w:p>
        </w:tc>
        <w:tc>
          <w:tcPr>
            <w:tcW w:w="558"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81,462</w:t>
            </w:r>
          </w:p>
        </w:tc>
        <w:tc>
          <w:tcPr>
            <w:tcW w:w="558" w:type="pct"/>
            <w:tcBorders>
              <w:top w:val="nil"/>
              <w:left w:val="nil"/>
              <w:bottom w:val="nil"/>
              <w:right w:val="single" w:sz="5" w:space="0" w:color="000000"/>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53,823</w:t>
            </w:r>
          </w:p>
        </w:tc>
      </w:tr>
      <w:tr>
        <w:trPr>
          <w:trHeight w:val="315"/>
        </w:trPr>
        <w:tc>
          <w:tcPr>
            <w:tcW w:w="2208"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left"/>
              <w:rPr>
                <w:sz w:val="20"/>
                <w:szCs w:val="20"/>
              </w:rPr>
            </w:pPr>
            <w:r>
              <w:rPr>
                <w:b/>
                <w:bCs/>
                <w:i/>
                <w:iCs/>
                <w:sz w:val="20"/>
                <w:szCs w:val="20"/>
              </w:rPr>
              <w:t>Receivable Days</w:t>
            </w:r>
          </w:p>
        </w:tc>
        <w:tc>
          <w:tcPr>
            <w:tcW w:w="558"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b/>
                <w:bCs/>
                <w:i/>
                <w:iCs/>
                <w:sz w:val="20"/>
                <w:szCs w:val="20"/>
              </w:rPr>
              <w:t>17.61</w:t>
            </w:r>
          </w:p>
        </w:tc>
        <w:tc>
          <w:tcPr>
            <w:tcW w:w="558"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b/>
                <w:bCs/>
                <w:i/>
                <w:iCs/>
                <w:sz w:val="20"/>
                <w:szCs w:val="20"/>
              </w:rPr>
              <w:t>16.51</w:t>
            </w:r>
          </w:p>
        </w:tc>
        <w:tc>
          <w:tcPr>
            <w:tcW w:w="558"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b/>
                <w:bCs/>
                <w:i/>
                <w:iCs/>
                <w:sz w:val="20"/>
                <w:szCs w:val="20"/>
              </w:rPr>
              <w:t>13.23</w:t>
            </w:r>
          </w:p>
        </w:tc>
        <w:tc>
          <w:tcPr>
            <w:tcW w:w="558"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b/>
                <w:bCs/>
                <w:i/>
                <w:iCs/>
                <w:sz w:val="20"/>
                <w:szCs w:val="20"/>
              </w:rPr>
              <w:t>13.23</w:t>
            </w:r>
          </w:p>
        </w:tc>
        <w:tc>
          <w:tcPr>
            <w:tcW w:w="558" w:type="pct"/>
            <w:tcBorders>
              <w:top w:val="nil"/>
              <w:left w:val="nil"/>
              <w:bottom w:val="nil"/>
              <w:right w:val="single" w:sz="5" w:space="0" w:color="000000"/>
            </w:tcBorders>
            <w:tcMar>
              <w:top w:w="40" w:type="dxa"/>
              <w:left w:w="40" w:type="dxa"/>
              <w:bottom w:w="40" w:type="dxa"/>
              <w:right w:w="40" w:type="dxa"/>
            </w:tcMar>
            <w:vAlign w:val="bottom"/>
          </w:tcPr>
          <w:p>
            <w:pPr>
              <w:widowControl w:val="0"/>
              <w:spacing w:line="276" w:lineRule="auto"/>
              <w:jc w:val="right"/>
              <w:rPr>
                <w:sz w:val="20"/>
                <w:szCs w:val="20"/>
              </w:rPr>
            </w:pPr>
            <w:r>
              <w:rPr>
                <w:b/>
                <w:bCs/>
                <w:i/>
                <w:iCs/>
                <w:sz w:val="20"/>
                <w:szCs w:val="20"/>
              </w:rPr>
              <w:t>13.31</w:t>
            </w:r>
          </w:p>
        </w:tc>
      </w:tr>
      <w:tr>
        <w:trPr>
          <w:trHeight w:val="315"/>
        </w:trPr>
        <w:tc>
          <w:tcPr>
            <w:tcW w:w="2208"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left"/>
              <w:rPr>
                <w:sz w:val="20"/>
                <w:szCs w:val="20"/>
              </w:rPr>
            </w:pPr>
            <w:r>
              <w:rPr>
                <w:i/>
                <w:iCs/>
                <w:sz w:val="20"/>
                <w:szCs w:val="20"/>
              </w:rPr>
              <w:t>Formula: (Accounts Receivable​ / Sales) *365</w:t>
            </w:r>
          </w:p>
        </w:tc>
        <w:tc>
          <w:tcPr>
            <w:tcW w:w="558" w:type="pct"/>
            <w:tcBorders>
              <w:top w:val="nil"/>
              <w:left w:val="nil"/>
              <w:bottom w:val="nil"/>
              <w:right w:val="nil"/>
            </w:tcBorders>
            <w:tcMar>
              <w:top w:w="40" w:type="dxa"/>
              <w:left w:w="40" w:type="dxa"/>
              <w:bottom w:w="40" w:type="dxa"/>
              <w:right w:w="40" w:type="dxa"/>
            </w:tcMar>
            <w:vAlign w:val="bottom"/>
          </w:tcPr>
          <w:p>
            <w:pPr>
              <w:widowControl w:val="0"/>
              <w:spacing w:line="276" w:lineRule="auto"/>
              <w:jc w:val="left"/>
              <w:rPr>
                <w:sz w:val="20"/>
                <w:szCs w:val="20"/>
              </w:rPr>
            </w:pPr>
          </w:p>
        </w:tc>
        <w:tc>
          <w:tcPr>
            <w:tcW w:w="558" w:type="pct"/>
            <w:tcBorders>
              <w:top w:val="nil"/>
              <w:left w:val="nil"/>
              <w:bottom w:val="nil"/>
              <w:right w:val="nil"/>
            </w:tcBorders>
            <w:tcMar>
              <w:top w:w="40" w:type="dxa"/>
              <w:left w:w="40" w:type="dxa"/>
              <w:bottom w:w="40" w:type="dxa"/>
              <w:right w:w="40" w:type="dxa"/>
            </w:tcMar>
            <w:vAlign w:val="bottom"/>
          </w:tcPr>
          <w:p>
            <w:pPr>
              <w:widowControl w:val="0"/>
              <w:spacing w:line="276" w:lineRule="auto"/>
              <w:jc w:val="left"/>
              <w:rPr>
                <w:sz w:val="20"/>
                <w:szCs w:val="20"/>
              </w:rPr>
            </w:pPr>
          </w:p>
        </w:tc>
        <w:tc>
          <w:tcPr>
            <w:tcW w:w="558" w:type="pct"/>
            <w:tcBorders>
              <w:top w:val="nil"/>
              <w:left w:val="nil"/>
              <w:bottom w:val="nil"/>
              <w:right w:val="nil"/>
            </w:tcBorders>
            <w:tcMar>
              <w:top w:w="40" w:type="dxa"/>
              <w:left w:w="40" w:type="dxa"/>
              <w:bottom w:w="40" w:type="dxa"/>
              <w:right w:w="40" w:type="dxa"/>
            </w:tcMar>
            <w:vAlign w:val="bottom"/>
          </w:tcPr>
          <w:p>
            <w:pPr>
              <w:widowControl w:val="0"/>
              <w:spacing w:line="276" w:lineRule="auto"/>
              <w:jc w:val="left"/>
              <w:rPr>
                <w:sz w:val="20"/>
                <w:szCs w:val="20"/>
              </w:rPr>
            </w:pPr>
          </w:p>
        </w:tc>
        <w:tc>
          <w:tcPr>
            <w:tcW w:w="558" w:type="pct"/>
            <w:tcBorders>
              <w:top w:val="nil"/>
              <w:left w:val="nil"/>
              <w:bottom w:val="nil"/>
              <w:right w:val="nil"/>
            </w:tcBorders>
            <w:tcMar>
              <w:top w:w="40" w:type="dxa"/>
              <w:left w:w="40" w:type="dxa"/>
              <w:bottom w:w="40" w:type="dxa"/>
              <w:right w:w="40" w:type="dxa"/>
            </w:tcMar>
            <w:vAlign w:val="bottom"/>
          </w:tcPr>
          <w:p>
            <w:pPr>
              <w:widowControl w:val="0"/>
              <w:spacing w:line="276" w:lineRule="auto"/>
              <w:jc w:val="left"/>
              <w:rPr>
                <w:sz w:val="20"/>
                <w:szCs w:val="20"/>
              </w:rPr>
            </w:pPr>
          </w:p>
        </w:tc>
        <w:tc>
          <w:tcPr>
            <w:tcW w:w="558" w:type="pct"/>
            <w:tcBorders>
              <w:top w:val="nil"/>
              <w:left w:val="nil"/>
              <w:bottom w:val="nil"/>
              <w:right w:val="single" w:sz="5" w:space="0" w:color="000000"/>
            </w:tcBorders>
            <w:tcMar>
              <w:top w:w="40" w:type="dxa"/>
              <w:left w:w="40" w:type="dxa"/>
              <w:bottom w:w="40" w:type="dxa"/>
              <w:right w:w="40" w:type="dxa"/>
            </w:tcMar>
            <w:vAlign w:val="bottom"/>
          </w:tcPr>
          <w:p>
            <w:pPr>
              <w:widowControl w:val="0"/>
              <w:spacing w:line="276" w:lineRule="auto"/>
              <w:jc w:val="left"/>
              <w:rPr>
                <w:sz w:val="20"/>
                <w:szCs w:val="20"/>
              </w:rPr>
            </w:pPr>
          </w:p>
        </w:tc>
      </w:tr>
      <w:tr>
        <w:trPr>
          <w:trHeight w:val="315"/>
        </w:trPr>
        <w:tc>
          <w:tcPr>
            <w:tcW w:w="2208"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left"/>
              <w:rPr>
                <w:sz w:val="20"/>
                <w:szCs w:val="20"/>
              </w:rPr>
            </w:pPr>
            <w:r>
              <w:rPr>
                <w:sz w:val="20"/>
                <w:szCs w:val="20"/>
              </w:rPr>
              <w:t>Inventory</w:t>
            </w:r>
          </w:p>
        </w:tc>
        <w:tc>
          <w:tcPr>
            <w:tcW w:w="558"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12,392</w:t>
            </w:r>
          </w:p>
        </w:tc>
        <w:tc>
          <w:tcPr>
            <w:tcW w:w="558"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12,017</w:t>
            </w:r>
          </w:p>
        </w:tc>
        <w:tc>
          <w:tcPr>
            <w:tcW w:w="558"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13,626</w:t>
            </w:r>
          </w:p>
        </w:tc>
        <w:tc>
          <w:tcPr>
            <w:tcW w:w="558"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12,839</w:t>
            </w:r>
          </w:p>
        </w:tc>
        <w:tc>
          <w:tcPr>
            <w:tcW w:w="558" w:type="pct"/>
            <w:tcBorders>
              <w:top w:val="nil"/>
              <w:left w:val="nil"/>
              <w:bottom w:val="nil"/>
              <w:right w:val="single" w:sz="5" w:space="0" w:color="000000"/>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5,757</w:t>
            </w:r>
          </w:p>
        </w:tc>
      </w:tr>
      <w:tr>
        <w:trPr>
          <w:trHeight w:val="315"/>
        </w:trPr>
        <w:tc>
          <w:tcPr>
            <w:tcW w:w="2208"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left"/>
              <w:rPr>
                <w:sz w:val="20"/>
                <w:szCs w:val="20"/>
              </w:rPr>
            </w:pPr>
            <w:r>
              <w:rPr>
                <w:sz w:val="20"/>
                <w:szCs w:val="20"/>
              </w:rPr>
              <w:t>Cost of Goods Sales</w:t>
            </w:r>
          </w:p>
        </w:tc>
        <w:tc>
          <w:tcPr>
            <w:tcW w:w="558"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77,733</w:t>
            </w:r>
          </w:p>
        </w:tc>
        <w:tc>
          <w:tcPr>
            <w:tcW w:w="558"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80,240</w:t>
            </w:r>
          </w:p>
        </w:tc>
        <w:tc>
          <w:tcPr>
            <w:tcW w:w="558"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79,113</w:t>
            </w:r>
          </w:p>
        </w:tc>
        <w:tc>
          <w:tcPr>
            <w:tcW w:w="558"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60,609</w:t>
            </w:r>
          </w:p>
        </w:tc>
        <w:tc>
          <w:tcPr>
            <w:tcW w:w="558" w:type="pct"/>
            <w:tcBorders>
              <w:top w:val="nil"/>
              <w:left w:val="nil"/>
              <w:bottom w:val="nil"/>
              <w:right w:val="single" w:sz="5" w:space="0" w:color="000000"/>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40,217</w:t>
            </w:r>
          </w:p>
        </w:tc>
      </w:tr>
      <w:tr>
        <w:trPr>
          <w:trHeight w:val="315"/>
        </w:trPr>
        <w:tc>
          <w:tcPr>
            <w:tcW w:w="2208"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left"/>
              <w:rPr>
                <w:sz w:val="20"/>
                <w:szCs w:val="20"/>
              </w:rPr>
            </w:pPr>
            <w:r>
              <w:rPr>
                <w:b/>
                <w:bCs/>
                <w:i/>
                <w:iCs/>
                <w:sz w:val="20"/>
                <w:szCs w:val="20"/>
              </w:rPr>
              <w:t>Inventory Days</w:t>
            </w:r>
          </w:p>
        </w:tc>
        <w:tc>
          <w:tcPr>
            <w:tcW w:w="558"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b/>
                <w:bCs/>
                <w:i/>
                <w:iCs/>
                <w:sz w:val="20"/>
                <w:szCs w:val="20"/>
              </w:rPr>
              <w:t>58.2</w:t>
            </w:r>
          </w:p>
        </w:tc>
        <w:tc>
          <w:tcPr>
            <w:tcW w:w="558"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b/>
                <w:bCs/>
                <w:i/>
                <w:iCs/>
                <w:sz w:val="20"/>
                <w:szCs w:val="20"/>
              </w:rPr>
              <w:t>54.7</w:t>
            </w:r>
          </w:p>
        </w:tc>
        <w:tc>
          <w:tcPr>
            <w:tcW w:w="558"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b/>
                <w:bCs/>
                <w:i/>
                <w:iCs/>
                <w:sz w:val="20"/>
                <w:szCs w:val="20"/>
              </w:rPr>
              <w:t>62.9</w:t>
            </w:r>
          </w:p>
        </w:tc>
        <w:tc>
          <w:tcPr>
            <w:tcW w:w="558"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b/>
                <w:bCs/>
                <w:i/>
                <w:iCs/>
                <w:sz w:val="20"/>
                <w:szCs w:val="20"/>
              </w:rPr>
              <w:t>77.3</w:t>
            </w:r>
          </w:p>
        </w:tc>
        <w:tc>
          <w:tcPr>
            <w:tcW w:w="558" w:type="pct"/>
            <w:tcBorders>
              <w:top w:val="nil"/>
              <w:left w:val="nil"/>
              <w:bottom w:val="nil"/>
              <w:right w:val="single" w:sz="5" w:space="0" w:color="000000"/>
            </w:tcBorders>
            <w:tcMar>
              <w:top w:w="40" w:type="dxa"/>
              <w:left w:w="40" w:type="dxa"/>
              <w:bottom w:w="40" w:type="dxa"/>
              <w:right w:w="40" w:type="dxa"/>
            </w:tcMar>
            <w:vAlign w:val="bottom"/>
          </w:tcPr>
          <w:p>
            <w:pPr>
              <w:widowControl w:val="0"/>
              <w:spacing w:line="276" w:lineRule="auto"/>
              <w:jc w:val="right"/>
              <w:rPr>
                <w:sz w:val="20"/>
                <w:szCs w:val="20"/>
              </w:rPr>
            </w:pPr>
            <w:r>
              <w:rPr>
                <w:b/>
                <w:bCs/>
                <w:i/>
                <w:iCs/>
                <w:sz w:val="20"/>
                <w:szCs w:val="20"/>
              </w:rPr>
              <w:t>52.2</w:t>
            </w:r>
          </w:p>
        </w:tc>
      </w:tr>
      <w:tr>
        <w:trPr>
          <w:trHeight w:val="315"/>
        </w:trPr>
        <w:tc>
          <w:tcPr>
            <w:tcW w:w="2208"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left"/>
              <w:rPr>
                <w:sz w:val="20"/>
                <w:szCs w:val="20"/>
              </w:rPr>
            </w:pPr>
            <w:r>
              <w:rPr>
                <w:i/>
                <w:iCs/>
                <w:sz w:val="20"/>
                <w:szCs w:val="20"/>
              </w:rPr>
              <w:t>Formula: (Inventory / Cost of Goods Sales) *365</w:t>
            </w:r>
          </w:p>
        </w:tc>
        <w:tc>
          <w:tcPr>
            <w:tcW w:w="558" w:type="pct"/>
            <w:tcBorders>
              <w:top w:val="nil"/>
              <w:left w:val="nil"/>
              <w:bottom w:val="nil"/>
              <w:right w:val="nil"/>
            </w:tcBorders>
            <w:tcMar>
              <w:top w:w="40" w:type="dxa"/>
              <w:left w:w="40" w:type="dxa"/>
              <w:bottom w:w="40" w:type="dxa"/>
              <w:right w:w="40" w:type="dxa"/>
            </w:tcMar>
            <w:vAlign w:val="bottom"/>
          </w:tcPr>
          <w:p>
            <w:pPr>
              <w:widowControl w:val="0"/>
              <w:spacing w:line="276" w:lineRule="auto"/>
              <w:jc w:val="left"/>
              <w:rPr>
                <w:sz w:val="20"/>
                <w:szCs w:val="20"/>
              </w:rPr>
            </w:pPr>
          </w:p>
        </w:tc>
        <w:tc>
          <w:tcPr>
            <w:tcW w:w="558" w:type="pct"/>
            <w:tcBorders>
              <w:top w:val="nil"/>
              <w:left w:val="nil"/>
              <w:bottom w:val="nil"/>
              <w:right w:val="nil"/>
            </w:tcBorders>
            <w:tcMar>
              <w:top w:w="40" w:type="dxa"/>
              <w:left w:w="40" w:type="dxa"/>
              <w:bottom w:w="40" w:type="dxa"/>
              <w:right w:w="40" w:type="dxa"/>
            </w:tcMar>
            <w:vAlign w:val="bottom"/>
          </w:tcPr>
          <w:p>
            <w:pPr>
              <w:widowControl w:val="0"/>
              <w:spacing w:line="276" w:lineRule="auto"/>
              <w:jc w:val="left"/>
              <w:rPr>
                <w:sz w:val="20"/>
                <w:szCs w:val="20"/>
              </w:rPr>
            </w:pPr>
          </w:p>
        </w:tc>
        <w:tc>
          <w:tcPr>
            <w:tcW w:w="558" w:type="pct"/>
            <w:tcBorders>
              <w:top w:val="nil"/>
              <w:left w:val="nil"/>
              <w:bottom w:val="nil"/>
              <w:right w:val="nil"/>
            </w:tcBorders>
            <w:tcMar>
              <w:top w:w="40" w:type="dxa"/>
              <w:left w:w="40" w:type="dxa"/>
              <w:bottom w:w="40" w:type="dxa"/>
              <w:right w:w="40" w:type="dxa"/>
            </w:tcMar>
            <w:vAlign w:val="bottom"/>
          </w:tcPr>
          <w:p>
            <w:pPr>
              <w:widowControl w:val="0"/>
              <w:spacing w:line="276" w:lineRule="auto"/>
              <w:jc w:val="left"/>
              <w:rPr>
                <w:sz w:val="20"/>
                <w:szCs w:val="20"/>
              </w:rPr>
            </w:pPr>
          </w:p>
        </w:tc>
        <w:tc>
          <w:tcPr>
            <w:tcW w:w="558" w:type="pct"/>
            <w:tcBorders>
              <w:top w:val="nil"/>
              <w:left w:val="nil"/>
              <w:bottom w:val="nil"/>
              <w:right w:val="nil"/>
            </w:tcBorders>
            <w:tcMar>
              <w:top w:w="40" w:type="dxa"/>
              <w:left w:w="40" w:type="dxa"/>
              <w:bottom w:w="40" w:type="dxa"/>
              <w:right w:w="40" w:type="dxa"/>
            </w:tcMar>
            <w:vAlign w:val="bottom"/>
          </w:tcPr>
          <w:p>
            <w:pPr>
              <w:widowControl w:val="0"/>
              <w:spacing w:line="276" w:lineRule="auto"/>
              <w:jc w:val="left"/>
              <w:rPr>
                <w:sz w:val="20"/>
                <w:szCs w:val="20"/>
              </w:rPr>
            </w:pPr>
          </w:p>
        </w:tc>
        <w:tc>
          <w:tcPr>
            <w:tcW w:w="558" w:type="pct"/>
            <w:tcBorders>
              <w:top w:val="nil"/>
              <w:left w:val="nil"/>
              <w:bottom w:val="nil"/>
              <w:right w:val="single" w:sz="5" w:space="0" w:color="000000"/>
            </w:tcBorders>
            <w:tcMar>
              <w:top w:w="40" w:type="dxa"/>
              <w:left w:w="40" w:type="dxa"/>
              <w:bottom w:w="40" w:type="dxa"/>
              <w:right w:w="40" w:type="dxa"/>
            </w:tcMar>
            <w:vAlign w:val="bottom"/>
          </w:tcPr>
          <w:p>
            <w:pPr>
              <w:widowControl w:val="0"/>
              <w:spacing w:line="276" w:lineRule="auto"/>
              <w:jc w:val="left"/>
              <w:rPr>
                <w:sz w:val="20"/>
                <w:szCs w:val="20"/>
              </w:rPr>
            </w:pPr>
          </w:p>
        </w:tc>
      </w:tr>
      <w:tr>
        <w:trPr>
          <w:trHeight w:val="315"/>
        </w:trPr>
        <w:tc>
          <w:tcPr>
            <w:tcW w:w="2208"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left"/>
              <w:rPr>
                <w:sz w:val="20"/>
                <w:szCs w:val="20"/>
              </w:rPr>
            </w:pPr>
            <w:r>
              <w:rPr>
                <w:sz w:val="20"/>
                <w:szCs w:val="20"/>
              </w:rPr>
              <w:t>Accounts Payable​</w:t>
            </w:r>
          </w:p>
        </w:tc>
        <w:tc>
          <w:tcPr>
            <w:tcW w:w="558"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13,371</w:t>
            </w:r>
          </w:p>
        </w:tc>
        <w:tc>
          <w:tcPr>
            <w:tcW w:w="558"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12,474</w:t>
            </w:r>
          </w:p>
        </w:tc>
        <w:tc>
          <w:tcPr>
            <w:tcW w:w="558"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9,080</w:t>
            </w:r>
          </w:p>
        </w:tc>
        <w:tc>
          <w:tcPr>
            <w:tcW w:w="558"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8,205</w:t>
            </w:r>
          </w:p>
        </w:tc>
        <w:tc>
          <w:tcPr>
            <w:tcW w:w="558" w:type="pct"/>
            <w:tcBorders>
              <w:top w:val="nil"/>
              <w:left w:val="nil"/>
              <w:bottom w:val="nil"/>
              <w:right w:val="single" w:sz="5" w:space="0" w:color="000000"/>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8,260</w:t>
            </w:r>
          </w:p>
        </w:tc>
      </w:tr>
      <w:tr>
        <w:trPr>
          <w:trHeight w:val="315"/>
        </w:trPr>
        <w:tc>
          <w:tcPr>
            <w:tcW w:w="2208"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left"/>
              <w:rPr>
                <w:sz w:val="20"/>
                <w:szCs w:val="20"/>
              </w:rPr>
            </w:pPr>
            <w:r>
              <w:rPr>
                <w:sz w:val="20"/>
                <w:szCs w:val="20"/>
              </w:rPr>
              <w:t>Cost of Goods Sales</w:t>
            </w:r>
          </w:p>
        </w:tc>
        <w:tc>
          <w:tcPr>
            <w:tcW w:w="558"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77,733</w:t>
            </w:r>
          </w:p>
        </w:tc>
        <w:tc>
          <w:tcPr>
            <w:tcW w:w="558"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80,240</w:t>
            </w:r>
          </w:p>
        </w:tc>
        <w:tc>
          <w:tcPr>
            <w:tcW w:w="558"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79,113</w:t>
            </w:r>
          </w:p>
        </w:tc>
        <w:tc>
          <w:tcPr>
            <w:tcW w:w="558"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60,609</w:t>
            </w:r>
          </w:p>
        </w:tc>
        <w:tc>
          <w:tcPr>
            <w:tcW w:w="558" w:type="pct"/>
            <w:tcBorders>
              <w:top w:val="nil"/>
              <w:left w:val="nil"/>
              <w:bottom w:val="nil"/>
              <w:right w:val="single" w:sz="5" w:space="0" w:color="000000"/>
            </w:tcBorders>
            <w:tcMar>
              <w:top w:w="40" w:type="dxa"/>
              <w:left w:w="40" w:type="dxa"/>
              <w:bottom w:w="40" w:type="dxa"/>
              <w:right w:w="40" w:type="dxa"/>
            </w:tcMar>
            <w:vAlign w:val="bottom"/>
          </w:tcPr>
          <w:p>
            <w:pPr>
              <w:widowControl w:val="0"/>
              <w:spacing w:line="276" w:lineRule="auto"/>
              <w:jc w:val="right"/>
              <w:rPr>
                <w:sz w:val="20"/>
                <w:szCs w:val="20"/>
              </w:rPr>
            </w:pPr>
            <w:r>
              <w:rPr>
                <w:sz w:val="20"/>
                <w:szCs w:val="20"/>
              </w:rPr>
              <w:t>40,217</w:t>
            </w:r>
          </w:p>
        </w:tc>
      </w:tr>
      <w:tr>
        <w:trPr>
          <w:trHeight w:val="315"/>
        </w:trPr>
        <w:tc>
          <w:tcPr>
            <w:tcW w:w="2208"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left"/>
              <w:rPr>
                <w:sz w:val="20"/>
                <w:szCs w:val="20"/>
              </w:rPr>
            </w:pPr>
            <w:r>
              <w:rPr>
                <w:b/>
                <w:bCs/>
                <w:i/>
                <w:iCs/>
                <w:sz w:val="20"/>
                <w:szCs w:val="20"/>
              </w:rPr>
              <w:t>Payable Days</w:t>
            </w:r>
          </w:p>
        </w:tc>
        <w:tc>
          <w:tcPr>
            <w:tcW w:w="558"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b/>
                <w:bCs/>
                <w:i/>
                <w:iCs/>
                <w:sz w:val="20"/>
                <w:szCs w:val="20"/>
              </w:rPr>
              <w:t>62.8</w:t>
            </w:r>
          </w:p>
        </w:tc>
        <w:tc>
          <w:tcPr>
            <w:tcW w:w="558"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b/>
                <w:bCs/>
                <w:i/>
                <w:iCs/>
                <w:sz w:val="20"/>
                <w:szCs w:val="20"/>
              </w:rPr>
              <w:t>56.7</w:t>
            </w:r>
          </w:p>
        </w:tc>
        <w:tc>
          <w:tcPr>
            <w:tcW w:w="558"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b/>
                <w:bCs/>
                <w:i/>
                <w:iCs/>
                <w:sz w:val="20"/>
                <w:szCs w:val="20"/>
              </w:rPr>
              <w:t>41.9</w:t>
            </w:r>
          </w:p>
        </w:tc>
        <w:tc>
          <w:tcPr>
            <w:tcW w:w="558"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b/>
                <w:bCs/>
                <w:i/>
                <w:iCs/>
                <w:sz w:val="20"/>
                <w:szCs w:val="20"/>
              </w:rPr>
              <w:t>49.4</w:t>
            </w:r>
          </w:p>
        </w:tc>
        <w:tc>
          <w:tcPr>
            <w:tcW w:w="558" w:type="pct"/>
            <w:tcBorders>
              <w:top w:val="nil"/>
              <w:left w:val="nil"/>
              <w:bottom w:val="nil"/>
              <w:right w:val="single" w:sz="5" w:space="0" w:color="000000"/>
            </w:tcBorders>
            <w:tcMar>
              <w:top w:w="40" w:type="dxa"/>
              <w:left w:w="40" w:type="dxa"/>
              <w:bottom w:w="40" w:type="dxa"/>
              <w:right w:w="40" w:type="dxa"/>
            </w:tcMar>
            <w:vAlign w:val="bottom"/>
          </w:tcPr>
          <w:p>
            <w:pPr>
              <w:widowControl w:val="0"/>
              <w:spacing w:line="276" w:lineRule="auto"/>
              <w:jc w:val="right"/>
              <w:rPr>
                <w:sz w:val="20"/>
                <w:szCs w:val="20"/>
              </w:rPr>
            </w:pPr>
            <w:r>
              <w:rPr>
                <w:b/>
                <w:bCs/>
                <w:i/>
                <w:iCs/>
                <w:sz w:val="20"/>
                <w:szCs w:val="20"/>
              </w:rPr>
              <w:t>75.0</w:t>
            </w:r>
          </w:p>
        </w:tc>
      </w:tr>
      <w:tr>
        <w:trPr>
          <w:trHeight w:val="315"/>
        </w:trPr>
        <w:tc>
          <w:tcPr>
            <w:tcW w:w="2208"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left"/>
              <w:rPr>
                <w:sz w:val="20"/>
                <w:szCs w:val="20"/>
              </w:rPr>
            </w:pPr>
            <w:r>
              <w:rPr>
                <w:i/>
                <w:iCs/>
                <w:sz w:val="20"/>
                <w:szCs w:val="20"/>
              </w:rPr>
              <w:t>Formula: (Accounts Payable​ / Cost of Goods Sales) *365</w:t>
            </w:r>
          </w:p>
        </w:tc>
        <w:tc>
          <w:tcPr>
            <w:tcW w:w="558" w:type="pct"/>
            <w:tcBorders>
              <w:top w:val="nil"/>
              <w:left w:val="nil"/>
              <w:bottom w:val="nil"/>
              <w:right w:val="nil"/>
            </w:tcBorders>
            <w:tcMar>
              <w:top w:w="40" w:type="dxa"/>
              <w:left w:w="40" w:type="dxa"/>
              <w:bottom w:w="40" w:type="dxa"/>
              <w:right w:w="40" w:type="dxa"/>
            </w:tcMar>
            <w:vAlign w:val="bottom"/>
          </w:tcPr>
          <w:p>
            <w:pPr>
              <w:widowControl w:val="0"/>
              <w:spacing w:line="276" w:lineRule="auto"/>
              <w:jc w:val="left"/>
              <w:rPr>
                <w:sz w:val="20"/>
                <w:szCs w:val="20"/>
              </w:rPr>
            </w:pPr>
          </w:p>
        </w:tc>
        <w:tc>
          <w:tcPr>
            <w:tcW w:w="558" w:type="pct"/>
            <w:tcBorders>
              <w:top w:val="nil"/>
              <w:left w:val="nil"/>
              <w:bottom w:val="nil"/>
              <w:right w:val="nil"/>
            </w:tcBorders>
            <w:tcMar>
              <w:top w:w="40" w:type="dxa"/>
              <w:left w:w="40" w:type="dxa"/>
              <w:bottom w:w="40" w:type="dxa"/>
              <w:right w:w="40" w:type="dxa"/>
            </w:tcMar>
            <w:vAlign w:val="bottom"/>
          </w:tcPr>
          <w:p>
            <w:pPr>
              <w:widowControl w:val="0"/>
              <w:spacing w:line="276" w:lineRule="auto"/>
              <w:jc w:val="left"/>
              <w:rPr>
                <w:sz w:val="20"/>
                <w:szCs w:val="20"/>
              </w:rPr>
            </w:pPr>
          </w:p>
        </w:tc>
        <w:tc>
          <w:tcPr>
            <w:tcW w:w="558" w:type="pct"/>
            <w:tcBorders>
              <w:top w:val="nil"/>
              <w:left w:val="nil"/>
              <w:bottom w:val="nil"/>
              <w:right w:val="nil"/>
            </w:tcBorders>
            <w:tcMar>
              <w:top w:w="40" w:type="dxa"/>
              <w:left w:w="40" w:type="dxa"/>
              <w:bottom w:w="40" w:type="dxa"/>
              <w:right w:w="40" w:type="dxa"/>
            </w:tcMar>
            <w:vAlign w:val="bottom"/>
          </w:tcPr>
          <w:p>
            <w:pPr>
              <w:widowControl w:val="0"/>
              <w:spacing w:line="276" w:lineRule="auto"/>
              <w:jc w:val="left"/>
              <w:rPr>
                <w:sz w:val="20"/>
                <w:szCs w:val="20"/>
              </w:rPr>
            </w:pPr>
          </w:p>
        </w:tc>
        <w:tc>
          <w:tcPr>
            <w:tcW w:w="558" w:type="pct"/>
            <w:tcBorders>
              <w:top w:val="nil"/>
              <w:left w:val="nil"/>
              <w:bottom w:val="nil"/>
              <w:right w:val="nil"/>
            </w:tcBorders>
            <w:tcMar>
              <w:top w:w="40" w:type="dxa"/>
              <w:left w:w="40" w:type="dxa"/>
              <w:bottom w:w="40" w:type="dxa"/>
              <w:right w:w="40" w:type="dxa"/>
            </w:tcMar>
            <w:vAlign w:val="bottom"/>
          </w:tcPr>
          <w:p>
            <w:pPr>
              <w:widowControl w:val="0"/>
              <w:spacing w:line="276" w:lineRule="auto"/>
              <w:jc w:val="left"/>
              <w:rPr>
                <w:sz w:val="20"/>
                <w:szCs w:val="20"/>
              </w:rPr>
            </w:pPr>
          </w:p>
        </w:tc>
        <w:tc>
          <w:tcPr>
            <w:tcW w:w="558" w:type="pct"/>
            <w:tcBorders>
              <w:top w:val="nil"/>
              <w:left w:val="nil"/>
              <w:bottom w:val="nil"/>
              <w:right w:val="single" w:sz="5" w:space="0" w:color="000000"/>
            </w:tcBorders>
            <w:tcMar>
              <w:top w:w="40" w:type="dxa"/>
              <w:left w:w="40" w:type="dxa"/>
              <w:bottom w:w="40" w:type="dxa"/>
              <w:right w:w="40" w:type="dxa"/>
            </w:tcMar>
            <w:vAlign w:val="bottom"/>
          </w:tcPr>
          <w:p>
            <w:pPr>
              <w:widowControl w:val="0"/>
              <w:spacing w:line="276" w:lineRule="auto"/>
              <w:jc w:val="left"/>
              <w:rPr>
                <w:sz w:val="20"/>
                <w:szCs w:val="20"/>
              </w:rPr>
            </w:pPr>
          </w:p>
        </w:tc>
      </w:tr>
      <w:tr>
        <w:trPr>
          <w:trHeight w:val="315"/>
        </w:trPr>
        <w:tc>
          <w:tcPr>
            <w:tcW w:w="2208"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left"/>
              <w:rPr>
                <w:sz w:val="20"/>
                <w:szCs w:val="20"/>
              </w:rPr>
            </w:pPr>
            <w:r>
              <w:rPr>
                <w:b/>
                <w:bCs/>
                <w:i/>
                <w:iCs/>
                <w:sz w:val="20"/>
                <w:szCs w:val="20"/>
              </w:rPr>
              <w:t>Cash Operating Cycle</w:t>
            </w:r>
          </w:p>
        </w:tc>
        <w:tc>
          <w:tcPr>
            <w:tcW w:w="558"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b/>
                <w:bCs/>
                <w:i/>
                <w:iCs/>
                <w:sz w:val="20"/>
                <w:szCs w:val="20"/>
              </w:rPr>
              <w:t>13.02</w:t>
            </w:r>
          </w:p>
        </w:tc>
        <w:tc>
          <w:tcPr>
            <w:tcW w:w="558"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b/>
                <w:bCs/>
                <w:i/>
                <w:iCs/>
                <w:sz w:val="20"/>
                <w:szCs w:val="20"/>
              </w:rPr>
              <w:t>14.43</w:t>
            </w:r>
          </w:p>
        </w:tc>
        <w:tc>
          <w:tcPr>
            <w:tcW w:w="558"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b/>
                <w:bCs/>
                <w:i/>
                <w:iCs/>
                <w:sz w:val="20"/>
                <w:szCs w:val="20"/>
              </w:rPr>
              <w:t>34.20</w:t>
            </w:r>
          </w:p>
        </w:tc>
        <w:tc>
          <w:tcPr>
            <w:tcW w:w="558" w:type="pct"/>
            <w:tcBorders>
              <w:top w:val="nil"/>
              <w:left w:val="nil"/>
              <w:bottom w:val="nil"/>
              <w:right w:val="nil"/>
            </w:tcBorders>
            <w:tcMar>
              <w:top w:w="40" w:type="dxa"/>
              <w:left w:w="40" w:type="dxa"/>
              <w:bottom w:w="40" w:type="dxa"/>
              <w:right w:w="40" w:type="dxa"/>
            </w:tcMar>
            <w:vAlign w:val="bottom"/>
          </w:tcPr>
          <w:p>
            <w:pPr>
              <w:widowControl w:val="0"/>
              <w:spacing w:line="276" w:lineRule="auto"/>
              <w:jc w:val="right"/>
              <w:rPr>
                <w:sz w:val="20"/>
                <w:szCs w:val="20"/>
              </w:rPr>
            </w:pPr>
            <w:r>
              <w:rPr>
                <w:b/>
                <w:bCs/>
                <w:i/>
                <w:iCs/>
                <w:sz w:val="20"/>
                <w:szCs w:val="20"/>
              </w:rPr>
              <w:t>41.13</w:t>
            </w:r>
          </w:p>
        </w:tc>
        <w:tc>
          <w:tcPr>
            <w:tcW w:w="558" w:type="pct"/>
            <w:tcBorders>
              <w:top w:val="nil"/>
              <w:left w:val="nil"/>
              <w:bottom w:val="nil"/>
              <w:right w:val="single" w:sz="5" w:space="0" w:color="000000"/>
            </w:tcBorders>
            <w:tcMar>
              <w:top w:w="40" w:type="dxa"/>
              <w:left w:w="40" w:type="dxa"/>
              <w:bottom w:w="40" w:type="dxa"/>
              <w:right w:w="40" w:type="dxa"/>
            </w:tcMar>
            <w:vAlign w:val="bottom"/>
          </w:tcPr>
          <w:p>
            <w:pPr>
              <w:widowControl w:val="0"/>
              <w:spacing w:line="276" w:lineRule="auto"/>
              <w:jc w:val="right"/>
              <w:rPr>
                <w:sz w:val="20"/>
                <w:szCs w:val="20"/>
              </w:rPr>
            </w:pPr>
            <w:r>
              <w:rPr>
                <w:b/>
                <w:bCs/>
                <w:i/>
                <w:iCs/>
                <w:sz w:val="20"/>
                <w:szCs w:val="20"/>
              </w:rPr>
              <w:t>-9.41</w:t>
            </w:r>
          </w:p>
        </w:tc>
      </w:tr>
      <w:tr>
        <w:trPr>
          <w:trHeight w:val="315"/>
        </w:trPr>
        <w:tc>
          <w:tcPr>
            <w:tcW w:w="2208" w:type="pct"/>
            <w:tcBorders>
              <w:top w:val="nil"/>
              <w:left w:val="single" w:sz="5" w:space="0" w:color="000000"/>
              <w:bottom w:val="single" w:sz="5" w:space="0" w:color="000000"/>
              <w:right w:val="nil"/>
            </w:tcBorders>
            <w:tcMar>
              <w:top w:w="40" w:type="dxa"/>
              <w:left w:w="40" w:type="dxa"/>
              <w:bottom w:w="40" w:type="dxa"/>
              <w:right w:w="40" w:type="dxa"/>
            </w:tcMar>
            <w:vAlign w:val="bottom"/>
          </w:tcPr>
          <w:p>
            <w:pPr>
              <w:widowControl w:val="0"/>
              <w:spacing w:line="276" w:lineRule="auto"/>
              <w:jc w:val="left"/>
              <w:rPr>
                <w:sz w:val="20"/>
                <w:szCs w:val="20"/>
              </w:rPr>
            </w:pPr>
            <w:r>
              <w:rPr>
                <w:i/>
                <w:iCs/>
                <w:sz w:val="20"/>
                <w:szCs w:val="20"/>
              </w:rPr>
              <w:t>Formula: Receivable Days + Inventory Days - Payable Days</w:t>
            </w:r>
          </w:p>
        </w:tc>
        <w:tc>
          <w:tcPr>
            <w:tcW w:w="558" w:type="pct"/>
            <w:tcBorders>
              <w:top w:val="nil"/>
              <w:left w:val="nil"/>
              <w:bottom w:val="single" w:sz="5" w:space="0" w:color="000000"/>
              <w:right w:val="nil"/>
            </w:tcBorders>
            <w:tcMar>
              <w:top w:w="40" w:type="dxa"/>
              <w:left w:w="40" w:type="dxa"/>
              <w:bottom w:w="40" w:type="dxa"/>
              <w:right w:w="40" w:type="dxa"/>
            </w:tcMar>
            <w:vAlign w:val="bottom"/>
          </w:tcPr>
          <w:p>
            <w:pPr>
              <w:widowControl w:val="0"/>
              <w:spacing w:line="276" w:lineRule="auto"/>
              <w:jc w:val="left"/>
              <w:rPr>
                <w:sz w:val="20"/>
                <w:szCs w:val="20"/>
              </w:rPr>
            </w:pPr>
          </w:p>
        </w:tc>
        <w:tc>
          <w:tcPr>
            <w:tcW w:w="558" w:type="pct"/>
            <w:tcBorders>
              <w:top w:val="nil"/>
              <w:left w:val="nil"/>
              <w:bottom w:val="single" w:sz="5" w:space="0" w:color="000000"/>
              <w:right w:val="nil"/>
            </w:tcBorders>
            <w:tcMar>
              <w:top w:w="40" w:type="dxa"/>
              <w:left w:w="40" w:type="dxa"/>
              <w:bottom w:w="40" w:type="dxa"/>
              <w:right w:w="40" w:type="dxa"/>
            </w:tcMar>
            <w:vAlign w:val="bottom"/>
          </w:tcPr>
          <w:p>
            <w:pPr>
              <w:widowControl w:val="0"/>
              <w:spacing w:line="276" w:lineRule="auto"/>
              <w:jc w:val="left"/>
              <w:rPr>
                <w:sz w:val="20"/>
                <w:szCs w:val="20"/>
              </w:rPr>
            </w:pPr>
          </w:p>
        </w:tc>
        <w:tc>
          <w:tcPr>
            <w:tcW w:w="558" w:type="pct"/>
            <w:tcBorders>
              <w:top w:val="nil"/>
              <w:left w:val="nil"/>
              <w:bottom w:val="single" w:sz="5" w:space="0" w:color="000000"/>
              <w:right w:val="nil"/>
            </w:tcBorders>
            <w:tcMar>
              <w:top w:w="40" w:type="dxa"/>
              <w:left w:w="40" w:type="dxa"/>
              <w:bottom w:w="40" w:type="dxa"/>
              <w:right w:w="40" w:type="dxa"/>
            </w:tcMar>
            <w:vAlign w:val="bottom"/>
          </w:tcPr>
          <w:p>
            <w:pPr>
              <w:widowControl w:val="0"/>
              <w:spacing w:line="276" w:lineRule="auto"/>
              <w:jc w:val="left"/>
              <w:rPr>
                <w:sz w:val="20"/>
                <w:szCs w:val="20"/>
              </w:rPr>
            </w:pPr>
          </w:p>
        </w:tc>
        <w:tc>
          <w:tcPr>
            <w:tcW w:w="558" w:type="pct"/>
            <w:tcBorders>
              <w:top w:val="nil"/>
              <w:left w:val="nil"/>
              <w:bottom w:val="single" w:sz="5" w:space="0" w:color="000000"/>
              <w:right w:val="nil"/>
            </w:tcBorders>
            <w:tcMar>
              <w:top w:w="40" w:type="dxa"/>
              <w:left w:w="40" w:type="dxa"/>
              <w:bottom w:w="40" w:type="dxa"/>
              <w:right w:w="40" w:type="dxa"/>
            </w:tcMar>
            <w:vAlign w:val="bottom"/>
          </w:tcPr>
          <w:p>
            <w:pPr>
              <w:widowControl w:val="0"/>
              <w:spacing w:line="276" w:lineRule="auto"/>
              <w:jc w:val="left"/>
              <w:rPr>
                <w:sz w:val="20"/>
                <w:szCs w:val="20"/>
              </w:rPr>
            </w:pPr>
          </w:p>
        </w:tc>
        <w:tc>
          <w:tcPr>
            <w:tcW w:w="558" w:type="pct"/>
            <w:tcBorders>
              <w:top w:val="nil"/>
              <w:left w:val="nil"/>
              <w:bottom w:val="single" w:sz="5" w:space="0" w:color="000000"/>
              <w:right w:val="single" w:sz="5" w:space="0" w:color="000000"/>
            </w:tcBorders>
            <w:tcMar>
              <w:top w:w="40" w:type="dxa"/>
              <w:left w:w="40" w:type="dxa"/>
              <w:bottom w:w="40" w:type="dxa"/>
              <w:right w:w="40" w:type="dxa"/>
            </w:tcMar>
            <w:vAlign w:val="bottom"/>
          </w:tcPr>
          <w:p>
            <w:pPr>
              <w:widowControl w:val="0"/>
              <w:spacing w:line="276" w:lineRule="auto"/>
              <w:jc w:val="left"/>
              <w:rPr>
                <w:sz w:val="20"/>
                <w:szCs w:val="20"/>
              </w:rPr>
            </w:pPr>
          </w:p>
        </w:tc>
      </w:tr>
    </w:tbl>
    <w:p>
      <w:pPr>
        <w:pStyle w:val="5"/>
      </w:pPr>
      <w:bookmarkStart w:id="70" w:name="_Toc227926975"/>
      <w:r>
        <w:t>Table 7: Working Capital Ratios</w:t>
      </w:r>
      <w:bookmarkEnd w:id="70"/>
    </w:p>
    <w:p>
      <w:pPr>
        <w:jc w:val="center"/>
      </w:pPr>
      <w:r>
        <w:t>(Source: Tesla, 2025, 2023a, 2021)</w:t>
      </w:r>
      <w:bookmarkStart w:id="71" w:name="_dfbtyiejahh"/>
      <w:bookmarkEnd w:id="71"/>
      <w:r>
        <w:br w:type="page"/>
      </w:r>
    </w:p>
    <w:p>
      <w:pPr>
        <w:pStyle w:val="2"/>
      </w:pPr>
      <w:bookmarkStart w:id="72" w:name="_Toc227926912"/>
      <w:r>
        <w:t>Appendix 8: Investment Appraisal</w:t>
      </w:r>
      <w:bookmarkEnd w:id="72"/>
    </w:p>
    <w:tbl>
      <w:tblPr>
        <w:jc w:val="left"/>
        <w:tblInd w:w="0" w:type="dxa"/>
        <w:tblW w:w="5000" w:type="pct"/>
        <w:tblBorders>
          <w:top w:val="none" w:sz="0" w:space="0" w:color="auto"/>
          <w:left w:val="none" w:sz="0" w:space="0" w:color="auto"/>
          <w:bottom w:val="none" w:sz="0" w:space="0" w:color="auto"/>
          <w:right w:val="none" w:sz="0" w:space="0" w:color="auto"/>
        </w:tblBorders>
        <w:tblCellMar>
          <w:top w:w="0" w:type="dxa"/>
          <w:left w:w="0" w:type="dxa"/>
          <w:bottom w:w="0" w:type="dxa"/>
          <w:right w:w="0" w:type="dxa"/>
        </w:tblCellMar>
      </w:tblPr>
      <w:tblGrid>
        <w:gridCol w:w="1693"/>
        <w:gridCol w:w="1131"/>
        <w:gridCol w:w="723"/>
        <w:gridCol w:w="617"/>
        <w:gridCol w:w="1096"/>
        <w:gridCol w:w="952"/>
        <w:gridCol w:w="976"/>
        <w:gridCol w:w="945"/>
        <w:gridCol w:w="884"/>
      </w:tblGrid>
      <w:tr>
        <w:trPr>
          <w:trHeight w:val="330"/>
        </w:trPr>
        <w:tc>
          <w:tcPr>
            <w:tcW w:w="5000" w:type="pct"/>
            <w:gridSpan w:val="9"/>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pPr>
              <w:widowControl w:val="0"/>
              <w:spacing w:line="276" w:lineRule="auto"/>
              <w:jc w:val="center"/>
              <w:rPr>
                <w:sz w:val="20"/>
                <w:szCs w:val="20"/>
              </w:rPr>
            </w:pPr>
            <w:r>
              <w:rPr>
                <w:b/>
                <w:bCs/>
                <w:sz w:val="20"/>
                <w:szCs w:val="20"/>
              </w:rPr>
              <w:t>Project A (£m)</w:t>
            </w:r>
          </w:p>
        </w:tc>
      </w:tr>
      <w:tr>
        <w:trPr>
          <w:trHeight w:val="540"/>
        </w:trPr>
        <w:tc>
          <w:tcPr>
            <w:tcW w:w="939"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b/>
                <w:bCs/>
                <w:sz w:val="20"/>
                <w:szCs w:val="20"/>
              </w:rPr>
              <w:t>Year</w:t>
            </w:r>
          </w:p>
        </w:tc>
        <w:tc>
          <w:tcPr>
            <w:tcW w:w="627"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b/>
                <w:bCs/>
                <w:sz w:val="20"/>
                <w:szCs w:val="20"/>
              </w:rPr>
              <w:t>Cash Flows</w:t>
            </w:r>
          </w:p>
        </w:tc>
        <w:tc>
          <w:tcPr>
            <w:tcW w:w="401"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b/>
                <w:bCs/>
                <w:sz w:val="20"/>
                <w:szCs w:val="20"/>
              </w:rPr>
              <w:t>Depreciation</w:t>
            </w:r>
          </w:p>
        </w:tc>
        <w:tc>
          <w:tcPr>
            <w:tcW w:w="342"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b/>
                <w:bCs/>
                <w:sz w:val="20"/>
                <w:szCs w:val="20"/>
              </w:rPr>
              <w:t>Profit</w:t>
            </w:r>
          </w:p>
        </w:tc>
        <w:tc>
          <w:tcPr>
            <w:tcW w:w="608"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b/>
                <w:bCs/>
                <w:sz w:val="20"/>
                <w:szCs w:val="20"/>
              </w:rPr>
              <w:t>Cumulative Cash Flow</w:t>
            </w:r>
          </w:p>
        </w:tc>
        <w:tc>
          <w:tcPr>
            <w:tcW w:w="528"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b/>
                <w:bCs/>
                <w:sz w:val="20"/>
                <w:szCs w:val="20"/>
              </w:rPr>
              <w:t>PV Factor (10%)</w:t>
            </w:r>
          </w:p>
        </w:tc>
        <w:tc>
          <w:tcPr>
            <w:tcW w:w="541"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b/>
                <w:bCs/>
                <w:sz w:val="20"/>
                <w:szCs w:val="20"/>
              </w:rPr>
              <w:t>PV of Cash Flows</w:t>
            </w:r>
          </w:p>
        </w:tc>
        <w:tc>
          <w:tcPr>
            <w:tcW w:w="524"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b/>
                <w:bCs/>
                <w:sz w:val="20"/>
                <w:szCs w:val="20"/>
              </w:rPr>
              <w:t>PV Factor (15%)</w:t>
            </w:r>
          </w:p>
        </w:tc>
        <w:tc>
          <w:tcPr>
            <w:tcW w:w="490" w:type="pct"/>
            <w:tcBorders>
              <w:top w:val="nil"/>
              <w:left w:val="nil"/>
              <w:bottom w:val="nil"/>
              <w:right w:val="single" w:sz="5" w:space="0" w:color="000000"/>
            </w:tcBorders>
            <w:tcMar>
              <w:top w:w="40" w:type="dxa"/>
              <w:left w:w="40" w:type="dxa"/>
              <w:bottom w:w="40" w:type="dxa"/>
              <w:right w:w="40" w:type="dxa"/>
            </w:tcMar>
            <w:vAlign w:val="bottom"/>
          </w:tcPr>
          <w:p>
            <w:pPr>
              <w:widowControl w:val="0"/>
              <w:spacing w:line="276" w:lineRule="auto"/>
              <w:jc w:val="center"/>
              <w:rPr>
                <w:sz w:val="20"/>
                <w:szCs w:val="20"/>
              </w:rPr>
            </w:pPr>
            <w:r>
              <w:rPr>
                <w:b/>
                <w:bCs/>
                <w:sz w:val="20"/>
                <w:szCs w:val="20"/>
              </w:rPr>
              <w:t>PV of Cash Flows</w:t>
            </w:r>
          </w:p>
        </w:tc>
      </w:tr>
      <w:tr>
        <w:trPr>
          <w:trHeight w:val="315"/>
        </w:trPr>
        <w:tc>
          <w:tcPr>
            <w:tcW w:w="939"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0</w:t>
            </w:r>
          </w:p>
        </w:tc>
        <w:tc>
          <w:tcPr>
            <w:tcW w:w="627"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-50</w:t>
            </w:r>
          </w:p>
        </w:tc>
        <w:tc>
          <w:tcPr>
            <w:tcW w:w="401" w:type="pct"/>
            <w:tcBorders>
              <w:top w:val="nil"/>
              <w:left w:val="nil"/>
              <w:bottom w:val="nil"/>
              <w:right w:val="nil"/>
            </w:tcBorders>
            <w:tcMar>
              <w:top w:w="40" w:type="dxa"/>
              <w:left w:w="40" w:type="dxa"/>
              <w:bottom w:w="40" w:type="dxa"/>
              <w:right w:w="40" w:type="dxa"/>
            </w:tcMar>
            <w:vAlign w:val="bottom"/>
          </w:tcPr>
          <w:p>
            <w:pPr>
              <w:widowControl w:val="0"/>
              <w:spacing w:line="276" w:lineRule="auto"/>
              <w:jc w:val="left"/>
              <w:rPr>
                <w:sz w:val="20"/>
                <w:szCs w:val="20"/>
              </w:rPr>
            </w:pPr>
          </w:p>
        </w:tc>
        <w:tc>
          <w:tcPr>
            <w:tcW w:w="342" w:type="pct"/>
            <w:tcBorders>
              <w:top w:val="nil"/>
              <w:left w:val="nil"/>
              <w:bottom w:val="nil"/>
              <w:right w:val="nil"/>
            </w:tcBorders>
            <w:tcMar>
              <w:top w:w="40" w:type="dxa"/>
              <w:left w:w="40" w:type="dxa"/>
              <w:bottom w:w="40" w:type="dxa"/>
              <w:right w:w="40" w:type="dxa"/>
            </w:tcMar>
            <w:vAlign w:val="bottom"/>
          </w:tcPr>
          <w:p>
            <w:pPr>
              <w:widowControl w:val="0"/>
              <w:spacing w:line="276" w:lineRule="auto"/>
              <w:jc w:val="left"/>
              <w:rPr>
                <w:sz w:val="20"/>
                <w:szCs w:val="20"/>
              </w:rPr>
            </w:pPr>
          </w:p>
        </w:tc>
        <w:tc>
          <w:tcPr>
            <w:tcW w:w="608"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-50</w:t>
            </w:r>
          </w:p>
        </w:tc>
        <w:tc>
          <w:tcPr>
            <w:tcW w:w="528"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1</w:t>
            </w:r>
          </w:p>
        </w:tc>
        <w:tc>
          <w:tcPr>
            <w:tcW w:w="541"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-50</w:t>
            </w:r>
          </w:p>
        </w:tc>
        <w:tc>
          <w:tcPr>
            <w:tcW w:w="524"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1</w:t>
            </w:r>
          </w:p>
        </w:tc>
        <w:tc>
          <w:tcPr>
            <w:tcW w:w="490" w:type="pct"/>
            <w:tcBorders>
              <w:top w:val="nil"/>
              <w:left w:val="nil"/>
              <w:bottom w:val="nil"/>
              <w:right w:val="single" w:sz="5" w:space="0" w:color="000000"/>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-50</w:t>
            </w:r>
          </w:p>
        </w:tc>
      </w:tr>
      <w:tr>
        <w:trPr>
          <w:trHeight w:val="315"/>
        </w:trPr>
        <w:tc>
          <w:tcPr>
            <w:tcW w:w="939"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1</w:t>
            </w:r>
          </w:p>
        </w:tc>
        <w:tc>
          <w:tcPr>
            <w:tcW w:w="627"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10</w:t>
            </w:r>
          </w:p>
        </w:tc>
        <w:tc>
          <w:tcPr>
            <w:tcW w:w="401"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10</w:t>
            </w:r>
          </w:p>
        </w:tc>
        <w:tc>
          <w:tcPr>
            <w:tcW w:w="342"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0</w:t>
            </w:r>
          </w:p>
        </w:tc>
        <w:tc>
          <w:tcPr>
            <w:tcW w:w="608"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-40</w:t>
            </w:r>
          </w:p>
        </w:tc>
        <w:tc>
          <w:tcPr>
            <w:tcW w:w="528"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0.909</w:t>
            </w:r>
          </w:p>
        </w:tc>
        <w:tc>
          <w:tcPr>
            <w:tcW w:w="541"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9</w:t>
            </w:r>
          </w:p>
        </w:tc>
        <w:tc>
          <w:tcPr>
            <w:tcW w:w="524"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0.870</w:t>
            </w:r>
          </w:p>
        </w:tc>
        <w:tc>
          <w:tcPr>
            <w:tcW w:w="490" w:type="pct"/>
            <w:tcBorders>
              <w:top w:val="nil"/>
              <w:left w:val="nil"/>
              <w:bottom w:val="nil"/>
              <w:right w:val="single" w:sz="5" w:space="0" w:color="000000"/>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9</w:t>
            </w:r>
          </w:p>
        </w:tc>
      </w:tr>
      <w:tr>
        <w:trPr>
          <w:trHeight w:val="315"/>
        </w:trPr>
        <w:tc>
          <w:tcPr>
            <w:tcW w:w="939"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2</w:t>
            </w:r>
          </w:p>
        </w:tc>
        <w:tc>
          <w:tcPr>
            <w:tcW w:w="627"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12</w:t>
            </w:r>
          </w:p>
        </w:tc>
        <w:tc>
          <w:tcPr>
            <w:tcW w:w="401"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10</w:t>
            </w:r>
          </w:p>
        </w:tc>
        <w:tc>
          <w:tcPr>
            <w:tcW w:w="342"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2</w:t>
            </w:r>
          </w:p>
        </w:tc>
        <w:tc>
          <w:tcPr>
            <w:tcW w:w="608"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-28</w:t>
            </w:r>
          </w:p>
        </w:tc>
        <w:tc>
          <w:tcPr>
            <w:tcW w:w="528"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0.826</w:t>
            </w:r>
          </w:p>
        </w:tc>
        <w:tc>
          <w:tcPr>
            <w:tcW w:w="541"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10</w:t>
            </w:r>
          </w:p>
        </w:tc>
        <w:tc>
          <w:tcPr>
            <w:tcW w:w="524"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0.756</w:t>
            </w:r>
          </w:p>
        </w:tc>
        <w:tc>
          <w:tcPr>
            <w:tcW w:w="490" w:type="pct"/>
            <w:tcBorders>
              <w:top w:val="nil"/>
              <w:left w:val="nil"/>
              <w:bottom w:val="nil"/>
              <w:right w:val="single" w:sz="5" w:space="0" w:color="000000"/>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9</w:t>
            </w:r>
          </w:p>
        </w:tc>
      </w:tr>
      <w:tr>
        <w:trPr>
          <w:trHeight w:val="315"/>
        </w:trPr>
        <w:tc>
          <w:tcPr>
            <w:tcW w:w="939"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3</w:t>
            </w:r>
          </w:p>
        </w:tc>
        <w:tc>
          <w:tcPr>
            <w:tcW w:w="627"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14</w:t>
            </w:r>
          </w:p>
        </w:tc>
        <w:tc>
          <w:tcPr>
            <w:tcW w:w="401"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10</w:t>
            </w:r>
          </w:p>
        </w:tc>
        <w:tc>
          <w:tcPr>
            <w:tcW w:w="342"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4</w:t>
            </w:r>
          </w:p>
        </w:tc>
        <w:tc>
          <w:tcPr>
            <w:tcW w:w="608"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-14</w:t>
            </w:r>
          </w:p>
        </w:tc>
        <w:tc>
          <w:tcPr>
            <w:tcW w:w="528"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0.751</w:t>
            </w:r>
          </w:p>
        </w:tc>
        <w:tc>
          <w:tcPr>
            <w:tcW w:w="541"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11</w:t>
            </w:r>
          </w:p>
        </w:tc>
        <w:tc>
          <w:tcPr>
            <w:tcW w:w="524"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0.658</w:t>
            </w:r>
          </w:p>
        </w:tc>
        <w:tc>
          <w:tcPr>
            <w:tcW w:w="490" w:type="pct"/>
            <w:tcBorders>
              <w:top w:val="nil"/>
              <w:left w:val="nil"/>
              <w:bottom w:val="nil"/>
              <w:right w:val="single" w:sz="5" w:space="0" w:color="000000"/>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9</w:t>
            </w:r>
          </w:p>
        </w:tc>
      </w:tr>
      <w:tr>
        <w:trPr>
          <w:trHeight w:val="315"/>
        </w:trPr>
        <w:tc>
          <w:tcPr>
            <w:tcW w:w="939"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4</w:t>
            </w:r>
          </w:p>
        </w:tc>
        <w:tc>
          <w:tcPr>
            <w:tcW w:w="627"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10</w:t>
            </w:r>
          </w:p>
        </w:tc>
        <w:tc>
          <w:tcPr>
            <w:tcW w:w="401"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10</w:t>
            </w:r>
          </w:p>
        </w:tc>
        <w:tc>
          <w:tcPr>
            <w:tcW w:w="342"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0</w:t>
            </w:r>
          </w:p>
        </w:tc>
        <w:tc>
          <w:tcPr>
            <w:tcW w:w="608"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-4</w:t>
            </w:r>
          </w:p>
        </w:tc>
        <w:tc>
          <w:tcPr>
            <w:tcW w:w="528"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0.683</w:t>
            </w:r>
          </w:p>
        </w:tc>
        <w:tc>
          <w:tcPr>
            <w:tcW w:w="541"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7</w:t>
            </w:r>
          </w:p>
        </w:tc>
        <w:tc>
          <w:tcPr>
            <w:tcW w:w="524"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0.572</w:t>
            </w:r>
          </w:p>
        </w:tc>
        <w:tc>
          <w:tcPr>
            <w:tcW w:w="490" w:type="pct"/>
            <w:tcBorders>
              <w:top w:val="nil"/>
              <w:left w:val="nil"/>
              <w:bottom w:val="nil"/>
              <w:right w:val="single" w:sz="5" w:space="0" w:color="000000"/>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6</w:t>
            </w:r>
          </w:p>
        </w:tc>
      </w:tr>
      <w:tr>
        <w:trPr>
          <w:trHeight w:val="315"/>
        </w:trPr>
        <w:tc>
          <w:tcPr>
            <w:tcW w:w="939" w:type="pct"/>
            <w:tcBorders>
              <w:top w:val="nil"/>
              <w:left w:val="single" w:sz="5" w:space="0" w:color="000000"/>
              <w:bottom w:val="single" w:sz="5" w:space="0" w:color="000000"/>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5</w:t>
            </w:r>
          </w:p>
        </w:tc>
        <w:tc>
          <w:tcPr>
            <w:tcW w:w="627" w:type="pct"/>
            <w:tcBorders>
              <w:top w:val="nil"/>
              <w:left w:val="nil"/>
              <w:bottom w:val="single" w:sz="5" w:space="0" w:color="000000"/>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8</w:t>
            </w:r>
          </w:p>
        </w:tc>
        <w:tc>
          <w:tcPr>
            <w:tcW w:w="401" w:type="pct"/>
            <w:tcBorders>
              <w:top w:val="nil"/>
              <w:left w:val="nil"/>
              <w:bottom w:val="single" w:sz="5" w:space="0" w:color="000000"/>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10</w:t>
            </w:r>
          </w:p>
        </w:tc>
        <w:tc>
          <w:tcPr>
            <w:tcW w:w="342" w:type="pct"/>
            <w:tcBorders>
              <w:top w:val="nil"/>
              <w:left w:val="nil"/>
              <w:bottom w:val="single" w:sz="5" w:space="0" w:color="000000"/>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-2</w:t>
            </w:r>
          </w:p>
        </w:tc>
        <w:tc>
          <w:tcPr>
            <w:tcW w:w="608" w:type="pct"/>
            <w:tcBorders>
              <w:top w:val="nil"/>
              <w:left w:val="nil"/>
              <w:bottom w:val="single" w:sz="5" w:space="0" w:color="000000"/>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4</w:t>
            </w:r>
          </w:p>
        </w:tc>
        <w:tc>
          <w:tcPr>
            <w:tcW w:w="528" w:type="pct"/>
            <w:tcBorders>
              <w:top w:val="nil"/>
              <w:left w:val="nil"/>
              <w:bottom w:val="single" w:sz="5" w:space="0" w:color="000000"/>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0.621</w:t>
            </w:r>
          </w:p>
        </w:tc>
        <w:tc>
          <w:tcPr>
            <w:tcW w:w="541" w:type="pct"/>
            <w:tcBorders>
              <w:top w:val="nil"/>
              <w:left w:val="nil"/>
              <w:bottom w:val="single" w:sz="5" w:space="0" w:color="000000"/>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5</w:t>
            </w:r>
          </w:p>
        </w:tc>
        <w:tc>
          <w:tcPr>
            <w:tcW w:w="524" w:type="pct"/>
            <w:tcBorders>
              <w:top w:val="nil"/>
              <w:left w:val="nil"/>
              <w:bottom w:val="single" w:sz="5" w:space="0" w:color="000000"/>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0.497</w:t>
            </w:r>
          </w:p>
        </w:tc>
        <w:tc>
          <w:tcPr>
            <w:tcW w:w="490" w:type="pct"/>
            <w:tcBorders>
              <w:top w:val="nil"/>
              <w:left w:val="nil"/>
              <w:bottom w:val="single" w:sz="5" w:space="0" w:color="000000"/>
              <w:right w:val="single" w:sz="5" w:space="0" w:color="000000"/>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4</w:t>
            </w:r>
          </w:p>
        </w:tc>
      </w:tr>
      <w:tr>
        <w:trPr>
          <w:trHeight w:val="315"/>
        </w:trPr>
        <w:tc>
          <w:tcPr>
            <w:tcW w:w="939" w:type="pct"/>
            <w:tcBorders>
              <w:top w:val="nil"/>
              <w:left w:val="single" w:sz="5" w:space="0" w:color="000000"/>
              <w:bottom w:val="single" w:sz="5" w:space="0" w:color="000000"/>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Total</w:t>
            </w:r>
          </w:p>
        </w:tc>
        <w:tc>
          <w:tcPr>
            <w:tcW w:w="627" w:type="pct"/>
            <w:tcBorders>
              <w:top w:val="nil"/>
              <w:left w:val="nil"/>
              <w:bottom w:val="single" w:sz="5" w:space="0" w:color="000000"/>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54</w:t>
            </w:r>
          </w:p>
        </w:tc>
        <w:tc>
          <w:tcPr>
            <w:tcW w:w="401" w:type="pct"/>
            <w:tcBorders>
              <w:top w:val="nil"/>
              <w:left w:val="nil"/>
              <w:bottom w:val="single" w:sz="5" w:space="0" w:color="000000"/>
              <w:right w:val="nil"/>
            </w:tcBorders>
            <w:tcMar>
              <w:top w:w="40" w:type="dxa"/>
              <w:left w:w="40" w:type="dxa"/>
              <w:bottom w:w="40" w:type="dxa"/>
              <w:right w:w="40" w:type="dxa"/>
            </w:tcMar>
            <w:vAlign w:val="bottom"/>
          </w:tcPr>
          <w:p>
            <w:pPr>
              <w:widowControl w:val="0"/>
              <w:spacing w:line="276" w:lineRule="auto"/>
              <w:jc w:val="left"/>
              <w:rPr>
                <w:sz w:val="20"/>
                <w:szCs w:val="20"/>
              </w:rPr>
            </w:pPr>
          </w:p>
        </w:tc>
        <w:tc>
          <w:tcPr>
            <w:tcW w:w="342" w:type="pct"/>
            <w:tcBorders>
              <w:top w:val="nil"/>
              <w:left w:val="nil"/>
              <w:bottom w:val="single" w:sz="5" w:space="0" w:color="000000"/>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0.8</w:t>
            </w:r>
          </w:p>
        </w:tc>
        <w:tc>
          <w:tcPr>
            <w:tcW w:w="608" w:type="pct"/>
            <w:tcBorders>
              <w:top w:val="nil"/>
              <w:left w:val="nil"/>
              <w:bottom w:val="single" w:sz="5" w:space="0" w:color="000000"/>
              <w:right w:val="nil"/>
            </w:tcBorders>
            <w:tcMar>
              <w:top w:w="40" w:type="dxa"/>
              <w:left w:w="40" w:type="dxa"/>
              <w:bottom w:w="40" w:type="dxa"/>
              <w:right w:w="40" w:type="dxa"/>
            </w:tcMar>
            <w:vAlign w:val="bottom"/>
          </w:tcPr>
          <w:p>
            <w:pPr>
              <w:widowControl w:val="0"/>
              <w:spacing w:line="276" w:lineRule="auto"/>
              <w:jc w:val="left"/>
              <w:rPr>
                <w:sz w:val="20"/>
                <w:szCs w:val="20"/>
              </w:rPr>
            </w:pPr>
          </w:p>
        </w:tc>
        <w:tc>
          <w:tcPr>
            <w:tcW w:w="528" w:type="pct"/>
            <w:tcBorders>
              <w:top w:val="nil"/>
              <w:left w:val="nil"/>
              <w:bottom w:val="single" w:sz="5" w:space="0" w:color="000000"/>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4.79</w:t>
            </w:r>
          </w:p>
        </w:tc>
        <w:tc>
          <w:tcPr>
            <w:tcW w:w="541" w:type="pct"/>
            <w:tcBorders>
              <w:top w:val="nil"/>
              <w:left w:val="nil"/>
              <w:bottom w:val="single" w:sz="5" w:space="0" w:color="000000"/>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41.32</w:t>
            </w:r>
          </w:p>
        </w:tc>
        <w:tc>
          <w:tcPr>
            <w:tcW w:w="524" w:type="pct"/>
            <w:tcBorders>
              <w:top w:val="nil"/>
              <w:left w:val="nil"/>
              <w:bottom w:val="single" w:sz="5" w:space="0" w:color="000000"/>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4.35</w:t>
            </w:r>
          </w:p>
        </w:tc>
        <w:tc>
          <w:tcPr>
            <w:tcW w:w="490" w:type="pct"/>
            <w:tcBorders>
              <w:top w:val="nil"/>
              <w:left w:val="nil"/>
              <w:bottom w:val="single" w:sz="5" w:space="0" w:color="000000"/>
              <w:right w:val="single" w:sz="5" w:space="0" w:color="000000"/>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36.67</w:t>
            </w:r>
          </w:p>
        </w:tc>
      </w:tr>
      <w:tr>
        <w:trPr>
          <w:trHeight w:val="315"/>
        </w:trPr>
        <w:tc>
          <w:tcPr>
            <w:tcW w:w="1566" w:type="pct"/>
            <w:gridSpan w:val="2"/>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left"/>
              <w:rPr>
                <w:sz w:val="20"/>
                <w:szCs w:val="20"/>
              </w:rPr>
            </w:pPr>
          </w:p>
        </w:tc>
        <w:tc>
          <w:tcPr>
            <w:tcW w:w="3434" w:type="pct"/>
            <w:gridSpan w:val="7"/>
            <w:vMerge w:val="restart"/>
            <w:tcBorders>
              <w:top w:val="nil"/>
              <w:left w:val="nil"/>
              <w:bottom w:val="single" w:sz="5" w:space="0" w:color="000000"/>
              <w:right w:val="single" w:sz="5" w:space="0" w:color="000000"/>
            </w:tcBorders>
            <w:tcMar>
              <w:top w:w="40" w:type="dxa"/>
              <w:left w:w="40" w:type="dxa"/>
              <w:bottom w:w="40" w:type="dxa"/>
              <w:right w:w="40" w:type="dxa"/>
            </w:tcMar>
            <w:vAlign w:val="bottom"/>
          </w:tcPr>
          <w:p>
            <w:pPr>
              <w:widowControl w:val="0"/>
              <w:spacing w:line="276" w:lineRule="auto"/>
              <w:jc w:val="left"/>
              <w:rPr>
                <w:sz w:val="20"/>
                <w:szCs w:val="20"/>
              </w:rPr>
            </w:pPr>
          </w:p>
        </w:tc>
      </w:tr>
      <w:tr>
        <w:trPr>
          <w:trHeight w:val="315"/>
        </w:trPr>
        <w:tc>
          <w:tcPr>
            <w:tcW w:w="939"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Payback Period</w:t>
            </w:r>
          </w:p>
        </w:tc>
        <w:tc>
          <w:tcPr>
            <w:tcW w:w="627"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4.50</w:t>
            </w:r>
          </w:p>
        </w:tc>
        <w:tc>
          <w:tcPr>
            <w:tcW w:w="3434" w:type="pct"/>
            <w:gridSpan w:val="7"/>
            <w:vMerge/>
            <w:tcBorders>
              <w:top w:val="nil"/>
              <w:left w:val="nil"/>
              <w:bottom w:val="single" w:sz="5" w:space="0" w:color="000000"/>
            </w:tcBorders>
            <w:tcMar>
              <w:top w:w="100" w:type="dxa"/>
              <w:left w:w="100" w:type="dxa"/>
              <w:bottom w:w="100" w:type="dxa"/>
              <w:right w:w="100" w:type="dxa"/>
            </w:tcMar>
          </w:tcPr>
          <w:p/>
        </w:tc>
      </w:tr>
      <w:tr>
        <w:trPr>
          <w:trHeight w:val="315"/>
        </w:trPr>
        <w:tc>
          <w:tcPr>
            <w:tcW w:w="939"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Accounting Rate of Return (ARR)</w:t>
            </w:r>
          </w:p>
        </w:tc>
        <w:tc>
          <w:tcPr>
            <w:tcW w:w="627"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1.60%</w:t>
            </w:r>
          </w:p>
        </w:tc>
        <w:tc>
          <w:tcPr>
            <w:tcW w:w="3434" w:type="pct"/>
            <w:gridSpan w:val="7"/>
            <w:vMerge/>
            <w:tcBorders>
              <w:top w:val="nil"/>
              <w:left w:val="nil"/>
              <w:bottom w:val="single" w:sz="5" w:space="0" w:color="000000"/>
            </w:tcBorders>
            <w:tcMar>
              <w:top w:w="100" w:type="dxa"/>
              <w:left w:w="100" w:type="dxa"/>
              <w:bottom w:w="100" w:type="dxa"/>
              <w:right w:w="100" w:type="dxa"/>
            </w:tcMar>
          </w:tcPr>
          <w:p/>
        </w:tc>
      </w:tr>
      <w:tr>
        <w:trPr>
          <w:trHeight w:val="315"/>
        </w:trPr>
        <w:tc>
          <w:tcPr>
            <w:tcW w:w="939"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Net Present Value (NPV)_1</w:t>
            </w:r>
          </w:p>
        </w:tc>
        <w:tc>
          <w:tcPr>
            <w:tcW w:w="627"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-8.68</w:t>
            </w:r>
          </w:p>
        </w:tc>
        <w:tc>
          <w:tcPr>
            <w:tcW w:w="3434" w:type="pct"/>
            <w:gridSpan w:val="7"/>
            <w:vMerge/>
            <w:tcBorders>
              <w:top w:val="nil"/>
              <w:left w:val="nil"/>
              <w:bottom w:val="single" w:sz="5" w:space="0" w:color="000000"/>
            </w:tcBorders>
            <w:tcMar>
              <w:top w:w="100" w:type="dxa"/>
              <w:left w:w="100" w:type="dxa"/>
              <w:bottom w:w="100" w:type="dxa"/>
              <w:right w:w="100" w:type="dxa"/>
            </w:tcMar>
          </w:tcPr>
          <w:p/>
        </w:tc>
      </w:tr>
      <w:tr>
        <w:trPr>
          <w:trHeight w:val="315"/>
        </w:trPr>
        <w:tc>
          <w:tcPr>
            <w:tcW w:w="939"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Profitability Index (PI)</w:t>
            </w:r>
          </w:p>
        </w:tc>
        <w:tc>
          <w:tcPr>
            <w:tcW w:w="627"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0.83</w:t>
            </w:r>
          </w:p>
        </w:tc>
        <w:tc>
          <w:tcPr>
            <w:tcW w:w="3434" w:type="pct"/>
            <w:gridSpan w:val="7"/>
            <w:vMerge/>
            <w:tcBorders>
              <w:top w:val="nil"/>
              <w:left w:val="nil"/>
              <w:bottom w:val="single" w:sz="5" w:space="0" w:color="000000"/>
            </w:tcBorders>
            <w:tcMar>
              <w:top w:w="100" w:type="dxa"/>
              <w:left w:w="100" w:type="dxa"/>
              <w:bottom w:w="100" w:type="dxa"/>
              <w:right w:w="100" w:type="dxa"/>
            </w:tcMar>
          </w:tcPr>
          <w:p/>
        </w:tc>
      </w:tr>
      <w:tr>
        <w:trPr>
          <w:trHeight w:val="315"/>
        </w:trPr>
        <w:tc>
          <w:tcPr>
            <w:tcW w:w="939"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NPV_2</w:t>
            </w:r>
          </w:p>
        </w:tc>
        <w:tc>
          <w:tcPr>
            <w:tcW w:w="627"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-13.33</w:t>
            </w:r>
          </w:p>
        </w:tc>
        <w:tc>
          <w:tcPr>
            <w:tcW w:w="3434" w:type="pct"/>
            <w:gridSpan w:val="7"/>
            <w:vMerge/>
            <w:tcBorders>
              <w:top w:val="nil"/>
              <w:left w:val="nil"/>
              <w:bottom w:val="single" w:sz="5" w:space="0" w:color="000000"/>
            </w:tcBorders>
            <w:tcMar>
              <w:top w:w="100" w:type="dxa"/>
              <w:left w:w="100" w:type="dxa"/>
              <w:bottom w:w="100" w:type="dxa"/>
              <w:right w:w="100" w:type="dxa"/>
            </w:tcMar>
          </w:tcPr>
          <w:p/>
        </w:tc>
      </w:tr>
      <w:tr>
        <w:trPr>
          <w:trHeight w:val="315"/>
        </w:trPr>
        <w:tc>
          <w:tcPr>
            <w:tcW w:w="939"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Discount Rate_1</w:t>
            </w:r>
          </w:p>
        </w:tc>
        <w:tc>
          <w:tcPr>
            <w:tcW w:w="627"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10%</w:t>
            </w:r>
          </w:p>
        </w:tc>
        <w:tc>
          <w:tcPr>
            <w:tcW w:w="3434" w:type="pct"/>
            <w:gridSpan w:val="7"/>
            <w:vMerge/>
            <w:tcBorders>
              <w:top w:val="nil"/>
              <w:left w:val="nil"/>
              <w:bottom w:val="single" w:sz="5" w:space="0" w:color="000000"/>
            </w:tcBorders>
            <w:tcMar>
              <w:top w:w="100" w:type="dxa"/>
              <w:left w:w="100" w:type="dxa"/>
              <w:bottom w:w="100" w:type="dxa"/>
              <w:right w:w="100" w:type="dxa"/>
            </w:tcMar>
          </w:tcPr>
          <w:p/>
        </w:tc>
      </w:tr>
      <w:tr>
        <w:trPr>
          <w:trHeight w:val="315"/>
        </w:trPr>
        <w:tc>
          <w:tcPr>
            <w:tcW w:w="939"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Discount Rate_2</w:t>
            </w:r>
          </w:p>
        </w:tc>
        <w:tc>
          <w:tcPr>
            <w:tcW w:w="627"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15%</w:t>
            </w:r>
          </w:p>
        </w:tc>
        <w:tc>
          <w:tcPr>
            <w:tcW w:w="3434" w:type="pct"/>
            <w:gridSpan w:val="7"/>
            <w:vMerge/>
            <w:tcBorders>
              <w:top w:val="nil"/>
              <w:left w:val="nil"/>
              <w:bottom w:val="single" w:sz="5" w:space="0" w:color="000000"/>
            </w:tcBorders>
            <w:tcMar>
              <w:top w:w="100" w:type="dxa"/>
              <w:left w:w="100" w:type="dxa"/>
              <w:bottom w:w="100" w:type="dxa"/>
              <w:right w:w="100" w:type="dxa"/>
            </w:tcMar>
          </w:tcPr>
          <w:p/>
        </w:tc>
      </w:tr>
      <w:tr>
        <w:trPr>
          <w:trHeight w:val="315"/>
        </w:trPr>
        <w:tc>
          <w:tcPr>
            <w:tcW w:w="939" w:type="pct"/>
            <w:tcBorders>
              <w:top w:val="nil"/>
              <w:left w:val="single" w:sz="5" w:space="0" w:color="000000"/>
              <w:bottom w:val="single" w:sz="5" w:space="0" w:color="000000"/>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Internal Rate of Return</w:t>
            </w:r>
          </w:p>
        </w:tc>
        <w:tc>
          <w:tcPr>
            <w:tcW w:w="627" w:type="pct"/>
            <w:tcBorders>
              <w:top w:val="nil"/>
              <w:left w:val="nil"/>
              <w:bottom w:val="single" w:sz="5" w:space="0" w:color="000000"/>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0.7%</w:t>
            </w:r>
          </w:p>
        </w:tc>
        <w:tc>
          <w:tcPr>
            <w:tcW w:w="3434" w:type="pct"/>
            <w:gridSpan w:val="7"/>
            <w:vMerge/>
            <w:tcBorders>
              <w:top w:val="nil"/>
              <w:left w:val="nil"/>
              <w:bottom w:val="single" w:sz="5" w:space="0" w:color="000000"/>
            </w:tcBorders>
            <w:tcMar>
              <w:top w:w="100" w:type="dxa"/>
              <w:left w:w="100" w:type="dxa"/>
              <w:bottom w:w="100" w:type="dxa"/>
              <w:right w:w="100" w:type="dxa"/>
            </w:tcMar>
          </w:tcPr>
          <w:p/>
        </w:tc>
      </w:tr>
    </w:tbl>
    <w:p>
      <w:pPr>
        <w:pStyle w:val="5"/>
        <w:rPr>
          <w:sz w:val="20"/>
          <w:szCs w:val="20"/>
        </w:rPr>
      </w:pPr>
      <w:bookmarkStart w:id="73" w:name="_Toc227926976"/>
      <w:r>
        <w:t>Table 8: Project A</w:t>
      </w:r>
      <w:bookmarkEnd w:id="73"/>
    </w:p>
    <w:tbl>
      <w:tblPr>
        <w:jc w:val="left"/>
        <w:tblInd w:w="0" w:type="dxa"/>
        <w:tblW w:w="5000" w:type="pct"/>
        <w:tblBorders>
          <w:top w:val="none" w:sz="0" w:space="0" w:color="auto"/>
          <w:left w:val="none" w:sz="0" w:space="0" w:color="auto"/>
          <w:bottom w:val="none" w:sz="0" w:space="0" w:color="auto"/>
          <w:right w:val="none" w:sz="0" w:space="0" w:color="auto"/>
        </w:tblBorders>
        <w:tblCellMar>
          <w:top w:w="0" w:type="dxa"/>
          <w:left w:w="0" w:type="dxa"/>
          <w:bottom w:w="0" w:type="dxa"/>
          <w:right w:w="0" w:type="dxa"/>
        </w:tblCellMar>
      </w:tblPr>
      <w:tblGrid>
        <w:gridCol w:w="1693"/>
        <w:gridCol w:w="1131"/>
        <w:gridCol w:w="723"/>
        <w:gridCol w:w="617"/>
        <w:gridCol w:w="1096"/>
        <w:gridCol w:w="952"/>
        <w:gridCol w:w="976"/>
        <w:gridCol w:w="945"/>
        <w:gridCol w:w="884"/>
      </w:tblGrid>
      <w:tr>
        <w:trPr>
          <w:trHeight w:val="330"/>
        </w:trPr>
        <w:tc>
          <w:tcPr>
            <w:tcW w:w="5000" w:type="pct"/>
            <w:gridSpan w:val="9"/>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pPr>
              <w:widowControl w:val="0"/>
              <w:spacing w:line="276" w:lineRule="auto"/>
              <w:jc w:val="center"/>
              <w:rPr>
                <w:sz w:val="20"/>
                <w:szCs w:val="20"/>
              </w:rPr>
            </w:pPr>
            <w:r>
              <w:rPr>
                <w:b/>
                <w:bCs/>
                <w:sz w:val="20"/>
                <w:szCs w:val="20"/>
              </w:rPr>
              <w:t>Project B (£m)</w:t>
            </w:r>
          </w:p>
        </w:tc>
      </w:tr>
      <w:tr>
        <w:trPr>
          <w:trHeight w:val="540"/>
        </w:trPr>
        <w:tc>
          <w:tcPr>
            <w:tcW w:w="939"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b/>
                <w:bCs/>
                <w:sz w:val="20"/>
                <w:szCs w:val="20"/>
              </w:rPr>
              <w:t>Year</w:t>
            </w:r>
          </w:p>
        </w:tc>
        <w:tc>
          <w:tcPr>
            <w:tcW w:w="627"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b/>
                <w:bCs/>
                <w:sz w:val="20"/>
                <w:szCs w:val="20"/>
              </w:rPr>
              <w:t>Cash Flows</w:t>
            </w:r>
          </w:p>
        </w:tc>
        <w:tc>
          <w:tcPr>
            <w:tcW w:w="401"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b/>
                <w:bCs/>
                <w:sz w:val="20"/>
                <w:szCs w:val="20"/>
              </w:rPr>
              <w:t>Depreciation</w:t>
            </w:r>
          </w:p>
        </w:tc>
        <w:tc>
          <w:tcPr>
            <w:tcW w:w="342"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b/>
                <w:bCs/>
                <w:sz w:val="20"/>
                <w:szCs w:val="20"/>
              </w:rPr>
              <w:t>Profit</w:t>
            </w:r>
          </w:p>
        </w:tc>
        <w:tc>
          <w:tcPr>
            <w:tcW w:w="608"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b/>
                <w:bCs/>
                <w:sz w:val="20"/>
                <w:szCs w:val="20"/>
              </w:rPr>
              <w:t>Cumulative Cash Flow</w:t>
            </w:r>
          </w:p>
        </w:tc>
        <w:tc>
          <w:tcPr>
            <w:tcW w:w="528"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b/>
                <w:bCs/>
                <w:sz w:val="20"/>
                <w:szCs w:val="20"/>
              </w:rPr>
              <w:t>PV Factor (10%)</w:t>
            </w:r>
          </w:p>
        </w:tc>
        <w:tc>
          <w:tcPr>
            <w:tcW w:w="541"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b/>
                <w:bCs/>
                <w:sz w:val="20"/>
                <w:szCs w:val="20"/>
              </w:rPr>
              <w:t>PV of Cash Flows</w:t>
            </w:r>
          </w:p>
        </w:tc>
        <w:tc>
          <w:tcPr>
            <w:tcW w:w="524"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b/>
                <w:bCs/>
                <w:sz w:val="20"/>
                <w:szCs w:val="20"/>
              </w:rPr>
              <w:t>PV Factor (15%)</w:t>
            </w:r>
          </w:p>
        </w:tc>
        <w:tc>
          <w:tcPr>
            <w:tcW w:w="490" w:type="pct"/>
            <w:tcBorders>
              <w:top w:val="nil"/>
              <w:left w:val="nil"/>
              <w:bottom w:val="nil"/>
              <w:right w:val="single" w:sz="5" w:space="0" w:color="000000"/>
            </w:tcBorders>
            <w:tcMar>
              <w:top w:w="40" w:type="dxa"/>
              <w:left w:w="40" w:type="dxa"/>
              <w:bottom w:w="40" w:type="dxa"/>
              <w:right w:w="40" w:type="dxa"/>
            </w:tcMar>
            <w:vAlign w:val="bottom"/>
          </w:tcPr>
          <w:p>
            <w:pPr>
              <w:widowControl w:val="0"/>
              <w:spacing w:line="276" w:lineRule="auto"/>
              <w:jc w:val="center"/>
              <w:rPr>
                <w:sz w:val="20"/>
                <w:szCs w:val="20"/>
              </w:rPr>
            </w:pPr>
            <w:r>
              <w:rPr>
                <w:b/>
                <w:bCs/>
                <w:sz w:val="20"/>
                <w:szCs w:val="20"/>
              </w:rPr>
              <w:t>PV of Cash Flows</w:t>
            </w:r>
          </w:p>
        </w:tc>
      </w:tr>
      <w:tr>
        <w:trPr>
          <w:trHeight w:val="315"/>
        </w:trPr>
        <w:tc>
          <w:tcPr>
            <w:tcW w:w="939"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0</w:t>
            </w:r>
          </w:p>
        </w:tc>
        <w:tc>
          <w:tcPr>
            <w:tcW w:w="627"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-50</w:t>
            </w:r>
          </w:p>
        </w:tc>
        <w:tc>
          <w:tcPr>
            <w:tcW w:w="401" w:type="pct"/>
            <w:tcBorders>
              <w:top w:val="nil"/>
              <w:left w:val="nil"/>
              <w:bottom w:val="nil"/>
              <w:right w:val="nil"/>
            </w:tcBorders>
            <w:tcMar>
              <w:top w:w="40" w:type="dxa"/>
              <w:left w:w="40" w:type="dxa"/>
              <w:bottom w:w="40" w:type="dxa"/>
              <w:right w:w="40" w:type="dxa"/>
            </w:tcMar>
            <w:vAlign w:val="bottom"/>
          </w:tcPr>
          <w:p>
            <w:pPr>
              <w:widowControl w:val="0"/>
              <w:spacing w:line="276" w:lineRule="auto"/>
              <w:jc w:val="left"/>
              <w:rPr>
                <w:sz w:val="20"/>
                <w:szCs w:val="20"/>
              </w:rPr>
            </w:pPr>
          </w:p>
        </w:tc>
        <w:tc>
          <w:tcPr>
            <w:tcW w:w="342" w:type="pct"/>
            <w:tcBorders>
              <w:top w:val="nil"/>
              <w:left w:val="nil"/>
              <w:bottom w:val="nil"/>
              <w:right w:val="nil"/>
            </w:tcBorders>
            <w:tcMar>
              <w:top w:w="40" w:type="dxa"/>
              <w:left w:w="40" w:type="dxa"/>
              <w:bottom w:w="40" w:type="dxa"/>
              <w:right w:w="40" w:type="dxa"/>
            </w:tcMar>
            <w:vAlign w:val="bottom"/>
          </w:tcPr>
          <w:p>
            <w:pPr>
              <w:widowControl w:val="0"/>
              <w:spacing w:line="276" w:lineRule="auto"/>
              <w:jc w:val="left"/>
              <w:rPr>
                <w:sz w:val="20"/>
                <w:szCs w:val="20"/>
              </w:rPr>
            </w:pPr>
          </w:p>
        </w:tc>
        <w:tc>
          <w:tcPr>
            <w:tcW w:w="608"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-50</w:t>
            </w:r>
          </w:p>
        </w:tc>
        <w:tc>
          <w:tcPr>
            <w:tcW w:w="528"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1</w:t>
            </w:r>
          </w:p>
        </w:tc>
        <w:tc>
          <w:tcPr>
            <w:tcW w:w="541"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-50</w:t>
            </w:r>
          </w:p>
        </w:tc>
        <w:tc>
          <w:tcPr>
            <w:tcW w:w="524"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1</w:t>
            </w:r>
          </w:p>
        </w:tc>
        <w:tc>
          <w:tcPr>
            <w:tcW w:w="490" w:type="pct"/>
            <w:tcBorders>
              <w:top w:val="nil"/>
              <w:left w:val="nil"/>
              <w:bottom w:val="nil"/>
              <w:right w:val="single" w:sz="5" w:space="0" w:color="000000"/>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-50</w:t>
            </w:r>
          </w:p>
        </w:tc>
      </w:tr>
      <w:tr>
        <w:trPr>
          <w:trHeight w:val="315"/>
        </w:trPr>
        <w:tc>
          <w:tcPr>
            <w:tcW w:w="939"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1</w:t>
            </w:r>
          </w:p>
        </w:tc>
        <w:tc>
          <w:tcPr>
            <w:tcW w:w="627"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11</w:t>
            </w:r>
          </w:p>
        </w:tc>
        <w:tc>
          <w:tcPr>
            <w:tcW w:w="401"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10</w:t>
            </w:r>
          </w:p>
        </w:tc>
        <w:tc>
          <w:tcPr>
            <w:tcW w:w="342"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1</w:t>
            </w:r>
          </w:p>
        </w:tc>
        <w:tc>
          <w:tcPr>
            <w:tcW w:w="608"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-39</w:t>
            </w:r>
          </w:p>
        </w:tc>
        <w:tc>
          <w:tcPr>
            <w:tcW w:w="528"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0.909</w:t>
            </w:r>
          </w:p>
        </w:tc>
        <w:tc>
          <w:tcPr>
            <w:tcW w:w="541"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10</w:t>
            </w:r>
          </w:p>
        </w:tc>
        <w:tc>
          <w:tcPr>
            <w:tcW w:w="524"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0.870</w:t>
            </w:r>
          </w:p>
        </w:tc>
        <w:tc>
          <w:tcPr>
            <w:tcW w:w="490" w:type="pct"/>
            <w:tcBorders>
              <w:top w:val="nil"/>
              <w:left w:val="nil"/>
              <w:bottom w:val="nil"/>
              <w:right w:val="single" w:sz="5" w:space="0" w:color="000000"/>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10</w:t>
            </w:r>
          </w:p>
        </w:tc>
      </w:tr>
      <w:tr>
        <w:trPr>
          <w:trHeight w:val="315"/>
        </w:trPr>
        <w:tc>
          <w:tcPr>
            <w:tcW w:w="939"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2</w:t>
            </w:r>
          </w:p>
        </w:tc>
        <w:tc>
          <w:tcPr>
            <w:tcW w:w="627"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11</w:t>
            </w:r>
          </w:p>
        </w:tc>
        <w:tc>
          <w:tcPr>
            <w:tcW w:w="401"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10</w:t>
            </w:r>
          </w:p>
        </w:tc>
        <w:tc>
          <w:tcPr>
            <w:tcW w:w="342"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1</w:t>
            </w:r>
          </w:p>
        </w:tc>
        <w:tc>
          <w:tcPr>
            <w:tcW w:w="608"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-28</w:t>
            </w:r>
          </w:p>
        </w:tc>
        <w:tc>
          <w:tcPr>
            <w:tcW w:w="528"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0.826</w:t>
            </w:r>
          </w:p>
        </w:tc>
        <w:tc>
          <w:tcPr>
            <w:tcW w:w="541"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9</w:t>
            </w:r>
          </w:p>
        </w:tc>
        <w:tc>
          <w:tcPr>
            <w:tcW w:w="524"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0.756</w:t>
            </w:r>
          </w:p>
        </w:tc>
        <w:tc>
          <w:tcPr>
            <w:tcW w:w="490" w:type="pct"/>
            <w:tcBorders>
              <w:top w:val="nil"/>
              <w:left w:val="nil"/>
              <w:bottom w:val="nil"/>
              <w:right w:val="single" w:sz="5" w:space="0" w:color="000000"/>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8</w:t>
            </w:r>
          </w:p>
        </w:tc>
      </w:tr>
      <w:tr>
        <w:trPr>
          <w:trHeight w:val="315"/>
        </w:trPr>
        <w:tc>
          <w:tcPr>
            <w:tcW w:w="939"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3</w:t>
            </w:r>
          </w:p>
        </w:tc>
        <w:tc>
          <w:tcPr>
            <w:tcW w:w="627"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11</w:t>
            </w:r>
          </w:p>
        </w:tc>
        <w:tc>
          <w:tcPr>
            <w:tcW w:w="401"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10</w:t>
            </w:r>
          </w:p>
        </w:tc>
        <w:tc>
          <w:tcPr>
            <w:tcW w:w="342"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1</w:t>
            </w:r>
          </w:p>
        </w:tc>
        <w:tc>
          <w:tcPr>
            <w:tcW w:w="608"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-17</w:t>
            </w:r>
          </w:p>
        </w:tc>
        <w:tc>
          <w:tcPr>
            <w:tcW w:w="528"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0.751</w:t>
            </w:r>
          </w:p>
        </w:tc>
        <w:tc>
          <w:tcPr>
            <w:tcW w:w="541"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8</w:t>
            </w:r>
          </w:p>
        </w:tc>
        <w:tc>
          <w:tcPr>
            <w:tcW w:w="524"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0.658</w:t>
            </w:r>
          </w:p>
        </w:tc>
        <w:tc>
          <w:tcPr>
            <w:tcW w:w="490" w:type="pct"/>
            <w:tcBorders>
              <w:top w:val="nil"/>
              <w:left w:val="nil"/>
              <w:bottom w:val="nil"/>
              <w:right w:val="single" w:sz="5" w:space="0" w:color="000000"/>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7</w:t>
            </w:r>
          </w:p>
        </w:tc>
      </w:tr>
      <w:tr>
        <w:trPr>
          <w:trHeight w:val="315"/>
        </w:trPr>
        <w:tc>
          <w:tcPr>
            <w:tcW w:w="939"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4</w:t>
            </w:r>
          </w:p>
        </w:tc>
        <w:tc>
          <w:tcPr>
            <w:tcW w:w="627"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11</w:t>
            </w:r>
          </w:p>
        </w:tc>
        <w:tc>
          <w:tcPr>
            <w:tcW w:w="401"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10</w:t>
            </w:r>
          </w:p>
        </w:tc>
        <w:tc>
          <w:tcPr>
            <w:tcW w:w="342"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1</w:t>
            </w:r>
          </w:p>
        </w:tc>
        <w:tc>
          <w:tcPr>
            <w:tcW w:w="608"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-6</w:t>
            </w:r>
          </w:p>
        </w:tc>
        <w:tc>
          <w:tcPr>
            <w:tcW w:w="528"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0.683</w:t>
            </w:r>
          </w:p>
        </w:tc>
        <w:tc>
          <w:tcPr>
            <w:tcW w:w="541"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8</w:t>
            </w:r>
          </w:p>
        </w:tc>
        <w:tc>
          <w:tcPr>
            <w:tcW w:w="524"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0.572</w:t>
            </w:r>
          </w:p>
        </w:tc>
        <w:tc>
          <w:tcPr>
            <w:tcW w:w="490" w:type="pct"/>
            <w:tcBorders>
              <w:top w:val="nil"/>
              <w:left w:val="nil"/>
              <w:bottom w:val="nil"/>
              <w:right w:val="single" w:sz="5" w:space="0" w:color="000000"/>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6</w:t>
            </w:r>
          </w:p>
        </w:tc>
      </w:tr>
      <w:tr>
        <w:trPr>
          <w:trHeight w:val="315"/>
        </w:trPr>
        <w:tc>
          <w:tcPr>
            <w:tcW w:w="939" w:type="pct"/>
            <w:tcBorders>
              <w:top w:val="nil"/>
              <w:left w:val="single" w:sz="5" w:space="0" w:color="000000"/>
              <w:bottom w:val="single" w:sz="5" w:space="0" w:color="000000"/>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5</w:t>
            </w:r>
          </w:p>
        </w:tc>
        <w:tc>
          <w:tcPr>
            <w:tcW w:w="627" w:type="pct"/>
            <w:tcBorders>
              <w:top w:val="nil"/>
              <w:left w:val="nil"/>
              <w:bottom w:val="single" w:sz="5" w:space="0" w:color="000000"/>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11</w:t>
            </w:r>
          </w:p>
        </w:tc>
        <w:tc>
          <w:tcPr>
            <w:tcW w:w="401" w:type="pct"/>
            <w:tcBorders>
              <w:top w:val="nil"/>
              <w:left w:val="nil"/>
              <w:bottom w:val="single" w:sz="5" w:space="0" w:color="000000"/>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10</w:t>
            </w:r>
          </w:p>
        </w:tc>
        <w:tc>
          <w:tcPr>
            <w:tcW w:w="342" w:type="pct"/>
            <w:tcBorders>
              <w:top w:val="nil"/>
              <w:left w:val="nil"/>
              <w:bottom w:val="single" w:sz="5" w:space="0" w:color="000000"/>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1</w:t>
            </w:r>
          </w:p>
        </w:tc>
        <w:tc>
          <w:tcPr>
            <w:tcW w:w="608" w:type="pct"/>
            <w:tcBorders>
              <w:top w:val="nil"/>
              <w:left w:val="nil"/>
              <w:bottom w:val="single" w:sz="5" w:space="0" w:color="000000"/>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5</w:t>
            </w:r>
          </w:p>
        </w:tc>
        <w:tc>
          <w:tcPr>
            <w:tcW w:w="528" w:type="pct"/>
            <w:tcBorders>
              <w:top w:val="nil"/>
              <w:left w:val="nil"/>
              <w:bottom w:val="single" w:sz="5" w:space="0" w:color="000000"/>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0.621</w:t>
            </w:r>
          </w:p>
        </w:tc>
        <w:tc>
          <w:tcPr>
            <w:tcW w:w="541" w:type="pct"/>
            <w:tcBorders>
              <w:top w:val="nil"/>
              <w:left w:val="nil"/>
              <w:bottom w:val="single" w:sz="5" w:space="0" w:color="000000"/>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7</w:t>
            </w:r>
          </w:p>
        </w:tc>
        <w:tc>
          <w:tcPr>
            <w:tcW w:w="524" w:type="pct"/>
            <w:tcBorders>
              <w:top w:val="nil"/>
              <w:left w:val="nil"/>
              <w:bottom w:val="single" w:sz="5" w:space="0" w:color="000000"/>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0.497</w:t>
            </w:r>
          </w:p>
        </w:tc>
        <w:tc>
          <w:tcPr>
            <w:tcW w:w="490" w:type="pct"/>
            <w:tcBorders>
              <w:top w:val="nil"/>
              <w:left w:val="nil"/>
              <w:bottom w:val="single" w:sz="5" w:space="0" w:color="000000"/>
              <w:right w:val="single" w:sz="5" w:space="0" w:color="000000"/>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5</w:t>
            </w:r>
          </w:p>
        </w:tc>
      </w:tr>
      <w:tr>
        <w:trPr>
          <w:trHeight w:val="315"/>
        </w:trPr>
        <w:tc>
          <w:tcPr>
            <w:tcW w:w="939" w:type="pct"/>
            <w:tcBorders>
              <w:top w:val="nil"/>
              <w:left w:val="single" w:sz="5" w:space="0" w:color="000000"/>
              <w:bottom w:val="single" w:sz="5" w:space="0" w:color="000000"/>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Total</w:t>
            </w:r>
          </w:p>
        </w:tc>
        <w:tc>
          <w:tcPr>
            <w:tcW w:w="627" w:type="pct"/>
            <w:tcBorders>
              <w:top w:val="nil"/>
              <w:left w:val="nil"/>
              <w:bottom w:val="single" w:sz="5" w:space="0" w:color="000000"/>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55</w:t>
            </w:r>
          </w:p>
        </w:tc>
        <w:tc>
          <w:tcPr>
            <w:tcW w:w="401" w:type="pct"/>
            <w:tcBorders>
              <w:top w:val="nil"/>
              <w:left w:val="nil"/>
              <w:bottom w:val="single" w:sz="5" w:space="0" w:color="000000"/>
              <w:right w:val="nil"/>
            </w:tcBorders>
            <w:tcMar>
              <w:top w:w="40" w:type="dxa"/>
              <w:left w:w="40" w:type="dxa"/>
              <w:bottom w:w="40" w:type="dxa"/>
              <w:right w:w="40" w:type="dxa"/>
            </w:tcMar>
            <w:vAlign w:val="bottom"/>
          </w:tcPr>
          <w:p>
            <w:pPr>
              <w:widowControl w:val="0"/>
              <w:spacing w:line="276" w:lineRule="auto"/>
              <w:jc w:val="left"/>
              <w:rPr>
                <w:sz w:val="20"/>
                <w:szCs w:val="20"/>
              </w:rPr>
            </w:pPr>
          </w:p>
        </w:tc>
        <w:tc>
          <w:tcPr>
            <w:tcW w:w="342" w:type="pct"/>
            <w:tcBorders>
              <w:top w:val="nil"/>
              <w:left w:val="nil"/>
              <w:bottom w:val="single" w:sz="5" w:space="0" w:color="000000"/>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1</w:t>
            </w:r>
          </w:p>
        </w:tc>
        <w:tc>
          <w:tcPr>
            <w:tcW w:w="608" w:type="pct"/>
            <w:tcBorders>
              <w:top w:val="nil"/>
              <w:left w:val="nil"/>
              <w:bottom w:val="single" w:sz="5" w:space="0" w:color="000000"/>
              <w:right w:val="nil"/>
            </w:tcBorders>
            <w:tcMar>
              <w:top w:w="40" w:type="dxa"/>
              <w:left w:w="40" w:type="dxa"/>
              <w:bottom w:w="40" w:type="dxa"/>
              <w:right w:w="40" w:type="dxa"/>
            </w:tcMar>
            <w:vAlign w:val="bottom"/>
          </w:tcPr>
          <w:p>
            <w:pPr>
              <w:widowControl w:val="0"/>
              <w:spacing w:line="276" w:lineRule="auto"/>
              <w:jc w:val="left"/>
              <w:rPr>
                <w:sz w:val="20"/>
                <w:szCs w:val="20"/>
              </w:rPr>
            </w:pPr>
          </w:p>
        </w:tc>
        <w:tc>
          <w:tcPr>
            <w:tcW w:w="528" w:type="pct"/>
            <w:tcBorders>
              <w:top w:val="nil"/>
              <w:left w:val="nil"/>
              <w:bottom w:val="single" w:sz="5" w:space="0" w:color="000000"/>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4.79</w:t>
            </w:r>
          </w:p>
        </w:tc>
        <w:tc>
          <w:tcPr>
            <w:tcW w:w="541" w:type="pct"/>
            <w:tcBorders>
              <w:top w:val="nil"/>
              <w:left w:val="nil"/>
              <w:bottom w:val="single" w:sz="5" w:space="0" w:color="000000"/>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41.70</w:t>
            </w:r>
          </w:p>
        </w:tc>
        <w:tc>
          <w:tcPr>
            <w:tcW w:w="524" w:type="pct"/>
            <w:tcBorders>
              <w:top w:val="nil"/>
              <w:left w:val="nil"/>
              <w:bottom w:val="single" w:sz="5" w:space="0" w:color="000000"/>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4.35</w:t>
            </w:r>
          </w:p>
        </w:tc>
        <w:tc>
          <w:tcPr>
            <w:tcW w:w="490" w:type="pct"/>
            <w:tcBorders>
              <w:top w:val="nil"/>
              <w:left w:val="nil"/>
              <w:bottom w:val="single" w:sz="5" w:space="0" w:color="000000"/>
              <w:right w:val="single" w:sz="5" w:space="0" w:color="000000"/>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36.87</w:t>
            </w:r>
          </w:p>
        </w:tc>
      </w:tr>
      <w:tr>
        <w:trPr>
          <w:trHeight w:val="315"/>
        </w:trPr>
        <w:tc>
          <w:tcPr>
            <w:tcW w:w="1566" w:type="pct"/>
            <w:gridSpan w:val="2"/>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left"/>
              <w:rPr>
                <w:sz w:val="20"/>
                <w:szCs w:val="20"/>
              </w:rPr>
            </w:pPr>
          </w:p>
        </w:tc>
        <w:tc>
          <w:tcPr>
            <w:tcW w:w="3434" w:type="pct"/>
            <w:gridSpan w:val="7"/>
            <w:vMerge w:val="restart"/>
            <w:tcBorders>
              <w:top w:val="nil"/>
              <w:left w:val="nil"/>
              <w:bottom w:val="single" w:sz="5" w:space="0" w:color="000000"/>
              <w:right w:val="single" w:sz="5" w:space="0" w:color="000000"/>
            </w:tcBorders>
            <w:tcMar>
              <w:top w:w="40" w:type="dxa"/>
              <w:left w:w="40" w:type="dxa"/>
              <w:bottom w:w="40" w:type="dxa"/>
              <w:right w:w="40" w:type="dxa"/>
            </w:tcMar>
            <w:vAlign w:val="bottom"/>
          </w:tcPr>
          <w:p>
            <w:pPr>
              <w:widowControl w:val="0"/>
              <w:spacing w:line="276" w:lineRule="auto"/>
              <w:jc w:val="left"/>
              <w:rPr>
                <w:sz w:val="20"/>
                <w:szCs w:val="20"/>
              </w:rPr>
            </w:pPr>
          </w:p>
        </w:tc>
      </w:tr>
      <w:tr>
        <w:trPr>
          <w:trHeight w:val="315"/>
        </w:trPr>
        <w:tc>
          <w:tcPr>
            <w:tcW w:w="939"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Payback Period</w:t>
            </w:r>
          </w:p>
        </w:tc>
        <w:tc>
          <w:tcPr>
            <w:tcW w:w="627"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4.55</w:t>
            </w:r>
          </w:p>
        </w:tc>
        <w:tc>
          <w:tcPr>
            <w:tcW w:w="3434" w:type="pct"/>
            <w:gridSpan w:val="7"/>
            <w:vMerge/>
            <w:tcBorders>
              <w:top w:val="nil"/>
              <w:left w:val="nil"/>
              <w:bottom w:val="single" w:sz="5" w:space="0" w:color="000000"/>
            </w:tcBorders>
            <w:tcMar>
              <w:top w:w="100" w:type="dxa"/>
              <w:left w:w="100" w:type="dxa"/>
              <w:bottom w:w="100" w:type="dxa"/>
              <w:right w:w="100" w:type="dxa"/>
            </w:tcMar>
          </w:tcPr>
          <w:p/>
        </w:tc>
      </w:tr>
      <w:tr>
        <w:trPr>
          <w:trHeight w:val="315"/>
        </w:trPr>
        <w:tc>
          <w:tcPr>
            <w:tcW w:w="939"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Accounting Rate of Return (ARR)</w:t>
            </w:r>
          </w:p>
        </w:tc>
        <w:tc>
          <w:tcPr>
            <w:tcW w:w="627"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2.00%</w:t>
            </w:r>
          </w:p>
        </w:tc>
        <w:tc>
          <w:tcPr>
            <w:tcW w:w="3434" w:type="pct"/>
            <w:gridSpan w:val="7"/>
            <w:vMerge/>
            <w:tcBorders>
              <w:top w:val="nil"/>
              <w:left w:val="nil"/>
              <w:bottom w:val="single" w:sz="5" w:space="0" w:color="000000"/>
            </w:tcBorders>
            <w:tcMar>
              <w:top w:w="100" w:type="dxa"/>
              <w:left w:w="100" w:type="dxa"/>
              <w:bottom w:w="100" w:type="dxa"/>
              <w:right w:w="100" w:type="dxa"/>
            </w:tcMar>
          </w:tcPr>
          <w:p/>
        </w:tc>
      </w:tr>
      <w:tr>
        <w:trPr>
          <w:trHeight w:val="315"/>
        </w:trPr>
        <w:tc>
          <w:tcPr>
            <w:tcW w:w="939"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Net Present Value (NPV)_1</w:t>
            </w:r>
          </w:p>
        </w:tc>
        <w:tc>
          <w:tcPr>
            <w:tcW w:w="627"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-8.30</w:t>
            </w:r>
          </w:p>
        </w:tc>
        <w:tc>
          <w:tcPr>
            <w:tcW w:w="3434" w:type="pct"/>
            <w:gridSpan w:val="7"/>
            <w:vMerge/>
            <w:tcBorders>
              <w:top w:val="nil"/>
              <w:left w:val="nil"/>
              <w:bottom w:val="single" w:sz="5" w:space="0" w:color="000000"/>
            </w:tcBorders>
            <w:tcMar>
              <w:top w:w="100" w:type="dxa"/>
              <w:left w:w="100" w:type="dxa"/>
              <w:bottom w:w="100" w:type="dxa"/>
              <w:right w:w="100" w:type="dxa"/>
            </w:tcMar>
          </w:tcPr>
          <w:p/>
        </w:tc>
      </w:tr>
      <w:tr>
        <w:trPr>
          <w:trHeight w:val="315"/>
        </w:trPr>
        <w:tc>
          <w:tcPr>
            <w:tcW w:w="939"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Profitability Index (PI)</w:t>
            </w:r>
          </w:p>
        </w:tc>
        <w:tc>
          <w:tcPr>
            <w:tcW w:w="627"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0.83</w:t>
            </w:r>
          </w:p>
        </w:tc>
        <w:tc>
          <w:tcPr>
            <w:tcW w:w="3434" w:type="pct"/>
            <w:gridSpan w:val="7"/>
            <w:vMerge/>
            <w:tcBorders>
              <w:top w:val="nil"/>
              <w:left w:val="nil"/>
              <w:bottom w:val="single" w:sz="5" w:space="0" w:color="000000"/>
            </w:tcBorders>
            <w:tcMar>
              <w:top w:w="100" w:type="dxa"/>
              <w:left w:w="100" w:type="dxa"/>
              <w:bottom w:w="100" w:type="dxa"/>
              <w:right w:w="100" w:type="dxa"/>
            </w:tcMar>
          </w:tcPr>
          <w:p/>
        </w:tc>
      </w:tr>
      <w:tr>
        <w:trPr>
          <w:trHeight w:val="315"/>
        </w:trPr>
        <w:tc>
          <w:tcPr>
            <w:tcW w:w="939"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NPV_2</w:t>
            </w:r>
          </w:p>
        </w:tc>
        <w:tc>
          <w:tcPr>
            <w:tcW w:w="627"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-13.13</w:t>
            </w:r>
          </w:p>
        </w:tc>
        <w:tc>
          <w:tcPr>
            <w:tcW w:w="3434" w:type="pct"/>
            <w:gridSpan w:val="7"/>
            <w:vMerge/>
            <w:tcBorders>
              <w:top w:val="nil"/>
              <w:left w:val="nil"/>
              <w:bottom w:val="single" w:sz="5" w:space="0" w:color="000000"/>
            </w:tcBorders>
            <w:tcMar>
              <w:top w:w="100" w:type="dxa"/>
              <w:left w:w="100" w:type="dxa"/>
              <w:bottom w:w="100" w:type="dxa"/>
              <w:right w:w="100" w:type="dxa"/>
            </w:tcMar>
          </w:tcPr>
          <w:p/>
        </w:tc>
      </w:tr>
      <w:tr>
        <w:trPr>
          <w:trHeight w:val="315"/>
        </w:trPr>
        <w:tc>
          <w:tcPr>
            <w:tcW w:w="939"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Discount Rate_1</w:t>
            </w:r>
          </w:p>
        </w:tc>
        <w:tc>
          <w:tcPr>
            <w:tcW w:w="627"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10%</w:t>
            </w:r>
          </w:p>
        </w:tc>
        <w:tc>
          <w:tcPr>
            <w:tcW w:w="3434" w:type="pct"/>
            <w:gridSpan w:val="7"/>
            <w:vMerge/>
            <w:tcBorders>
              <w:top w:val="nil"/>
              <w:left w:val="nil"/>
              <w:bottom w:val="single" w:sz="5" w:space="0" w:color="000000"/>
            </w:tcBorders>
            <w:tcMar>
              <w:top w:w="100" w:type="dxa"/>
              <w:left w:w="100" w:type="dxa"/>
              <w:bottom w:w="100" w:type="dxa"/>
              <w:right w:w="100" w:type="dxa"/>
            </w:tcMar>
          </w:tcPr>
          <w:p/>
        </w:tc>
      </w:tr>
      <w:tr>
        <w:trPr>
          <w:trHeight w:val="315"/>
        </w:trPr>
        <w:tc>
          <w:tcPr>
            <w:tcW w:w="939"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Discount Rate_2</w:t>
            </w:r>
          </w:p>
        </w:tc>
        <w:tc>
          <w:tcPr>
            <w:tcW w:w="627"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15%</w:t>
            </w:r>
          </w:p>
        </w:tc>
        <w:tc>
          <w:tcPr>
            <w:tcW w:w="3434" w:type="pct"/>
            <w:gridSpan w:val="7"/>
            <w:vMerge/>
            <w:tcBorders>
              <w:top w:val="nil"/>
              <w:left w:val="nil"/>
              <w:bottom w:val="single" w:sz="5" w:space="0" w:color="000000"/>
            </w:tcBorders>
            <w:tcMar>
              <w:top w:w="100" w:type="dxa"/>
              <w:left w:w="100" w:type="dxa"/>
              <w:bottom w:w="100" w:type="dxa"/>
              <w:right w:w="100" w:type="dxa"/>
            </w:tcMar>
          </w:tcPr>
          <w:p/>
        </w:tc>
      </w:tr>
      <w:tr>
        <w:trPr>
          <w:trHeight w:val="315"/>
        </w:trPr>
        <w:tc>
          <w:tcPr>
            <w:tcW w:w="939" w:type="pct"/>
            <w:tcBorders>
              <w:top w:val="nil"/>
              <w:left w:val="single" w:sz="5" w:space="0" w:color="000000"/>
              <w:bottom w:val="single" w:sz="5" w:space="0" w:color="000000"/>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Internal Rate of Return</w:t>
            </w:r>
          </w:p>
        </w:tc>
        <w:tc>
          <w:tcPr>
            <w:tcW w:w="627" w:type="pct"/>
            <w:tcBorders>
              <w:top w:val="nil"/>
              <w:left w:val="nil"/>
              <w:bottom w:val="single" w:sz="5" w:space="0" w:color="000000"/>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1.40%</w:t>
            </w:r>
          </w:p>
        </w:tc>
        <w:tc>
          <w:tcPr>
            <w:tcW w:w="3434" w:type="pct"/>
            <w:gridSpan w:val="7"/>
            <w:vMerge/>
            <w:tcBorders>
              <w:top w:val="nil"/>
              <w:left w:val="nil"/>
              <w:bottom w:val="single" w:sz="5" w:space="0" w:color="000000"/>
            </w:tcBorders>
            <w:tcMar>
              <w:top w:w="100" w:type="dxa"/>
              <w:left w:w="100" w:type="dxa"/>
              <w:bottom w:w="100" w:type="dxa"/>
              <w:right w:w="100" w:type="dxa"/>
            </w:tcMar>
          </w:tcPr>
          <w:p/>
        </w:tc>
      </w:tr>
    </w:tbl>
    <w:p>
      <w:pPr>
        <w:pStyle w:val="5"/>
        <w:rPr>
          <w:sz w:val="20"/>
          <w:szCs w:val="20"/>
        </w:rPr>
      </w:pPr>
      <w:bookmarkStart w:id="74" w:name="_Toc227926977"/>
      <w:r>
        <w:t>Table 9: Project B</w:t>
      </w:r>
      <w:bookmarkEnd w:id="74"/>
    </w:p>
    <w:tbl>
      <w:tblPr>
        <w:jc w:val="left"/>
        <w:tblInd w:w="0" w:type="dxa"/>
        <w:tblW w:w="5000" w:type="pct"/>
        <w:tblBorders>
          <w:top w:val="none" w:sz="0" w:space="0" w:color="auto"/>
          <w:left w:val="none" w:sz="0" w:space="0" w:color="auto"/>
          <w:bottom w:val="none" w:sz="0" w:space="0" w:color="auto"/>
          <w:right w:val="none" w:sz="0" w:space="0" w:color="auto"/>
        </w:tblBorders>
        <w:tblCellMar>
          <w:top w:w="0" w:type="dxa"/>
          <w:left w:w="0" w:type="dxa"/>
          <w:bottom w:w="0" w:type="dxa"/>
          <w:right w:w="0" w:type="dxa"/>
        </w:tblCellMar>
      </w:tblPr>
      <w:tblGrid>
        <w:gridCol w:w="1693"/>
        <w:gridCol w:w="1131"/>
        <w:gridCol w:w="723"/>
        <w:gridCol w:w="617"/>
        <w:gridCol w:w="1096"/>
        <w:gridCol w:w="952"/>
        <w:gridCol w:w="976"/>
        <w:gridCol w:w="945"/>
        <w:gridCol w:w="884"/>
      </w:tblGrid>
      <w:tr>
        <w:trPr>
          <w:trHeight w:val="330"/>
        </w:trPr>
        <w:tc>
          <w:tcPr>
            <w:tcW w:w="5000" w:type="pct"/>
            <w:gridSpan w:val="9"/>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pPr>
              <w:widowControl w:val="0"/>
              <w:spacing w:line="276" w:lineRule="auto"/>
              <w:jc w:val="center"/>
              <w:rPr>
                <w:sz w:val="20"/>
                <w:szCs w:val="20"/>
              </w:rPr>
            </w:pPr>
            <w:r>
              <w:rPr>
                <w:b/>
                <w:bCs/>
                <w:sz w:val="20"/>
                <w:szCs w:val="20"/>
              </w:rPr>
              <w:t>Project C (£m)</w:t>
            </w:r>
          </w:p>
        </w:tc>
      </w:tr>
      <w:tr>
        <w:trPr>
          <w:trHeight w:val="540"/>
        </w:trPr>
        <w:tc>
          <w:tcPr>
            <w:tcW w:w="939"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b/>
                <w:bCs/>
                <w:sz w:val="20"/>
                <w:szCs w:val="20"/>
              </w:rPr>
              <w:t>Year</w:t>
            </w:r>
          </w:p>
        </w:tc>
        <w:tc>
          <w:tcPr>
            <w:tcW w:w="627"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b/>
                <w:bCs/>
                <w:sz w:val="20"/>
                <w:szCs w:val="20"/>
              </w:rPr>
              <w:t>Cash Flows</w:t>
            </w:r>
          </w:p>
        </w:tc>
        <w:tc>
          <w:tcPr>
            <w:tcW w:w="401"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b/>
                <w:bCs/>
                <w:sz w:val="20"/>
                <w:szCs w:val="20"/>
              </w:rPr>
              <w:t>Depreciation</w:t>
            </w:r>
          </w:p>
        </w:tc>
        <w:tc>
          <w:tcPr>
            <w:tcW w:w="342"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b/>
                <w:bCs/>
                <w:sz w:val="20"/>
                <w:szCs w:val="20"/>
              </w:rPr>
              <w:t>Profit</w:t>
            </w:r>
          </w:p>
        </w:tc>
        <w:tc>
          <w:tcPr>
            <w:tcW w:w="608"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b/>
                <w:bCs/>
                <w:sz w:val="20"/>
                <w:szCs w:val="20"/>
              </w:rPr>
              <w:t>Cumulative Cash Flow</w:t>
            </w:r>
          </w:p>
        </w:tc>
        <w:tc>
          <w:tcPr>
            <w:tcW w:w="528"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b/>
                <w:bCs/>
                <w:sz w:val="20"/>
                <w:szCs w:val="20"/>
              </w:rPr>
              <w:t>PV Factor (10%)</w:t>
            </w:r>
          </w:p>
        </w:tc>
        <w:tc>
          <w:tcPr>
            <w:tcW w:w="541"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b/>
                <w:bCs/>
                <w:sz w:val="20"/>
                <w:szCs w:val="20"/>
              </w:rPr>
              <w:t>PV of Cash Flows</w:t>
            </w:r>
          </w:p>
        </w:tc>
        <w:tc>
          <w:tcPr>
            <w:tcW w:w="524"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b/>
                <w:bCs/>
                <w:sz w:val="20"/>
                <w:szCs w:val="20"/>
              </w:rPr>
              <w:t>PV Factor (15%)</w:t>
            </w:r>
          </w:p>
        </w:tc>
        <w:tc>
          <w:tcPr>
            <w:tcW w:w="490" w:type="pct"/>
            <w:tcBorders>
              <w:top w:val="nil"/>
              <w:left w:val="nil"/>
              <w:bottom w:val="nil"/>
              <w:right w:val="single" w:sz="5" w:space="0" w:color="000000"/>
            </w:tcBorders>
            <w:tcMar>
              <w:top w:w="40" w:type="dxa"/>
              <w:left w:w="40" w:type="dxa"/>
              <w:bottom w:w="40" w:type="dxa"/>
              <w:right w:w="40" w:type="dxa"/>
            </w:tcMar>
            <w:vAlign w:val="bottom"/>
          </w:tcPr>
          <w:p>
            <w:pPr>
              <w:widowControl w:val="0"/>
              <w:spacing w:line="276" w:lineRule="auto"/>
              <w:jc w:val="center"/>
              <w:rPr>
                <w:sz w:val="20"/>
                <w:szCs w:val="20"/>
              </w:rPr>
            </w:pPr>
            <w:r>
              <w:rPr>
                <w:b/>
                <w:bCs/>
                <w:sz w:val="20"/>
                <w:szCs w:val="20"/>
              </w:rPr>
              <w:t>PV of Cash Flows</w:t>
            </w:r>
          </w:p>
        </w:tc>
      </w:tr>
      <w:tr>
        <w:trPr>
          <w:trHeight w:val="315"/>
        </w:trPr>
        <w:tc>
          <w:tcPr>
            <w:tcW w:w="939"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0</w:t>
            </w:r>
          </w:p>
        </w:tc>
        <w:tc>
          <w:tcPr>
            <w:tcW w:w="627"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-50</w:t>
            </w:r>
          </w:p>
        </w:tc>
        <w:tc>
          <w:tcPr>
            <w:tcW w:w="401" w:type="pct"/>
            <w:tcBorders>
              <w:top w:val="nil"/>
              <w:left w:val="nil"/>
              <w:bottom w:val="nil"/>
              <w:right w:val="nil"/>
            </w:tcBorders>
            <w:tcMar>
              <w:top w:w="40" w:type="dxa"/>
              <w:left w:w="40" w:type="dxa"/>
              <w:bottom w:w="40" w:type="dxa"/>
              <w:right w:w="40" w:type="dxa"/>
            </w:tcMar>
            <w:vAlign w:val="bottom"/>
          </w:tcPr>
          <w:p>
            <w:pPr>
              <w:widowControl w:val="0"/>
              <w:spacing w:line="276" w:lineRule="auto"/>
              <w:jc w:val="left"/>
              <w:rPr>
                <w:sz w:val="20"/>
                <w:szCs w:val="20"/>
              </w:rPr>
            </w:pPr>
          </w:p>
        </w:tc>
        <w:tc>
          <w:tcPr>
            <w:tcW w:w="342" w:type="pct"/>
            <w:tcBorders>
              <w:top w:val="nil"/>
              <w:left w:val="nil"/>
              <w:bottom w:val="nil"/>
              <w:right w:val="nil"/>
            </w:tcBorders>
            <w:tcMar>
              <w:top w:w="40" w:type="dxa"/>
              <w:left w:w="40" w:type="dxa"/>
              <w:bottom w:w="40" w:type="dxa"/>
              <w:right w:w="40" w:type="dxa"/>
            </w:tcMar>
            <w:vAlign w:val="bottom"/>
          </w:tcPr>
          <w:p>
            <w:pPr>
              <w:widowControl w:val="0"/>
              <w:spacing w:line="276" w:lineRule="auto"/>
              <w:jc w:val="left"/>
              <w:rPr>
                <w:sz w:val="20"/>
                <w:szCs w:val="20"/>
              </w:rPr>
            </w:pPr>
          </w:p>
        </w:tc>
        <w:tc>
          <w:tcPr>
            <w:tcW w:w="608"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-50</w:t>
            </w:r>
          </w:p>
        </w:tc>
        <w:tc>
          <w:tcPr>
            <w:tcW w:w="528"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1</w:t>
            </w:r>
          </w:p>
        </w:tc>
        <w:tc>
          <w:tcPr>
            <w:tcW w:w="541"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-50</w:t>
            </w:r>
          </w:p>
        </w:tc>
        <w:tc>
          <w:tcPr>
            <w:tcW w:w="524"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1</w:t>
            </w:r>
          </w:p>
        </w:tc>
        <w:tc>
          <w:tcPr>
            <w:tcW w:w="490" w:type="pct"/>
            <w:tcBorders>
              <w:top w:val="nil"/>
              <w:left w:val="nil"/>
              <w:bottom w:val="nil"/>
              <w:right w:val="single" w:sz="5" w:space="0" w:color="000000"/>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-50</w:t>
            </w:r>
          </w:p>
        </w:tc>
      </w:tr>
      <w:tr>
        <w:trPr>
          <w:trHeight w:val="315"/>
        </w:trPr>
        <w:tc>
          <w:tcPr>
            <w:tcW w:w="939"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1</w:t>
            </w:r>
          </w:p>
        </w:tc>
        <w:tc>
          <w:tcPr>
            <w:tcW w:w="627"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5</w:t>
            </w:r>
          </w:p>
        </w:tc>
        <w:tc>
          <w:tcPr>
            <w:tcW w:w="401"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10</w:t>
            </w:r>
          </w:p>
        </w:tc>
        <w:tc>
          <w:tcPr>
            <w:tcW w:w="342"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-5</w:t>
            </w:r>
          </w:p>
        </w:tc>
        <w:tc>
          <w:tcPr>
            <w:tcW w:w="608"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-45</w:t>
            </w:r>
          </w:p>
        </w:tc>
        <w:tc>
          <w:tcPr>
            <w:tcW w:w="528"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0.909</w:t>
            </w:r>
          </w:p>
        </w:tc>
        <w:tc>
          <w:tcPr>
            <w:tcW w:w="541"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5</w:t>
            </w:r>
          </w:p>
        </w:tc>
        <w:tc>
          <w:tcPr>
            <w:tcW w:w="524"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0.870</w:t>
            </w:r>
          </w:p>
        </w:tc>
        <w:tc>
          <w:tcPr>
            <w:tcW w:w="490" w:type="pct"/>
            <w:tcBorders>
              <w:top w:val="nil"/>
              <w:left w:val="nil"/>
              <w:bottom w:val="nil"/>
              <w:right w:val="single" w:sz="5" w:space="0" w:color="000000"/>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4</w:t>
            </w:r>
          </w:p>
        </w:tc>
      </w:tr>
      <w:tr>
        <w:trPr>
          <w:trHeight w:val="315"/>
        </w:trPr>
        <w:tc>
          <w:tcPr>
            <w:tcW w:w="939"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2</w:t>
            </w:r>
          </w:p>
        </w:tc>
        <w:tc>
          <w:tcPr>
            <w:tcW w:w="627"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10</w:t>
            </w:r>
          </w:p>
        </w:tc>
        <w:tc>
          <w:tcPr>
            <w:tcW w:w="401"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10</w:t>
            </w:r>
          </w:p>
        </w:tc>
        <w:tc>
          <w:tcPr>
            <w:tcW w:w="342"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0</w:t>
            </w:r>
          </w:p>
        </w:tc>
        <w:tc>
          <w:tcPr>
            <w:tcW w:w="608"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-35</w:t>
            </w:r>
          </w:p>
        </w:tc>
        <w:tc>
          <w:tcPr>
            <w:tcW w:w="528"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0.826</w:t>
            </w:r>
          </w:p>
        </w:tc>
        <w:tc>
          <w:tcPr>
            <w:tcW w:w="541"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8</w:t>
            </w:r>
          </w:p>
        </w:tc>
        <w:tc>
          <w:tcPr>
            <w:tcW w:w="524"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0.756</w:t>
            </w:r>
          </w:p>
        </w:tc>
        <w:tc>
          <w:tcPr>
            <w:tcW w:w="490" w:type="pct"/>
            <w:tcBorders>
              <w:top w:val="nil"/>
              <w:left w:val="nil"/>
              <w:bottom w:val="nil"/>
              <w:right w:val="single" w:sz="5" w:space="0" w:color="000000"/>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8</w:t>
            </w:r>
          </w:p>
        </w:tc>
      </w:tr>
      <w:tr>
        <w:trPr>
          <w:trHeight w:val="315"/>
        </w:trPr>
        <w:tc>
          <w:tcPr>
            <w:tcW w:w="939"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3</w:t>
            </w:r>
          </w:p>
        </w:tc>
        <w:tc>
          <w:tcPr>
            <w:tcW w:w="627"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20</w:t>
            </w:r>
          </w:p>
        </w:tc>
        <w:tc>
          <w:tcPr>
            <w:tcW w:w="401"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10</w:t>
            </w:r>
          </w:p>
        </w:tc>
        <w:tc>
          <w:tcPr>
            <w:tcW w:w="342"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10</w:t>
            </w:r>
          </w:p>
        </w:tc>
        <w:tc>
          <w:tcPr>
            <w:tcW w:w="608"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-15</w:t>
            </w:r>
          </w:p>
        </w:tc>
        <w:tc>
          <w:tcPr>
            <w:tcW w:w="528"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0.751</w:t>
            </w:r>
          </w:p>
        </w:tc>
        <w:tc>
          <w:tcPr>
            <w:tcW w:w="541"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15</w:t>
            </w:r>
          </w:p>
        </w:tc>
        <w:tc>
          <w:tcPr>
            <w:tcW w:w="524"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0.658</w:t>
            </w:r>
          </w:p>
        </w:tc>
        <w:tc>
          <w:tcPr>
            <w:tcW w:w="490" w:type="pct"/>
            <w:tcBorders>
              <w:top w:val="nil"/>
              <w:left w:val="nil"/>
              <w:bottom w:val="nil"/>
              <w:right w:val="single" w:sz="5" w:space="0" w:color="000000"/>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13</w:t>
            </w:r>
          </w:p>
        </w:tc>
      </w:tr>
      <w:tr>
        <w:trPr>
          <w:trHeight w:val="315"/>
        </w:trPr>
        <w:tc>
          <w:tcPr>
            <w:tcW w:w="939"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4</w:t>
            </w:r>
          </w:p>
        </w:tc>
        <w:tc>
          <w:tcPr>
            <w:tcW w:w="627"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25</w:t>
            </w:r>
          </w:p>
        </w:tc>
        <w:tc>
          <w:tcPr>
            <w:tcW w:w="401"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10</w:t>
            </w:r>
          </w:p>
        </w:tc>
        <w:tc>
          <w:tcPr>
            <w:tcW w:w="342"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15</w:t>
            </w:r>
          </w:p>
        </w:tc>
        <w:tc>
          <w:tcPr>
            <w:tcW w:w="608"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10</w:t>
            </w:r>
          </w:p>
        </w:tc>
        <w:tc>
          <w:tcPr>
            <w:tcW w:w="528"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0.683</w:t>
            </w:r>
          </w:p>
        </w:tc>
        <w:tc>
          <w:tcPr>
            <w:tcW w:w="541"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17</w:t>
            </w:r>
          </w:p>
        </w:tc>
        <w:tc>
          <w:tcPr>
            <w:tcW w:w="524"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0.572</w:t>
            </w:r>
          </w:p>
        </w:tc>
        <w:tc>
          <w:tcPr>
            <w:tcW w:w="490" w:type="pct"/>
            <w:tcBorders>
              <w:top w:val="nil"/>
              <w:left w:val="nil"/>
              <w:bottom w:val="nil"/>
              <w:right w:val="single" w:sz="5" w:space="0" w:color="000000"/>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14</w:t>
            </w:r>
          </w:p>
        </w:tc>
      </w:tr>
      <w:tr>
        <w:trPr>
          <w:trHeight w:val="315"/>
        </w:trPr>
        <w:tc>
          <w:tcPr>
            <w:tcW w:w="939" w:type="pct"/>
            <w:tcBorders>
              <w:top w:val="nil"/>
              <w:left w:val="single" w:sz="5" w:space="0" w:color="000000"/>
              <w:bottom w:val="single" w:sz="5" w:space="0" w:color="000000"/>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5</w:t>
            </w:r>
          </w:p>
        </w:tc>
        <w:tc>
          <w:tcPr>
            <w:tcW w:w="627" w:type="pct"/>
            <w:tcBorders>
              <w:top w:val="nil"/>
              <w:left w:val="nil"/>
              <w:bottom w:val="single" w:sz="5" w:space="0" w:color="000000"/>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5</w:t>
            </w:r>
          </w:p>
        </w:tc>
        <w:tc>
          <w:tcPr>
            <w:tcW w:w="401" w:type="pct"/>
            <w:tcBorders>
              <w:top w:val="nil"/>
              <w:left w:val="nil"/>
              <w:bottom w:val="single" w:sz="5" w:space="0" w:color="000000"/>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10</w:t>
            </w:r>
          </w:p>
        </w:tc>
        <w:tc>
          <w:tcPr>
            <w:tcW w:w="342" w:type="pct"/>
            <w:tcBorders>
              <w:top w:val="nil"/>
              <w:left w:val="nil"/>
              <w:bottom w:val="single" w:sz="5" w:space="0" w:color="000000"/>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-5</w:t>
            </w:r>
          </w:p>
        </w:tc>
        <w:tc>
          <w:tcPr>
            <w:tcW w:w="608" w:type="pct"/>
            <w:tcBorders>
              <w:top w:val="nil"/>
              <w:left w:val="nil"/>
              <w:bottom w:val="single" w:sz="5" w:space="0" w:color="000000"/>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15</w:t>
            </w:r>
          </w:p>
        </w:tc>
        <w:tc>
          <w:tcPr>
            <w:tcW w:w="528" w:type="pct"/>
            <w:tcBorders>
              <w:top w:val="nil"/>
              <w:left w:val="nil"/>
              <w:bottom w:val="single" w:sz="5" w:space="0" w:color="000000"/>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0.621</w:t>
            </w:r>
          </w:p>
        </w:tc>
        <w:tc>
          <w:tcPr>
            <w:tcW w:w="541" w:type="pct"/>
            <w:tcBorders>
              <w:top w:val="nil"/>
              <w:left w:val="nil"/>
              <w:bottom w:val="single" w:sz="5" w:space="0" w:color="000000"/>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3</w:t>
            </w:r>
          </w:p>
        </w:tc>
        <w:tc>
          <w:tcPr>
            <w:tcW w:w="524" w:type="pct"/>
            <w:tcBorders>
              <w:top w:val="nil"/>
              <w:left w:val="nil"/>
              <w:bottom w:val="single" w:sz="5" w:space="0" w:color="000000"/>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0.497</w:t>
            </w:r>
          </w:p>
        </w:tc>
        <w:tc>
          <w:tcPr>
            <w:tcW w:w="490" w:type="pct"/>
            <w:tcBorders>
              <w:top w:val="nil"/>
              <w:left w:val="nil"/>
              <w:bottom w:val="single" w:sz="5" w:space="0" w:color="000000"/>
              <w:right w:val="single" w:sz="5" w:space="0" w:color="000000"/>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2</w:t>
            </w:r>
          </w:p>
        </w:tc>
      </w:tr>
      <w:tr>
        <w:trPr>
          <w:trHeight w:val="315"/>
        </w:trPr>
        <w:tc>
          <w:tcPr>
            <w:tcW w:w="939" w:type="pct"/>
            <w:tcBorders>
              <w:top w:val="nil"/>
              <w:left w:val="single" w:sz="5" w:space="0" w:color="000000"/>
              <w:bottom w:val="single" w:sz="5" w:space="0" w:color="000000"/>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Total</w:t>
            </w:r>
          </w:p>
        </w:tc>
        <w:tc>
          <w:tcPr>
            <w:tcW w:w="627" w:type="pct"/>
            <w:tcBorders>
              <w:top w:val="nil"/>
              <w:left w:val="nil"/>
              <w:bottom w:val="single" w:sz="5" w:space="0" w:color="000000"/>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65</w:t>
            </w:r>
          </w:p>
        </w:tc>
        <w:tc>
          <w:tcPr>
            <w:tcW w:w="401" w:type="pct"/>
            <w:tcBorders>
              <w:top w:val="nil"/>
              <w:left w:val="nil"/>
              <w:bottom w:val="single" w:sz="5" w:space="0" w:color="000000"/>
              <w:right w:val="nil"/>
            </w:tcBorders>
            <w:tcMar>
              <w:top w:w="40" w:type="dxa"/>
              <w:left w:w="40" w:type="dxa"/>
              <w:bottom w:w="40" w:type="dxa"/>
              <w:right w:w="40" w:type="dxa"/>
            </w:tcMar>
            <w:vAlign w:val="bottom"/>
          </w:tcPr>
          <w:p>
            <w:pPr>
              <w:widowControl w:val="0"/>
              <w:spacing w:line="276" w:lineRule="auto"/>
              <w:jc w:val="left"/>
              <w:rPr>
                <w:sz w:val="20"/>
                <w:szCs w:val="20"/>
              </w:rPr>
            </w:pPr>
          </w:p>
        </w:tc>
        <w:tc>
          <w:tcPr>
            <w:tcW w:w="342" w:type="pct"/>
            <w:tcBorders>
              <w:top w:val="nil"/>
              <w:left w:val="nil"/>
              <w:bottom w:val="single" w:sz="5" w:space="0" w:color="000000"/>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3</w:t>
            </w:r>
          </w:p>
        </w:tc>
        <w:tc>
          <w:tcPr>
            <w:tcW w:w="608" w:type="pct"/>
            <w:tcBorders>
              <w:top w:val="nil"/>
              <w:left w:val="nil"/>
              <w:bottom w:val="single" w:sz="5" w:space="0" w:color="000000"/>
              <w:right w:val="nil"/>
            </w:tcBorders>
            <w:tcMar>
              <w:top w:w="40" w:type="dxa"/>
              <w:left w:w="40" w:type="dxa"/>
              <w:bottom w:w="40" w:type="dxa"/>
              <w:right w:w="40" w:type="dxa"/>
            </w:tcMar>
            <w:vAlign w:val="bottom"/>
          </w:tcPr>
          <w:p>
            <w:pPr>
              <w:widowControl w:val="0"/>
              <w:spacing w:line="276" w:lineRule="auto"/>
              <w:jc w:val="left"/>
              <w:rPr>
                <w:sz w:val="20"/>
                <w:szCs w:val="20"/>
              </w:rPr>
            </w:pPr>
          </w:p>
        </w:tc>
        <w:tc>
          <w:tcPr>
            <w:tcW w:w="528" w:type="pct"/>
            <w:tcBorders>
              <w:top w:val="nil"/>
              <w:left w:val="nil"/>
              <w:bottom w:val="single" w:sz="5" w:space="0" w:color="000000"/>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4.79</w:t>
            </w:r>
          </w:p>
        </w:tc>
        <w:tc>
          <w:tcPr>
            <w:tcW w:w="541" w:type="pct"/>
            <w:tcBorders>
              <w:top w:val="nil"/>
              <w:left w:val="nil"/>
              <w:bottom w:val="single" w:sz="5" w:space="0" w:color="000000"/>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48.02</w:t>
            </w:r>
          </w:p>
        </w:tc>
        <w:tc>
          <w:tcPr>
            <w:tcW w:w="524" w:type="pct"/>
            <w:tcBorders>
              <w:top w:val="nil"/>
              <w:left w:val="nil"/>
              <w:bottom w:val="single" w:sz="5" w:space="0" w:color="000000"/>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4.35</w:t>
            </w:r>
          </w:p>
        </w:tc>
        <w:tc>
          <w:tcPr>
            <w:tcW w:w="490" w:type="pct"/>
            <w:tcBorders>
              <w:top w:val="nil"/>
              <w:left w:val="nil"/>
              <w:bottom w:val="single" w:sz="5" w:space="0" w:color="000000"/>
              <w:right w:val="single" w:sz="5" w:space="0" w:color="000000"/>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41.84</w:t>
            </w:r>
          </w:p>
        </w:tc>
      </w:tr>
      <w:tr>
        <w:trPr>
          <w:trHeight w:val="315"/>
        </w:trPr>
        <w:tc>
          <w:tcPr>
            <w:tcW w:w="1566" w:type="pct"/>
            <w:gridSpan w:val="2"/>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left"/>
              <w:rPr>
                <w:sz w:val="20"/>
                <w:szCs w:val="20"/>
              </w:rPr>
            </w:pPr>
          </w:p>
        </w:tc>
        <w:tc>
          <w:tcPr>
            <w:tcW w:w="3434" w:type="pct"/>
            <w:gridSpan w:val="7"/>
            <w:vMerge w:val="restart"/>
            <w:tcBorders>
              <w:top w:val="nil"/>
              <w:left w:val="nil"/>
              <w:bottom w:val="single" w:sz="5" w:space="0" w:color="000000"/>
              <w:right w:val="single" w:sz="5" w:space="0" w:color="000000"/>
            </w:tcBorders>
            <w:tcMar>
              <w:top w:w="40" w:type="dxa"/>
              <w:left w:w="40" w:type="dxa"/>
              <w:bottom w:w="40" w:type="dxa"/>
              <w:right w:w="40" w:type="dxa"/>
            </w:tcMar>
            <w:vAlign w:val="bottom"/>
          </w:tcPr>
          <w:p>
            <w:pPr>
              <w:widowControl w:val="0"/>
              <w:spacing w:line="276" w:lineRule="auto"/>
              <w:jc w:val="left"/>
              <w:rPr>
                <w:sz w:val="20"/>
                <w:szCs w:val="20"/>
              </w:rPr>
            </w:pPr>
          </w:p>
        </w:tc>
      </w:tr>
      <w:tr>
        <w:trPr>
          <w:trHeight w:val="315"/>
        </w:trPr>
        <w:tc>
          <w:tcPr>
            <w:tcW w:w="939"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Payback Period</w:t>
            </w:r>
          </w:p>
        </w:tc>
        <w:tc>
          <w:tcPr>
            <w:tcW w:w="627"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3.60</w:t>
            </w:r>
          </w:p>
        </w:tc>
        <w:tc>
          <w:tcPr>
            <w:tcW w:w="3434" w:type="pct"/>
            <w:gridSpan w:val="7"/>
            <w:vMerge/>
            <w:tcBorders>
              <w:top w:val="nil"/>
              <w:left w:val="nil"/>
              <w:bottom w:val="single" w:sz="5" w:space="0" w:color="000000"/>
            </w:tcBorders>
            <w:tcMar>
              <w:top w:w="100" w:type="dxa"/>
              <w:left w:w="100" w:type="dxa"/>
              <w:bottom w:w="100" w:type="dxa"/>
              <w:right w:w="100" w:type="dxa"/>
            </w:tcMar>
          </w:tcPr>
          <w:p/>
        </w:tc>
      </w:tr>
      <w:tr>
        <w:trPr>
          <w:trHeight w:val="315"/>
        </w:trPr>
        <w:tc>
          <w:tcPr>
            <w:tcW w:w="939"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Accounting Rate of Return (ARR)</w:t>
            </w:r>
          </w:p>
        </w:tc>
        <w:tc>
          <w:tcPr>
            <w:tcW w:w="627"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6.00%</w:t>
            </w:r>
          </w:p>
        </w:tc>
        <w:tc>
          <w:tcPr>
            <w:tcW w:w="3434" w:type="pct"/>
            <w:gridSpan w:val="7"/>
            <w:vMerge/>
            <w:tcBorders>
              <w:top w:val="nil"/>
              <w:left w:val="nil"/>
              <w:bottom w:val="single" w:sz="5" w:space="0" w:color="000000"/>
            </w:tcBorders>
            <w:tcMar>
              <w:top w:w="100" w:type="dxa"/>
              <w:left w:w="100" w:type="dxa"/>
              <w:bottom w:w="100" w:type="dxa"/>
              <w:right w:w="100" w:type="dxa"/>
            </w:tcMar>
          </w:tcPr>
          <w:p/>
        </w:tc>
      </w:tr>
      <w:tr>
        <w:trPr>
          <w:trHeight w:val="315"/>
        </w:trPr>
        <w:tc>
          <w:tcPr>
            <w:tcW w:w="939"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Net Present Value (NPV)_1</w:t>
            </w:r>
          </w:p>
        </w:tc>
        <w:tc>
          <w:tcPr>
            <w:tcW w:w="627"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-1.98</w:t>
            </w:r>
          </w:p>
        </w:tc>
        <w:tc>
          <w:tcPr>
            <w:tcW w:w="3434" w:type="pct"/>
            <w:gridSpan w:val="7"/>
            <w:vMerge/>
            <w:tcBorders>
              <w:top w:val="nil"/>
              <w:left w:val="nil"/>
              <w:bottom w:val="single" w:sz="5" w:space="0" w:color="000000"/>
            </w:tcBorders>
            <w:tcMar>
              <w:top w:w="100" w:type="dxa"/>
              <w:left w:w="100" w:type="dxa"/>
              <w:bottom w:w="100" w:type="dxa"/>
              <w:right w:w="100" w:type="dxa"/>
            </w:tcMar>
          </w:tcPr>
          <w:p/>
        </w:tc>
      </w:tr>
      <w:tr>
        <w:trPr>
          <w:trHeight w:val="315"/>
        </w:trPr>
        <w:tc>
          <w:tcPr>
            <w:tcW w:w="939"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Profitability Index (PI)</w:t>
            </w:r>
          </w:p>
        </w:tc>
        <w:tc>
          <w:tcPr>
            <w:tcW w:w="627"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0.96</w:t>
            </w:r>
          </w:p>
        </w:tc>
        <w:tc>
          <w:tcPr>
            <w:tcW w:w="3434" w:type="pct"/>
            <w:gridSpan w:val="7"/>
            <w:vMerge/>
            <w:tcBorders>
              <w:top w:val="nil"/>
              <w:left w:val="nil"/>
              <w:bottom w:val="single" w:sz="5" w:space="0" w:color="000000"/>
            </w:tcBorders>
            <w:tcMar>
              <w:top w:w="100" w:type="dxa"/>
              <w:left w:w="100" w:type="dxa"/>
              <w:bottom w:w="100" w:type="dxa"/>
              <w:right w:w="100" w:type="dxa"/>
            </w:tcMar>
          </w:tcPr>
          <w:p/>
        </w:tc>
      </w:tr>
      <w:tr>
        <w:trPr>
          <w:trHeight w:val="315"/>
        </w:trPr>
        <w:tc>
          <w:tcPr>
            <w:tcW w:w="939"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NPV_2</w:t>
            </w:r>
          </w:p>
        </w:tc>
        <w:tc>
          <w:tcPr>
            <w:tcW w:w="627"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-8.16</w:t>
            </w:r>
          </w:p>
        </w:tc>
        <w:tc>
          <w:tcPr>
            <w:tcW w:w="3434" w:type="pct"/>
            <w:gridSpan w:val="7"/>
            <w:vMerge/>
            <w:tcBorders>
              <w:top w:val="nil"/>
              <w:left w:val="nil"/>
              <w:bottom w:val="single" w:sz="5" w:space="0" w:color="000000"/>
            </w:tcBorders>
            <w:tcMar>
              <w:top w:w="100" w:type="dxa"/>
              <w:left w:w="100" w:type="dxa"/>
              <w:bottom w:w="100" w:type="dxa"/>
              <w:right w:w="100" w:type="dxa"/>
            </w:tcMar>
          </w:tcPr>
          <w:p/>
        </w:tc>
      </w:tr>
      <w:tr>
        <w:trPr>
          <w:trHeight w:val="315"/>
        </w:trPr>
        <w:tc>
          <w:tcPr>
            <w:tcW w:w="939"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Discount Rate_1</w:t>
            </w:r>
          </w:p>
        </w:tc>
        <w:tc>
          <w:tcPr>
            <w:tcW w:w="627"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10%</w:t>
            </w:r>
          </w:p>
        </w:tc>
        <w:tc>
          <w:tcPr>
            <w:tcW w:w="3434" w:type="pct"/>
            <w:gridSpan w:val="7"/>
            <w:vMerge/>
            <w:tcBorders>
              <w:top w:val="nil"/>
              <w:left w:val="nil"/>
              <w:bottom w:val="single" w:sz="5" w:space="0" w:color="000000"/>
            </w:tcBorders>
            <w:tcMar>
              <w:top w:w="100" w:type="dxa"/>
              <w:left w:w="100" w:type="dxa"/>
              <w:bottom w:w="100" w:type="dxa"/>
              <w:right w:w="100" w:type="dxa"/>
            </w:tcMar>
          </w:tcPr>
          <w:p/>
        </w:tc>
      </w:tr>
      <w:tr>
        <w:trPr>
          <w:trHeight w:val="315"/>
        </w:trPr>
        <w:tc>
          <w:tcPr>
            <w:tcW w:w="939"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Discount Rate_2</w:t>
            </w:r>
          </w:p>
        </w:tc>
        <w:tc>
          <w:tcPr>
            <w:tcW w:w="627"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15%</w:t>
            </w:r>
          </w:p>
        </w:tc>
        <w:tc>
          <w:tcPr>
            <w:tcW w:w="3434" w:type="pct"/>
            <w:gridSpan w:val="7"/>
            <w:vMerge/>
            <w:tcBorders>
              <w:top w:val="nil"/>
              <w:left w:val="nil"/>
              <w:bottom w:val="single" w:sz="5" w:space="0" w:color="000000"/>
            </w:tcBorders>
            <w:tcMar>
              <w:top w:w="100" w:type="dxa"/>
              <w:left w:w="100" w:type="dxa"/>
              <w:bottom w:w="100" w:type="dxa"/>
              <w:right w:w="100" w:type="dxa"/>
            </w:tcMar>
          </w:tcPr>
          <w:p/>
        </w:tc>
      </w:tr>
      <w:tr>
        <w:trPr>
          <w:trHeight w:val="315"/>
        </w:trPr>
        <w:tc>
          <w:tcPr>
            <w:tcW w:w="939" w:type="pct"/>
            <w:tcBorders>
              <w:top w:val="nil"/>
              <w:left w:val="single" w:sz="5" w:space="0" w:color="000000"/>
              <w:bottom w:val="single" w:sz="5" w:space="0" w:color="000000"/>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Internal Rate of Return</w:t>
            </w:r>
          </w:p>
        </w:tc>
        <w:tc>
          <w:tcPr>
            <w:tcW w:w="627" w:type="pct"/>
            <w:tcBorders>
              <w:top w:val="nil"/>
              <w:left w:val="nil"/>
              <w:bottom w:val="single" w:sz="5" w:space="0" w:color="000000"/>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8.39%</w:t>
            </w:r>
          </w:p>
        </w:tc>
        <w:tc>
          <w:tcPr>
            <w:tcW w:w="3434" w:type="pct"/>
            <w:gridSpan w:val="7"/>
            <w:vMerge/>
            <w:tcBorders>
              <w:top w:val="nil"/>
              <w:left w:val="nil"/>
              <w:bottom w:val="single" w:sz="5" w:space="0" w:color="000000"/>
            </w:tcBorders>
            <w:tcMar>
              <w:top w:w="100" w:type="dxa"/>
              <w:left w:w="100" w:type="dxa"/>
              <w:bottom w:w="100" w:type="dxa"/>
              <w:right w:w="100" w:type="dxa"/>
            </w:tcMar>
          </w:tcPr>
          <w:p/>
        </w:tc>
      </w:tr>
    </w:tbl>
    <w:p>
      <w:pPr>
        <w:pStyle w:val="5"/>
        <w:rPr>
          <w:sz w:val="20"/>
          <w:szCs w:val="20"/>
        </w:rPr>
      </w:pPr>
      <w:bookmarkStart w:id="75" w:name="_Toc227926978"/>
      <w:r>
        <w:t>Table 10: Project C</w:t>
      </w:r>
      <w:bookmarkEnd w:id="75"/>
    </w:p>
    <w:p>
      <w:r>
        <w:br w:type="page"/>
      </w:r>
    </w:p>
    <w:p>
      <w:pPr>
        <w:pStyle w:val="2"/>
      </w:pPr>
      <w:bookmarkStart w:id="76" w:name="_Toc227926913"/>
      <w:r>
        <w:t>Appendix 9: Capital Rationing</w:t>
      </w:r>
      <w:bookmarkEnd w:id="76"/>
    </w:p>
    <w:tbl>
      <w:tblPr>
        <w:jc w:val="left"/>
        <w:tblInd w:w="0" w:type="dxa"/>
        <w:tblW w:w="5000" w:type="pct"/>
        <w:tblBorders>
          <w:top w:val="none" w:sz="0" w:space="0" w:color="auto"/>
          <w:left w:val="none" w:sz="0" w:space="0" w:color="auto"/>
          <w:bottom w:val="none" w:sz="0" w:space="0" w:color="auto"/>
          <w:right w:val="none" w:sz="0" w:space="0" w:color="auto"/>
        </w:tblBorders>
        <w:tblCellMar>
          <w:top w:w="0" w:type="dxa"/>
          <w:left w:w="0" w:type="dxa"/>
          <w:bottom w:w="0" w:type="dxa"/>
          <w:right w:w="0" w:type="dxa"/>
        </w:tblCellMar>
      </w:tblPr>
      <w:tblGrid>
        <w:gridCol w:w="4304"/>
        <w:gridCol w:w="2869"/>
        <w:gridCol w:w="1843"/>
      </w:tblGrid>
      <w:tr>
        <w:trPr>
          <w:trHeight w:val="360"/>
        </w:trPr>
        <w:tc>
          <w:tcPr>
            <w:tcW w:w="5000" w:type="pct"/>
            <w:gridSpan w:val="3"/>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pPr>
              <w:widowControl w:val="0"/>
              <w:spacing w:line="276" w:lineRule="auto"/>
              <w:jc w:val="center"/>
              <w:rPr>
                <w:sz w:val="16"/>
                <w:szCs w:val="16"/>
              </w:rPr>
            </w:pPr>
            <w:r>
              <w:rPr>
                <w:b/>
                <w:bCs/>
                <w:sz w:val="20"/>
                <w:szCs w:val="20"/>
              </w:rPr>
              <w:t>Capital Rationing (£m)</w:t>
            </w:r>
          </w:p>
        </w:tc>
      </w:tr>
      <w:tr>
        <w:trPr>
          <w:trHeight w:val="315"/>
        </w:trPr>
        <w:tc>
          <w:tcPr>
            <w:tcW w:w="2387"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b/>
                <w:bCs/>
                <w:sz w:val="20"/>
                <w:szCs w:val="20"/>
              </w:rPr>
              <w:t>Project</w:t>
            </w:r>
          </w:p>
        </w:tc>
        <w:tc>
          <w:tcPr>
            <w:tcW w:w="1591"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b/>
                <w:bCs/>
                <w:sz w:val="20"/>
                <w:szCs w:val="20"/>
              </w:rPr>
              <w:t>Investment Capital</w:t>
            </w:r>
          </w:p>
        </w:tc>
        <w:tc>
          <w:tcPr>
            <w:tcW w:w="1022" w:type="pct"/>
            <w:tcBorders>
              <w:top w:val="nil"/>
              <w:left w:val="nil"/>
              <w:bottom w:val="nil"/>
              <w:right w:val="single" w:sz="5" w:space="0" w:color="000000"/>
            </w:tcBorders>
            <w:tcMar>
              <w:top w:w="40" w:type="dxa"/>
              <w:left w:w="40" w:type="dxa"/>
              <w:bottom w:w="40" w:type="dxa"/>
              <w:right w:w="40" w:type="dxa"/>
            </w:tcMar>
            <w:vAlign w:val="bottom"/>
          </w:tcPr>
          <w:p>
            <w:pPr>
              <w:widowControl w:val="0"/>
              <w:spacing w:line="276" w:lineRule="auto"/>
              <w:jc w:val="center"/>
              <w:rPr>
                <w:sz w:val="20"/>
                <w:szCs w:val="20"/>
              </w:rPr>
            </w:pPr>
            <w:r>
              <w:rPr>
                <w:b/>
                <w:bCs/>
                <w:sz w:val="20"/>
                <w:szCs w:val="20"/>
              </w:rPr>
              <w:t>NPV</w:t>
            </w:r>
          </w:p>
        </w:tc>
      </w:tr>
      <w:tr>
        <w:trPr>
          <w:trHeight w:val="315"/>
        </w:trPr>
        <w:tc>
          <w:tcPr>
            <w:tcW w:w="2387"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A</w:t>
            </w:r>
          </w:p>
        </w:tc>
        <w:tc>
          <w:tcPr>
            <w:tcW w:w="1591"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50</w:t>
            </w:r>
          </w:p>
        </w:tc>
        <w:tc>
          <w:tcPr>
            <w:tcW w:w="1022" w:type="pct"/>
            <w:tcBorders>
              <w:top w:val="nil"/>
              <w:left w:val="nil"/>
              <w:bottom w:val="nil"/>
              <w:right w:val="single" w:sz="5" w:space="0" w:color="000000"/>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-8.68</w:t>
            </w:r>
          </w:p>
        </w:tc>
      </w:tr>
      <w:tr>
        <w:trPr>
          <w:trHeight w:val="315"/>
        </w:trPr>
        <w:tc>
          <w:tcPr>
            <w:tcW w:w="2387"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B</w:t>
            </w:r>
          </w:p>
        </w:tc>
        <w:tc>
          <w:tcPr>
            <w:tcW w:w="1591" w:type="pct"/>
            <w:tcBorders>
              <w:top w:val="nil"/>
              <w:left w:val="nil"/>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50</w:t>
            </w:r>
          </w:p>
        </w:tc>
        <w:tc>
          <w:tcPr>
            <w:tcW w:w="1022" w:type="pct"/>
            <w:tcBorders>
              <w:top w:val="nil"/>
              <w:left w:val="nil"/>
              <w:bottom w:val="nil"/>
              <w:right w:val="single" w:sz="5" w:space="0" w:color="000000"/>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-8.30</w:t>
            </w:r>
          </w:p>
        </w:tc>
      </w:tr>
      <w:tr>
        <w:trPr>
          <w:trHeight w:val="315"/>
        </w:trPr>
        <w:tc>
          <w:tcPr>
            <w:tcW w:w="2387" w:type="pct"/>
            <w:tcBorders>
              <w:top w:val="nil"/>
              <w:left w:val="single" w:sz="5" w:space="0" w:color="000000"/>
              <w:bottom w:val="single" w:sz="5" w:space="0" w:color="000000"/>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C</w:t>
            </w:r>
          </w:p>
        </w:tc>
        <w:tc>
          <w:tcPr>
            <w:tcW w:w="1591" w:type="pct"/>
            <w:tcBorders>
              <w:top w:val="nil"/>
              <w:left w:val="nil"/>
              <w:bottom w:val="single" w:sz="5" w:space="0" w:color="000000"/>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50</w:t>
            </w:r>
          </w:p>
        </w:tc>
        <w:tc>
          <w:tcPr>
            <w:tcW w:w="1022" w:type="pct"/>
            <w:tcBorders>
              <w:top w:val="nil"/>
              <w:left w:val="nil"/>
              <w:bottom w:val="single" w:sz="5" w:space="0" w:color="000000"/>
              <w:right w:val="single" w:sz="5" w:space="0" w:color="000000"/>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-1.98</w:t>
            </w:r>
          </w:p>
        </w:tc>
      </w:tr>
      <w:tr>
        <w:trPr>
          <w:trHeight w:val="315"/>
        </w:trPr>
        <w:tc>
          <w:tcPr>
            <w:tcW w:w="2387"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b/>
                <w:bCs/>
                <w:sz w:val="20"/>
                <w:szCs w:val="20"/>
              </w:rPr>
              <w:t>Project</w:t>
            </w:r>
          </w:p>
        </w:tc>
        <w:tc>
          <w:tcPr>
            <w:tcW w:w="2613" w:type="pct"/>
            <w:gridSpan w:val="2"/>
            <w:tcBorders>
              <w:top w:val="nil"/>
              <w:left w:val="nil"/>
              <w:bottom w:val="nil"/>
              <w:right w:val="single" w:sz="5" w:space="0" w:color="000000"/>
            </w:tcBorders>
            <w:tcMar>
              <w:top w:w="40" w:type="dxa"/>
              <w:left w:w="40" w:type="dxa"/>
              <w:bottom w:w="40" w:type="dxa"/>
              <w:right w:w="40" w:type="dxa"/>
            </w:tcMar>
            <w:vAlign w:val="bottom"/>
          </w:tcPr>
          <w:p>
            <w:pPr>
              <w:widowControl w:val="0"/>
              <w:spacing w:line="276" w:lineRule="auto"/>
              <w:jc w:val="center"/>
              <w:rPr>
                <w:sz w:val="20"/>
                <w:szCs w:val="20"/>
              </w:rPr>
            </w:pPr>
            <w:r>
              <w:rPr>
                <w:b/>
                <w:bCs/>
                <w:sz w:val="20"/>
                <w:szCs w:val="20"/>
              </w:rPr>
              <w:t>Profitability</w:t>
            </w:r>
          </w:p>
        </w:tc>
      </w:tr>
      <w:tr>
        <w:trPr>
          <w:trHeight w:val="315"/>
        </w:trPr>
        <w:tc>
          <w:tcPr>
            <w:tcW w:w="2387"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A+B</w:t>
            </w:r>
          </w:p>
        </w:tc>
        <w:tc>
          <w:tcPr>
            <w:tcW w:w="2613" w:type="pct"/>
            <w:gridSpan w:val="2"/>
            <w:tcBorders>
              <w:top w:val="nil"/>
              <w:left w:val="nil"/>
              <w:bottom w:val="nil"/>
              <w:right w:val="single" w:sz="5" w:space="0" w:color="000000"/>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-16.98</w:t>
            </w:r>
          </w:p>
        </w:tc>
      </w:tr>
      <w:tr>
        <w:trPr>
          <w:trHeight w:val="315"/>
        </w:trPr>
        <w:tc>
          <w:tcPr>
            <w:tcW w:w="2387" w:type="pct"/>
            <w:tcBorders>
              <w:top w:val="nil"/>
              <w:left w:val="single" w:sz="5" w:space="0" w:color="000000"/>
              <w:bottom w:val="nil"/>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B+C</w:t>
            </w:r>
          </w:p>
        </w:tc>
        <w:tc>
          <w:tcPr>
            <w:tcW w:w="2613" w:type="pct"/>
            <w:gridSpan w:val="2"/>
            <w:tcBorders>
              <w:top w:val="nil"/>
              <w:left w:val="nil"/>
              <w:bottom w:val="nil"/>
              <w:right w:val="single" w:sz="5" w:space="0" w:color="000000"/>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-10.29</w:t>
            </w:r>
          </w:p>
        </w:tc>
      </w:tr>
      <w:tr>
        <w:trPr>
          <w:trHeight w:val="315"/>
        </w:trPr>
        <w:tc>
          <w:tcPr>
            <w:tcW w:w="2387" w:type="pct"/>
            <w:tcBorders>
              <w:top w:val="nil"/>
              <w:left w:val="single" w:sz="5" w:space="0" w:color="000000"/>
              <w:bottom w:val="single" w:sz="5" w:space="0" w:color="000000"/>
              <w:right w:val="nil"/>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A+C</w:t>
            </w:r>
          </w:p>
        </w:tc>
        <w:tc>
          <w:tcPr>
            <w:tcW w:w="2613" w:type="pct"/>
            <w:gridSpan w:val="2"/>
            <w:tcBorders>
              <w:top w:val="nil"/>
              <w:left w:val="nil"/>
              <w:bottom w:val="single" w:sz="5" w:space="0" w:color="000000"/>
              <w:right w:val="single" w:sz="5" w:space="0" w:color="000000"/>
            </w:tcBorders>
            <w:tcMar>
              <w:top w:w="40" w:type="dxa"/>
              <w:left w:w="40" w:type="dxa"/>
              <w:bottom w:w="40" w:type="dxa"/>
              <w:right w:w="40" w:type="dxa"/>
            </w:tcMar>
            <w:vAlign w:val="bottom"/>
          </w:tcPr>
          <w:p>
            <w:pPr>
              <w:widowControl w:val="0"/>
              <w:spacing w:line="276" w:lineRule="auto"/>
              <w:jc w:val="center"/>
              <w:rPr>
                <w:sz w:val="20"/>
                <w:szCs w:val="20"/>
              </w:rPr>
            </w:pPr>
            <w:r>
              <w:rPr>
                <w:sz w:val="20"/>
                <w:szCs w:val="20"/>
              </w:rPr>
              <w:t>-10.66</w:t>
            </w:r>
          </w:p>
        </w:tc>
      </w:tr>
    </w:tbl>
    <w:p>
      <w:pPr>
        <w:pStyle w:val="5"/>
      </w:pPr>
      <w:bookmarkStart w:id="77" w:name="_Toc227926979"/>
      <w:r>
        <w:t>Table 11: Investment choice based on Capital Rationing</w:t>
      </w:r>
      <w:bookmarkEnd w:id="77"/>
    </w:p>
    <w:p/>
    <w:p>
      <w:r>
        <w:br w:type="page"/>
      </w:r>
    </w:p>
    <w:p>
      <w:pPr>
        <w:pStyle w:val="2"/>
      </w:pPr>
      <w:bookmarkStart w:id="78" w:name="_Toc227926914"/>
      <w:r>
        <w:t>Appendix 10: Annual Report Extracts</w:t>
      </w:r>
      <w:bookmarkEnd w:id="78"/>
    </w:p>
    <w:p>
      <w:r>
        <w:drawing>
          <wp:inline distT="114300" distB="114300" distL="114300" distR="114300">
            <wp:extent cx="5731200" cy="5969000"/>
            <wp:effectExtent l="0" t="0" r="0" b="0"/>
            <wp:docPr id="43" name="图片 43"/>
            <wp:cNvGraphicFramePr>
              <a:graphicFrameLocks noChangeAspect="0"/>
            </wp:cNvGraphicFramePr>
            <a:graphic>
              <a:graphicData uri="http://schemas.openxmlformats.org/drawingml/2006/picture">
                <pic:pic>
                  <pic:nvPicPr>
                    <pic:cNvPr id="45" name="图片 45"/>
                    <pic:cNvPicPr/>
                  </pic:nvPicPr>
                  <pic:blipFill>
                    <a:blip r:embed="rId19"/>
                    <a:stretch>
                      <a:fillRect/>
                    </a:stretch>
                  </pic:blipFill>
                  <pic:spPr>
                    <a:xfrm rot="0">
                      <a:off x="0" y="0"/>
                      <a:ext cx="5731200" cy="5969000"/>
                    </a:xfrm>
                    <a:prstGeom prst="rect"/>
                    <a:noFill/>
                    <a:ln w="12700" cmpd="sng" cap="flat">
                      <a:solidFill>
                        <a:srgbClr val="000000"/>
                      </a:solidFill>
                      <a:prstDash val="solid"/>
                      <a:round/>
                    </a:ln>
                  </pic:spPr>
                </pic:pic>
              </a:graphicData>
            </a:graphic>
          </wp:inline>
        </w:drawing>
      </w:r>
    </w:p>
    <w:p>
      <w:pPr>
        <w:pStyle w:val="5"/>
      </w:pPr>
      <w:bookmarkStart w:id="79" w:name="_Toc227926980"/>
      <w:r>
        <w:t>Table 12: Balance Sheet 2025-2024</w:t>
      </w:r>
      <w:bookmarkEnd w:id="79"/>
    </w:p>
    <w:p>
      <w:pPr>
        <w:jc w:val="center"/>
      </w:pPr>
      <w:r>
        <w:t>(Source: Tesla, 2025)</w:t>
      </w:r>
    </w:p>
    <w:p/>
    <w:p>
      <w:r>
        <w:drawing>
          <wp:inline distT="114300" distB="114300" distL="114300" distR="114300">
            <wp:extent cx="5731200" cy="5765799"/>
            <wp:effectExtent l="0" t="0" r="0" b="0"/>
            <wp:docPr id="46" name="图片 46"/>
            <wp:cNvGraphicFramePr>
              <a:graphicFrameLocks noChangeAspect="0"/>
            </wp:cNvGraphicFramePr>
            <a:graphic>
              <a:graphicData uri="http://schemas.openxmlformats.org/drawingml/2006/picture">
                <pic:pic>
                  <pic:nvPicPr>
                    <pic:cNvPr id="48" name="图片 48"/>
                    <pic:cNvPicPr/>
                  </pic:nvPicPr>
                  <pic:blipFill>
                    <a:blip r:embed="rId20"/>
                    <a:stretch>
                      <a:fillRect/>
                    </a:stretch>
                  </pic:blipFill>
                  <pic:spPr>
                    <a:xfrm rot="0">
                      <a:off x="0" y="0"/>
                      <a:ext cx="5731200" cy="5765799"/>
                    </a:xfrm>
                    <a:prstGeom prst="rect"/>
                    <a:noFill/>
                    <a:ln w="12700" cmpd="sng" cap="flat">
                      <a:solidFill>
                        <a:srgbClr val="000000"/>
                      </a:solidFill>
                      <a:prstDash val="solid"/>
                      <a:round/>
                    </a:ln>
                  </pic:spPr>
                </pic:pic>
              </a:graphicData>
            </a:graphic>
          </wp:inline>
        </w:drawing>
      </w:r>
    </w:p>
    <w:p>
      <w:pPr>
        <w:pStyle w:val="5"/>
      </w:pPr>
      <w:bookmarkStart w:id="80" w:name="_Toc227926981"/>
      <w:r>
        <w:t>Table 13: Income Statement 2025-2024</w:t>
      </w:r>
      <w:bookmarkEnd w:id="80"/>
    </w:p>
    <w:p>
      <w:pPr>
        <w:jc w:val="center"/>
      </w:pPr>
      <w:r>
        <w:t>(Source: Tesla, 2025)</w:t>
      </w:r>
    </w:p>
    <w:p>
      <w:pPr>
        <w:jc w:val="left"/>
      </w:pPr>
    </w:p>
    <w:p>
      <w:pPr>
        <w:jc w:val="center"/>
      </w:pPr>
    </w:p>
    <w:p>
      <w:pPr>
        <w:jc w:val="center"/>
      </w:pPr>
      <w:r>
        <w:br w:type="page"/>
      </w:r>
    </w:p>
    <w:p>
      <w:pPr>
        <w:jc w:val="center"/>
      </w:pPr>
      <w:r>
        <w:drawing>
          <wp:inline distT="114300" distB="114300" distL="114300" distR="114300">
            <wp:extent cx="5524500" cy="6362700"/>
            <wp:effectExtent l="0" t="0" r="0" b="0"/>
            <wp:docPr id="49" name="图片 49"/>
            <wp:cNvGraphicFramePr>
              <a:graphicFrameLocks noChangeAspect="0"/>
            </wp:cNvGraphicFramePr>
            <a:graphic>
              <a:graphicData uri="http://schemas.openxmlformats.org/drawingml/2006/picture">
                <pic:pic>
                  <pic:nvPicPr>
                    <pic:cNvPr id="51" name="图片 51"/>
                    <pic:cNvPicPr/>
                  </pic:nvPicPr>
                  <pic:blipFill>
                    <a:blip r:embed="rId21"/>
                    <a:stretch>
                      <a:fillRect/>
                    </a:stretch>
                  </pic:blipFill>
                  <pic:spPr>
                    <a:xfrm rot="0">
                      <a:off x="0" y="0"/>
                      <a:ext cx="5524500" cy="6362700"/>
                    </a:xfrm>
                    <a:prstGeom prst="rect"/>
                    <a:noFill/>
                    <a:ln w="12700" cmpd="sng" cap="flat">
                      <a:solidFill>
                        <a:srgbClr val="000000"/>
                      </a:solidFill>
                      <a:prstDash val="solid"/>
                      <a:round/>
                    </a:ln>
                  </pic:spPr>
                </pic:pic>
              </a:graphicData>
            </a:graphic>
          </wp:inline>
        </w:drawing>
      </w:r>
    </w:p>
    <w:p>
      <w:pPr>
        <w:pStyle w:val="5"/>
      </w:pPr>
      <w:bookmarkStart w:id="81" w:name="_Toc227926982"/>
      <w:r>
        <w:t>Table 14: Cash Flow Statement 2025-2024</w:t>
      </w:r>
      <w:bookmarkEnd w:id="81"/>
    </w:p>
    <w:p>
      <w:pPr>
        <w:jc w:val="center"/>
      </w:pPr>
      <w:r>
        <w:t>(Source: Tesla, 2025)</w:t>
        <w:br w:type="page"/>
      </w:r>
    </w:p>
    <w:p>
      <w:pPr>
        <w:jc w:val="center"/>
      </w:pPr>
      <w:bookmarkStart w:id="82" w:name="_v7hs6vpley1f"/>
      <w:bookmarkEnd w:id="82"/>
      <w:r>
        <w:drawing>
          <wp:inline distT="114300" distB="114300" distL="114300" distR="114300">
            <wp:extent cx="5731200" cy="6210300"/>
            <wp:effectExtent l="0" t="0" r="0" b="0"/>
            <wp:docPr id="52" name="图片 52"/>
            <wp:cNvGraphicFramePr>
              <a:graphicFrameLocks noChangeAspect="0"/>
            </wp:cNvGraphicFramePr>
            <a:graphic>
              <a:graphicData uri="http://schemas.openxmlformats.org/drawingml/2006/picture">
                <pic:pic>
                  <pic:nvPicPr>
                    <pic:cNvPr id="54" name="图片 54"/>
                    <pic:cNvPicPr/>
                  </pic:nvPicPr>
                  <pic:blipFill>
                    <a:blip r:embed="rId22"/>
                    <a:stretch>
                      <a:fillRect/>
                    </a:stretch>
                  </pic:blipFill>
                  <pic:spPr>
                    <a:xfrm rot="0">
                      <a:off x="0" y="0"/>
                      <a:ext cx="5731200" cy="6210300"/>
                    </a:xfrm>
                    <a:prstGeom prst="rect"/>
                    <a:noFill/>
                    <a:ln w="12700" cmpd="sng" cap="flat">
                      <a:solidFill>
                        <a:srgbClr val="000000"/>
                      </a:solidFill>
                      <a:prstDash val="solid"/>
                      <a:round/>
                    </a:ln>
                  </pic:spPr>
                </pic:pic>
              </a:graphicData>
            </a:graphic>
          </wp:inline>
        </w:drawing>
      </w:r>
    </w:p>
    <w:p>
      <w:pPr>
        <w:pStyle w:val="5"/>
      </w:pPr>
      <w:bookmarkStart w:id="83" w:name="_Toc227926983"/>
      <w:r>
        <w:t>Table 15: Balance Sheet 2023-2022</w:t>
      </w:r>
      <w:bookmarkEnd w:id="83"/>
    </w:p>
    <w:p>
      <w:pPr>
        <w:jc w:val="center"/>
      </w:pPr>
      <w:r>
        <w:t>(Source: Tesla, 2023a)</w:t>
        <w:br w:type="page"/>
      </w:r>
    </w:p>
    <w:p>
      <w:pPr>
        <w:jc w:val="center"/>
      </w:pPr>
      <w:bookmarkStart w:id="84" w:name="_62chwlxq8usd"/>
      <w:bookmarkEnd w:id="84"/>
      <w:r>
        <w:drawing>
          <wp:inline distT="114300" distB="114300" distL="114300" distR="114300">
            <wp:extent cx="5905500" cy="6126479"/>
            <wp:effectExtent l="0" t="0" r="0" b="0"/>
            <wp:docPr id="55" name="图片 55"/>
            <wp:cNvGraphicFramePr>
              <a:graphicFrameLocks noChangeAspect="0"/>
            </wp:cNvGraphicFramePr>
            <a:graphic>
              <a:graphicData uri="http://schemas.openxmlformats.org/drawingml/2006/picture">
                <pic:pic>
                  <pic:nvPicPr>
                    <pic:cNvPr id="57" name="图片 57"/>
                    <pic:cNvPicPr/>
                  </pic:nvPicPr>
                  <pic:blipFill>
                    <a:blip r:embed="rId23"/>
                    <a:stretch>
                      <a:fillRect/>
                    </a:stretch>
                  </pic:blipFill>
                  <pic:spPr>
                    <a:xfrm rot="0">
                      <a:off x="0" y="0"/>
                      <a:ext cx="5905500" cy="6126479"/>
                    </a:xfrm>
                    <a:prstGeom prst="rect"/>
                    <a:noFill/>
                    <a:ln w="12700" cmpd="sng" cap="flat">
                      <a:solidFill>
                        <a:srgbClr val="000000"/>
                      </a:solidFill>
                      <a:prstDash val="solid"/>
                      <a:round/>
                    </a:ln>
                  </pic:spPr>
                </pic:pic>
              </a:graphicData>
            </a:graphic>
          </wp:inline>
        </w:drawing>
      </w:r>
    </w:p>
    <w:p>
      <w:pPr>
        <w:pStyle w:val="5"/>
      </w:pPr>
      <w:bookmarkStart w:id="85" w:name="_Toc227926984"/>
      <w:r>
        <w:t>Table 16: Income Statement 2023-2022</w:t>
      </w:r>
      <w:bookmarkEnd w:id="85"/>
    </w:p>
    <w:p>
      <w:pPr>
        <w:jc w:val="center"/>
      </w:pPr>
      <w:r>
        <w:t>(Source: Tesla, 2023a)</w:t>
        <w:br w:type="page"/>
      </w:r>
    </w:p>
    <w:p>
      <w:pPr>
        <w:jc w:val="center"/>
      </w:pPr>
      <w:bookmarkStart w:id="86" w:name="_5xjcck7kalwz"/>
      <w:bookmarkEnd w:id="86"/>
      <w:r>
        <w:drawing>
          <wp:inline distT="114300" distB="114300" distL="114300" distR="114300">
            <wp:extent cx="5684520" cy="6865619"/>
            <wp:effectExtent l="0" t="0" r="0" b="0"/>
            <wp:docPr id="58" name="图片 58"/>
            <wp:cNvGraphicFramePr>
              <a:graphicFrameLocks noChangeAspect="0"/>
            </wp:cNvGraphicFramePr>
            <a:graphic>
              <a:graphicData uri="http://schemas.openxmlformats.org/drawingml/2006/picture">
                <pic:pic>
                  <pic:nvPicPr>
                    <pic:cNvPr id="60" name="图片 60"/>
                    <pic:cNvPicPr/>
                  </pic:nvPicPr>
                  <pic:blipFill>
                    <a:blip r:embed="rId24"/>
                    <a:stretch>
                      <a:fillRect/>
                    </a:stretch>
                  </pic:blipFill>
                  <pic:spPr>
                    <a:xfrm rot="0">
                      <a:off x="0" y="0"/>
                      <a:ext cx="5684520" cy="6865619"/>
                    </a:xfrm>
                    <a:prstGeom prst="rect"/>
                    <a:noFill/>
                    <a:ln w="12700" cmpd="sng" cap="flat">
                      <a:solidFill>
                        <a:srgbClr val="000000"/>
                      </a:solidFill>
                      <a:prstDash val="solid"/>
                      <a:round/>
                    </a:ln>
                  </pic:spPr>
                </pic:pic>
              </a:graphicData>
            </a:graphic>
          </wp:inline>
        </w:drawing>
      </w:r>
    </w:p>
    <w:p>
      <w:pPr>
        <w:pStyle w:val="5"/>
      </w:pPr>
      <w:bookmarkStart w:id="87" w:name="_Toc227926985"/>
      <w:r>
        <w:t>Table 17: Cash Flow Statement 2023-2022</w:t>
      </w:r>
      <w:bookmarkEnd w:id="87"/>
    </w:p>
    <w:p>
      <w:pPr>
        <w:jc w:val="center"/>
      </w:pPr>
      <w:r>
        <w:t>(Source: Tesla, 2023a)</w:t>
      </w:r>
    </w:p>
    <w:p>
      <w:pPr>
        <w:jc w:val="center"/>
      </w:pPr>
      <w:r>
        <w:drawing>
          <wp:inline distT="114300" distB="114300" distL="114300" distR="114300">
            <wp:extent cx="5731200" cy="4991100"/>
            <wp:effectExtent l="0" t="0" r="0" b="0"/>
            <wp:docPr id="61" name="图片 61"/>
            <wp:cNvGraphicFramePr>
              <a:graphicFrameLocks noChangeAspect="0"/>
            </wp:cNvGraphicFramePr>
            <a:graphic>
              <a:graphicData uri="http://schemas.openxmlformats.org/drawingml/2006/picture">
                <pic:pic>
                  <pic:nvPicPr>
                    <pic:cNvPr id="63" name="图片 63"/>
                    <pic:cNvPicPr/>
                  </pic:nvPicPr>
                  <pic:blipFill>
                    <a:blip r:embed="rId25"/>
                    <a:stretch>
                      <a:fillRect/>
                    </a:stretch>
                  </pic:blipFill>
                  <pic:spPr>
                    <a:xfrm rot="0">
                      <a:off x="0" y="0"/>
                      <a:ext cx="5731200" cy="4991100"/>
                    </a:xfrm>
                    <a:prstGeom prst="rect"/>
                    <a:noFill/>
                    <a:ln w="12700" cmpd="sng" cap="flat">
                      <a:solidFill>
                        <a:srgbClr val="000000"/>
                      </a:solidFill>
                      <a:prstDash val="solid"/>
                      <a:round/>
                    </a:ln>
                  </pic:spPr>
                </pic:pic>
              </a:graphicData>
            </a:graphic>
          </wp:inline>
        </w:drawing>
      </w:r>
    </w:p>
    <w:p>
      <w:pPr>
        <w:pStyle w:val="5"/>
      </w:pPr>
      <w:bookmarkStart w:id="88" w:name="_Toc227926986"/>
      <w:r>
        <w:t>Table 18: Balance Sheet 2021</w:t>
      </w:r>
      <w:bookmarkEnd w:id="88"/>
    </w:p>
    <w:p>
      <w:pPr>
        <w:jc w:val="center"/>
      </w:pPr>
      <w:r>
        <w:t>(Source: Tesla, 2021)</w:t>
      </w:r>
    </w:p>
    <w:p>
      <w:pPr>
        <w:jc w:val="center"/>
      </w:pPr>
      <w:r>
        <w:drawing>
          <wp:inline distT="114300" distB="114300" distL="114300" distR="114300">
            <wp:extent cx="5731200" cy="5143500"/>
            <wp:effectExtent l="0" t="0" r="0" b="0"/>
            <wp:docPr id="64" name="图片 64"/>
            <wp:cNvGraphicFramePr>
              <a:graphicFrameLocks noChangeAspect="0"/>
            </wp:cNvGraphicFramePr>
            <a:graphic>
              <a:graphicData uri="http://schemas.openxmlformats.org/drawingml/2006/picture">
                <pic:pic>
                  <pic:nvPicPr>
                    <pic:cNvPr id="66" name="图片 66"/>
                    <pic:cNvPicPr/>
                  </pic:nvPicPr>
                  <pic:blipFill>
                    <a:blip r:embed="rId26"/>
                    <a:stretch>
                      <a:fillRect/>
                    </a:stretch>
                  </pic:blipFill>
                  <pic:spPr>
                    <a:xfrm rot="0">
                      <a:off x="0" y="0"/>
                      <a:ext cx="5731200" cy="5143500"/>
                    </a:xfrm>
                    <a:prstGeom prst="rect"/>
                    <a:noFill/>
                    <a:ln w="12700" cmpd="sng" cap="flat">
                      <a:solidFill>
                        <a:srgbClr val="000000"/>
                      </a:solidFill>
                      <a:prstDash val="solid"/>
                      <a:round/>
                    </a:ln>
                  </pic:spPr>
                </pic:pic>
              </a:graphicData>
            </a:graphic>
          </wp:inline>
        </w:drawing>
      </w:r>
    </w:p>
    <w:p>
      <w:pPr>
        <w:pStyle w:val="5"/>
      </w:pPr>
      <w:bookmarkStart w:id="89" w:name="_Toc227926987"/>
      <w:r>
        <w:t>Table 19: Income Statement 2021</w:t>
      </w:r>
      <w:bookmarkEnd w:id="89"/>
    </w:p>
    <w:p>
      <w:pPr>
        <w:jc w:val="center"/>
      </w:pPr>
      <w:r>
        <w:t>(Source: Tesla, 2021)</w:t>
      </w:r>
    </w:p>
    <w:p>
      <w:pPr>
        <w:jc w:val="center"/>
      </w:pPr>
      <w:r>
        <w:drawing>
          <wp:inline distT="114300" distB="114300" distL="114300" distR="114300">
            <wp:extent cx="5731200" cy="6159500"/>
            <wp:effectExtent l="0" t="0" r="0" b="0"/>
            <wp:docPr id="67" name="图片 67"/>
            <wp:cNvGraphicFramePr>
              <a:graphicFrameLocks noChangeAspect="0"/>
            </wp:cNvGraphicFramePr>
            <a:graphic>
              <a:graphicData uri="http://schemas.openxmlformats.org/drawingml/2006/picture">
                <pic:pic>
                  <pic:nvPicPr>
                    <pic:cNvPr id="69" name="图片 69"/>
                    <pic:cNvPicPr/>
                  </pic:nvPicPr>
                  <pic:blipFill>
                    <a:blip r:embed="rId27"/>
                    <a:stretch>
                      <a:fillRect/>
                    </a:stretch>
                  </pic:blipFill>
                  <pic:spPr>
                    <a:xfrm rot="0">
                      <a:off x="0" y="0"/>
                      <a:ext cx="5731200" cy="6159500"/>
                    </a:xfrm>
                    <a:prstGeom prst="rect"/>
                    <a:noFill/>
                    <a:ln w="12700" cmpd="sng" cap="flat">
                      <a:solidFill>
                        <a:srgbClr val="000000"/>
                      </a:solidFill>
                      <a:prstDash val="solid"/>
                      <a:round/>
                    </a:ln>
                  </pic:spPr>
                </pic:pic>
              </a:graphicData>
            </a:graphic>
          </wp:inline>
        </w:drawing>
      </w:r>
    </w:p>
    <w:p>
      <w:pPr>
        <w:pStyle w:val="5"/>
      </w:pPr>
      <w:bookmarkStart w:id="90" w:name="_Toc227926988"/>
      <w:r>
        <w:t>Table 20: Cash Flow Statement 2021</w:t>
      </w:r>
      <w:bookmarkEnd w:id="90"/>
    </w:p>
    <w:p>
      <w:pPr>
        <w:jc w:val="center"/>
      </w:pPr>
      <w:r>
        <w:t>(Source: Tesla, 2021)</w:t>
      </w:r>
    </w:p>
    <w:sectPr>
      <w:headerReference w:type="default" r:id="rId2"/>
      <w:footerReference w:type="default" r:id="rId3"/>
      <w:footerReference w:type="first" r:id="rId4"/>
      <w:pgSz w:w="11909" w:h="16834"/>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titlePg/>
      <w:docGrid w:linePitch="326" w:charSpace="0"/>
    </w:sectPr>
  </w:body>
</w:document>
</file>

<file path=word/fontTable.xml><?xml version="1.0" encoding="utf-8"?>
<w:fonts xmlns:w="http://schemas.openxmlformats.org/wordprocessingml/2006/main" xmlns:r="http://schemas.openxmlformats.org/officeDocument/2006/relationships">
  <w:font w:name="Cambria">
    <w:panose1 w:val="02040503050406030204"/>
    <w:charset w:val="00"/>
    <w:family w:val="roman"/>
    <w:pitch w:val="variable"/>
    <w:sig w:usb0="E00006FF" w:usb1="420024FF" w:usb2="02000000" w:usb3="00000000" w:csb0="0000019F" w:csb1="00000000"/>
  </w:font>
  <w:font w:name="宋体">
    <w:panose1 w:val="00000000000000000000"/>
    <w:charset w:val="00"/>
    <w:family w:val="auto"/>
    <w:pitch w:val="variable"/>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Times New Roman">
    <w:panose1 w:val="00000000000000000000"/>
    <w:charset w:val="00"/>
    <w:family w:val="auto"/>
    <w:pitch w:val="variable"/>
    <w:sig w:usb0="00000000" w:usb1="00000000" w:usb2="00000000" w:usb3="00000000" w:csb0="00000000" w:csb1="00000000"/>
  </w:font>
</w:fonts>
</file>

<file path=word/footer1.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p>
    <w:pPr>
      <w:jc w:val="right"/>
    </w:pPr>
    <w:r>
      <w:fldChar w:fldCharType="begin"/>
    </w:r>
    <w:r>
      <w:instrText>PAGE</w:instrText>
    </w:r>
    <w:r>
      <w:fldChar w:fldCharType="separate"/>
    </w:r>
    <w:r>
      <w:t>1</w:t>
    </w:r>
    <w:r>
      <w:fldChar w:fldCharType="end"/>
    </w:r>
  </w:p>
</w:ftr>
</file>

<file path=word/footer2.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p/>
</w:ftr>
</file>

<file path=word/header1.xml><?xml version="1.0" encoding="utf-8"?>
<w:hd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p>
    <w:pPr>
      <w:jc w:val="right"/>
    </w:pPr>
    <w:r>
      <w:t>FINANCIAL MANAGEMENT</w:t>
    </w:r>
  </w:p>
</w:hdr>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90"/>
  <w:bordersDoNotSurroundHeader/>
  <w:bordersDoNotSurroundFooter/>
  <w:defaultTabStop w:val="720"/>
  <w:drawingGridHorizontalSpacing w:val="120"/>
  <w:drawingGridVerticalSpacing w:val="163"/>
  <w:displayHorizontalDrawingGridEvery w:val="0"/>
  <w:displayVerticalDrawingGridEvery w:val="1"/>
  <w:compat>
    <w:spaceForUL/>
    <w:growAutofit/>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pPr>
      <w:spacing w:line="360" w:lineRule="auto"/>
      <w:jc w:val="both"/>
    </w:pPr>
    <w:rPr>
      <w:rFonts w:ascii="Arial" w:eastAsia="Arial" w:cs="Arial" w:hAnsi="Arial"/>
      <w:sz w:val="24"/>
      <w:szCs w:val="24"/>
      <w:lang w:val="en-GB" w:eastAsia="en-IN" w:bidi="ar-SA"/>
    </w:rPr>
  </w:style>
  <w:style w:type="paragraph" w:styleId="1">
    <w:name w:val="heading 1"/>
    <w:basedOn w:val="0"/>
    <w:next w:val="0"/>
    <w:pPr>
      <w:keepNext/>
      <w:keepLines/>
      <w:outlineLvl w:val="0"/>
    </w:pPr>
    <w:rPr>
      <w:b/>
      <w:bCs/>
      <w:sz w:val="28"/>
      <w:szCs w:val="28"/>
    </w:rPr>
  </w:style>
  <w:style w:type="paragraph" w:styleId="2">
    <w:name w:val="heading 2"/>
    <w:basedOn w:val="0"/>
    <w:next w:val="0"/>
    <w:pPr>
      <w:keepNext/>
      <w:keepLines/>
      <w:outlineLvl w:val="1"/>
    </w:pPr>
    <w:rPr>
      <w:b/>
      <w:bCs/>
      <w:i/>
      <w:iCs/>
      <w:sz w:val="26"/>
      <w:szCs w:val="26"/>
    </w:rPr>
  </w:style>
  <w:style w:type="paragraph" w:styleId="3">
    <w:name w:val="heading 3"/>
    <w:basedOn w:val="0"/>
    <w:next w:val="0"/>
    <w:pPr>
      <w:keepNext/>
      <w:keepLines/>
      <w:outlineLvl w:val="2"/>
    </w:pPr>
    <w:rPr>
      <w:b/>
      <w:bCs/>
    </w:rPr>
  </w:style>
  <w:style w:type="paragraph" w:styleId="4">
    <w:name w:val="heading 4"/>
    <w:basedOn w:val="0"/>
    <w:next w:val="0"/>
    <w:pPr>
      <w:keepNext/>
      <w:keepLines/>
      <w:jc w:val="center"/>
      <w:outlineLvl w:val="3"/>
    </w:pPr>
    <w:rPr>
      <w:b/>
      <w:bCs/>
      <w:i/>
      <w:iCs/>
    </w:rPr>
  </w:style>
  <w:style w:type="paragraph" w:styleId="5">
    <w:name w:val="heading 5"/>
    <w:basedOn w:val="0"/>
    <w:next w:val="0"/>
    <w:pPr>
      <w:keepNext/>
      <w:keepLines/>
      <w:jc w:val="center"/>
      <w:outlineLvl w:val="4"/>
    </w:pPr>
    <w:rPr>
      <w:b/>
      <w:bCs/>
      <w:i/>
      <w:iCs/>
    </w:rPr>
  </w:style>
  <w:style w:type="paragraph" w:styleId="6">
    <w:name w:val="heading 6"/>
    <w:basedOn w:val="0"/>
    <w:next w:val="0"/>
    <w:pPr>
      <w:keepNext/>
      <w:keepLines/>
      <w:spacing w:before="240" w:after="80"/>
      <w:outlineLvl w:val="5"/>
    </w:pPr>
    <w:rPr>
      <w:i/>
      <w:iCs/>
      <w:color w:val="666666"/>
      <w:sz w:val="22"/>
      <w:szCs w:val="22"/>
    </w:rPr>
  </w:style>
  <w:style w:type="character" w:default="1" w:styleId="10">
    <w:name w:val="Default Paragraph Font"/>
  </w:style>
  <w:style w:type="paragraph" w:styleId="15">
    <w:name w:val="Title"/>
    <w:basedOn w:val="0"/>
    <w:next w:val="0"/>
    <w:pPr>
      <w:keepNext/>
      <w:keepLines/>
      <w:spacing w:after="60"/>
      <w:jc w:val="center"/>
    </w:pPr>
    <w:rPr>
      <w:b/>
      <w:bCs/>
      <w:sz w:val="36"/>
      <w:szCs w:val="36"/>
    </w:rPr>
  </w:style>
  <w:style w:type="paragraph" w:styleId="16">
    <w:name w:val="Subtitle"/>
    <w:basedOn w:val="0"/>
    <w:next w:val="0"/>
    <w:pPr>
      <w:keepNext/>
      <w:keepLines/>
      <w:spacing w:after="60"/>
      <w:jc w:val="center"/>
    </w:pPr>
    <w:rPr>
      <w:i/>
      <w:iCs/>
      <w:sz w:val="32"/>
      <w:szCs w:val="32"/>
    </w:rPr>
  </w:style>
  <w:style w:type="paragraph" w:styleId="17">
    <w:name w:val="annotation text"/>
    <w:basedOn w:val="0"/>
    <w:pPr>
      <w:spacing w:line="240" w:lineRule="auto"/>
    </w:pPr>
    <w:rPr>
      <w:sz w:val="20"/>
      <w:szCs w:val="20"/>
    </w:rPr>
  </w:style>
  <w:style w:type="character" w:styleId="18">
    <w:name w:val="annotation reference"/>
    <w:basedOn w:val="10"/>
    <w:rPr>
      <w:sz w:val="16"/>
      <w:szCs w:val="16"/>
    </w:rPr>
  </w:style>
  <w:style w:type="paragraph" w:styleId="19">
    <w:name w:val="toc 1"/>
    <w:basedOn w:val="0"/>
    <w:autoRedefine/>
    <w:next w:val="0"/>
    <w:pPr>
      <w:spacing w:after="100"/>
    </w:pPr>
  </w:style>
  <w:style w:type="paragraph" w:styleId="20">
    <w:name w:val="toc 2"/>
    <w:basedOn w:val="0"/>
    <w:autoRedefine/>
    <w:next w:val="0"/>
    <w:pPr>
      <w:spacing w:after="100"/>
      <w:ind w:left="240"/>
    </w:pPr>
  </w:style>
  <w:style w:type="paragraph" w:styleId="21">
    <w:name w:val="toc 3"/>
    <w:basedOn w:val="0"/>
    <w:autoRedefine/>
    <w:next w:val="0"/>
    <w:pPr>
      <w:spacing w:after="100"/>
      <w:ind w:left="480"/>
    </w:pPr>
  </w:style>
  <w:style w:type="character" w:styleId="22">
    <w:name w:val="Hyperlink"/>
    <w:basedOn w:val="10"/>
    <w:rPr>
      <w:color w:val="0000FF"/>
      <w:u w:val="single"/>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footer" Target="footer2.xml"/><Relationship Id="rId5" Type="http://schemas.openxmlformats.org/officeDocument/2006/relationships/image" Target="media/2.png"/><Relationship Id="rId6" Type="http://schemas.openxmlformats.org/officeDocument/2006/relationships/image" Target="media/5.png"/><Relationship Id="rId7" Type="http://schemas.openxmlformats.org/officeDocument/2006/relationships/image" Target="media/8.png"/><Relationship Id="rId8" Type="http://schemas.openxmlformats.org/officeDocument/2006/relationships/image" Target="media/11.png"/><Relationship Id="rId9" Type="http://schemas.openxmlformats.org/officeDocument/2006/relationships/image" Target="media/14.png"/><Relationship Id="rId10" Type="http://schemas.openxmlformats.org/officeDocument/2006/relationships/image" Target="media/17.png"/><Relationship Id="rId11" Type="http://schemas.openxmlformats.org/officeDocument/2006/relationships/image" Target="media/20.png"/><Relationship Id="rId12" Type="http://schemas.openxmlformats.org/officeDocument/2006/relationships/image" Target="media/23.png"/><Relationship Id="rId13" Type="http://schemas.openxmlformats.org/officeDocument/2006/relationships/image" Target="media/26.png"/><Relationship Id="rId14" Type="http://schemas.openxmlformats.org/officeDocument/2006/relationships/image" Target="media/29.png"/><Relationship Id="rId15" Type="http://schemas.openxmlformats.org/officeDocument/2006/relationships/image" Target="media/32.png"/><Relationship Id="rId16" Type="http://schemas.openxmlformats.org/officeDocument/2006/relationships/image" Target="media/35.png"/><Relationship Id="rId17" Type="http://schemas.openxmlformats.org/officeDocument/2006/relationships/image" Target="media/38.png"/><Relationship Id="rId18" Type="http://schemas.openxmlformats.org/officeDocument/2006/relationships/image" Target="media/41.png"/><Relationship Id="rId19" Type="http://schemas.openxmlformats.org/officeDocument/2006/relationships/image" Target="media/44.png"/><Relationship Id="rId20" Type="http://schemas.openxmlformats.org/officeDocument/2006/relationships/image" Target="media/47.png"/><Relationship Id="rId21" Type="http://schemas.openxmlformats.org/officeDocument/2006/relationships/image" Target="media/50.png"/><Relationship Id="rId22" Type="http://schemas.openxmlformats.org/officeDocument/2006/relationships/image" Target="media/53.png"/><Relationship Id="rId23" Type="http://schemas.openxmlformats.org/officeDocument/2006/relationships/image" Target="media/56.png"/><Relationship Id="rId24" Type="http://schemas.openxmlformats.org/officeDocument/2006/relationships/image" Target="media/59.png"/><Relationship Id="rId25" Type="http://schemas.openxmlformats.org/officeDocument/2006/relationships/image" Target="media/62.png"/><Relationship Id="rId26" Type="http://schemas.openxmlformats.org/officeDocument/2006/relationships/image" Target="media/65.png"/><Relationship Id="rId27" Type="http://schemas.openxmlformats.org/officeDocument/2006/relationships/image" Target="media/68.png"/><Relationship Id="rId28" Type="http://schemas.openxmlformats.org/officeDocument/2006/relationships/styles" Target="styles.xml"/><Relationship Id="rId29" Type="http://schemas.openxmlformats.org/officeDocument/2006/relationships/fontTable" Target="fontTable.xml"/></Relationships>
</file>

<file path=docProps/app.xml><?xml version="1.0" encoding="utf-8"?>
<Properties xmlns="http://schemas.openxmlformats.org/officeDocument/2006/extended-properties">
  <Template>Normal.eit</Template>
  <TotalTime>16</TotalTime>
  <Application>Yozo_Office</Application>
  <Pages>62</Pages>
  <Words>8518</Words>
  <Characters>48823</Characters>
  <Lines>1821</Lines>
  <Paragraphs>1090</Paragraphs>
  <CharactersWithSpaces>56172</CharactersWithSpaces>
</Properties>
</file>

<file path=docProps/core.xml><?xml version="1.0" encoding="utf-8"?>
<cp:coreProperties xmlns:cp="http://schemas.openxmlformats.org/package/2006/metadata/core-properties" xmlns:dc="http://purl.org/dc/elements/1.1/" xmlns:dcterms="http://purl.org/dc/terms/" xmlns:xsi="http://www.w3.org/2001/XMLSchema-instance">
  <cp:lastModifiedBy>vivo user</cp:lastModifiedBy>
  <cp:revision>0</cp:revision>
  <dcterms:created xsi:type="dcterms:W3CDTF">2026-04-24T07:07:00Z</dcterms:created>
  <dcterms:modified xsi:type="dcterms:W3CDTF">2026-04-24T02:35:19Z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pid="2" name="GrammarlyDocumentId">
    <vt:lpwstr>709f710d-c02b-44e8-a5cf-9e859a85d165</vt:lpwstr>
  </property>
</Properties>
</file>