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F927A1" w:rsidRPr="005D3F07" w:rsidTr="00350DA1">
        <w:trPr>
          <w:trHeight w:val="4177"/>
        </w:trPr>
        <w:tc>
          <w:tcPr>
            <w:tcW w:w="10890"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50DA1">
              <w:rPr>
                <w:rFonts w:ascii="Times New Roman" w:hAnsi="Times New Roman" w:cs="Times New Roman"/>
                <w:b/>
                <w:color w:val="auto"/>
                <w:sz w:val="48"/>
              </w:rPr>
              <w:t>Lara Lewis</w:t>
            </w:r>
          </w:p>
          <w:p w:rsidR="009C337F" w:rsidRDefault="009C337F" w:rsidP="005D3F07">
            <w:pPr>
              <w:overflowPunct/>
              <w:autoSpaceDE/>
              <w:autoSpaceDN/>
              <w:adjustRightInd/>
              <w:ind w:right="-957"/>
              <w:textAlignment w:val="auto"/>
              <w:rPr>
                <w:rFonts w:ascii="Times New Roman" w:hAnsi="Times New Roman" w:cs="Times New Roman"/>
                <w:b/>
                <w:color w:val="auto"/>
                <w:sz w:val="48"/>
              </w:rPr>
            </w:pPr>
          </w:p>
          <w:p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50DA1">
              <w:rPr>
                <w:rFonts w:ascii="Times New Roman" w:hAnsi="Times New Roman" w:cs="Times New Roman"/>
                <w:b/>
                <w:color w:val="auto"/>
                <w:sz w:val="48"/>
              </w:rPr>
              <w:t xml:space="preserve"> l.lewis12@npt.gov.uk</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50DA1">
              <w:rPr>
                <w:rFonts w:ascii="Times New Roman" w:hAnsi="Times New Roman" w:cs="Times New Roman"/>
                <w:b/>
                <w:color w:val="auto"/>
                <w:sz w:val="48"/>
              </w:rPr>
              <w:t xml:space="preserve"> 1603050 </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E559CE" w:rsidRDefault="00E83F91" w:rsidP="005B3A2D">
      <w:pPr>
        <w:jc w:val="center"/>
        <w:rPr>
          <w:b/>
          <w:sz w:val="24"/>
          <w:szCs w:val="24"/>
        </w:rPr>
      </w:pPr>
      <w:r>
        <w:rPr>
          <w:b/>
          <w:sz w:val="24"/>
          <w:szCs w:val="24"/>
        </w:rPr>
        <w:br w:type="page"/>
      </w:r>
    </w:p>
    <w:p w:rsidR="007F312E" w:rsidRDefault="007F312E" w:rsidP="005F64AA">
      <w:pPr>
        <w:jc w:val="center"/>
        <w:rPr>
          <w:b/>
          <w:sz w:val="28"/>
          <w:szCs w:val="28"/>
        </w:rPr>
      </w:pPr>
    </w:p>
    <w:p w:rsidR="00D3203C" w:rsidRDefault="00D3203C" w:rsidP="00EE5BC3">
      <w:pPr>
        <w:jc w:val="center"/>
        <w:rPr>
          <w:b/>
          <w:sz w:val="24"/>
          <w:szCs w:val="24"/>
        </w:rPr>
      </w:pPr>
    </w:p>
    <w:p w:rsidR="000D0BB6" w:rsidRPr="00EE5BC3" w:rsidRDefault="00337FEF" w:rsidP="00EE5BC3">
      <w:pPr>
        <w:jc w:val="center"/>
        <w:rPr>
          <w:b/>
          <w:sz w:val="28"/>
          <w:szCs w:val="28"/>
        </w:rPr>
      </w:pPr>
      <w:r w:rsidRPr="00EE5BC3">
        <w:rPr>
          <w:b/>
          <w:sz w:val="28"/>
          <w:szCs w:val="28"/>
        </w:rPr>
        <w:t>Task 4</w:t>
      </w:r>
    </w:p>
    <w:p w:rsidR="00002C7A" w:rsidRPr="00EE5BC3" w:rsidRDefault="00002C7A" w:rsidP="00EE5BC3">
      <w:pPr>
        <w:jc w:val="center"/>
        <w:rPr>
          <w:b/>
          <w:sz w:val="28"/>
          <w:szCs w:val="28"/>
        </w:rPr>
      </w:pPr>
    </w:p>
    <w:p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rsidR="000D0BB6" w:rsidRPr="008B28E7" w:rsidRDefault="000D0BB6" w:rsidP="00FF7EBB">
      <w:pPr>
        <w:jc w:val="both"/>
        <w:rPr>
          <w:b/>
          <w:sz w:val="24"/>
          <w:szCs w:val="24"/>
        </w:rPr>
      </w:pPr>
    </w:p>
    <w:p w:rsidR="00337FEF" w:rsidRPr="00EE5BC3" w:rsidRDefault="008B28E7" w:rsidP="00FF7EBB">
      <w:pPr>
        <w:ind w:left="-90"/>
        <w:jc w:val="both"/>
        <w:rPr>
          <w:b/>
          <w:i/>
          <w:sz w:val="24"/>
          <w:szCs w:val="24"/>
        </w:rPr>
      </w:pPr>
      <w:r w:rsidRPr="00EE5BC3">
        <w:rPr>
          <w:b/>
          <w:i/>
          <w:sz w:val="24"/>
          <w:szCs w:val="24"/>
        </w:rPr>
        <w:t xml:space="preserve">Guidance: </w:t>
      </w:r>
    </w:p>
    <w:p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188" w:type="dxa"/>
            <w:shd w:val="clear" w:color="auto" w:fill="auto"/>
          </w:tcPr>
          <w:p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rsidR="00204289" w:rsidRDefault="00204289" w:rsidP="00FF7EBB">
            <w:pPr>
              <w:jc w:val="both"/>
              <w:rPr>
                <w:sz w:val="24"/>
                <w:szCs w:val="24"/>
              </w:rPr>
            </w:pPr>
          </w:p>
          <w:p w:rsidR="00896C76" w:rsidRDefault="00204289" w:rsidP="00FF7EBB">
            <w:pPr>
              <w:jc w:val="both"/>
              <w:rPr>
                <w:sz w:val="24"/>
                <w:szCs w:val="24"/>
              </w:rPr>
            </w:pPr>
            <w:r>
              <w:rPr>
                <w:sz w:val="24"/>
                <w:szCs w:val="24"/>
              </w:rPr>
              <w:t xml:space="preserve">Within the social work profession, all practitioners </w:t>
            </w:r>
            <w:r w:rsidR="00B71927">
              <w:rPr>
                <w:sz w:val="24"/>
                <w:szCs w:val="24"/>
              </w:rPr>
              <w:t>must ensure they encapsulate the values and ethics that underpin our practice, whether working with adults and children. The Social Services and Well-being (Wales) Act 2014 (SSWBA</w:t>
            </w:r>
            <w:r w:rsidR="00896C76">
              <w:rPr>
                <w:sz w:val="24"/>
                <w:szCs w:val="24"/>
              </w:rPr>
              <w:t>, 2014</w:t>
            </w:r>
            <w:r w:rsidR="00B71927">
              <w:rPr>
                <w:sz w:val="24"/>
                <w:szCs w:val="24"/>
              </w:rPr>
              <w:t xml:space="preserve">) came into force from April 2016, it was the first Act in Wales that brought together and modernised social services law, for all </w:t>
            </w:r>
            <w:r w:rsidR="00896C76">
              <w:rPr>
                <w:sz w:val="24"/>
                <w:szCs w:val="24"/>
              </w:rPr>
              <w:t>adults and children (Welsh Government, 2014</w:t>
            </w:r>
            <w:r w:rsidR="00B71927">
              <w:rPr>
                <w:sz w:val="24"/>
                <w:szCs w:val="24"/>
              </w:rPr>
              <w:t xml:space="preserve">).  </w:t>
            </w:r>
            <w:r w:rsidR="00896C76">
              <w:rPr>
                <w:sz w:val="24"/>
                <w:szCs w:val="24"/>
              </w:rPr>
              <w:t xml:space="preserve">Codes of Practice were developed following SSWBA (2014) which provides guidance for professionals and organisations to work within the law. </w:t>
            </w:r>
          </w:p>
          <w:p w:rsidR="00B71927" w:rsidRDefault="00B71927" w:rsidP="00FF7EBB">
            <w:pPr>
              <w:jc w:val="both"/>
              <w:rPr>
                <w:sz w:val="24"/>
                <w:szCs w:val="24"/>
              </w:rPr>
            </w:pPr>
          </w:p>
          <w:p w:rsidR="00594B50" w:rsidRDefault="00B71927" w:rsidP="00FF7EBB">
            <w:pPr>
              <w:jc w:val="both"/>
              <w:rPr>
                <w:sz w:val="24"/>
                <w:szCs w:val="24"/>
              </w:rPr>
            </w:pPr>
            <w:r>
              <w:rPr>
                <w:sz w:val="24"/>
                <w:szCs w:val="24"/>
              </w:rPr>
              <w:t xml:space="preserve">When considering SWWBA </w:t>
            </w:r>
            <w:r w:rsidR="00594B50">
              <w:rPr>
                <w:sz w:val="24"/>
                <w:szCs w:val="24"/>
              </w:rPr>
              <w:t>in working with adults, Part 3 Code of Practice (Assessing the needs of individuals) issued under Section 145, A Local Authority</w:t>
            </w:r>
            <w:r w:rsidR="003F57FB">
              <w:rPr>
                <w:sz w:val="24"/>
                <w:szCs w:val="24"/>
              </w:rPr>
              <w:t xml:space="preserve"> (LA)</w:t>
            </w:r>
            <w:r w:rsidR="00594B50">
              <w:rPr>
                <w:sz w:val="24"/>
                <w:szCs w:val="24"/>
              </w:rPr>
              <w:t xml:space="preserve"> must offer an assessment to any adult who appear to have needs for care and support and support for the protection against abuse or neglect. Part 3 also highlights that Local Authorities must consider the United Nations Principles for Older Persons</w:t>
            </w:r>
            <w:r w:rsidR="00773A7C">
              <w:rPr>
                <w:sz w:val="24"/>
                <w:szCs w:val="24"/>
              </w:rPr>
              <w:t xml:space="preserve"> (UNPOP)</w:t>
            </w:r>
            <w:r w:rsidR="00594B50">
              <w:rPr>
                <w:sz w:val="24"/>
                <w:szCs w:val="24"/>
              </w:rPr>
              <w:t xml:space="preserve"> when exercising fun</w:t>
            </w:r>
            <w:r w:rsidR="00896C76">
              <w:rPr>
                <w:sz w:val="24"/>
                <w:szCs w:val="24"/>
              </w:rPr>
              <w:t>ctions in relation to an adult (Code of Practice</w:t>
            </w:r>
            <w:r w:rsidR="006C7DCB">
              <w:rPr>
                <w:sz w:val="24"/>
                <w:szCs w:val="24"/>
              </w:rPr>
              <w:t xml:space="preserve"> 3</w:t>
            </w:r>
            <w:r w:rsidR="00F17B80">
              <w:rPr>
                <w:sz w:val="24"/>
                <w:szCs w:val="24"/>
              </w:rPr>
              <w:t>, n.d</w:t>
            </w:r>
            <w:r w:rsidR="00594B50">
              <w:rPr>
                <w:sz w:val="24"/>
                <w:szCs w:val="24"/>
              </w:rPr>
              <w:t xml:space="preserve">). </w:t>
            </w:r>
            <w:r w:rsidR="00773A7C">
              <w:rPr>
                <w:sz w:val="24"/>
                <w:szCs w:val="24"/>
              </w:rPr>
              <w:t>SSWBA (2014) embeds UNPOP as it ensures the legislation considers th</w:t>
            </w:r>
            <w:r w:rsidR="00F17B80">
              <w:rPr>
                <w:sz w:val="24"/>
                <w:szCs w:val="24"/>
              </w:rPr>
              <w:t>e rights of older people (Welsh Government, 2020</w:t>
            </w:r>
            <w:r w:rsidR="00773A7C">
              <w:rPr>
                <w:sz w:val="24"/>
                <w:szCs w:val="24"/>
              </w:rPr>
              <w:t xml:space="preserve">). </w:t>
            </w:r>
          </w:p>
          <w:p w:rsidR="00594B50" w:rsidRDefault="00594B50" w:rsidP="00FF7EBB">
            <w:pPr>
              <w:jc w:val="both"/>
              <w:rPr>
                <w:sz w:val="24"/>
                <w:szCs w:val="24"/>
              </w:rPr>
            </w:pPr>
          </w:p>
          <w:p w:rsidR="00491F8A" w:rsidRDefault="00594B50" w:rsidP="00FF7EBB">
            <w:pPr>
              <w:jc w:val="both"/>
              <w:rPr>
                <w:sz w:val="24"/>
                <w:szCs w:val="24"/>
              </w:rPr>
            </w:pPr>
            <w:r>
              <w:rPr>
                <w:sz w:val="24"/>
                <w:szCs w:val="24"/>
              </w:rPr>
              <w:t>SWWBA</w:t>
            </w:r>
            <w:r w:rsidR="00F17B80">
              <w:rPr>
                <w:sz w:val="24"/>
                <w:szCs w:val="24"/>
              </w:rPr>
              <w:t xml:space="preserve"> (2014) Part 7, Section 126</w:t>
            </w:r>
            <w:r>
              <w:rPr>
                <w:sz w:val="24"/>
                <w:szCs w:val="24"/>
              </w:rPr>
              <w:t xml:space="preserve"> defines an adult at risk as one “who is experiencing or at risk of abuse and neglect, has needs for care and support and is unable to protect himself or herself against the abuse or neglect” (</w:t>
            </w:r>
            <w:r w:rsidR="00F17B80">
              <w:rPr>
                <w:sz w:val="24"/>
                <w:szCs w:val="24"/>
              </w:rPr>
              <w:t>Social Services and Well-being Act, 2014</w:t>
            </w:r>
            <w:r>
              <w:rPr>
                <w:sz w:val="24"/>
                <w:szCs w:val="24"/>
              </w:rPr>
              <w:t>). The Wales Safeguarding Procedures (WSP</w:t>
            </w:r>
            <w:r w:rsidR="00F17B80">
              <w:rPr>
                <w:sz w:val="24"/>
                <w:szCs w:val="24"/>
              </w:rPr>
              <w:t>, 2019</w:t>
            </w:r>
            <w:r>
              <w:rPr>
                <w:sz w:val="24"/>
                <w:szCs w:val="24"/>
              </w:rPr>
              <w:t xml:space="preserve">) </w:t>
            </w:r>
            <w:r w:rsidR="004771D0">
              <w:rPr>
                <w:sz w:val="24"/>
                <w:szCs w:val="24"/>
              </w:rPr>
              <w:t>set out how practitioners apply the SSWBA</w:t>
            </w:r>
            <w:r w:rsidR="003F57FB">
              <w:rPr>
                <w:sz w:val="24"/>
                <w:szCs w:val="24"/>
              </w:rPr>
              <w:t xml:space="preserve"> (2014)</w:t>
            </w:r>
            <w:r w:rsidR="004771D0">
              <w:rPr>
                <w:sz w:val="24"/>
                <w:szCs w:val="24"/>
              </w:rPr>
              <w:t xml:space="preserve"> legislation and the statutory guidance from the Working together to safeguard people. </w:t>
            </w:r>
            <w:r w:rsidR="003F57FB">
              <w:rPr>
                <w:sz w:val="24"/>
                <w:szCs w:val="24"/>
              </w:rPr>
              <w:t>There are many forms of abuse that adults can experience, which include physical, sexual, emotional, financial, domest</w:t>
            </w:r>
            <w:r w:rsidR="00F17B80">
              <w:rPr>
                <w:sz w:val="24"/>
                <w:szCs w:val="24"/>
              </w:rPr>
              <w:t>ic, discriminatory abuse (SCIE, 2023</w:t>
            </w:r>
            <w:r w:rsidR="003F57FB">
              <w:rPr>
                <w:sz w:val="24"/>
                <w:szCs w:val="24"/>
              </w:rPr>
              <w:t xml:space="preserve">). The WSP sets out sections in which professionals will need to follow in order to effectively apply the SSWBA (2014). Section 1 covers the principles of safeguarding, in particular highlights that all professionals receive training to a level equal to their roles. Within my Local Authority, all staff members who work within the LA </w:t>
            </w:r>
            <w:r w:rsidR="00491F8A">
              <w:rPr>
                <w:sz w:val="24"/>
                <w:szCs w:val="24"/>
              </w:rPr>
              <w:t xml:space="preserve">regardless of their role </w:t>
            </w:r>
            <w:r w:rsidR="003F57FB">
              <w:rPr>
                <w:sz w:val="24"/>
                <w:szCs w:val="24"/>
              </w:rPr>
              <w:t xml:space="preserve">must undertake mandatory training on safeguarding </w:t>
            </w:r>
            <w:r w:rsidR="00491F8A">
              <w:rPr>
                <w:sz w:val="24"/>
                <w:szCs w:val="24"/>
              </w:rPr>
              <w:t xml:space="preserve">and violence against woman, domestic abuse and sexual violence. Section 2 covers the duty to report an adult at risk, Section 3 P1 covers the responding to a report of an adult at risk, </w:t>
            </w:r>
            <w:r w:rsidR="00491F8A">
              <w:rPr>
                <w:sz w:val="24"/>
                <w:szCs w:val="24"/>
              </w:rPr>
              <w:lastRenderedPageBreak/>
              <w:t>Section 3 P2 covers the responding to a report of an adult at risk, Section 4 covers the planning and intervention for adults at risk and Section 5 covers</w:t>
            </w:r>
            <w:r w:rsidR="00F17B80">
              <w:rPr>
                <w:sz w:val="24"/>
                <w:szCs w:val="24"/>
              </w:rPr>
              <w:t xml:space="preserve"> practitioners and those in position of trust. </w:t>
            </w:r>
            <w:r w:rsidR="00491F8A">
              <w:rPr>
                <w:sz w:val="24"/>
                <w:szCs w:val="24"/>
              </w:rPr>
              <w:t xml:space="preserve">Furthermore, when considering the need to assess and support adults at risk of abuse and neglect, practitioners must consider several key pieces of legislation that must underpin their practice when working with adults, this includes, but not limited too;  The Mental Capacity Act 2005, The Mental Health Act 1983 (amended in 2007), The </w:t>
            </w:r>
            <w:r w:rsidR="00F17B80">
              <w:rPr>
                <w:sz w:val="24"/>
                <w:szCs w:val="24"/>
              </w:rPr>
              <w:t>E</w:t>
            </w:r>
            <w:r w:rsidR="00491F8A">
              <w:rPr>
                <w:sz w:val="24"/>
                <w:szCs w:val="24"/>
              </w:rPr>
              <w:t>quality Act 2010, The Human Rights Act 199</w:t>
            </w:r>
            <w:r w:rsidR="00F17B80">
              <w:rPr>
                <w:sz w:val="24"/>
                <w:szCs w:val="24"/>
              </w:rPr>
              <w:t>8</w:t>
            </w:r>
            <w:r w:rsidR="00491F8A">
              <w:rPr>
                <w:sz w:val="24"/>
                <w:szCs w:val="24"/>
              </w:rPr>
              <w:t xml:space="preserve"> The Dat</w:t>
            </w:r>
            <w:r w:rsidR="00F17B80">
              <w:rPr>
                <w:sz w:val="24"/>
                <w:szCs w:val="24"/>
              </w:rPr>
              <w:t xml:space="preserve">a </w:t>
            </w:r>
            <w:r w:rsidR="00491F8A">
              <w:rPr>
                <w:sz w:val="24"/>
                <w:szCs w:val="24"/>
              </w:rPr>
              <w:t xml:space="preserve">Protection Act 1998, The Deprivation of Liberty Safeguards procedure and More Than Just Words 2012 strategic framework. </w:t>
            </w:r>
          </w:p>
          <w:p w:rsidR="00773A7C" w:rsidRDefault="00773A7C" w:rsidP="00FF7EBB">
            <w:pPr>
              <w:jc w:val="both"/>
              <w:rPr>
                <w:sz w:val="24"/>
                <w:szCs w:val="24"/>
              </w:rPr>
            </w:pPr>
          </w:p>
          <w:p w:rsidR="00773A7C" w:rsidRDefault="00F327A0" w:rsidP="00FF7EBB">
            <w:pPr>
              <w:jc w:val="both"/>
              <w:rPr>
                <w:sz w:val="24"/>
                <w:szCs w:val="24"/>
              </w:rPr>
            </w:pPr>
            <w:r>
              <w:rPr>
                <w:sz w:val="24"/>
                <w:szCs w:val="24"/>
              </w:rPr>
              <w:t>Word Count 491</w:t>
            </w:r>
          </w:p>
          <w:p w:rsidR="00773A7C" w:rsidRDefault="00773A7C" w:rsidP="00FF7EBB">
            <w:pPr>
              <w:jc w:val="both"/>
              <w:rPr>
                <w:sz w:val="24"/>
                <w:szCs w:val="24"/>
              </w:rPr>
            </w:pPr>
          </w:p>
          <w:p w:rsidR="006108C9" w:rsidRDefault="006108C9" w:rsidP="00FF7EBB">
            <w:pPr>
              <w:jc w:val="both"/>
              <w:rPr>
                <w:sz w:val="24"/>
                <w:szCs w:val="24"/>
              </w:rPr>
            </w:pPr>
          </w:p>
          <w:p w:rsidR="00FC0334" w:rsidRDefault="00FC0334" w:rsidP="00FF7EBB">
            <w:pPr>
              <w:jc w:val="both"/>
              <w:rPr>
                <w:sz w:val="24"/>
                <w:szCs w:val="24"/>
              </w:rPr>
            </w:pPr>
          </w:p>
          <w:p w:rsidR="00FC0334" w:rsidRDefault="00FC0334" w:rsidP="00FF7EBB">
            <w:pPr>
              <w:jc w:val="both"/>
              <w:rPr>
                <w:sz w:val="24"/>
                <w:szCs w:val="24"/>
              </w:rPr>
            </w:pPr>
          </w:p>
          <w:p w:rsidR="00FC0334" w:rsidRDefault="00FC0334" w:rsidP="00FF7EBB">
            <w:pPr>
              <w:jc w:val="both"/>
              <w:rPr>
                <w:sz w:val="24"/>
                <w:szCs w:val="24"/>
              </w:rPr>
            </w:pPr>
          </w:p>
          <w:p w:rsidR="00FC0334" w:rsidRDefault="00FC0334" w:rsidP="00FF7EBB">
            <w:pPr>
              <w:jc w:val="both"/>
              <w:rPr>
                <w:sz w:val="24"/>
                <w:szCs w:val="24"/>
              </w:rPr>
            </w:pPr>
          </w:p>
          <w:p w:rsidR="00FC0334" w:rsidRDefault="00FC0334" w:rsidP="00FF7EBB">
            <w:pPr>
              <w:jc w:val="both"/>
              <w:rPr>
                <w:sz w:val="24"/>
                <w:szCs w:val="24"/>
              </w:rPr>
            </w:pPr>
          </w:p>
          <w:p w:rsidR="00FC0334" w:rsidRDefault="00FC0334" w:rsidP="00FF7EBB">
            <w:pPr>
              <w:jc w:val="both"/>
              <w:rPr>
                <w:sz w:val="24"/>
                <w:szCs w:val="24"/>
              </w:rPr>
            </w:pPr>
          </w:p>
          <w:p w:rsidR="00FC0334" w:rsidRDefault="00FC0334" w:rsidP="00FF7EBB">
            <w:pPr>
              <w:jc w:val="both"/>
              <w:rPr>
                <w:sz w:val="24"/>
                <w:szCs w:val="24"/>
              </w:rPr>
            </w:pPr>
          </w:p>
          <w:p w:rsidR="00FC0334" w:rsidRDefault="00FC0334" w:rsidP="00FF7EBB">
            <w:pPr>
              <w:jc w:val="both"/>
              <w:rPr>
                <w:sz w:val="24"/>
                <w:szCs w:val="24"/>
              </w:rPr>
            </w:pPr>
          </w:p>
          <w:p w:rsidR="00FC0334" w:rsidRPr="006108C9" w:rsidRDefault="00FC0334" w:rsidP="00FF7EBB">
            <w:pPr>
              <w:jc w:val="both"/>
              <w:rPr>
                <w:sz w:val="24"/>
                <w:szCs w:val="24"/>
              </w:rPr>
            </w:pPr>
          </w:p>
          <w:p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rsidR="007A628F" w:rsidRPr="008B28E7" w:rsidRDefault="007A628F" w:rsidP="00FF7EBB">
            <w:pPr>
              <w:jc w:val="both"/>
              <w:rPr>
                <w:b/>
                <w:sz w:val="24"/>
                <w:szCs w:val="24"/>
              </w:rPr>
            </w:pPr>
          </w:p>
        </w:tc>
      </w:tr>
    </w:tbl>
    <w:p w:rsidR="00AA666E" w:rsidRPr="008B28E7" w:rsidRDefault="00AA666E" w:rsidP="00FF7EBB">
      <w:pPr>
        <w:jc w:val="both"/>
        <w:rPr>
          <w:sz w:val="24"/>
          <w:szCs w:val="24"/>
        </w:rPr>
      </w:pPr>
    </w:p>
    <w:p w:rsidR="00AA666E" w:rsidRPr="008B28E7" w:rsidRDefault="00AA666E" w:rsidP="00FF7EBB">
      <w:pPr>
        <w:jc w:val="both"/>
        <w:rPr>
          <w:sz w:val="24"/>
          <w:szCs w:val="24"/>
        </w:rPr>
      </w:pPr>
    </w:p>
    <w:p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rsidTr="00FC0334">
        <w:tc>
          <w:tcPr>
            <w:tcW w:w="10278" w:type="dxa"/>
            <w:shd w:val="clear" w:color="auto" w:fill="auto"/>
          </w:tcPr>
          <w:p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rsidR="003E3457" w:rsidRDefault="003E3457" w:rsidP="00FC0334">
            <w:pPr>
              <w:jc w:val="both"/>
              <w:rPr>
                <w:sz w:val="24"/>
                <w:szCs w:val="24"/>
              </w:rPr>
            </w:pPr>
          </w:p>
          <w:p w:rsidR="003E3457" w:rsidRDefault="003E3457" w:rsidP="00FC0334">
            <w:pPr>
              <w:jc w:val="both"/>
              <w:rPr>
                <w:sz w:val="24"/>
                <w:szCs w:val="24"/>
              </w:rPr>
            </w:pPr>
            <w:r>
              <w:rPr>
                <w:sz w:val="24"/>
                <w:szCs w:val="24"/>
              </w:rPr>
              <w:t xml:space="preserve">When considering the difference between the safeguarding in adults and children’s work, </w:t>
            </w:r>
            <w:r w:rsidR="00277F03">
              <w:rPr>
                <w:sz w:val="24"/>
                <w:szCs w:val="24"/>
              </w:rPr>
              <w:t xml:space="preserve">the refusal of assessment under Code of Practice 3 identifies </w:t>
            </w:r>
            <w:r w:rsidR="006C7DCB">
              <w:rPr>
                <w:sz w:val="24"/>
                <w:szCs w:val="24"/>
              </w:rPr>
              <w:t>a</w:t>
            </w:r>
            <w:r w:rsidR="00277F03">
              <w:rPr>
                <w:sz w:val="24"/>
                <w:szCs w:val="24"/>
              </w:rPr>
              <w:t xml:space="preserve"> difference. Within adults,</w:t>
            </w:r>
            <w:r w:rsidR="006C7DCB">
              <w:rPr>
                <w:sz w:val="24"/>
                <w:szCs w:val="24"/>
              </w:rPr>
              <w:t xml:space="preserve"> the Wales Safeguarding Procedures (2019) states</w:t>
            </w:r>
            <w:r w:rsidR="00277F03">
              <w:rPr>
                <w:sz w:val="24"/>
                <w:szCs w:val="24"/>
              </w:rPr>
              <w:t xml:space="preserve"> if an adult refuses an assessment, the LA’s duty to carry out an </w:t>
            </w:r>
            <w:r w:rsidR="00EA4311">
              <w:rPr>
                <w:sz w:val="24"/>
                <w:szCs w:val="24"/>
              </w:rPr>
              <w:t>assessment does not apply except</w:t>
            </w:r>
            <w:r w:rsidR="00277F03">
              <w:rPr>
                <w:sz w:val="24"/>
                <w:szCs w:val="24"/>
              </w:rPr>
              <w:t xml:space="preserve"> </w:t>
            </w:r>
            <w:r w:rsidR="00EA4311">
              <w:rPr>
                <w:sz w:val="24"/>
                <w:szCs w:val="24"/>
              </w:rPr>
              <w:t>within</w:t>
            </w:r>
            <w:r w:rsidR="00277F03">
              <w:rPr>
                <w:sz w:val="24"/>
                <w:szCs w:val="24"/>
              </w:rPr>
              <w:t xml:space="preserve"> two cases, the first case is where an adult is deemed to lack capacity to make their own decisions on refusal, and it is deemed in their best interest to carry out an assessment, and secondly </w:t>
            </w:r>
            <w:r w:rsidR="00F8474C">
              <w:rPr>
                <w:sz w:val="24"/>
                <w:szCs w:val="24"/>
              </w:rPr>
              <w:t>where an adult is experiencing or at risk of abuse, however refuses to participate in an assessment, the LA would need to consider the situation given the information it has.</w:t>
            </w:r>
            <w:r w:rsidR="006C7DCB">
              <w:rPr>
                <w:sz w:val="24"/>
                <w:szCs w:val="24"/>
              </w:rPr>
              <w:t xml:space="preserve"> </w:t>
            </w:r>
            <w:r w:rsidR="00F8474C">
              <w:rPr>
                <w:sz w:val="24"/>
                <w:szCs w:val="24"/>
              </w:rPr>
              <w:t xml:space="preserve">Furthermore, and adult who refuses an assessment is entitled to change their minds. Within children’s safeguarding, </w:t>
            </w:r>
            <w:r w:rsidR="00687BFF">
              <w:rPr>
                <w:sz w:val="24"/>
                <w:szCs w:val="24"/>
              </w:rPr>
              <w:t>children under the age of 16, the law states there is no presumption they have capacity, therefore in order for the LA to discharge an assessment, the LA must be satisfied that the child is able to make an informed decision. However, in such cases where a child under the age of 16, who has refused an assessment but is considered capable of making an informed decision, the LA must override this decision, if they suspect that the child is experiencing or at risk of abuse,</w:t>
            </w:r>
            <w:r w:rsidR="006C7DCB">
              <w:rPr>
                <w:sz w:val="24"/>
                <w:szCs w:val="24"/>
              </w:rPr>
              <w:t xml:space="preserve"> neglect or other forms of harm (Code of Practice 3, n.d</w:t>
            </w:r>
            <w:r w:rsidR="00EA4311">
              <w:rPr>
                <w:sz w:val="24"/>
                <w:szCs w:val="24"/>
              </w:rPr>
              <w:t xml:space="preserve">). </w:t>
            </w:r>
            <w:r w:rsidR="00687BFF">
              <w:rPr>
                <w:sz w:val="24"/>
                <w:szCs w:val="24"/>
              </w:rPr>
              <w:t xml:space="preserve"> This is further underpinned by the Children’s Act 1989, as the Children’s Act Section 47 states where a LA has reasonable cause to suspect that a child is suffering or likely to suffer significant harm, the LA has a duty to make enquiries </w:t>
            </w:r>
            <w:r w:rsidR="00687BFF">
              <w:rPr>
                <w:sz w:val="24"/>
                <w:szCs w:val="24"/>
              </w:rPr>
              <w:lastRenderedPageBreak/>
              <w:t>and consider an necessary action to safeguard the child’s welfare (</w:t>
            </w:r>
            <w:r w:rsidR="009F5BED">
              <w:rPr>
                <w:sz w:val="24"/>
                <w:szCs w:val="24"/>
              </w:rPr>
              <w:t>Working Together to Safeguard Children, 2023</w:t>
            </w:r>
            <w:r w:rsidR="00EA4311">
              <w:rPr>
                <w:sz w:val="24"/>
                <w:szCs w:val="24"/>
              </w:rPr>
              <w:t xml:space="preserve">). </w:t>
            </w:r>
          </w:p>
          <w:p w:rsidR="00EA4311" w:rsidRDefault="00EA4311" w:rsidP="00FC0334">
            <w:pPr>
              <w:jc w:val="both"/>
              <w:rPr>
                <w:sz w:val="24"/>
                <w:szCs w:val="24"/>
              </w:rPr>
            </w:pPr>
          </w:p>
          <w:p w:rsidR="00F216DF" w:rsidRDefault="00EA4311" w:rsidP="00FC0334">
            <w:pPr>
              <w:jc w:val="both"/>
              <w:rPr>
                <w:sz w:val="24"/>
                <w:szCs w:val="24"/>
              </w:rPr>
            </w:pPr>
            <w:r>
              <w:rPr>
                <w:sz w:val="24"/>
                <w:szCs w:val="24"/>
              </w:rPr>
              <w:t xml:space="preserve">Another difference to consider is under the Mental Capacity Act </w:t>
            </w:r>
            <w:r w:rsidR="00947C22">
              <w:rPr>
                <w:sz w:val="24"/>
                <w:szCs w:val="24"/>
              </w:rPr>
              <w:t xml:space="preserve">(MCA) </w:t>
            </w:r>
            <w:r>
              <w:rPr>
                <w:sz w:val="24"/>
                <w:szCs w:val="24"/>
              </w:rPr>
              <w:t>2005, Principle 3 refers to adults have a right not to be treated as lacking capacity, simply due to them making decisions that others may seem as ‘unwise’</w:t>
            </w:r>
            <w:r w:rsidR="00947C22">
              <w:rPr>
                <w:sz w:val="24"/>
                <w:szCs w:val="24"/>
              </w:rPr>
              <w:t>, adults have capacity to express themselves even if they are deemed vulnerable and can place themselves</w:t>
            </w:r>
            <w:r w:rsidR="009F5BED">
              <w:rPr>
                <w:sz w:val="24"/>
                <w:szCs w:val="24"/>
              </w:rPr>
              <w:t xml:space="preserve"> at risk. (SCIE, 2023</w:t>
            </w:r>
            <w:r w:rsidR="00947C22">
              <w:rPr>
                <w:sz w:val="24"/>
                <w:szCs w:val="24"/>
              </w:rPr>
              <w:t>).  However, with children under the age of 16 the MCA (2005) does not apply, children who are classed as vulnerable would need to be assessed as to whether they have capacity to consent under the ‘Gillick Competence’ guidelines</w:t>
            </w:r>
            <w:r w:rsidR="009F5BED">
              <w:rPr>
                <w:sz w:val="24"/>
                <w:szCs w:val="24"/>
              </w:rPr>
              <w:t xml:space="preserve"> </w:t>
            </w:r>
            <w:r w:rsidR="00F327A0">
              <w:rPr>
                <w:sz w:val="24"/>
                <w:szCs w:val="24"/>
              </w:rPr>
              <w:t>(NSPCC, 2022</w:t>
            </w:r>
            <w:r w:rsidR="00947C22">
              <w:rPr>
                <w:sz w:val="24"/>
                <w:szCs w:val="24"/>
              </w:rPr>
              <w:t xml:space="preserve">). </w:t>
            </w:r>
          </w:p>
          <w:p w:rsidR="00F216DF" w:rsidRDefault="00F216DF" w:rsidP="00FC0334">
            <w:pPr>
              <w:jc w:val="both"/>
              <w:rPr>
                <w:sz w:val="24"/>
                <w:szCs w:val="24"/>
              </w:rPr>
            </w:pPr>
          </w:p>
          <w:p w:rsidR="00F216DF" w:rsidRDefault="00F327A0" w:rsidP="00FC0334">
            <w:pPr>
              <w:jc w:val="both"/>
              <w:rPr>
                <w:sz w:val="24"/>
                <w:szCs w:val="24"/>
              </w:rPr>
            </w:pPr>
            <w:r>
              <w:rPr>
                <w:sz w:val="24"/>
                <w:szCs w:val="24"/>
              </w:rPr>
              <w:t>Word count 388</w:t>
            </w:r>
            <w:r w:rsidR="00F216DF">
              <w:rPr>
                <w:sz w:val="24"/>
                <w:szCs w:val="24"/>
              </w:rPr>
              <w:t xml:space="preserve"> </w:t>
            </w:r>
            <w:bookmarkStart w:id="0" w:name="_GoBack"/>
            <w:bookmarkEnd w:id="0"/>
          </w:p>
          <w:p w:rsidR="00EA4311" w:rsidRDefault="00EA4311" w:rsidP="00FC0334">
            <w:pPr>
              <w:jc w:val="both"/>
              <w:rPr>
                <w:sz w:val="24"/>
                <w:szCs w:val="24"/>
              </w:rPr>
            </w:pPr>
          </w:p>
          <w:p w:rsidR="00EA4311" w:rsidRDefault="00EA4311" w:rsidP="00FC0334">
            <w:pPr>
              <w:jc w:val="both"/>
              <w:rPr>
                <w:sz w:val="24"/>
                <w:szCs w:val="24"/>
              </w:rPr>
            </w:pPr>
          </w:p>
          <w:p w:rsidR="00FC0334" w:rsidRDefault="00FC0334" w:rsidP="00FC0334">
            <w:pPr>
              <w:jc w:val="both"/>
              <w:rPr>
                <w:sz w:val="24"/>
                <w:szCs w:val="24"/>
              </w:rPr>
            </w:pPr>
          </w:p>
          <w:p w:rsidR="00FC0334" w:rsidRDefault="00FC0334" w:rsidP="00FC0334">
            <w:pPr>
              <w:jc w:val="both"/>
              <w:rPr>
                <w:sz w:val="24"/>
                <w:szCs w:val="24"/>
              </w:rPr>
            </w:pPr>
          </w:p>
          <w:p w:rsidR="00FC0334" w:rsidRDefault="00FC0334" w:rsidP="00FC0334">
            <w:pPr>
              <w:jc w:val="both"/>
              <w:rPr>
                <w:sz w:val="24"/>
                <w:szCs w:val="24"/>
              </w:rPr>
            </w:pPr>
          </w:p>
          <w:p w:rsidR="00FC0334" w:rsidRDefault="00FC0334" w:rsidP="00FC0334">
            <w:pPr>
              <w:jc w:val="both"/>
              <w:rPr>
                <w:sz w:val="24"/>
                <w:szCs w:val="24"/>
              </w:rPr>
            </w:pPr>
          </w:p>
          <w:p w:rsidR="00FC0334" w:rsidRDefault="00FC0334" w:rsidP="00FC0334">
            <w:pPr>
              <w:jc w:val="both"/>
              <w:rPr>
                <w:sz w:val="24"/>
                <w:szCs w:val="24"/>
              </w:rPr>
            </w:pPr>
          </w:p>
          <w:p w:rsidR="00FC0334" w:rsidRDefault="00FC0334" w:rsidP="00FC0334">
            <w:pPr>
              <w:jc w:val="both"/>
              <w:rPr>
                <w:sz w:val="24"/>
                <w:szCs w:val="24"/>
              </w:rPr>
            </w:pPr>
          </w:p>
          <w:p w:rsidR="00FC0334" w:rsidRDefault="00FC0334" w:rsidP="00FC0334">
            <w:pPr>
              <w:jc w:val="both"/>
              <w:rPr>
                <w:sz w:val="24"/>
                <w:szCs w:val="24"/>
              </w:rPr>
            </w:pPr>
          </w:p>
          <w:p w:rsidR="00FC0334" w:rsidRDefault="00FC0334" w:rsidP="00FC0334">
            <w:pPr>
              <w:jc w:val="both"/>
              <w:rPr>
                <w:sz w:val="24"/>
                <w:szCs w:val="24"/>
              </w:rPr>
            </w:pPr>
          </w:p>
          <w:p w:rsidR="00FC0334" w:rsidRDefault="00FC0334" w:rsidP="00FC0334">
            <w:pPr>
              <w:jc w:val="both"/>
              <w:rPr>
                <w:sz w:val="24"/>
                <w:szCs w:val="24"/>
              </w:rPr>
            </w:pPr>
          </w:p>
          <w:p w:rsidR="00FC0334" w:rsidRPr="006108C9" w:rsidRDefault="00FC0334" w:rsidP="00FC0334">
            <w:pPr>
              <w:jc w:val="both"/>
              <w:rPr>
                <w:sz w:val="24"/>
                <w:szCs w:val="24"/>
              </w:rPr>
            </w:pPr>
          </w:p>
          <w:p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rsidR="00FC0334" w:rsidRPr="006108C9" w:rsidRDefault="00FC0334" w:rsidP="00FC0334">
            <w:pPr>
              <w:jc w:val="both"/>
              <w:rPr>
                <w:sz w:val="24"/>
                <w:szCs w:val="24"/>
              </w:rPr>
            </w:pPr>
          </w:p>
        </w:tc>
      </w:tr>
    </w:tbl>
    <w:p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7A3633E" w16cex:dateUtc="2024-01-24T14:14:00Z"/>
  <w16cex:commentExtensible w16cex:durableId="5A9A7E6F" w16cex:dateUtc="2024-01-24T14:16:00Z"/>
  <w16cex:commentExtensible w16cex:durableId="7D466FE7" w16cex:dateUtc="2024-01-24T14:19:00Z"/>
  <w16cex:commentExtensible w16cex:durableId="778570DC" w16cex:dateUtc="2024-01-24T14:19:00Z"/>
  <w16cex:commentExtensible w16cex:durableId="7DBA8A09" w16cex:dateUtc="2024-01-24T14:21:00Z"/>
  <w16cex:commentExtensible w16cex:durableId="367C64DC" w16cex:dateUtc="2024-01-24T14:21:00Z"/>
  <w16cex:commentExtensible w16cex:durableId="1B7A19DA" w16cex:dateUtc="2024-01-24T14:21:00Z"/>
  <w16cex:commentExtensible w16cex:durableId="114BABB8" w16cex:dateUtc="2024-01-24T14:21:00Z"/>
  <w16cex:commentExtensible w16cex:durableId="7C400A30" w16cex:dateUtc="2024-01-24T15:23:00Z"/>
  <w16cex:commentExtensible w16cex:durableId="7F7D3ED7" w16cex:dateUtc="2024-01-24T15: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A855E0" w16cid:durableId="57A3633E"/>
  <w16cid:commentId w16cid:paraId="3D4585AC" w16cid:durableId="5A9A7E6F"/>
  <w16cid:commentId w16cid:paraId="480636A9" w16cid:durableId="7D466FE7"/>
  <w16cid:commentId w16cid:paraId="09BD01E9" w16cid:durableId="778570DC"/>
  <w16cid:commentId w16cid:paraId="37EE3430" w16cid:durableId="7DBA8A09"/>
  <w16cid:commentId w16cid:paraId="2FEDF603" w16cid:durableId="367C64DC"/>
  <w16cid:commentId w16cid:paraId="2EECD166" w16cid:durableId="1B7A19DA"/>
  <w16cid:commentId w16cid:paraId="55297003" w16cid:durableId="114BABB8"/>
  <w16cid:commentId w16cid:paraId="4C25BBB6" w16cid:durableId="7C400A30"/>
  <w16cid:commentId w16cid:paraId="05A4D15C" w16cid:durableId="7F7D3ED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28AD" w:rsidRDefault="00BB28AD">
      <w:r>
        <w:separator/>
      </w:r>
    </w:p>
  </w:endnote>
  <w:endnote w:type="continuationSeparator" w:id="0">
    <w:p w:rsidR="00BB28AD" w:rsidRDefault="00BB2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Footer"/>
      <w:jc w:val="right"/>
    </w:pPr>
    <w:r>
      <w:fldChar w:fldCharType="begin"/>
    </w:r>
    <w:r>
      <w:instrText xml:space="preserve"> PAGE   \* MERGEFORMAT </w:instrText>
    </w:r>
    <w:r>
      <w:fldChar w:fldCharType="separate"/>
    </w:r>
    <w:r w:rsidR="00350DA1">
      <w:rPr>
        <w:noProof/>
      </w:rPr>
      <w:t>4</w:t>
    </w:r>
    <w:r>
      <w:rPr>
        <w:noProof/>
      </w:rPr>
      <w:fldChar w:fldCharType="end"/>
    </w:r>
  </w:p>
  <w:p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28AD" w:rsidRDefault="00BB28AD">
      <w:r>
        <w:separator/>
      </w:r>
    </w:p>
  </w:footnote>
  <w:footnote w:type="continuationSeparator" w:id="0">
    <w:p w:rsidR="00BB28AD" w:rsidRDefault="00BB28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798"/>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289"/>
    <w:rsid w:val="00204B58"/>
    <w:rsid w:val="00205051"/>
    <w:rsid w:val="00211F65"/>
    <w:rsid w:val="00214047"/>
    <w:rsid w:val="00216563"/>
    <w:rsid w:val="0021792F"/>
    <w:rsid w:val="00220D06"/>
    <w:rsid w:val="00222C72"/>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77F03"/>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0DA1"/>
    <w:rsid w:val="00354B6D"/>
    <w:rsid w:val="00355210"/>
    <w:rsid w:val="00355CFD"/>
    <w:rsid w:val="00365DF9"/>
    <w:rsid w:val="0037066E"/>
    <w:rsid w:val="00372DB4"/>
    <w:rsid w:val="00373A36"/>
    <w:rsid w:val="0037419E"/>
    <w:rsid w:val="00375AF5"/>
    <w:rsid w:val="003761BD"/>
    <w:rsid w:val="00377448"/>
    <w:rsid w:val="00377884"/>
    <w:rsid w:val="003826BD"/>
    <w:rsid w:val="00382909"/>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3457"/>
    <w:rsid w:val="003E4B70"/>
    <w:rsid w:val="003E54CF"/>
    <w:rsid w:val="003E5FBA"/>
    <w:rsid w:val="003F1233"/>
    <w:rsid w:val="003F57FB"/>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75500"/>
    <w:rsid w:val="004771D0"/>
    <w:rsid w:val="00482C17"/>
    <w:rsid w:val="00484CE3"/>
    <w:rsid w:val="004911B4"/>
    <w:rsid w:val="0049196A"/>
    <w:rsid w:val="00491F8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B50"/>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87BFF"/>
    <w:rsid w:val="0069625A"/>
    <w:rsid w:val="00696A88"/>
    <w:rsid w:val="00696F65"/>
    <w:rsid w:val="00697572"/>
    <w:rsid w:val="006B4496"/>
    <w:rsid w:val="006B5E67"/>
    <w:rsid w:val="006B6612"/>
    <w:rsid w:val="006C2EB5"/>
    <w:rsid w:val="006C7DCB"/>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3A7C"/>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6C76"/>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47C22"/>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5BED"/>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927"/>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28AD"/>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215A"/>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45518"/>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31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7B80"/>
    <w:rsid w:val="00F216DF"/>
    <w:rsid w:val="00F22AC5"/>
    <w:rsid w:val="00F254D1"/>
    <w:rsid w:val="00F25823"/>
    <w:rsid w:val="00F300B4"/>
    <w:rsid w:val="00F327A0"/>
    <w:rsid w:val="00F32B82"/>
    <w:rsid w:val="00F34C86"/>
    <w:rsid w:val="00F400F5"/>
    <w:rsid w:val="00F4043E"/>
    <w:rsid w:val="00F41795"/>
    <w:rsid w:val="00F41BBC"/>
    <w:rsid w:val="00F444F0"/>
    <w:rsid w:val="00F446FF"/>
    <w:rsid w:val="00F45521"/>
    <w:rsid w:val="00F50847"/>
    <w:rsid w:val="00F53F27"/>
    <w:rsid w:val="00F546D1"/>
    <w:rsid w:val="00F60281"/>
    <w:rsid w:val="00F66272"/>
    <w:rsid w:val="00F709C0"/>
    <w:rsid w:val="00F81FEC"/>
    <w:rsid w:val="00F8474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EB5C92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16/09/relationships/commentsIds" Target="commentsId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4E4924-47D4-4970-B9BF-98B7234C1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1085</Words>
  <Characters>5665</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Lara Lewis</cp:lastModifiedBy>
  <cp:revision>2</cp:revision>
  <cp:lastPrinted>2020-02-11T19:20:00Z</cp:lastPrinted>
  <dcterms:created xsi:type="dcterms:W3CDTF">2024-02-13T10:18:00Z</dcterms:created>
  <dcterms:modified xsi:type="dcterms:W3CDTF">2024-02-13T10:18:00Z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