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06714" w14:textId="7100755D" w:rsidR="00994B45" w:rsidRPr="00994B45" w:rsidRDefault="005A0F0D" w:rsidP="00994B45">
      <w:pPr>
        <w:pStyle w:val="Title"/>
        <w:jc w:val="center"/>
      </w:pPr>
      <w:r>
        <w:t>Individual report</w:t>
      </w:r>
    </w:p>
    <w:p w14:paraId="1D8BE540" w14:textId="15671A5A" w:rsidR="005A0F0D" w:rsidRDefault="005A0F0D" w:rsidP="005A0F0D">
      <w:pPr>
        <w:pStyle w:val="Subtitle"/>
        <w:jc w:val="center"/>
      </w:pPr>
      <w:r w:rsidRPr="005A0F0D">
        <w:t>Strategic Management for Business</w:t>
      </w:r>
    </w:p>
    <w:p w14:paraId="5D96A85A" w14:textId="170D36EA" w:rsidR="00994B45" w:rsidRPr="00994B45" w:rsidRDefault="00994B45" w:rsidP="00994B45">
      <w:pPr>
        <w:pStyle w:val="Subtitle"/>
        <w:jc w:val="center"/>
      </w:pPr>
      <w:r>
        <w:t>LCLM6001</w:t>
      </w:r>
    </w:p>
    <w:p w14:paraId="59ED5859" w14:textId="3F43F7A0" w:rsidR="005A0F0D" w:rsidRDefault="005A0F0D" w:rsidP="005A0F0D">
      <w:pPr>
        <w:pStyle w:val="Subtitle"/>
        <w:jc w:val="center"/>
      </w:pPr>
      <w:r>
        <w:t xml:space="preserve">Mariya </w:t>
      </w:r>
      <w:proofErr w:type="spellStart"/>
      <w:r>
        <w:t>Vezarova</w:t>
      </w:r>
      <w:proofErr w:type="spellEnd"/>
      <w:r>
        <w:t xml:space="preserve"> 2351459</w:t>
      </w:r>
    </w:p>
    <w:p w14:paraId="78D86D80" w14:textId="77777777" w:rsidR="00D60718" w:rsidRDefault="00D60718" w:rsidP="00D60718"/>
    <w:p w14:paraId="3B5507A7" w14:textId="77777777" w:rsidR="00D60718" w:rsidRDefault="00D60718" w:rsidP="00D60718"/>
    <w:p w14:paraId="2CDC42B8" w14:textId="77777777" w:rsidR="00D60718" w:rsidRDefault="00D60718" w:rsidP="00D60718"/>
    <w:p w14:paraId="08DC238A" w14:textId="77777777" w:rsidR="00D60718" w:rsidRDefault="00D60718" w:rsidP="00D60718"/>
    <w:p w14:paraId="030282B8" w14:textId="77777777" w:rsidR="00D60718" w:rsidRDefault="00D60718" w:rsidP="00D60718"/>
    <w:p w14:paraId="260E20FD" w14:textId="77777777" w:rsidR="00D60718" w:rsidRDefault="00D60718" w:rsidP="00D60718"/>
    <w:p w14:paraId="2F0F3A5E" w14:textId="77777777" w:rsidR="00D60718" w:rsidRDefault="00D60718" w:rsidP="00D60718"/>
    <w:p w14:paraId="6615F85E" w14:textId="77777777" w:rsidR="00D60718" w:rsidRDefault="00D60718" w:rsidP="00D60718"/>
    <w:p w14:paraId="5BDB7A6D" w14:textId="77777777" w:rsidR="00D60718" w:rsidRDefault="00D60718" w:rsidP="00D60718"/>
    <w:p w14:paraId="77757E99" w14:textId="77777777" w:rsidR="00D60718" w:rsidRDefault="00D60718" w:rsidP="00D60718"/>
    <w:p w14:paraId="57B1B782" w14:textId="77777777" w:rsidR="00D60718" w:rsidRDefault="00D60718" w:rsidP="00D60718"/>
    <w:p w14:paraId="59D0B0B1" w14:textId="77777777" w:rsidR="00D60718" w:rsidRDefault="00D60718" w:rsidP="00D60718"/>
    <w:p w14:paraId="396FAF79" w14:textId="77777777" w:rsidR="00D60718" w:rsidRDefault="00D60718" w:rsidP="00D60718"/>
    <w:p w14:paraId="2A9250CE" w14:textId="77777777" w:rsidR="00D60718" w:rsidRDefault="00D60718" w:rsidP="00D60718"/>
    <w:p w14:paraId="142AA17F" w14:textId="77777777" w:rsidR="00D60718" w:rsidRDefault="00D60718" w:rsidP="00D60718"/>
    <w:p w14:paraId="189A7285" w14:textId="77777777" w:rsidR="00D60718" w:rsidRDefault="00D60718" w:rsidP="00D60718"/>
    <w:p w14:paraId="362D9BD4" w14:textId="77777777" w:rsidR="00D60718" w:rsidRDefault="00D60718" w:rsidP="00D60718"/>
    <w:p w14:paraId="73A1C167" w14:textId="77777777" w:rsidR="00D60718" w:rsidRDefault="00D60718" w:rsidP="00D60718"/>
    <w:p w14:paraId="5D5470D7" w14:textId="77777777" w:rsidR="00D60718" w:rsidRDefault="00D60718" w:rsidP="00D60718"/>
    <w:p w14:paraId="5BDDF262" w14:textId="77777777" w:rsidR="00D60718" w:rsidRDefault="00D60718" w:rsidP="00D60718"/>
    <w:p w14:paraId="16C317D2" w14:textId="77777777" w:rsidR="00D60718" w:rsidRDefault="00D60718" w:rsidP="00D60718"/>
    <w:p w14:paraId="17782D9F" w14:textId="77777777" w:rsidR="00D60718" w:rsidRDefault="00D60718" w:rsidP="00D60718"/>
    <w:p w14:paraId="1E524651" w14:textId="77777777" w:rsidR="00D60718" w:rsidRDefault="00D60718" w:rsidP="00D60718"/>
    <w:p w14:paraId="69D59CDD" w14:textId="77777777" w:rsidR="00D60718" w:rsidRDefault="00D60718" w:rsidP="00D60718"/>
    <w:p w14:paraId="4381798B" w14:textId="77777777" w:rsidR="00D60718" w:rsidRDefault="00D60718" w:rsidP="00D60718"/>
    <w:p w14:paraId="33748C0F" w14:textId="366A39B4" w:rsidR="00D60718" w:rsidRDefault="00D60718" w:rsidP="00D60718">
      <w:pPr>
        <w:pStyle w:val="Heading1"/>
      </w:pPr>
      <w:bookmarkStart w:id="0" w:name="_Toc216950941"/>
      <w:r>
        <w:lastRenderedPageBreak/>
        <w:t>Executive Summary</w:t>
      </w:r>
      <w:bookmarkEnd w:id="0"/>
    </w:p>
    <w:p w14:paraId="0B08F998" w14:textId="77777777" w:rsidR="00F01CC1" w:rsidRPr="00F01CC1" w:rsidRDefault="00F01CC1" w:rsidP="00F01CC1">
      <w:pPr>
        <w:ind w:firstLine="720"/>
        <w:jc w:val="both"/>
      </w:pPr>
      <w:r w:rsidRPr="00F01CC1">
        <w:t>This report critically evaluates the strategic position and future growth prospects of Raeburn London, a sustainability-oriented fashion SME operating within a highly competitive and environmentally scrutinised industry. The analysis finds that Raeburn’s strategic direction is strongly values-led, with a clear and coherent alignment between its vision, mission and objectives. Rather than prioritising rapid scale or volume-driven growth, the firm deliberately emphasises circularity, design integrity and responsible production, positioning itself as a purpose-driven organisation seeking long-term relevance rather than short-term commercial expansion.</w:t>
      </w:r>
    </w:p>
    <w:p w14:paraId="725BFCBB" w14:textId="77777777" w:rsidR="00F01CC1" w:rsidRPr="00F01CC1" w:rsidRDefault="00F01CC1" w:rsidP="00F01CC1">
      <w:pPr>
        <w:ind w:firstLine="720"/>
        <w:jc w:val="both"/>
      </w:pPr>
      <w:r w:rsidRPr="00F01CC1">
        <w:t>The appraisal of Raeburn’s strategic direction indicates that its commitment to circular fashion and remanufacturing provides strategic clarity and differentiation in a sector increasingly challenged by environmental and ethical concerns. However, this orientation also constrains growth by limiting economies of scale and increasing operational complexity. Despite these constraints, the alignment between strategic intent and operational practice enhances brand authenticity and organisational legitimacy, which are critical sources of competitive advantage in ethical consumption markets.</w:t>
      </w:r>
    </w:p>
    <w:p w14:paraId="4DFB7AD5" w14:textId="77777777" w:rsidR="00F01CC1" w:rsidRPr="00F01CC1" w:rsidRDefault="00F01CC1" w:rsidP="00F01CC1">
      <w:pPr>
        <w:ind w:firstLine="720"/>
        <w:jc w:val="both"/>
      </w:pPr>
      <w:r w:rsidRPr="00F01CC1">
        <w:t>The environmental scan reveals that Raeburn’s competitive positioning is primarily underpinned by distinctive internal capabilities, particularly its expertise in remanufacturing, material experimentation and sustainability-led design. These capabilities are rare and difficult to imitate, supporting differentiation-based competition rather than cost leadership. Externally, regulatory pressures, growing consumer awareness and environmental constraints create a generally favourable context for sustainability-focused firms, although economic uncertainty and intense competitive rivalry continue to pose significant challenges. Overall, Raeburn occupies a defensible niche position but remains exposed to cost pressures, supply uncertainty and buyer power.</w:t>
      </w:r>
    </w:p>
    <w:p w14:paraId="43A4229B" w14:textId="77777777" w:rsidR="00F01CC1" w:rsidRPr="00F01CC1" w:rsidRDefault="00F01CC1" w:rsidP="00F01CC1">
      <w:pPr>
        <w:ind w:firstLine="720"/>
        <w:jc w:val="both"/>
      </w:pPr>
      <w:r w:rsidRPr="00F01CC1">
        <w:t>Analysis of strategic growth options for SMEs demonstrates that conventional scale-based strategies are neither feasible nor strategically appropriate for Raeburn. Instead, focused differentiation supported by selective product and market development emerges as the most viable growth pathway. The report proposes a circular design platform strategy that extends Raeburn’s core capabilities into services, partnerships and modular product systems. This approach reduces reliance on volume growth, enhances resilience and aligns closely with long-term environmental, regulatory and market trends, thereby supporting sustainable competitive advantage.</w:t>
      </w:r>
    </w:p>
    <w:p w14:paraId="7CB3AA90" w14:textId="4BABA8D4" w:rsidR="00D60718" w:rsidRDefault="00F01CC1" w:rsidP="00994B45">
      <w:pPr>
        <w:ind w:firstLine="720"/>
        <w:jc w:val="both"/>
      </w:pPr>
      <w:r w:rsidRPr="00F01CC1">
        <w:t>The stakeholder analysis highlights that senior management and founders hold the greatest power and accountability, making their continued commitment to sustainability essential for strategic feasibility. Employees and designers play a critical enabling role due to their specialist skills, while customers exert high collective power through purchasing behaviour and acceptance of circular consumption models. Suppliers and strategic partners influence operational feasibility, particularly in relation to material availability and collaborative growth initiatives. Regulators and industry bodies, although indirect stakeholders, increasingly shape strategic acceptability through evolving sustainability standards. The analysis finds that the proposed strategy is broadly suitable, feasible and acceptable, provided stakeholder expectations are actively managed and governance clarity is maintained.</w:t>
      </w:r>
    </w:p>
    <w:p w14:paraId="7CC1F1B1" w14:textId="77777777" w:rsidR="00D60718" w:rsidRDefault="00D60718" w:rsidP="00D60718"/>
    <w:p w14:paraId="4A5099A4" w14:textId="77777777" w:rsidR="00D60718" w:rsidRDefault="00D60718" w:rsidP="00D60718"/>
    <w:p w14:paraId="0568C855" w14:textId="77777777" w:rsidR="00D60718" w:rsidRDefault="00D60718" w:rsidP="00D60718"/>
    <w:sdt>
      <w:sdtPr>
        <w:id w:val="153260468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A63B6AB" w14:textId="320CBC9E" w:rsidR="00994B45" w:rsidRDefault="00994B45">
          <w:pPr>
            <w:pStyle w:val="TOCHeading"/>
          </w:pPr>
          <w:r>
            <w:t>Table of Contents</w:t>
          </w:r>
        </w:p>
        <w:p w14:paraId="31FF37DD" w14:textId="21CE78C7" w:rsidR="00994B45" w:rsidRDefault="00994B45">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6950941" w:history="1">
            <w:r w:rsidRPr="00241FE6">
              <w:rPr>
                <w:rStyle w:val="Hyperlink"/>
                <w:noProof/>
              </w:rPr>
              <w:t>Executive Summary</w:t>
            </w:r>
            <w:r>
              <w:rPr>
                <w:noProof/>
                <w:webHidden/>
              </w:rPr>
              <w:tab/>
            </w:r>
            <w:r>
              <w:rPr>
                <w:noProof/>
                <w:webHidden/>
              </w:rPr>
              <w:fldChar w:fldCharType="begin"/>
            </w:r>
            <w:r>
              <w:rPr>
                <w:noProof/>
                <w:webHidden/>
              </w:rPr>
              <w:instrText xml:space="preserve"> PAGEREF _Toc216950941 \h </w:instrText>
            </w:r>
            <w:r>
              <w:rPr>
                <w:noProof/>
                <w:webHidden/>
              </w:rPr>
            </w:r>
            <w:r>
              <w:rPr>
                <w:noProof/>
                <w:webHidden/>
              </w:rPr>
              <w:fldChar w:fldCharType="separate"/>
            </w:r>
            <w:r>
              <w:rPr>
                <w:noProof/>
                <w:webHidden/>
              </w:rPr>
              <w:t>2</w:t>
            </w:r>
            <w:r>
              <w:rPr>
                <w:noProof/>
                <w:webHidden/>
              </w:rPr>
              <w:fldChar w:fldCharType="end"/>
            </w:r>
          </w:hyperlink>
        </w:p>
        <w:p w14:paraId="270EDC0C" w14:textId="4CA9EDBF" w:rsidR="00994B45" w:rsidRDefault="00994B45">
          <w:pPr>
            <w:pStyle w:val="TOC1"/>
            <w:tabs>
              <w:tab w:val="right" w:leader="dot" w:pos="9016"/>
            </w:tabs>
            <w:rPr>
              <w:rFonts w:cstheme="minorBidi"/>
              <w:noProof/>
              <w:kern w:val="2"/>
              <w:sz w:val="24"/>
              <w:szCs w:val="24"/>
              <w:lang w:val="en-GB" w:eastAsia="en-GB"/>
              <w14:ligatures w14:val="standardContextual"/>
            </w:rPr>
          </w:pPr>
          <w:hyperlink w:anchor="_Toc216950942" w:history="1">
            <w:r w:rsidRPr="00241FE6">
              <w:rPr>
                <w:rStyle w:val="Hyperlink"/>
                <w:noProof/>
              </w:rPr>
              <w:t>Table of Contents</w:t>
            </w:r>
            <w:r>
              <w:rPr>
                <w:noProof/>
                <w:webHidden/>
              </w:rPr>
              <w:tab/>
            </w:r>
            <w:r>
              <w:rPr>
                <w:noProof/>
                <w:webHidden/>
              </w:rPr>
              <w:fldChar w:fldCharType="begin"/>
            </w:r>
            <w:r>
              <w:rPr>
                <w:noProof/>
                <w:webHidden/>
              </w:rPr>
              <w:instrText xml:space="preserve"> PAGEREF _Toc216950942 \h </w:instrText>
            </w:r>
            <w:r>
              <w:rPr>
                <w:noProof/>
                <w:webHidden/>
              </w:rPr>
            </w:r>
            <w:r>
              <w:rPr>
                <w:noProof/>
                <w:webHidden/>
              </w:rPr>
              <w:fldChar w:fldCharType="separate"/>
            </w:r>
            <w:r>
              <w:rPr>
                <w:noProof/>
                <w:webHidden/>
              </w:rPr>
              <w:t>3</w:t>
            </w:r>
            <w:r>
              <w:rPr>
                <w:noProof/>
                <w:webHidden/>
              </w:rPr>
              <w:fldChar w:fldCharType="end"/>
            </w:r>
          </w:hyperlink>
        </w:p>
        <w:p w14:paraId="001C8C22" w14:textId="175B8572" w:rsidR="00994B45" w:rsidRDefault="00994B45">
          <w:pPr>
            <w:pStyle w:val="TOC1"/>
            <w:tabs>
              <w:tab w:val="right" w:leader="dot" w:pos="9016"/>
            </w:tabs>
            <w:rPr>
              <w:rFonts w:cstheme="minorBidi"/>
              <w:noProof/>
              <w:kern w:val="2"/>
              <w:sz w:val="24"/>
              <w:szCs w:val="24"/>
              <w:lang w:val="en-GB" w:eastAsia="en-GB"/>
              <w14:ligatures w14:val="standardContextual"/>
            </w:rPr>
          </w:pPr>
          <w:hyperlink w:anchor="_Toc216950943" w:history="1">
            <w:r w:rsidRPr="00241FE6">
              <w:rPr>
                <w:rStyle w:val="Hyperlink"/>
                <w:noProof/>
              </w:rPr>
              <w:t>Introduction</w:t>
            </w:r>
            <w:r>
              <w:rPr>
                <w:noProof/>
                <w:webHidden/>
              </w:rPr>
              <w:tab/>
            </w:r>
            <w:r>
              <w:rPr>
                <w:noProof/>
                <w:webHidden/>
              </w:rPr>
              <w:fldChar w:fldCharType="begin"/>
            </w:r>
            <w:r>
              <w:rPr>
                <w:noProof/>
                <w:webHidden/>
              </w:rPr>
              <w:instrText xml:space="preserve"> PAGEREF _Toc216950943 \h </w:instrText>
            </w:r>
            <w:r>
              <w:rPr>
                <w:noProof/>
                <w:webHidden/>
              </w:rPr>
            </w:r>
            <w:r>
              <w:rPr>
                <w:noProof/>
                <w:webHidden/>
              </w:rPr>
              <w:fldChar w:fldCharType="separate"/>
            </w:r>
            <w:r>
              <w:rPr>
                <w:noProof/>
                <w:webHidden/>
              </w:rPr>
              <w:t>4</w:t>
            </w:r>
            <w:r>
              <w:rPr>
                <w:noProof/>
                <w:webHidden/>
              </w:rPr>
              <w:fldChar w:fldCharType="end"/>
            </w:r>
          </w:hyperlink>
        </w:p>
        <w:p w14:paraId="6238AAAC" w14:textId="06A59002" w:rsidR="00994B45" w:rsidRDefault="00994B45">
          <w:pPr>
            <w:pStyle w:val="TOC1"/>
            <w:tabs>
              <w:tab w:val="right" w:leader="dot" w:pos="9016"/>
            </w:tabs>
            <w:rPr>
              <w:rFonts w:cstheme="minorBidi"/>
              <w:noProof/>
              <w:kern w:val="2"/>
              <w:sz w:val="24"/>
              <w:szCs w:val="24"/>
              <w:lang w:val="en-GB" w:eastAsia="en-GB"/>
              <w14:ligatures w14:val="standardContextual"/>
            </w:rPr>
          </w:pPr>
          <w:hyperlink w:anchor="_Toc216950944" w:history="1">
            <w:r w:rsidRPr="00241FE6">
              <w:rPr>
                <w:rStyle w:val="Hyperlink"/>
                <w:noProof/>
              </w:rPr>
              <w:t>Main Body</w:t>
            </w:r>
            <w:r>
              <w:rPr>
                <w:noProof/>
                <w:webHidden/>
              </w:rPr>
              <w:tab/>
            </w:r>
            <w:r>
              <w:rPr>
                <w:noProof/>
                <w:webHidden/>
              </w:rPr>
              <w:fldChar w:fldCharType="begin"/>
            </w:r>
            <w:r>
              <w:rPr>
                <w:noProof/>
                <w:webHidden/>
              </w:rPr>
              <w:instrText xml:space="preserve"> PAGEREF _Toc216950944 \h </w:instrText>
            </w:r>
            <w:r>
              <w:rPr>
                <w:noProof/>
                <w:webHidden/>
              </w:rPr>
            </w:r>
            <w:r>
              <w:rPr>
                <w:noProof/>
                <w:webHidden/>
              </w:rPr>
              <w:fldChar w:fldCharType="separate"/>
            </w:r>
            <w:r>
              <w:rPr>
                <w:noProof/>
                <w:webHidden/>
              </w:rPr>
              <w:t>5</w:t>
            </w:r>
            <w:r>
              <w:rPr>
                <w:noProof/>
                <w:webHidden/>
              </w:rPr>
              <w:fldChar w:fldCharType="end"/>
            </w:r>
          </w:hyperlink>
        </w:p>
        <w:p w14:paraId="32F87CC7" w14:textId="41100192" w:rsidR="00994B45" w:rsidRDefault="00994B45">
          <w:pPr>
            <w:pStyle w:val="TOC2"/>
            <w:tabs>
              <w:tab w:val="right" w:leader="dot" w:pos="9016"/>
            </w:tabs>
            <w:rPr>
              <w:rFonts w:cstheme="minorBidi"/>
              <w:noProof/>
              <w:kern w:val="2"/>
              <w:sz w:val="24"/>
              <w:szCs w:val="24"/>
              <w:lang w:val="en-GB" w:eastAsia="en-GB"/>
              <w14:ligatures w14:val="standardContextual"/>
            </w:rPr>
          </w:pPr>
          <w:hyperlink w:anchor="_Toc216950945" w:history="1">
            <w:r w:rsidRPr="00241FE6">
              <w:rPr>
                <w:rStyle w:val="Hyperlink"/>
                <w:noProof/>
              </w:rPr>
              <w:t>Environmental scan and analyse the organisation’s competitive positioning</w:t>
            </w:r>
            <w:r>
              <w:rPr>
                <w:noProof/>
                <w:webHidden/>
              </w:rPr>
              <w:tab/>
            </w:r>
            <w:r>
              <w:rPr>
                <w:noProof/>
                <w:webHidden/>
              </w:rPr>
              <w:fldChar w:fldCharType="begin"/>
            </w:r>
            <w:r>
              <w:rPr>
                <w:noProof/>
                <w:webHidden/>
              </w:rPr>
              <w:instrText xml:space="preserve"> PAGEREF _Toc216950945 \h </w:instrText>
            </w:r>
            <w:r>
              <w:rPr>
                <w:noProof/>
                <w:webHidden/>
              </w:rPr>
            </w:r>
            <w:r>
              <w:rPr>
                <w:noProof/>
                <w:webHidden/>
              </w:rPr>
              <w:fldChar w:fldCharType="separate"/>
            </w:r>
            <w:r>
              <w:rPr>
                <w:noProof/>
                <w:webHidden/>
              </w:rPr>
              <w:t>6</w:t>
            </w:r>
            <w:r>
              <w:rPr>
                <w:noProof/>
                <w:webHidden/>
              </w:rPr>
              <w:fldChar w:fldCharType="end"/>
            </w:r>
          </w:hyperlink>
        </w:p>
        <w:p w14:paraId="01D79C90" w14:textId="42E40DDA" w:rsidR="00994B45" w:rsidRDefault="00994B45">
          <w:pPr>
            <w:pStyle w:val="TOC3"/>
            <w:tabs>
              <w:tab w:val="right" w:leader="dot" w:pos="9016"/>
            </w:tabs>
            <w:rPr>
              <w:rFonts w:cstheme="minorBidi"/>
              <w:noProof/>
              <w:kern w:val="2"/>
              <w:sz w:val="24"/>
              <w:szCs w:val="24"/>
              <w:lang w:val="en-GB" w:eastAsia="en-GB"/>
              <w14:ligatures w14:val="standardContextual"/>
            </w:rPr>
          </w:pPr>
          <w:hyperlink w:anchor="_Toc216950946" w:history="1">
            <w:r w:rsidRPr="00241FE6">
              <w:rPr>
                <w:rStyle w:val="Hyperlink"/>
                <w:noProof/>
              </w:rPr>
              <w:t>Strategic growth choices for SMEs in markets and a new strategy</w:t>
            </w:r>
            <w:r>
              <w:rPr>
                <w:noProof/>
                <w:webHidden/>
              </w:rPr>
              <w:tab/>
            </w:r>
            <w:r>
              <w:rPr>
                <w:noProof/>
                <w:webHidden/>
              </w:rPr>
              <w:fldChar w:fldCharType="begin"/>
            </w:r>
            <w:r>
              <w:rPr>
                <w:noProof/>
                <w:webHidden/>
              </w:rPr>
              <w:instrText xml:space="preserve"> PAGEREF _Toc216950946 \h </w:instrText>
            </w:r>
            <w:r>
              <w:rPr>
                <w:noProof/>
                <w:webHidden/>
              </w:rPr>
            </w:r>
            <w:r>
              <w:rPr>
                <w:noProof/>
                <w:webHidden/>
              </w:rPr>
              <w:fldChar w:fldCharType="separate"/>
            </w:r>
            <w:r>
              <w:rPr>
                <w:noProof/>
                <w:webHidden/>
              </w:rPr>
              <w:t>7</w:t>
            </w:r>
            <w:r>
              <w:rPr>
                <w:noProof/>
                <w:webHidden/>
              </w:rPr>
              <w:fldChar w:fldCharType="end"/>
            </w:r>
          </w:hyperlink>
        </w:p>
        <w:p w14:paraId="479DF19D" w14:textId="51029C31" w:rsidR="00994B45" w:rsidRDefault="00994B45">
          <w:pPr>
            <w:pStyle w:val="TOC3"/>
            <w:tabs>
              <w:tab w:val="right" w:leader="dot" w:pos="9016"/>
            </w:tabs>
            <w:rPr>
              <w:rFonts w:cstheme="minorBidi"/>
              <w:noProof/>
              <w:kern w:val="2"/>
              <w:sz w:val="24"/>
              <w:szCs w:val="24"/>
              <w:lang w:val="en-GB" w:eastAsia="en-GB"/>
              <w14:ligatures w14:val="standardContextual"/>
            </w:rPr>
          </w:pPr>
          <w:hyperlink w:anchor="_Toc216950947" w:history="1">
            <w:r w:rsidRPr="00241FE6">
              <w:rPr>
                <w:rStyle w:val="Hyperlink"/>
                <w:noProof/>
              </w:rPr>
              <w:t>Stakeholder analysis and critical evaluation of the expectations of the different stakeholders</w:t>
            </w:r>
            <w:r>
              <w:rPr>
                <w:noProof/>
                <w:webHidden/>
              </w:rPr>
              <w:tab/>
            </w:r>
            <w:r>
              <w:rPr>
                <w:noProof/>
                <w:webHidden/>
              </w:rPr>
              <w:fldChar w:fldCharType="begin"/>
            </w:r>
            <w:r>
              <w:rPr>
                <w:noProof/>
                <w:webHidden/>
              </w:rPr>
              <w:instrText xml:space="preserve"> PAGEREF _Toc216950947 \h </w:instrText>
            </w:r>
            <w:r>
              <w:rPr>
                <w:noProof/>
                <w:webHidden/>
              </w:rPr>
            </w:r>
            <w:r>
              <w:rPr>
                <w:noProof/>
                <w:webHidden/>
              </w:rPr>
              <w:fldChar w:fldCharType="separate"/>
            </w:r>
            <w:r>
              <w:rPr>
                <w:noProof/>
                <w:webHidden/>
              </w:rPr>
              <w:t>8</w:t>
            </w:r>
            <w:r>
              <w:rPr>
                <w:noProof/>
                <w:webHidden/>
              </w:rPr>
              <w:fldChar w:fldCharType="end"/>
            </w:r>
          </w:hyperlink>
        </w:p>
        <w:p w14:paraId="114B01D0" w14:textId="5EE53822" w:rsidR="00994B45" w:rsidRDefault="00994B45">
          <w:pPr>
            <w:pStyle w:val="TOC3"/>
            <w:tabs>
              <w:tab w:val="right" w:leader="dot" w:pos="9016"/>
            </w:tabs>
            <w:rPr>
              <w:rFonts w:cstheme="minorBidi"/>
              <w:noProof/>
              <w:kern w:val="2"/>
              <w:sz w:val="24"/>
              <w:szCs w:val="24"/>
              <w:lang w:val="en-GB" w:eastAsia="en-GB"/>
              <w14:ligatures w14:val="standardContextual"/>
            </w:rPr>
          </w:pPr>
          <w:hyperlink w:anchor="_Toc216950948" w:history="1">
            <w:r w:rsidRPr="00241FE6">
              <w:rPr>
                <w:rStyle w:val="Hyperlink"/>
                <w:noProof/>
              </w:rPr>
              <w:t>Strategic recommendations for the organisation for future developments and implementation</w:t>
            </w:r>
            <w:r>
              <w:rPr>
                <w:noProof/>
                <w:webHidden/>
              </w:rPr>
              <w:tab/>
            </w:r>
            <w:r>
              <w:rPr>
                <w:noProof/>
                <w:webHidden/>
              </w:rPr>
              <w:fldChar w:fldCharType="begin"/>
            </w:r>
            <w:r>
              <w:rPr>
                <w:noProof/>
                <w:webHidden/>
              </w:rPr>
              <w:instrText xml:space="preserve"> PAGEREF _Toc216950948 \h </w:instrText>
            </w:r>
            <w:r>
              <w:rPr>
                <w:noProof/>
                <w:webHidden/>
              </w:rPr>
            </w:r>
            <w:r>
              <w:rPr>
                <w:noProof/>
                <w:webHidden/>
              </w:rPr>
              <w:fldChar w:fldCharType="separate"/>
            </w:r>
            <w:r>
              <w:rPr>
                <w:noProof/>
                <w:webHidden/>
              </w:rPr>
              <w:t>10</w:t>
            </w:r>
            <w:r>
              <w:rPr>
                <w:noProof/>
                <w:webHidden/>
              </w:rPr>
              <w:fldChar w:fldCharType="end"/>
            </w:r>
          </w:hyperlink>
        </w:p>
        <w:p w14:paraId="059130A7" w14:textId="22682259" w:rsidR="00994B45" w:rsidRDefault="00994B45">
          <w:pPr>
            <w:pStyle w:val="TOC2"/>
            <w:tabs>
              <w:tab w:val="right" w:leader="dot" w:pos="9016"/>
            </w:tabs>
            <w:rPr>
              <w:rFonts w:cstheme="minorBidi"/>
              <w:noProof/>
              <w:kern w:val="2"/>
              <w:sz w:val="24"/>
              <w:szCs w:val="24"/>
              <w:lang w:val="en-GB" w:eastAsia="en-GB"/>
              <w14:ligatures w14:val="standardContextual"/>
            </w:rPr>
          </w:pPr>
          <w:hyperlink w:anchor="_Toc216950949" w:history="1">
            <w:r w:rsidRPr="00241FE6">
              <w:rPr>
                <w:rStyle w:val="Hyperlink"/>
                <w:noProof/>
              </w:rPr>
              <w:t>Conclusion</w:t>
            </w:r>
            <w:r>
              <w:rPr>
                <w:noProof/>
                <w:webHidden/>
              </w:rPr>
              <w:tab/>
            </w:r>
            <w:r>
              <w:rPr>
                <w:noProof/>
                <w:webHidden/>
              </w:rPr>
              <w:fldChar w:fldCharType="begin"/>
            </w:r>
            <w:r>
              <w:rPr>
                <w:noProof/>
                <w:webHidden/>
              </w:rPr>
              <w:instrText xml:space="preserve"> PAGEREF _Toc216950949 \h </w:instrText>
            </w:r>
            <w:r>
              <w:rPr>
                <w:noProof/>
                <w:webHidden/>
              </w:rPr>
            </w:r>
            <w:r>
              <w:rPr>
                <w:noProof/>
                <w:webHidden/>
              </w:rPr>
              <w:fldChar w:fldCharType="separate"/>
            </w:r>
            <w:r>
              <w:rPr>
                <w:noProof/>
                <w:webHidden/>
              </w:rPr>
              <w:t>12</w:t>
            </w:r>
            <w:r>
              <w:rPr>
                <w:noProof/>
                <w:webHidden/>
              </w:rPr>
              <w:fldChar w:fldCharType="end"/>
            </w:r>
          </w:hyperlink>
        </w:p>
        <w:p w14:paraId="2E0430F7" w14:textId="1896970A" w:rsidR="00994B45" w:rsidRDefault="00994B45">
          <w:pPr>
            <w:pStyle w:val="TOC1"/>
            <w:tabs>
              <w:tab w:val="right" w:leader="dot" w:pos="9016"/>
            </w:tabs>
            <w:rPr>
              <w:rFonts w:cstheme="minorBidi"/>
              <w:noProof/>
              <w:kern w:val="2"/>
              <w:sz w:val="24"/>
              <w:szCs w:val="24"/>
              <w:lang w:val="en-GB" w:eastAsia="en-GB"/>
              <w14:ligatures w14:val="standardContextual"/>
            </w:rPr>
          </w:pPr>
          <w:hyperlink w:anchor="_Toc216950950" w:history="1">
            <w:r w:rsidRPr="00241FE6">
              <w:rPr>
                <w:rStyle w:val="Hyperlink"/>
                <w:noProof/>
              </w:rPr>
              <w:t>Reference list</w:t>
            </w:r>
            <w:r>
              <w:rPr>
                <w:noProof/>
                <w:webHidden/>
              </w:rPr>
              <w:tab/>
            </w:r>
            <w:r>
              <w:rPr>
                <w:noProof/>
                <w:webHidden/>
              </w:rPr>
              <w:fldChar w:fldCharType="begin"/>
            </w:r>
            <w:r>
              <w:rPr>
                <w:noProof/>
                <w:webHidden/>
              </w:rPr>
              <w:instrText xml:space="preserve"> PAGEREF _Toc216950950 \h </w:instrText>
            </w:r>
            <w:r>
              <w:rPr>
                <w:noProof/>
                <w:webHidden/>
              </w:rPr>
            </w:r>
            <w:r>
              <w:rPr>
                <w:noProof/>
                <w:webHidden/>
              </w:rPr>
              <w:fldChar w:fldCharType="separate"/>
            </w:r>
            <w:r>
              <w:rPr>
                <w:noProof/>
                <w:webHidden/>
              </w:rPr>
              <w:t>13</w:t>
            </w:r>
            <w:r>
              <w:rPr>
                <w:noProof/>
                <w:webHidden/>
              </w:rPr>
              <w:fldChar w:fldCharType="end"/>
            </w:r>
          </w:hyperlink>
        </w:p>
        <w:p w14:paraId="0E639E42" w14:textId="642D1F0A" w:rsidR="00994B45" w:rsidRDefault="00994B45">
          <w:r>
            <w:rPr>
              <w:b/>
              <w:bCs/>
              <w:noProof/>
            </w:rPr>
            <w:fldChar w:fldCharType="end"/>
          </w:r>
        </w:p>
      </w:sdtContent>
    </w:sdt>
    <w:p w14:paraId="7B27C960" w14:textId="77777777" w:rsidR="00D60718" w:rsidRDefault="00D60718" w:rsidP="00D60718"/>
    <w:p w14:paraId="0BB00BF4" w14:textId="77777777" w:rsidR="00D60718" w:rsidRDefault="00D60718" w:rsidP="00D60718"/>
    <w:p w14:paraId="2521D630" w14:textId="77777777" w:rsidR="00D60718" w:rsidRDefault="00D60718" w:rsidP="00D60718"/>
    <w:p w14:paraId="328E7425" w14:textId="77777777" w:rsidR="00D60718" w:rsidRDefault="00D60718" w:rsidP="00D60718"/>
    <w:p w14:paraId="14ABE78E" w14:textId="77777777" w:rsidR="00D60718" w:rsidRDefault="00D60718" w:rsidP="00D60718"/>
    <w:p w14:paraId="19A56EB4" w14:textId="77777777" w:rsidR="00994B45" w:rsidRDefault="00994B45" w:rsidP="00D60718"/>
    <w:p w14:paraId="34FC3C04" w14:textId="77777777" w:rsidR="00994B45" w:rsidRDefault="00994B45" w:rsidP="00D60718"/>
    <w:p w14:paraId="051BE9A5" w14:textId="77777777" w:rsidR="00994B45" w:rsidRDefault="00994B45" w:rsidP="00D60718"/>
    <w:p w14:paraId="7B791D0A" w14:textId="77777777" w:rsidR="00994B45" w:rsidRDefault="00994B45" w:rsidP="00D60718"/>
    <w:p w14:paraId="14675B87" w14:textId="77777777" w:rsidR="00994B45" w:rsidRDefault="00994B45" w:rsidP="00D60718"/>
    <w:p w14:paraId="0279DF77" w14:textId="77777777" w:rsidR="00D60718" w:rsidRDefault="00D60718" w:rsidP="00D60718"/>
    <w:p w14:paraId="385A70F5" w14:textId="77777777" w:rsidR="00D60718" w:rsidRDefault="00D60718" w:rsidP="00D60718"/>
    <w:p w14:paraId="6801B583" w14:textId="77777777" w:rsidR="00D60718" w:rsidRDefault="00D60718" w:rsidP="00D60718"/>
    <w:p w14:paraId="4514C0AF" w14:textId="77777777" w:rsidR="00D60718" w:rsidRDefault="00D60718" w:rsidP="00D60718"/>
    <w:p w14:paraId="4C90EDD2" w14:textId="77777777" w:rsidR="00D60718" w:rsidRDefault="00D60718" w:rsidP="00D60718"/>
    <w:p w14:paraId="0178FBDE" w14:textId="348AAB13" w:rsidR="00D60718" w:rsidRDefault="00D60718" w:rsidP="00D60718">
      <w:pPr>
        <w:pStyle w:val="Heading1"/>
      </w:pPr>
      <w:bookmarkStart w:id="1" w:name="_Toc216950943"/>
      <w:r>
        <w:lastRenderedPageBreak/>
        <w:t>Introduction</w:t>
      </w:r>
      <w:bookmarkEnd w:id="1"/>
    </w:p>
    <w:p w14:paraId="79378567" w14:textId="77777777" w:rsidR="00D60718" w:rsidRDefault="00D60718" w:rsidP="00D60718"/>
    <w:p w14:paraId="0E238EE5" w14:textId="77777777" w:rsidR="00D60718" w:rsidRDefault="00D60718" w:rsidP="00D60718"/>
    <w:p w14:paraId="50347283" w14:textId="6EBB7260" w:rsidR="00F01CC1" w:rsidRPr="00F01CC1" w:rsidRDefault="00F01CC1" w:rsidP="00F01CC1">
      <w:pPr>
        <w:ind w:firstLine="720"/>
        <w:jc w:val="both"/>
      </w:pPr>
      <w:r w:rsidRPr="00F01CC1">
        <w:t>Raeburn London is a UK-based fashion brand operating at the intersection of design innovation, sustainability and responsible production. Established with a focus on utilising surplus, recycled and responsibly sourced materials, the brand offers menswear and unisex apparel that combines functional design with environmental consciousness</w:t>
      </w:r>
      <w:r>
        <w:t>(Raeburn, 2023)</w:t>
      </w:r>
      <w:r w:rsidRPr="00F01CC1">
        <w:t>. Raeburn’s business model centres on remanufacturing, small-batch production and transparency across the value chain, distinguishing it from conventional fashion brands that rely on linear production systems. This approach positions Raeburn as a purpose-driven small and medium-sized enterprise (SME) within a highly competitive and environmentally scrutinised global fashion industry.</w:t>
      </w:r>
    </w:p>
    <w:p w14:paraId="0719FA56" w14:textId="77777777" w:rsidR="00F01CC1" w:rsidRPr="00F01CC1" w:rsidRDefault="00F01CC1" w:rsidP="00F01CC1">
      <w:pPr>
        <w:ind w:firstLine="720"/>
        <w:jc w:val="both"/>
      </w:pPr>
      <w:r w:rsidRPr="00F01CC1">
        <w:t>The strategic direction of Raeburn London is articulated through a closely aligned vision, mission and set of objectives that collectively emphasise circularity, design integrity and long-term responsibility. The brand’s vision reflects an ambition to challenge established norms within the fashion industry by promoting more sustainable and circular practices. Its mission translates this ambition into operational terms through the design and production of garments rooted in material reuse and ethical sourcing. Supporting these elements, Raeburn’s objectives focus on sustaining commercial viability while remaining committed to environmental and social principles, providing a framework for strategic decision-making and growth.</w:t>
      </w:r>
    </w:p>
    <w:p w14:paraId="0AA57A8E" w14:textId="77777777" w:rsidR="00F01CC1" w:rsidRPr="00F01CC1" w:rsidRDefault="00F01CC1" w:rsidP="00F01CC1">
      <w:pPr>
        <w:ind w:firstLine="720"/>
        <w:jc w:val="both"/>
      </w:pPr>
      <w:r w:rsidRPr="00F01CC1">
        <w:t>Building on this contextual foundation, this essay proceeds to appraise Raeburn London’s current strategic direction by examining the coherence and intent of its vision, mission and objectives. An environmental scan is then undertaken to analyse the organisation’s competitive positioning, drawing on internal and external strategic frameworks. The discussion subsequently explores strategic growth choices available to SMEs and proposes a future strategy aligned with Raeburn’s capabilities and market context. A stakeholder analysis follows, critically evaluating stakeholder expectations and power to assess strategic suitability, feasibility and acceptability. Finally, the essay presents strategic recommendations for Raeburn London’s future development and implementation, taking into account the structural and resource-based challenges commonly faced by SMEs when pursuing long-term strategic objectives.</w:t>
      </w:r>
    </w:p>
    <w:p w14:paraId="44B55FB6" w14:textId="77777777" w:rsidR="00D60718" w:rsidRDefault="00D60718" w:rsidP="00D60718"/>
    <w:p w14:paraId="28034183" w14:textId="77777777" w:rsidR="00D60718" w:rsidRDefault="00D60718" w:rsidP="00D60718"/>
    <w:p w14:paraId="18D98415" w14:textId="77777777" w:rsidR="00D60718" w:rsidRDefault="00D60718" w:rsidP="00D60718"/>
    <w:p w14:paraId="634A682E" w14:textId="77777777" w:rsidR="00D60718" w:rsidRDefault="00D60718" w:rsidP="00D60718"/>
    <w:p w14:paraId="5EC37DB7" w14:textId="77777777" w:rsidR="00D60718" w:rsidRDefault="00D60718" w:rsidP="00D60718"/>
    <w:p w14:paraId="75513B81" w14:textId="77777777" w:rsidR="00D60718" w:rsidRDefault="00D60718" w:rsidP="00D60718"/>
    <w:p w14:paraId="5AD4282A" w14:textId="77777777" w:rsidR="00D60718" w:rsidRDefault="00D60718" w:rsidP="00D60718"/>
    <w:p w14:paraId="1576A101" w14:textId="77777777" w:rsidR="00D60718" w:rsidRDefault="00D60718" w:rsidP="00D60718"/>
    <w:p w14:paraId="640113EF" w14:textId="77777777" w:rsidR="00D60718" w:rsidRDefault="00D60718" w:rsidP="00D60718"/>
    <w:p w14:paraId="326D89BE" w14:textId="77777777" w:rsidR="00D60718" w:rsidRDefault="00D60718" w:rsidP="00D60718"/>
    <w:p w14:paraId="48A7A947" w14:textId="66DD64F4" w:rsidR="00D60718" w:rsidRDefault="00D60718" w:rsidP="00D60718">
      <w:pPr>
        <w:pStyle w:val="Heading1"/>
      </w:pPr>
      <w:bookmarkStart w:id="2" w:name="_Toc216950944"/>
      <w:r>
        <w:t>Main Body</w:t>
      </w:r>
      <w:bookmarkEnd w:id="2"/>
      <w:r>
        <w:t xml:space="preserve"> </w:t>
      </w:r>
    </w:p>
    <w:p w14:paraId="5D2B7328" w14:textId="77777777" w:rsidR="002673DF" w:rsidRPr="00502035" w:rsidRDefault="002673DF" w:rsidP="002673DF">
      <w:pPr>
        <w:jc w:val="both"/>
      </w:pPr>
      <w:r w:rsidRPr="00502035">
        <w:t>Raeburn London’s strategic direction is defined by a deliberate emphasis on purpose-driven growth, positioning the business as a catalyst for responsible transformation within the fashion industry rather than as a conventionally scale-focused brand. Its vision, mission and objectives are closely interlinked and collectively articulate a long-term strategy that prioritises environmental stewardship, design integrity and cultural influence alongside commercial sustainability.</w:t>
      </w:r>
    </w:p>
    <w:p w14:paraId="66EDB34D" w14:textId="77777777" w:rsidR="002673DF" w:rsidRPr="00502035" w:rsidRDefault="002673DF" w:rsidP="002673DF">
      <w:pPr>
        <w:jc w:val="both"/>
      </w:pPr>
      <w:r w:rsidRPr="00502035">
        <w:t>The vision of Raeburn London can be understood as an aspiration to normalise circular and responsible fashion practices within a global industry that has historically relied on linear production models. The brand seeks to demonstrate that sustainability can be embedded at the core of fashion design without diminishing creativity, functionality or desirability. This visionary orientation reflects what the literature describes as a “strong sustainability” approach, whereby firms aim to operate within ecological limits while actively reshaping market expectations and consumer behaviour (</w:t>
      </w:r>
      <w:proofErr w:type="spellStart"/>
      <w:r w:rsidRPr="00502035">
        <w:t>Dyllick</w:t>
      </w:r>
      <w:proofErr w:type="spellEnd"/>
      <w:r w:rsidRPr="00502035">
        <w:t xml:space="preserve"> and Muff, 2016). Raeburn’s vision therefore extends beyond organisational success and is oriented towards contributing to a broader reconfiguration of fashion systems.</w:t>
      </w:r>
    </w:p>
    <w:p w14:paraId="48046EC8" w14:textId="4826913C" w:rsidR="002673DF" w:rsidRPr="00502035" w:rsidRDefault="002673DF" w:rsidP="002673DF">
      <w:pPr>
        <w:jc w:val="both"/>
      </w:pPr>
      <w:r w:rsidRPr="00502035">
        <w:t xml:space="preserve">Raeburn’s mission focuses on the practical execution of this vision through the design and production of garments made from surplus, recycled and responsibly sourced materials. By foregrounding material reuse and transparency, the mission integrates ethical considerations directly into the firm’s value creation process. This alignment between mission and operational practice is strategically significant, as it enhances organisational legitimacy and mitigates accusations of superficial sustainability claims that are prevalent within the fashion sector (Delmas and Burbano, 2011). </w:t>
      </w:r>
    </w:p>
    <w:p w14:paraId="6D1AD861" w14:textId="0A9E9293" w:rsidR="002673DF" w:rsidRPr="00502035" w:rsidRDefault="002673DF" w:rsidP="002673DF">
      <w:pPr>
        <w:jc w:val="both"/>
      </w:pPr>
      <w:r w:rsidRPr="00502035">
        <w:t>The firm’s objectives appear to prioritise depth of impact over rapid expansion. A central objective is to continuously refine and expand circular design practices, including remanufacturing, small-batch production and experimentation with alternative materials. Such objectives are consistent with strategic resilience thinking, as they reduce dependency on volatile raw material markets and increase adaptive capacity in the face of regulatory and environmental pressures (Porter and Kramer, 2019). Additionally, the brand aims to sustain financial viability while maintaining strict ethical standards, reflecting an objective to prove that responsible fashion can function as a credible long-term business model rather than a niche or temporary trend.</w:t>
      </w:r>
    </w:p>
    <w:p w14:paraId="39EBE664" w14:textId="77777777" w:rsidR="002673DF" w:rsidRPr="00502035" w:rsidRDefault="002673DF" w:rsidP="002673DF">
      <w:pPr>
        <w:jc w:val="both"/>
      </w:pPr>
      <w:r w:rsidRPr="00502035">
        <w:t>In appraisal, Raeburn London’s strategic direction can be characterised as coherent, values-led and intentionally non-extractive. The alignment between its vision, mission and objectives provides strategic clarity and differentiation, strengthening brand authenticity in a sector increasingly scrutinised for environmental and social harm. However, this direction also imposes structural constraints on growth and profitability, requiring continual innovation and careful strategic trade-offs. Nonetheless, as sustainability becomes a central competitive and legitimacy factor in global fashion, Raeburn’s strategic orientation positions it advantageously for long-term relevance and influence.</w:t>
      </w:r>
    </w:p>
    <w:p w14:paraId="2739668B" w14:textId="77777777" w:rsidR="00D60718" w:rsidRDefault="00D60718" w:rsidP="00D60718"/>
    <w:p w14:paraId="6F6EE9DE" w14:textId="77777777" w:rsidR="00D60718" w:rsidRDefault="00D60718" w:rsidP="00D60718"/>
    <w:p w14:paraId="0D20451F" w14:textId="5ECA766E" w:rsidR="00D60718" w:rsidRDefault="002673DF" w:rsidP="002673DF">
      <w:pPr>
        <w:pStyle w:val="Heading2"/>
      </w:pPr>
      <w:bookmarkStart w:id="3" w:name="_Toc216950945"/>
      <w:r>
        <w:lastRenderedPageBreak/>
        <w:t>E</w:t>
      </w:r>
      <w:r w:rsidRPr="002673DF">
        <w:t>nvironmental scan and analyse the organisation’s competitive positioning</w:t>
      </w:r>
      <w:bookmarkEnd w:id="3"/>
    </w:p>
    <w:p w14:paraId="22094F99" w14:textId="77777777" w:rsidR="00D60718" w:rsidRDefault="00D60718" w:rsidP="00D60718"/>
    <w:p w14:paraId="0A9A6126" w14:textId="77777777" w:rsidR="002673DF" w:rsidRPr="002673DF" w:rsidRDefault="002673DF" w:rsidP="002673DF">
      <w:pPr>
        <w:ind w:firstLine="720"/>
        <w:jc w:val="both"/>
      </w:pPr>
      <w:r w:rsidRPr="002673DF">
        <w:t>An environmental scan of Raeburn London highlights how its internal capabilities and external context collectively shape its competitive positioning within the contemporary fashion industry. Operating at the intersection of luxury, sustainability and innovation, the firm’s strategic position can be evaluated through an integrated analysis of its internal environment, using SWOT and value chain perspectives, and its external environment, using PESTEL and Porter’s Five Forces frameworks.</w:t>
      </w:r>
    </w:p>
    <w:p w14:paraId="5F8DB7B5" w14:textId="77777777" w:rsidR="002673DF" w:rsidRPr="002673DF" w:rsidRDefault="002673DF" w:rsidP="002673DF">
      <w:pPr>
        <w:ind w:firstLine="720"/>
        <w:jc w:val="both"/>
      </w:pPr>
      <w:r w:rsidRPr="002673DF">
        <w:t>From an internal perspective, Raeburn London’s strengths are primarily rooted in its distinctive sustainability-led value proposition and design capabilities. The brand’s expertise in remanufacturing and material experimentation constitutes a rare and difficult-to-imitate capability within fashion, conferring differentiation advantages consistent with the resource-based view of the firm (Barney, 1991). This capability is reinforced along the value chain, particularly in inbound logistics and operations, where surplus and waste materials are transformed into premium garments through skilled design and small-scale manufacturing. Marketing and sales further strengthen value creation by communicating authenticity, transparency and purpose, which are increasingly salient drivers of brand equity in ethical consumption markets (Hartmann and Ibáñez, 2006). However, Raeburn’s internal weaknesses stem from the same operational choices that underpin its strengths. Remanufacturing and limited-batch production constrain economies of scale, increase unit costs and limit supply consistency, reducing price competitiveness relative to larger fashion brands with globalised supply chains.</w:t>
      </w:r>
    </w:p>
    <w:p w14:paraId="5ACD90D7" w14:textId="77777777" w:rsidR="002673DF" w:rsidRPr="002673DF" w:rsidRDefault="002673DF" w:rsidP="002673DF">
      <w:pPr>
        <w:ind w:firstLine="720"/>
        <w:jc w:val="both"/>
      </w:pPr>
      <w:r w:rsidRPr="002673DF">
        <w:t>Opportunities within the internal environment relate to the firm’s ability to leverage its design expertise beyond its own label through collaborations, consultancy and licensing. These activities allow Raeburn to extend its influence across the fashion value chain without bearing the full costs of scaling production, thereby enhancing strategic flexibility. Conversely, internal threats include dependence on niche consumer segments and the ongoing challenge of maintaining creative novelty while adhering to strict sustainability constraints, which may restrict rapid product diversification.</w:t>
      </w:r>
    </w:p>
    <w:p w14:paraId="1B3A6C23" w14:textId="77777777" w:rsidR="002673DF" w:rsidRPr="002673DF" w:rsidRDefault="002673DF" w:rsidP="002673DF">
      <w:pPr>
        <w:ind w:firstLine="720"/>
        <w:jc w:val="both"/>
      </w:pPr>
      <w:r w:rsidRPr="002673DF">
        <w:t xml:space="preserve">The external environment further contextualises Raeburn London’s competitive position. Politically and legally, increasing regulatory pressure around environmental reporting, waste reduction and supply chain transparency in the UK and European markets creates a favourable context for sustainability-oriented firms (European Commission, 2022). Economically, however, inflationary pressures and rising living costs pose challenges for premium-priced ethical fashion, as consumers may deprioritise sustainability attributes in favour of affordability during economic uncertainty (McKinsey &amp; Company, 2023). Socially, growing awareness of fashion’s environmental and social impacts supports demand for responsible brands, particularly among younger demographics who value purpose-driven consumption. Technological factors also shape the landscape, as advances in textile recycling, digital design and traceability systems offer opportunities to enhance efficiency and transparency, though adoption requires ongoing investment. Environmental pressures, including climate change and resource scarcity, further reinforce the relevance of Raeburn’s circular model, while simultaneously increasing operational risks across supply chains. Legally, heightened scrutiny of sustainability claims raises </w:t>
      </w:r>
      <w:r w:rsidRPr="002673DF">
        <w:lastRenderedPageBreak/>
        <w:t>reputational risks for firms unable to substantiate ethical narratives, an area where Raeburn’s operational transparency provides a degree of protection.</w:t>
      </w:r>
    </w:p>
    <w:p w14:paraId="4E0C4CA4" w14:textId="0069DAD6" w:rsidR="00D60718" w:rsidRDefault="002673DF" w:rsidP="00BC5107">
      <w:pPr>
        <w:ind w:firstLine="720"/>
        <w:jc w:val="both"/>
      </w:pPr>
      <w:r w:rsidRPr="002673DF">
        <w:t>Porter’s Five Forces analysis indicates that competitive rivalry within fashion remains intense, driven by low switching costs and rapid trend cycles (Porter, 2008). However, Raeburn mitigates this force through differentiation rather than cost leadership. The threat of new entrants is moderate; while barriers to entry in fashion are generally low, the tacit knowledge and design expertise required for credible remanufacturing and circular production raise entry barriers within this niche. Buyer power is relatively high, as consumers can readily substitute brands, yet Raeburn’s strong brand identity and ethical credibility partially offset this by fostering emotional and values-based loyalty. Supplier power is mixed: reliance on surplus and waste materials reduces dependency on conventional suppliers but introduces uncertainty in material availability and consistency. Finally, the threat of substitutes is significant, as consumers may opt for conventional fashion or second-hand alternatives; nonetheless, Raeburn’s combination of originality, quality and sustainability differentiates it from resale and mass-market substitutes.</w:t>
      </w:r>
    </w:p>
    <w:p w14:paraId="17C0A75D" w14:textId="0335190D" w:rsidR="00D60718" w:rsidRDefault="00372D6A" w:rsidP="00372D6A">
      <w:pPr>
        <w:pStyle w:val="Heading3"/>
      </w:pPr>
      <w:bookmarkStart w:id="4" w:name="_Toc216950946"/>
      <w:r>
        <w:t>S</w:t>
      </w:r>
      <w:r w:rsidRPr="00372D6A">
        <w:t>trategic growth choices for SMEs in markets and a new strategy</w:t>
      </w:r>
      <w:bookmarkEnd w:id="4"/>
    </w:p>
    <w:p w14:paraId="61F1989B" w14:textId="77777777" w:rsidR="00D60718" w:rsidRDefault="00D60718" w:rsidP="00D60718"/>
    <w:p w14:paraId="00BD2092" w14:textId="77777777" w:rsidR="00D60718" w:rsidRDefault="00D60718" w:rsidP="00D60718"/>
    <w:p w14:paraId="793C5C3F" w14:textId="77777777" w:rsidR="00372D6A" w:rsidRPr="00372D6A" w:rsidRDefault="00372D6A" w:rsidP="00372D6A">
      <w:pPr>
        <w:ind w:firstLine="720"/>
        <w:jc w:val="both"/>
      </w:pPr>
      <w:r w:rsidRPr="00372D6A">
        <w:t>Small and medium-sized enterprises (SMEs) operating in highly competitive and resource-constrained markets face distinct strategic growth challenges compared to large corporations. Their growth choices must balance ambition with resilience, particularly in sectors such as fashion where volatility, cost pressures and reputational risk are pronounced. Strategic frameworks such as Ansoff’s Matrix, Porter’s Generic Strategies and Bowman’s Strategic Clock provide useful lenses through which available growth options can be evaluated, enabling the identification of strategies that are viable and sustainable over the long term.</w:t>
      </w:r>
    </w:p>
    <w:p w14:paraId="1BABDEE4" w14:textId="77777777" w:rsidR="00372D6A" w:rsidRPr="00372D6A" w:rsidRDefault="00372D6A" w:rsidP="00372D6A">
      <w:pPr>
        <w:ind w:firstLine="720"/>
        <w:jc w:val="both"/>
      </w:pPr>
      <w:r w:rsidRPr="00372D6A">
        <w:t>From an SME perspective, Ansoff’s Matrix highlights four principal growth pathways: market penetration, market development, product development and diversification. For most SMEs, market penetration through aggressive pricing or volume expansion is often constrained by limited scale and capital, making it a less viable long-term option (Johnson et al., 2020). Product development, by contrast, offers more realistic growth potential, particularly where firms possess distinctive capabilities that can be extended into adjacent offerings. Market development, such as entering new geographic or digital markets, also presents opportunities but introduces risks related to brand dilution, operational complexity and regulatory variation. Diversification is generally the most hazardous option for SMEs due to high uncertainty and resource demands, and is typically only sustainable when there is strong strategic fit with existing competencies (Grant, 2022).</w:t>
      </w:r>
    </w:p>
    <w:p w14:paraId="2B928A00" w14:textId="77777777" w:rsidR="00372D6A" w:rsidRPr="00372D6A" w:rsidRDefault="00372D6A" w:rsidP="00372D6A">
      <w:pPr>
        <w:ind w:firstLine="720"/>
        <w:jc w:val="both"/>
      </w:pPr>
      <w:r w:rsidRPr="00372D6A">
        <w:t>Porter’s Generic Strategies further refine these choices by emphasising that firms must pursue either cost leadership, differentiation or focus to avoid being “stuck in the middle”. For SMEs, cost leadership is rarely attainable due to the dominance of large firms with global supply chains and purchasing power. Differentiation and focus strategies are therefore more appropriate, particularly when grounded in unique intangible assets such as design expertise, brand authenticity or ethical credibility (Porter, 1985). Bowman’s Strategic Clock reinforces this view by illustrating that hybrid strategies combining low price and differentiation are difficult to sustain, whereas focused differentiation allows firms to command premium pricing from value-</w:t>
      </w:r>
      <w:r w:rsidRPr="00372D6A">
        <w:lastRenderedPageBreak/>
        <w:t>conscious niche segments willing to pay for perceived uniqueness and quality (Bowman and Faulkner, 1997).</w:t>
      </w:r>
    </w:p>
    <w:p w14:paraId="2FC4EC2E" w14:textId="77777777" w:rsidR="00372D6A" w:rsidRPr="00372D6A" w:rsidRDefault="00372D6A" w:rsidP="00372D6A">
      <w:pPr>
        <w:ind w:firstLine="720"/>
        <w:jc w:val="both"/>
      </w:pPr>
      <w:r w:rsidRPr="00372D6A">
        <w:t>In the context of Raeburn London, the most viable strategic growth choices lie in product development and market development underpinned by a focused differentiation strategy. The firm’s existing strengths in circular design, remanufacturing and sustainability-led innovation can be extended into new product categories such as modular garments, repairable systems or performance-oriented sustainable apparel, allowing growth without undermining brand coherence. Market development can also be pursued selectively through digital channels, pop-up formats and partnerships in international markets that value ethical fashion, reducing the fixed costs associated with permanent retail expansion.</w:t>
      </w:r>
    </w:p>
    <w:p w14:paraId="30A573CF" w14:textId="77777777" w:rsidR="00372D6A" w:rsidRPr="00372D6A" w:rsidRDefault="00372D6A" w:rsidP="00372D6A">
      <w:pPr>
        <w:ind w:firstLine="720"/>
        <w:jc w:val="both"/>
      </w:pPr>
      <w:r w:rsidRPr="00372D6A">
        <w:t>A proposed new strategy for Raeburn London is the development of a “circular design platform” strategy, in which the firm formalises its expertise into a scalable ecosystem encompassing products, services and partnerships. This would involve offering modular and adaptable garments designed for long-term use, repair and reconfiguration, complemented by repair services, take-back schemes and design consultancy for other brands. Strategically, this positions Raeburn not only as a fashion producer but as a circular innovation specialist, deepening differentiation while opening multiple revenue streams aligned with its core capabilities.</w:t>
      </w:r>
    </w:p>
    <w:p w14:paraId="56589088" w14:textId="77777777" w:rsidR="00372D6A" w:rsidRPr="00372D6A" w:rsidRDefault="00372D6A" w:rsidP="00372D6A">
      <w:pPr>
        <w:ind w:firstLine="720"/>
        <w:jc w:val="both"/>
      </w:pPr>
      <w:r w:rsidRPr="00372D6A">
        <w:t>This strategy is sustainable in the long term for several reasons. First, it aligns closely with macro-level environmental and regulatory trends that increasingly prioritise durability, waste reduction and extended producer responsibility, reducing long-term compliance risk (OECD, 2023). Second, by emphasising services and intellectual capital alongside physical products, the strategy reduces dependence on volume-based growth and volatile material inputs, enhancing resource efficiency and resilience. Third, a platform-oriented approach strengthens customer relationships and brand loyalty by embedding the firm within consumers’ usage lifecycle rather than limiting interaction to point-of-sale transactions, a factor associated with sustained competitive advantage in purpose-driven SMEs (</w:t>
      </w:r>
      <w:proofErr w:type="spellStart"/>
      <w:r w:rsidRPr="00372D6A">
        <w:t>Bocken</w:t>
      </w:r>
      <w:proofErr w:type="spellEnd"/>
      <w:r w:rsidRPr="00372D6A">
        <w:t xml:space="preserve"> and </w:t>
      </w:r>
      <w:proofErr w:type="spellStart"/>
      <w:r w:rsidRPr="00372D6A">
        <w:t>Geradts</w:t>
      </w:r>
      <w:proofErr w:type="spellEnd"/>
      <w:r w:rsidRPr="00372D6A">
        <w:t>, 2020).</w:t>
      </w:r>
    </w:p>
    <w:p w14:paraId="4E834BB1" w14:textId="2F96BCCE" w:rsidR="00372D6A" w:rsidRDefault="00372D6A" w:rsidP="00372D6A">
      <w:pPr>
        <w:pStyle w:val="Heading3"/>
      </w:pPr>
      <w:bookmarkStart w:id="5" w:name="_Toc216950947"/>
      <w:r>
        <w:t>S</w:t>
      </w:r>
      <w:r w:rsidRPr="00372D6A">
        <w:t xml:space="preserve">takeholder analysis and </w:t>
      </w:r>
      <w:r w:rsidRPr="00372D6A">
        <w:t>critical</w:t>
      </w:r>
      <w:r w:rsidRPr="00372D6A">
        <w:t xml:space="preserve"> </w:t>
      </w:r>
      <w:r w:rsidRPr="00372D6A">
        <w:t>evaluat</w:t>
      </w:r>
      <w:r>
        <w:t>ion of</w:t>
      </w:r>
      <w:r w:rsidRPr="00372D6A">
        <w:t xml:space="preserve"> the expectations of the different stakeholders</w:t>
      </w:r>
      <w:bookmarkEnd w:id="5"/>
      <w:r w:rsidRPr="00372D6A">
        <w:t xml:space="preserve"> </w:t>
      </w:r>
    </w:p>
    <w:p w14:paraId="7850FEBB" w14:textId="77777777" w:rsidR="00372D6A" w:rsidRPr="00372D6A" w:rsidRDefault="00372D6A" w:rsidP="00372D6A"/>
    <w:p w14:paraId="720649EA" w14:textId="77777777" w:rsidR="00372D6A" w:rsidRPr="00372D6A" w:rsidRDefault="00372D6A" w:rsidP="00372D6A">
      <w:pPr>
        <w:ind w:firstLine="720"/>
        <w:jc w:val="both"/>
      </w:pPr>
      <w:r w:rsidRPr="00372D6A">
        <w:t>A stakeholder analysis of Raeburn London is essential for evaluating which strategic options are most suitable, feasible and acceptable for the organisation, given its status as a sustainability-oriented SME operating in a highly scrutinised fashion market. Stakeholder expectations and relative power vary considerably, and any proposed strategy must balance economic viability with ethical credibility. Applying a RACI (Responsible, Accountable, Consulted, Informed) logic provides a structured way to assess stakeholder roles in strategy execution and governance, ensuring alignment between strategic intent and operational reality.</w:t>
      </w:r>
    </w:p>
    <w:p w14:paraId="764E91DC" w14:textId="77777777" w:rsidR="00372D6A" w:rsidRPr="00372D6A" w:rsidRDefault="00372D6A" w:rsidP="00372D6A">
      <w:pPr>
        <w:jc w:val="both"/>
      </w:pPr>
      <w:r w:rsidRPr="00372D6A">
        <w:t xml:space="preserve">Founders and senior management represent the most powerful internal stakeholders, as they are both accountable and responsible for strategic decision-making and long-term direction. Their expectations typically centre on preserving the brand’s sustainability ethos, maintaining creative control and ensuring financial resilience. For Raeburn London, leadership commitment to circular design and responsible production is particularly critical, as strategic drift toward cost-driven growth would undermine brand legitimacy. Their high power and high interest place them at the core of any strategic option, particularly one that emphasises focused differentiation and </w:t>
      </w:r>
      <w:r w:rsidRPr="00372D6A">
        <w:lastRenderedPageBreak/>
        <w:t>platform-based circular innovation. In RACI terms, senior leadership remains accountable for strategy outcomes and responsible for translating values into operational priorities, making their alignment with long-term sustainability objectives non-negotiable for strategic feasibility (Hitt et al., 2020).</w:t>
      </w:r>
    </w:p>
    <w:p w14:paraId="3F3EAEDE" w14:textId="77777777" w:rsidR="00372D6A" w:rsidRPr="00372D6A" w:rsidRDefault="00372D6A" w:rsidP="00372D6A">
      <w:pPr>
        <w:ind w:firstLine="720"/>
        <w:jc w:val="both"/>
      </w:pPr>
      <w:r w:rsidRPr="00372D6A">
        <w:t>Employees and designers constitute another key internal stakeholder group with moderate to high influence, particularly due to the tacit knowledge and creative expertise required for remanufacturing and circular design. Their expectations include meaningful work, job security and alignment between personal values and organisational purpose. While their formal power is lower than that of senior management, their operational importance grants them significant informal power, as loss of specialist skills would weaken the firm’s core capabilities. Within a RACI framework, employees are primarily responsible for implementation and should be actively consulted during strategy development to ensure feasibility and organisational buy-in. Strategies that intensify creative constraints or increase workload without corresponding support risk resistance and reduced performance, threatening long-term sustainability (Boxall and Purcell, 2016).</w:t>
      </w:r>
    </w:p>
    <w:p w14:paraId="62C73D8F" w14:textId="77777777" w:rsidR="00372D6A" w:rsidRPr="00372D6A" w:rsidRDefault="00372D6A" w:rsidP="00372D6A">
      <w:pPr>
        <w:ind w:firstLine="720"/>
        <w:jc w:val="both"/>
      </w:pPr>
      <w:r w:rsidRPr="00372D6A">
        <w:t>Customers represent a critical external stakeholder group with high collective power but low individual power. Raeburn’s customers typically expect authenticity, transparency, product quality and demonstrable environmental responsibility. Their purchasing decisions directly affect revenue, making their acceptance essential for strategic success. In the context of a proposed circular design platform strategy, customers would be informed and partially consulted, particularly through feedback mechanisms and pilot initiatives. Importantly, their willingness to engage in repair services, take-back schemes or modular consumption models determines the acceptability of such strategies. Research suggests that while ethical consumers support sustainability in principle, acceptance depends on convenience, trust and perceived value, making customer communication and education strategically vital (White et al., 2019).</w:t>
      </w:r>
    </w:p>
    <w:p w14:paraId="109178A9" w14:textId="77777777" w:rsidR="00372D6A" w:rsidRPr="00372D6A" w:rsidRDefault="00372D6A" w:rsidP="00372D6A">
      <w:pPr>
        <w:ind w:firstLine="720"/>
        <w:jc w:val="both"/>
      </w:pPr>
      <w:r w:rsidRPr="00372D6A">
        <w:t>Suppliers of surplus and recycled materials occupy a distinctive position in Raeburn London’s stakeholder network. Their power is moderate, as the availability and quality of surplus inputs directly affect production continuity. Suppliers expect stable relationships, predictable demand and fair commercial terms. In a RACI context, suppliers are consulted rather than responsible, yet their cooperation is essential for feasibility. A growth strategy that relies on expanded circular production must therefore include supplier engagement and diversification to mitigate material scarcity risks. Failure to manage this relationship could undermine operational reliability, weakening strategic suitability despite strong ethical alignment (</w:t>
      </w:r>
      <w:proofErr w:type="spellStart"/>
      <w:r w:rsidRPr="00372D6A">
        <w:t>Pagell</w:t>
      </w:r>
      <w:proofErr w:type="spellEnd"/>
      <w:r w:rsidRPr="00372D6A">
        <w:t xml:space="preserve"> and Wu, 2009).</w:t>
      </w:r>
    </w:p>
    <w:p w14:paraId="37CE997A" w14:textId="77777777" w:rsidR="00372D6A" w:rsidRPr="00372D6A" w:rsidRDefault="00372D6A" w:rsidP="00372D6A">
      <w:pPr>
        <w:ind w:firstLine="720"/>
        <w:jc w:val="both"/>
      </w:pPr>
      <w:r w:rsidRPr="00372D6A">
        <w:t>Strategic partners and collaborating brands represent stakeholders with increasing power in the context of a platform-oriented growth strategy. Their expectations focus on reputational alignment, innovation value and commercial credibility. While Raeburn would remain accountable for its own brand, partners may share responsibility for co-created initiatives and should be closely consulted during strategy formulation. Such stakeholders can enhance feasibility by providing scale, resources and market access, but they also introduce risks of mission drift if commercial priorities overshadow sustainability commitments. Effective RACI clarity is therefore necessary to delineate accountability and protect brand integrity (Lavie et al., 2012).</w:t>
      </w:r>
    </w:p>
    <w:p w14:paraId="5F02EF19" w14:textId="77FCF784" w:rsidR="00372D6A" w:rsidRPr="00372D6A" w:rsidRDefault="00372D6A" w:rsidP="00BC5107">
      <w:pPr>
        <w:ind w:firstLine="720"/>
        <w:jc w:val="both"/>
      </w:pPr>
      <w:r w:rsidRPr="00372D6A">
        <w:t xml:space="preserve">Regulators, industry bodies and advocacy groups function as external stakeholders with indirect but growing power. Their expectations relate to compliance, transparency and genuine environmental impact. Although they are typically informed rather than consulted in day-to-day </w:t>
      </w:r>
      <w:r w:rsidRPr="00372D6A">
        <w:lastRenderedPageBreak/>
        <w:t>strategy, their influence shapes the long-term acceptability of strategic options, particularly as regulation around circularity and producer responsibility intensifies. A strategy aligned with regulatory trajectories enhances long-term legitimacy and reduces future compliance costs, strengthening both feasibility and acceptability (Aguilera et al., 2007).</w:t>
      </w:r>
    </w:p>
    <w:p w14:paraId="2F9548CE" w14:textId="3D362888" w:rsidR="00D60718" w:rsidRDefault="00372D6A" w:rsidP="00372D6A">
      <w:pPr>
        <w:pStyle w:val="Heading3"/>
      </w:pPr>
      <w:bookmarkStart w:id="6" w:name="_Toc216950948"/>
      <w:r>
        <w:t>S</w:t>
      </w:r>
      <w:r w:rsidRPr="00372D6A">
        <w:t>trategic recommendations for the organisation for future developments and implementation</w:t>
      </w:r>
      <w:bookmarkEnd w:id="6"/>
    </w:p>
    <w:p w14:paraId="41B05EC7" w14:textId="77777777" w:rsidR="00D60718" w:rsidRDefault="00D60718" w:rsidP="00D60718"/>
    <w:p w14:paraId="46034EC9" w14:textId="77777777" w:rsidR="00372D6A" w:rsidRPr="00372D6A" w:rsidRDefault="00372D6A" w:rsidP="00372D6A">
      <w:pPr>
        <w:ind w:firstLine="720"/>
        <w:jc w:val="both"/>
      </w:pPr>
      <w:r w:rsidRPr="00372D6A">
        <w:t>A stakeholder analysis of Raeburn London is essential for evaluating which strategic options are most suitable, feasible and acceptable for the organisation, given its status as a sustainability-oriented SME operating in a highly scrutinised fashion market. Stakeholder expectations and relative power vary considerably, and any proposed strategy must balance economic viability with ethical credibility. Applying a RACI (Responsible, Accountable, Consulted, Informed) logic provides a structured way to assess stakeholder roles in strategy execution and governance, ensuring alignment between strategic intent and operational reality.</w:t>
      </w:r>
    </w:p>
    <w:p w14:paraId="07F24EDD" w14:textId="77777777" w:rsidR="00372D6A" w:rsidRPr="00372D6A" w:rsidRDefault="00372D6A" w:rsidP="00372D6A">
      <w:pPr>
        <w:ind w:firstLine="720"/>
        <w:jc w:val="both"/>
      </w:pPr>
      <w:r w:rsidRPr="00372D6A">
        <w:t>Founders and senior management represent the most powerful internal stakeholders, as they are both accountable and responsible for strategic decision-making and long-term direction. Their expectations typically centre on preserving the brand’s sustainability ethos, maintaining creative control and ensuring financial resilience. For Raeburn London, leadership commitment to circular design and responsible production is particularly critical, as strategic drift toward cost-driven growth would undermine brand legitimacy. Their high power and high interest place them at the core of any strategic option, particularly one that emphasises focused differentiation and platform-based circular innovation. In RACI terms, senior leadership remains accountable for strategy outcomes and responsible for translating values into operational priorities, making their alignment with long-term sustainability objectives non-negotiable for strategic feasibility (Hitt et al., 2020).</w:t>
      </w:r>
    </w:p>
    <w:p w14:paraId="75C81F97" w14:textId="77777777" w:rsidR="00372D6A" w:rsidRPr="00372D6A" w:rsidRDefault="00372D6A" w:rsidP="00372D6A">
      <w:pPr>
        <w:ind w:firstLine="720"/>
        <w:jc w:val="both"/>
      </w:pPr>
      <w:r w:rsidRPr="00372D6A">
        <w:t>Employees and designers constitute another key internal stakeholder group with moderate to high influence, particularly due to the tacit knowledge and creative expertise required for remanufacturing and circular design. Their expectations include meaningful work, job security and alignment between personal values and organisational purpose. While their formal power is lower than that of senior management, their operational importance grants them significant informal power, as loss of specialist skills would weaken the firm’s core capabilities. Within a RACI framework, employees are primarily responsible for implementation and should be actively consulted during strategy development to ensure feasibility and organisational buy-in. Strategies that intensify creative constraints or increase workload without corresponding support risk resistance and reduced performance, threatening long-term sustainability (Boxall and Purcell, 2016).</w:t>
      </w:r>
    </w:p>
    <w:p w14:paraId="1970E39C" w14:textId="77777777" w:rsidR="00372D6A" w:rsidRPr="00372D6A" w:rsidRDefault="00372D6A" w:rsidP="00372D6A">
      <w:pPr>
        <w:ind w:firstLine="720"/>
        <w:jc w:val="both"/>
      </w:pPr>
      <w:r w:rsidRPr="00372D6A">
        <w:t xml:space="preserve">Customers represent a critical external stakeholder group with high collective power but low individual power. Raeburn’s customers typically expect authenticity, transparency, product quality and demonstrable environmental responsibility. Their purchasing decisions directly affect revenue, making their acceptance essential for strategic success. In the context of a proposed circular design platform strategy, customers would be informed and partially consulted, particularly through feedback mechanisms and pilot initiatives. Importantly, their willingness to engage in repair services, take-back schemes or modular consumption models determines the acceptability of such strategies. Research suggests that while ethical consumers support </w:t>
      </w:r>
      <w:r w:rsidRPr="00372D6A">
        <w:lastRenderedPageBreak/>
        <w:t>sustainability in principle, acceptance depends on convenience, trust and perceived value, making customer communication and education strategically vital (White et al., 2019).</w:t>
      </w:r>
    </w:p>
    <w:p w14:paraId="1AD8A5F9" w14:textId="77777777" w:rsidR="00372D6A" w:rsidRPr="00372D6A" w:rsidRDefault="00372D6A" w:rsidP="00372D6A">
      <w:pPr>
        <w:ind w:firstLine="720"/>
        <w:jc w:val="both"/>
      </w:pPr>
      <w:r w:rsidRPr="00372D6A">
        <w:t>Suppliers of surplus and recycled materials occupy a distinctive position in Raeburn London’s stakeholder network. Their power is moderate, as the availability and quality of surplus inputs directly affect production continuity. Suppliers expect stable relationships, predictable demand and fair commercial terms. In a RACI context, suppliers are consulted rather than responsible, yet their cooperation is essential for feasibility. A growth strategy that relies on expanded circular production must therefore include supplier engagement and diversification to mitigate material scarcity risks. Failure to manage this relationship could undermine operational reliability, weakening strategic suitability despite strong ethical alignment (</w:t>
      </w:r>
      <w:proofErr w:type="spellStart"/>
      <w:r w:rsidRPr="00372D6A">
        <w:t>Pagell</w:t>
      </w:r>
      <w:proofErr w:type="spellEnd"/>
      <w:r w:rsidRPr="00372D6A">
        <w:t xml:space="preserve"> and Wu, 2009).</w:t>
      </w:r>
    </w:p>
    <w:p w14:paraId="0464142F" w14:textId="77777777" w:rsidR="00372D6A" w:rsidRPr="00372D6A" w:rsidRDefault="00372D6A" w:rsidP="00372D6A">
      <w:pPr>
        <w:ind w:firstLine="720"/>
        <w:jc w:val="both"/>
      </w:pPr>
      <w:r w:rsidRPr="00372D6A">
        <w:t>Strategic partners and collaborating brands represent stakeholders with increasing power in the context of a platform-oriented growth strategy. Their expectations focus on reputational alignment, innovation value and commercial credibility. While Raeburn would remain accountable for its own brand, partners may share responsibility for co-created initiatives and should be closely consulted during strategy formulation. Such stakeholders can enhance feasibility by providing scale, resources and market access, but they also introduce risks of mission drift if commercial priorities overshadow sustainability commitments. Effective RACI clarity is therefore necessary to delineate accountability and protect brand integrity (Lavie et al., 2012).</w:t>
      </w:r>
    </w:p>
    <w:p w14:paraId="0E66F092" w14:textId="77777777" w:rsidR="00372D6A" w:rsidRPr="00372D6A" w:rsidRDefault="00372D6A" w:rsidP="00372D6A">
      <w:pPr>
        <w:ind w:firstLine="720"/>
        <w:jc w:val="both"/>
      </w:pPr>
      <w:r w:rsidRPr="00372D6A">
        <w:t>Regulators, industry bodies and advocacy groups function as external stakeholders with indirect but growing power. Their expectations relate to compliance, transparency and genuine environmental impact. Although they are typically informed rather than consulted in day-to-day strategy, their influence shapes the long-term acceptability of strategic options, particularly as regulation around circularity and producer responsibility intensifies. A strategy aligned with regulatory trajectories enhances long-term legitimacy and reduces future compliance costs, strengthening both feasibility and acceptability (Aguilera et al., 2007).</w:t>
      </w:r>
    </w:p>
    <w:p w14:paraId="3B252693" w14:textId="77777777" w:rsidR="00D60718" w:rsidRDefault="00D60718" w:rsidP="00D60718"/>
    <w:p w14:paraId="5A527B5A" w14:textId="77777777" w:rsidR="00D60718" w:rsidRDefault="00D60718" w:rsidP="00D60718"/>
    <w:p w14:paraId="7186A4C0" w14:textId="77777777" w:rsidR="00D60718" w:rsidRDefault="00D60718" w:rsidP="00D60718"/>
    <w:p w14:paraId="0E282847" w14:textId="77777777" w:rsidR="00D60718" w:rsidRDefault="00D60718" w:rsidP="00D60718"/>
    <w:p w14:paraId="03409A9D" w14:textId="77777777" w:rsidR="00D60718" w:rsidRDefault="00D60718" w:rsidP="00D60718"/>
    <w:p w14:paraId="67BC2569" w14:textId="77777777" w:rsidR="00994B45" w:rsidRDefault="00994B45" w:rsidP="00D60718"/>
    <w:p w14:paraId="28BF7795" w14:textId="77777777" w:rsidR="00994B45" w:rsidRDefault="00994B45" w:rsidP="00D60718"/>
    <w:p w14:paraId="4DEE70C5" w14:textId="77777777" w:rsidR="00994B45" w:rsidRDefault="00994B45" w:rsidP="00D60718"/>
    <w:p w14:paraId="0EA301E2" w14:textId="77777777" w:rsidR="00994B45" w:rsidRDefault="00994B45" w:rsidP="00D60718"/>
    <w:p w14:paraId="7C9F4F27" w14:textId="77777777" w:rsidR="00994B45" w:rsidRDefault="00994B45" w:rsidP="00D60718"/>
    <w:p w14:paraId="25854096" w14:textId="77777777" w:rsidR="00994B45" w:rsidRDefault="00994B45" w:rsidP="00D60718"/>
    <w:p w14:paraId="49384A38" w14:textId="77777777" w:rsidR="00994B45" w:rsidRDefault="00994B45" w:rsidP="00D60718"/>
    <w:p w14:paraId="72200F2D" w14:textId="77777777" w:rsidR="00994B45" w:rsidRDefault="00994B45" w:rsidP="00D60718"/>
    <w:p w14:paraId="569B61B9" w14:textId="43AC9700" w:rsidR="00994B45" w:rsidRDefault="00994B45" w:rsidP="00994B45">
      <w:pPr>
        <w:pStyle w:val="Heading2"/>
      </w:pPr>
      <w:bookmarkStart w:id="7" w:name="_Toc216950949"/>
      <w:r>
        <w:lastRenderedPageBreak/>
        <w:t>Conclusion</w:t>
      </w:r>
      <w:bookmarkEnd w:id="7"/>
      <w:r>
        <w:t xml:space="preserve"> </w:t>
      </w:r>
    </w:p>
    <w:p w14:paraId="05D5D5C5" w14:textId="77777777" w:rsidR="00994B45" w:rsidRDefault="00994B45" w:rsidP="00994B45"/>
    <w:p w14:paraId="1E30F074" w14:textId="77777777" w:rsidR="00994B45" w:rsidRPr="00994B45" w:rsidRDefault="00994B45" w:rsidP="00994B45"/>
    <w:p w14:paraId="478B5DA9" w14:textId="77777777" w:rsidR="00994B45" w:rsidRPr="00994B45" w:rsidRDefault="00994B45" w:rsidP="00994B45">
      <w:pPr>
        <w:ind w:firstLine="720"/>
        <w:jc w:val="both"/>
      </w:pPr>
      <w:r w:rsidRPr="00994B45">
        <w:t>This report has examined Raeburn London’s strategic position, growth options and stakeholder dynamics within the context of an increasingly sustainability-focused fashion industry. The analysis demonstrates that Raeburn’s strategic direction is underpinned by a strong alignment between its vision, mission and objectives, which collectively prioritise circularity, ethical production and design integrity over conventional scale-driven growth. This coherence provides strategic clarity and differentiation in a sector facing growing environmental, regulatory and reputational pressures.</w:t>
      </w:r>
    </w:p>
    <w:p w14:paraId="4894FC87" w14:textId="77777777" w:rsidR="00994B45" w:rsidRPr="00994B45" w:rsidRDefault="00994B45" w:rsidP="00994B45">
      <w:pPr>
        <w:ind w:firstLine="720"/>
        <w:jc w:val="both"/>
      </w:pPr>
      <w:r w:rsidRPr="00994B45">
        <w:t>The environmental scan highlights that Raeburn’s competitive positioning is primarily shaped by distinctive internal capabilities, particularly its expertise in remanufacturing and sustainable design, which enable differentiation but also impose operational and cost constraints. Externally, while regulatory developments and shifting consumer values create opportunities for sustainability-oriented firms, economic volatility and intense competitive rivalry continue to challenge long-term viability, particularly for SMEs with limited resources. These findings reinforce the need for growth strategies that balance ambition with resilience.</w:t>
      </w:r>
    </w:p>
    <w:p w14:paraId="16A8A29C" w14:textId="77777777" w:rsidR="00994B45" w:rsidRPr="00994B45" w:rsidRDefault="00994B45" w:rsidP="00994B45">
      <w:pPr>
        <w:ind w:firstLine="720"/>
        <w:jc w:val="both"/>
      </w:pPr>
      <w:r w:rsidRPr="00994B45">
        <w:t>Evaluation of strategic growth options suggests that scale-based or cost leadership strategies are neither feasible nor strategically consistent with Raeburn’s values and capabilities. Instead, focused differentiation supported by selective product and market development offers a more sustainable pathway. The proposed circular design platform strategy aligns with stakeholder expectations and long-term industry trends by extending Raeburn’s influence beyond product sales into services and partnerships.</w:t>
      </w:r>
    </w:p>
    <w:p w14:paraId="5E72ECCC" w14:textId="77777777" w:rsidR="00994B45" w:rsidRPr="00994B45" w:rsidRDefault="00994B45" w:rsidP="00994B45">
      <w:pPr>
        <w:ind w:firstLine="720"/>
        <w:jc w:val="both"/>
      </w:pPr>
      <w:r w:rsidRPr="00994B45">
        <w:t>Overall, the report concludes that Raeburn London is well positioned to maintain long-term relevance and legitimacy within the fashion industry, provided it continues to manage stakeholder relationships effectively and leverages its core competencies in circular innovation. By doing so, the firm can strengthen resilience, protect brand authenticity and contribute meaningfully to the transition towards more sustainable fashion systems.</w:t>
      </w:r>
    </w:p>
    <w:p w14:paraId="0FFCB768" w14:textId="77777777" w:rsidR="00994B45" w:rsidRDefault="00994B45" w:rsidP="00994B45"/>
    <w:p w14:paraId="5B110B6A" w14:textId="77777777" w:rsidR="00994B45" w:rsidRPr="00994B45" w:rsidRDefault="00994B45" w:rsidP="00994B45"/>
    <w:p w14:paraId="7F4778A1" w14:textId="77777777" w:rsidR="00D60718" w:rsidRDefault="00D60718" w:rsidP="00D60718"/>
    <w:p w14:paraId="33E2BE04" w14:textId="77777777" w:rsidR="00D60718" w:rsidRDefault="00D60718" w:rsidP="00D60718"/>
    <w:p w14:paraId="520C92EB" w14:textId="77777777" w:rsidR="00D60718" w:rsidRDefault="00D60718" w:rsidP="00D60718"/>
    <w:p w14:paraId="424EDA8B" w14:textId="77777777" w:rsidR="00D60718" w:rsidRDefault="00D60718" w:rsidP="00D60718"/>
    <w:p w14:paraId="64A3024A" w14:textId="77777777" w:rsidR="00D60718" w:rsidRDefault="00D60718" w:rsidP="00D60718"/>
    <w:p w14:paraId="5DEDEA7A" w14:textId="77777777" w:rsidR="00D60718" w:rsidRDefault="00D60718" w:rsidP="00D60718"/>
    <w:p w14:paraId="125E6F27" w14:textId="77777777" w:rsidR="00D60718" w:rsidRDefault="00D60718" w:rsidP="00D60718"/>
    <w:p w14:paraId="27D86364" w14:textId="77777777" w:rsidR="00D60718" w:rsidRDefault="00D60718" w:rsidP="00D60718"/>
    <w:p w14:paraId="782DF320" w14:textId="77777777" w:rsidR="00D60718" w:rsidRDefault="00D60718" w:rsidP="00D60718"/>
    <w:p w14:paraId="399D692D" w14:textId="1E4E8C54" w:rsidR="00D60718" w:rsidRDefault="00D60718" w:rsidP="00D60718">
      <w:pPr>
        <w:pStyle w:val="Heading1"/>
      </w:pPr>
      <w:bookmarkStart w:id="8" w:name="_Toc216950950"/>
      <w:r>
        <w:t>Reference list</w:t>
      </w:r>
      <w:bookmarkEnd w:id="8"/>
    </w:p>
    <w:p w14:paraId="07567B31" w14:textId="77777777" w:rsidR="00994B45" w:rsidRPr="00994B45" w:rsidRDefault="00994B45" w:rsidP="00994B45">
      <w:r w:rsidRPr="00994B45">
        <w:t xml:space="preserve">Aguilera, R.V., Rupp, D.E., Williams, C.A. and Ganapathi, J. (2007) ‘Putting the S back in corporate social responsibility: A multilevel theory of social change in organizations’, </w:t>
      </w:r>
      <w:r w:rsidRPr="00994B45">
        <w:rPr>
          <w:i/>
          <w:iCs/>
        </w:rPr>
        <w:t>Academy of Management Review</w:t>
      </w:r>
      <w:r w:rsidRPr="00994B45">
        <w:t>, 32(3), pp. 836–863.</w:t>
      </w:r>
    </w:p>
    <w:p w14:paraId="1BC0BF4D" w14:textId="77777777" w:rsidR="00994B45" w:rsidRPr="00994B45" w:rsidRDefault="00994B45" w:rsidP="00994B45">
      <w:r w:rsidRPr="00994B45">
        <w:t xml:space="preserve">Barney, J. (1991) ‘Firm resources and sustained competitive advantage’, </w:t>
      </w:r>
      <w:r w:rsidRPr="00994B45">
        <w:rPr>
          <w:i/>
          <w:iCs/>
        </w:rPr>
        <w:t>Journal of Management</w:t>
      </w:r>
      <w:r w:rsidRPr="00994B45">
        <w:t>, 17(1), pp. 99–120.</w:t>
      </w:r>
    </w:p>
    <w:p w14:paraId="4C779ECD" w14:textId="77777777" w:rsidR="00994B45" w:rsidRPr="00994B45" w:rsidRDefault="00994B45" w:rsidP="00994B45">
      <w:proofErr w:type="spellStart"/>
      <w:r w:rsidRPr="00994B45">
        <w:t>Bocken</w:t>
      </w:r>
      <w:proofErr w:type="spellEnd"/>
      <w:r w:rsidRPr="00994B45">
        <w:t xml:space="preserve">, N.M.P. and </w:t>
      </w:r>
      <w:proofErr w:type="spellStart"/>
      <w:r w:rsidRPr="00994B45">
        <w:t>Geradts</w:t>
      </w:r>
      <w:proofErr w:type="spellEnd"/>
      <w:r w:rsidRPr="00994B45">
        <w:t xml:space="preserve">, T.H.J. (2020) ‘Barriers and drivers to sustainable business model innovation: Organization design and dynamic capabilities’, </w:t>
      </w:r>
      <w:r w:rsidRPr="00994B45">
        <w:rPr>
          <w:i/>
          <w:iCs/>
        </w:rPr>
        <w:t>Long Range Planning</w:t>
      </w:r>
      <w:r w:rsidRPr="00994B45">
        <w:t>, 53(4), 101950.</w:t>
      </w:r>
    </w:p>
    <w:p w14:paraId="2413F04C" w14:textId="77777777" w:rsidR="00994B45" w:rsidRPr="00994B45" w:rsidRDefault="00994B45" w:rsidP="00994B45">
      <w:proofErr w:type="spellStart"/>
      <w:r w:rsidRPr="00994B45">
        <w:t>Bocken</w:t>
      </w:r>
      <w:proofErr w:type="spellEnd"/>
      <w:r w:rsidRPr="00994B45">
        <w:t xml:space="preserve">, N.M.P., Short, S.W., Rana, P. and Evans, S. (2016) ‘A literature and practice review to develop sustainable business model archetypes’, </w:t>
      </w:r>
      <w:r w:rsidRPr="00994B45">
        <w:rPr>
          <w:i/>
          <w:iCs/>
        </w:rPr>
        <w:t>Journal of Cleaner Production</w:t>
      </w:r>
      <w:r w:rsidRPr="00994B45">
        <w:t>, 65, pp. 42–56.</w:t>
      </w:r>
    </w:p>
    <w:p w14:paraId="2BF65493" w14:textId="77777777" w:rsidR="00994B45" w:rsidRPr="00994B45" w:rsidRDefault="00994B45" w:rsidP="00994B45">
      <w:r w:rsidRPr="00994B45">
        <w:t xml:space="preserve">Bowman, C. and Faulkner, D. (1997) </w:t>
      </w:r>
      <w:r w:rsidRPr="00994B45">
        <w:rPr>
          <w:i/>
          <w:iCs/>
        </w:rPr>
        <w:t>Competitive and Corporate Strategy</w:t>
      </w:r>
      <w:r w:rsidRPr="00994B45">
        <w:t>. London: Irwin.</w:t>
      </w:r>
    </w:p>
    <w:p w14:paraId="24175163" w14:textId="77777777" w:rsidR="00994B45" w:rsidRPr="00994B45" w:rsidRDefault="00994B45" w:rsidP="00994B45">
      <w:r w:rsidRPr="00994B45">
        <w:t xml:space="preserve">Boxall, P. and Purcell, J. (2016) </w:t>
      </w:r>
      <w:r w:rsidRPr="00994B45">
        <w:rPr>
          <w:i/>
          <w:iCs/>
        </w:rPr>
        <w:t>Strategy and Human Resource Management</w:t>
      </w:r>
      <w:r w:rsidRPr="00994B45">
        <w:t xml:space="preserve">. 4th </w:t>
      </w:r>
      <w:proofErr w:type="spellStart"/>
      <w:r w:rsidRPr="00994B45">
        <w:t>edn</w:t>
      </w:r>
      <w:proofErr w:type="spellEnd"/>
      <w:r w:rsidRPr="00994B45">
        <w:t>. London: Palgrave Macmillan.</w:t>
      </w:r>
    </w:p>
    <w:p w14:paraId="2D9A0F78" w14:textId="77777777" w:rsidR="00994B45" w:rsidRPr="00994B45" w:rsidRDefault="00994B45" w:rsidP="00994B45">
      <w:r w:rsidRPr="00994B45">
        <w:t xml:space="preserve">Delmas, M.A. and Burbano, V.C. (2011) ‘The drivers of greenwashing’, </w:t>
      </w:r>
      <w:r w:rsidRPr="00994B45">
        <w:rPr>
          <w:i/>
          <w:iCs/>
        </w:rPr>
        <w:t>California Management Review</w:t>
      </w:r>
      <w:r w:rsidRPr="00994B45">
        <w:t>, 54(1), pp. 64–87.</w:t>
      </w:r>
    </w:p>
    <w:p w14:paraId="0A503388" w14:textId="77777777" w:rsidR="00994B45" w:rsidRPr="00994B45" w:rsidRDefault="00994B45" w:rsidP="00994B45">
      <w:r w:rsidRPr="00994B45">
        <w:t xml:space="preserve">Dyllick, T. and Muff, K. (2016) ‘Clarifying the meaning of sustainable business: Introducing a typology from business-as-usual to true business sustainability’, </w:t>
      </w:r>
      <w:r w:rsidRPr="00994B45">
        <w:rPr>
          <w:i/>
          <w:iCs/>
        </w:rPr>
        <w:t>Organization &amp; Environment</w:t>
      </w:r>
      <w:r w:rsidRPr="00994B45">
        <w:t>, 29(2), pp. 156–174.</w:t>
      </w:r>
    </w:p>
    <w:p w14:paraId="41D5A014" w14:textId="77777777" w:rsidR="00994B45" w:rsidRPr="00994B45" w:rsidRDefault="00994B45" w:rsidP="00994B45">
      <w:r w:rsidRPr="00994B45">
        <w:t xml:space="preserve">European Commission (2022) </w:t>
      </w:r>
      <w:r w:rsidRPr="00994B45">
        <w:rPr>
          <w:i/>
          <w:iCs/>
        </w:rPr>
        <w:t>EU Strategy for Sustainable and Circular Textiles</w:t>
      </w:r>
      <w:r w:rsidRPr="00994B45">
        <w:t>. Brussels: European Commission.</w:t>
      </w:r>
    </w:p>
    <w:p w14:paraId="3B6AF788" w14:textId="77777777" w:rsidR="00994B45" w:rsidRPr="00994B45" w:rsidRDefault="00994B45" w:rsidP="00994B45">
      <w:r w:rsidRPr="00994B45">
        <w:t xml:space="preserve">Grant, R.M. (2022) </w:t>
      </w:r>
      <w:r w:rsidRPr="00994B45">
        <w:rPr>
          <w:i/>
          <w:iCs/>
        </w:rPr>
        <w:t>Contemporary Strategy Analysis</w:t>
      </w:r>
      <w:r w:rsidRPr="00994B45">
        <w:t xml:space="preserve">. 11th </w:t>
      </w:r>
      <w:proofErr w:type="spellStart"/>
      <w:r w:rsidRPr="00994B45">
        <w:t>edn</w:t>
      </w:r>
      <w:proofErr w:type="spellEnd"/>
      <w:r w:rsidRPr="00994B45">
        <w:t>. Chichester: Wiley.</w:t>
      </w:r>
    </w:p>
    <w:p w14:paraId="11A6F533" w14:textId="77777777" w:rsidR="00994B45" w:rsidRPr="00994B45" w:rsidRDefault="00994B45" w:rsidP="00994B45">
      <w:r w:rsidRPr="00994B45">
        <w:t xml:space="preserve">Gwilt, A. (2020) </w:t>
      </w:r>
      <w:r w:rsidRPr="00994B45">
        <w:rPr>
          <w:i/>
          <w:iCs/>
        </w:rPr>
        <w:t>A Practical Guide to Sustainable Fashion</w:t>
      </w:r>
      <w:r w:rsidRPr="00994B45">
        <w:t xml:space="preserve">. 2nd </w:t>
      </w:r>
      <w:proofErr w:type="spellStart"/>
      <w:r w:rsidRPr="00994B45">
        <w:t>edn</w:t>
      </w:r>
      <w:proofErr w:type="spellEnd"/>
      <w:r w:rsidRPr="00994B45">
        <w:t>. London: Bloomsbury.</w:t>
      </w:r>
    </w:p>
    <w:p w14:paraId="4D19625E" w14:textId="77777777" w:rsidR="00994B45" w:rsidRPr="00994B45" w:rsidRDefault="00994B45" w:rsidP="00994B45">
      <w:r w:rsidRPr="00994B45">
        <w:t xml:space="preserve">Hartmann, P. and Ibáñez, V.A. (2006) ‘Green value added’, </w:t>
      </w:r>
      <w:r w:rsidRPr="00994B45">
        <w:rPr>
          <w:i/>
          <w:iCs/>
        </w:rPr>
        <w:t>Marketing Intelligence &amp; Planning</w:t>
      </w:r>
      <w:r w:rsidRPr="00994B45">
        <w:t>, 24(7), pp. 673–680.</w:t>
      </w:r>
    </w:p>
    <w:p w14:paraId="61DF9CDE" w14:textId="77777777" w:rsidR="00994B45" w:rsidRPr="00994B45" w:rsidRDefault="00994B45" w:rsidP="00994B45">
      <w:r w:rsidRPr="00994B45">
        <w:t xml:space="preserve">Hitt, M.A., Ireland, R.D., </w:t>
      </w:r>
      <w:proofErr w:type="spellStart"/>
      <w:r w:rsidRPr="00994B45">
        <w:t>Hoskisson</w:t>
      </w:r>
      <w:proofErr w:type="spellEnd"/>
      <w:r w:rsidRPr="00994B45">
        <w:t xml:space="preserve">, R.E. and Harrison, J.S. (2020) </w:t>
      </w:r>
      <w:r w:rsidRPr="00994B45">
        <w:rPr>
          <w:i/>
          <w:iCs/>
        </w:rPr>
        <w:t>Strategic Management: Competitiveness and Globalization</w:t>
      </w:r>
      <w:r w:rsidRPr="00994B45">
        <w:t xml:space="preserve">. 13th </w:t>
      </w:r>
      <w:proofErr w:type="spellStart"/>
      <w:r w:rsidRPr="00994B45">
        <w:t>edn</w:t>
      </w:r>
      <w:proofErr w:type="spellEnd"/>
      <w:r w:rsidRPr="00994B45">
        <w:t>. Boston: Cengage Learning.</w:t>
      </w:r>
    </w:p>
    <w:p w14:paraId="5A91DFFE" w14:textId="77777777" w:rsidR="00994B45" w:rsidRPr="00994B45" w:rsidRDefault="00994B45" w:rsidP="00994B45">
      <w:r w:rsidRPr="00994B45">
        <w:t xml:space="preserve">Johnson, G., Scholes, K. and Whittington, R. (2020) </w:t>
      </w:r>
      <w:r w:rsidRPr="00994B45">
        <w:rPr>
          <w:i/>
          <w:iCs/>
        </w:rPr>
        <w:t>Exploring Strategy</w:t>
      </w:r>
      <w:r w:rsidRPr="00994B45">
        <w:t xml:space="preserve">. 12th </w:t>
      </w:r>
      <w:proofErr w:type="spellStart"/>
      <w:r w:rsidRPr="00994B45">
        <w:t>edn</w:t>
      </w:r>
      <w:proofErr w:type="spellEnd"/>
      <w:r w:rsidRPr="00994B45">
        <w:t>. Harlow: Pearson.</w:t>
      </w:r>
    </w:p>
    <w:p w14:paraId="294AE9F8" w14:textId="77777777" w:rsidR="00994B45" w:rsidRPr="00994B45" w:rsidRDefault="00994B45" w:rsidP="00994B45">
      <w:r w:rsidRPr="00994B45">
        <w:t xml:space="preserve">Joy, A., Sherry, J.F., Venkatesh, A., Wang, J. and Chan, R. (2012) ‘Fast fashion, sustainability, and the ethical appeal of luxury brands’, </w:t>
      </w:r>
      <w:r w:rsidRPr="00994B45">
        <w:rPr>
          <w:i/>
          <w:iCs/>
        </w:rPr>
        <w:t>Fashion Theory</w:t>
      </w:r>
      <w:r w:rsidRPr="00994B45">
        <w:t>, 16(3), pp. 273–295.</w:t>
      </w:r>
    </w:p>
    <w:p w14:paraId="39FE88A4" w14:textId="77777777" w:rsidR="00994B45" w:rsidRPr="00994B45" w:rsidRDefault="00994B45" w:rsidP="00994B45">
      <w:r w:rsidRPr="00994B45">
        <w:t xml:space="preserve">Lavie, D., Lechner, C. and Singh, H. (2012) ‘The performance implications of timing of entry and involvement in </w:t>
      </w:r>
      <w:proofErr w:type="spellStart"/>
      <w:r w:rsidRPr="00994B45">
        <w:t>multipartner</w:t>
      </w:r>
      <w:proofErr w:type="spellEnd"/>
      <w:r w:rsidRPr="00994B45">
        <w:t xml:space="preserve"> alliances’, </w:t>
      </w:r>
      <w:r w:rsidRPr="00994B45">
        <w:rPr>
          <w:i/>
          <w:iCs/>
        </w:rPr>
        <w:t>Academy of Management Journal</w:t>
      </w:r>
      <w:r w:rsidRPr="00994B45">
        <w:t>, 55(3), pp. 578–604.</w:t>
      </w:r>
    </w:p>
    <w:p w14:paraId="74CCC23C" w14:textId="77777777" w:rsidR="00994B45" w:rsidRPr="00994B45" w:rsidRDefault="00994B45" w:rsidP="00994B45">
      <w:r w:rsidRPr="00994B45">
        <w:t xml:space="preserve">McKinsey &amp; Company (2023) </w:t>
      </w:r>
      <w:r w:rsidRPr="00994B45">
        <w:rPr>
          <w:i/>
          <w:iCs/>
        </w:rPr>
        <w:t>The State of Fashion 2023</w:t>
      </w:r>
      <w:r w:rsidRPr="00994B45">
        <w:t>. McKinsey Global Publishing.</w:t>
      </w:r>
    </w:p>
    <w:p w14:paraId="6E445CA6" w14:textId="77777777" w:rsidR="00994B45" w:rsidRPr="00994B45" w:rsidRDefault="00994B45" w:rsidP="00994B45">
      <w:r w:rsidRPr="00994B45">
        <w:t xml:space="preserve">OECD (2023) </w:t>
      </w:r>
      <w:r w:rsidRPr="00994B45">
        <w:rPr>
          <w:i/>
          <w:iCs/>
        </w:rPr>
        <w:t>Policies for a Circular Economy</w:t>
      </w:r>
      <w:r w:rsidRPr="00994B45">
        <w:t>. Paris: OECD Publishing.</w:t>
      </w:r>
    </w:p>
    <w:p w14:paraId="4FA33906" w14:textId="77777777" w:rsidR="00994B45" w:rsidRPr="00994B45" w:rsidRDefault="00994B45" w:rsidP="00994B45">
      <w:proofErr w:type="spellStart"/>
      <w:r w:rsidRPr="00994B45">
        <w:lastRenderedPageBreak/>
        <w:t>Pagell</w:t>
      </w:r>
      <w:proofErr w:type="spellEnd"/>
      <w:r w:rsidRPr="00994B45">
        <w:t xml:space="preserve">, M. and Wu, Z. (2009) ‘Building a more complete theory of sustainable supply chain management using case studies of 10 exemplars’, </w:t>
      </w:r>
      <w:r w:rsidRPr="00994B45">
        <w:rPr>
          <w:i/>
          <w:iCs/>
        </w:rPr>
        <w:t>Journal of Supply Chain Management</w:t>
      </w:r>
      <w:r w:rsidRPr="00994B45">
        <w:t>, 45(2), pp. 37–56.</w:t>
      </w:r>
    </w:p>
    <w:p w14:paraId="43CF8A99" w14:textId="77777777" w:rsidR="00994B45" w:rsidRPr="00994B45" w:rsidRDefault="00994B45" w:rsidP="00994B45">
      <w:r w:rsidRPr="00994B45">
        <w:t xml:space="preserve">Porter, M.E. (1985) </w:t>
      </w:r>
      <w:r w:rsidRPr="00994B45">
        <w:rPr>
          <w:i/>
          <w:iCs/>
        </w:rPr>
        <w:t>Competitive Advantage: Creating and Sustaining Superior Performance</w:t>
      </w:r>
      <w:r w:rsidRPr="00994B45">
        <w:t>. New York: Free Press.</w:t>
      </w:r>
    </w:p>
    <w:p w14:paraId="0C04ED3F" w14:textId="77777777" w:rsidR="00994B45" w:rsidRPr="00994B45" w:rsidRDefault="00994B45" w:rsidP="00994B45">
      <w:r w:rsidRPr="00994B45">
        <w:t xml:space="preserve">Porter, M.E. (2008) </w:t>
      </w:r>
      <w:r w:rsidRPr="00994B45">
        <w:rPr>
          <w:i/>
          <w:iCs/>
        </w:rPr>
        <w:t>The Five Competitive Forces That Shape Strategy</w:t>
      </w:r>
      <w:r w:rsidRPr="00994B45">
        <w:t>. Boston: Harvard Business School Publishing.</w:t>
      </w:r>
    </w:p>
    <w:p w14:paraId="340E3F50" w14:textId="77777777" w:rsidR="00994B45" w:rsidRPr="00994B45" w:rsidRDefault="00994B45" w:rsidP="00994B45">
      <w:r w:rsidRPr="00994B45">
        <w:t xml:space="preserve">Porter, M.E. and Kramer, M.R. (2019) ‘Creating shared value’, </w:t>
      </w:r>
      <w:r w:rsidRPr="00994B45">
        <w:rPr>
          <w:i/>
          <w:iCs/>
        </w:rPr>
        <w:t>Harvard Business Review</w:t>
      </w:r>
      <w:r w:rsidRPr="00994B45">
        <w:t>, 97(1), pp. 66–76.</w:t>
      </w:r>
    </w:p>
    <w:p w14:paraId="219FA719" w14:textId="77777777" w:rsidR="00994B45" w:rsidRPr="00994B45" w:rsidRDefault="00994B45" w:rsidP="00994B45">
      <w:r w:rsidRPr="00994B45">
        <w:t xml:space="preserve">Raeburn (2023) </w:t>
      </w:r>
      <w:r w:rsidRPr="00994B45">
        <w:rPr>
          <w:i/>
          <w:iCs/>
        </w:rPr>
        <w:t>About Raeburn</w:t>
      </w:r>
      <w:r w:rsidRPr="00994B45">
        <w:t xml:space="preserve">. Available at: </w:t>
      </w:r>
      <w:hyperlink r:id="rId7" w:tgtFrame="_new" w:history="1">
        <w:r w:rsidRPr="00994B45">
          <w:rPr>
            <w:rStyle w:val="Hyperlink"/>
          </w:rPr>
          <w:t>https://www.raeburndesign.co.uk</w:t>
        </w:r>
      </w:hyperlink>
      <w:r w:rsidRPr="00994B45">
        <w:t xml:space="preserve"> (Accessed: 14 December 2025).</w:t>
      </w:r>
    </w:p>
    <w:p w14:paraId="04DA250E" w14:textId="77777777" w:rsidR="00994B45" w:rsidRPr="00994B45" w:rsidRDefault="00994B45" w:rsidP="00994B45">
      <w:r w:rsidRPr="00994B45">
        <w:t xml:space="preserve">Teece, D.J., </w:t>
      </w:r>
      <w:proofErr w:type="spellStart"/>
      <w:r w:rsidRPr="00994B45">
        <w:t>Peteraf</w:t>
      </w:r>
      <w:proofErr w:type="spellEnd"/>
      <w:r w:rsidRPr="00994B45">
        <w:t xml:space="preserve">, M. and Leih, S. (2016) ‘Dynamic capabilities and organizational agility’, </w:t>
      </w:r>
      <w:r w:rsidRPr="00994B45">
        <w:rPr>
          <w:i/>
          <w:iCs/>
        </w:rPr>
        <w:t>California Management Review</w:t>
      </w:r>
      <w:r w:rsidRPr="00994B45">
        <w:t>, 58(4), pp. 13–35.</w:t>
      </w:r>
    </w:p>
    <w:p w14:paraId="3FCC3BB0" w14:textId="77777777" w:rsidR="00994B45" w:rsidRPr="00994B45" w:rsidRDefault="00994B45" w:rsidP="00994B45">
      <w:r w:rsidRPr="00994B45">
        <w:t xml:space="preserve">White, K., Habib, R. and Hardisty, D.J. (2019) ‘How to SHIFT consumer </w:t>
      </w:r>
      <w:proofErr w:type="spellStart"/>
      <w:r w:rsidRPr="00994B45">
        <w:t>behaviors</w:t>
      </w:r>
      <w:proofErr w:type="spellEnd"/>
      <w:r w:rsidRPr="00994B45">
        <w:t xml:space="preserve"> to be more sustainable’, </w:t>
      </w:r>
      <w:r w:rsidRPr="00994B45">
        <w:rPr>
          <w:i/>
          <w:iCs/>
        </w:rPr>
        <w:t>Journal of Marketing</w:t>
      </w:r>
      <w:r w:rsidRPr="00994B45">
        <w:t>, 83(3), pp. 22–49.</w:t>
      </w:r>
    </w:p>
    <w:p w14:paraId="749EAC25" w14:textId="2F817C97" w:rsidR="00D60718" w:rsidRPr="00D60718" w:rsidRDefault="00D60718" w:rsidP="00D60718"/>
    <w:sectPr w:rsidR="00D60718" w:rsidRPr="00D6071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7FF34" w14:textId="77777777" w:rsidR="001B6A73" w:rsidRDefault="001B6A73" w:rsidP="00994B45">
      <w:pPr>
        <w:spacing w:after="0" w:line="240" w:lineRule="auto"/>
      </w:pPr>
      <w:r>
        <w:separator/>
      </w:r>
    </w:p>
  </w:endnote>
  <w:endnote w:type="continuationSeparator" w:id="0">
    <w:p w14:paraId="7D02D664" w14:textId="77777777" w:rsidR="001B6A73" w:rsidRDefault="001B6A73" w:rsidP="00994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0A04" w14:textId="77777777" w:rsidR="00994B45" w:rsidRDefault="00994B45">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78EDE6D8" w14:textId="77777777" w:rsidR="00994B45" w:rsidRDefault="00994B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2ADE2" w14:textId="77777777" w:rsidR="001B6A73" w:rsidRDefault="001B6A73" w:rsidP="00994B45">
      <w:pPr>
        <w:spacing w:after="0" w:line="240" w:lineRule="auto"/>
      </w:pPr>
      <w:r>
        <w:separator/>
      </w:r>
    </w:p>
  </w:footnote>
  <w:footnote w:type="continuationSeparator" w:id="0">
    <w:p w14:paraId="7D0BA3B0" w14:textId="77777777" w:rsidR="001B6A73" w:rsidRDefault="001B6A73" w:rsidP="00994B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F0D"/>
    <w:rsid w:val="001703CF"/>
    <w:rsid w:val="001B6A73"/>
    <w:rsid w:val="002673DF"/>
    <w:rsid w:val="00372D6A"/>
    <w:rsid w:val="00502035"/>
    <w:rsid w:val="005A0F0D"/>
    <w:rsid w:val="00656A60"/>
    <w:rsid w:val="00715E34"/>
    <w:rsid w:val="00802D50"/>
    <w:rsid w:val="009846EF"/>
    <w:rsid w:val="00994B45"/>
    <w:rsid w:val="00994EB5"/>
    <w:rsid w:val="00A61E36"/>
    <w:rsid w:val="00B81321"/>
    <w:rsid w:val="00BC5107"/>
    <w:rsid w:val="00CF5C82"/>
    <w:rsid w:val="00D60718"/>
    <w:rsid w:val="00F01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06954"/>
  <w15:chartTrackingRefBased/>
  <w15:docId w15:val="{C86C5EFD-1B7A-42BA-A15D-1DD847E14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0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0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0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0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0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0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0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0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0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0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0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0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0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0F0D"/>
    <w:rPr>
      <w:rFonts w:eastAsiaTheme="majorEastAsia" w:cstheme="majorBidi"/>
      <w:color w:val="272727" w:themeColor="text1" w:themeTint="D8"/>
    </w:rPr>
  </w:style>
  <w:style w:type="paragraph" w:styleId="Title">
    <w:name w:val="Title"/>
    <w:basedOn w:val="Normal"/>
    <w:next w:val="Normal"/>
    <w:link w:val="TitleChar"/>
    <w:uiPriority w:val="10"/>
    <w:qFormat/>
    <w:rsid w:val="005A0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0F0D"/>
    <w:pPr>
      <w:spacing w:before="160"/>
      <w:jc w:val="center"/>
    </w:pPr>
    <w:rPr>
      <w:i/>
      <w:iCs/>
      <w:color w:val="404040" w:themeColor="text1" w:themeTint="BF"/>
    </w:rPr>
  </w:style>
  <w:style w:type="character" w:customStyle="1" w:styleId="QuoteChar">
    <w:name w:val="Quote Char"/>
    <w:basedOn w:val="DefaultParagraphFont"/>
    <w:link w:val="Quote"/>
    <w:uiPriority w:val="29"/>
    <w:rsid w:val="005A0F0D"/>
    <w:rPr>
      <w:i/>
      <w:iCs/>
      <w:color w:val="404040" w:themeColor="text1" w:themeTint="BF"/>
    </w:rPr>
  </w:style>
  <w:style w:type="paragraph" w:styleId="ListParagraph">
    <w:name w:val="List Paragraph"/>
    <w:basedOn w:val="Normal"/>
    <w:uiPriority w:val="34"/>
    <w:qFormat/>
    <w:rsid w:val="005A0F0D"/>
    <w:pPr>
      <w:ind w:left="720"/>
      <w:contextualSpacing/>
    </w:pPr>
  </w:style>
  <w:style w:type="character" w:styleId="IntenseEmphasis">
    <w:name w:val="Intense Emphasis"/>
    <w:basedOn w:val="DefaultParagraphFont"/>
    <w:uiPriority w:val="21"/>
    <w:qFormat/>
    <w:rsid w:val="005A0F0D"/>
    <w:rPr>
      <w:i/>
      <w:iCs/>
      <w:color w:val="0F4761" w:themeColor="accent1" w:themeShade="BF"/>
    </w:rPr>
  </w:style>
  <w:style w:type="paragraph" w:styleId="IntenseQuote">
    <w:name w:val="Intense Quote"/>
    <w:basedOn w:val="Normal"/>
    <w:next w:val="Normal"/>
    <w:link w:val="IntenseQuoteChar"/>
    <w:uiPriority w:val="30"/>
    <w:qFormat/>
    <w:rsid w:val="005A0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0F0D"/>
    <w:rPr>
      <w:i/>
      <w:iCs/>
      <w:color w:val="0F4761" w:themeColor="accent1" w:themeShade="BF"/>
    </w:rPr>
  </w:style>
  <w:style w:type="character" w:styleId="IntenseReference">
    <w:name w:val="Intense Reference"/>
    <w:basedOn w:val="DefaultParagraphFont"/>
    <w:uiPriority w:val="32"/>
    <w:qFormat/>
    <w:rsid w:val="005A0F0D"/>
    <w:rPr>
      <w:b/>
      <w:bCs/>
      <w:smallCaps/>
      <w:color w:val="0F4761" w:themeColor="accent1" w:themeShade="BF"/>
      <w:spacing w:val="5"/>
    </w:rPr>
  </w:style>
  <w:style w:type="character" w:styleId="Hyperlink">
    <w:name w:val="Hyperlink"/>
    <w:basedOn w:val="DefaultParagraphFont"/>
    <w:uiPriority w:val="99"/>
    <w:unhideWhenUsed/>
    <w:rsid w:val="00D60718"/>
    <w:rPr>
      <w:color w:val="467886" w:themeColor="hyperlink"/>
      <w:u w:val="single"/>
    </w:rPr>
  </w:style>
  <w:style w:type="character" w:styleId="UnresolvedMention">
    <w:name w:val="Unresolved Mention"/>
    <w:basedOn w:val="DefaultParagraphFont"/>
    <w:uiPriority w:val="99"/>
    <w:semiHidden/>
    <w:unhideWhenUsed/>
    <w:rsid w:val="00D60718"/>
    <w:rPr>
      <w:color w:val="605E5C"/>
      <w:shd w:val="clear" w:color="auto" w:fill="E1DFDD"/>
    </w:rPr>
  </w:style>
  <w:style w:type="paragraph" w:styleId="NormalWeb">
    <w:name w:val="Normal (Web)"/>
    <w:basedOn w:val="Normal"/>
    <w:uiPriority w:val="99"/>
    <w:semiHidden/>
    <w:unhideWhenUsed/>
    <w:rsid w:val="00372D6A"/>
    <w:rPr>
      <w:rFonts w:ascii="Times New Roman" w:hAnsi="Times New Roman" w:cs="Times New Roman"/>
      <w:sz w:val="24"/>
      <w:szCs w:val="24"/>
    </w:rPr>
  </w:style>
  <w:style w:type="paragraph" w:styleId="Header">
    <w:name w:val="header"/>
    <w:basedOn w:val="Normal"/>
    <w:link w:val="HeaderChar"/>
    <w:uiPriority w:val="99"/>
    <w:unhideWhenUsed/>
    <w:rsid w:val="00994B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B45"/>
  </w:style>
  <w:style w:type="paragraph" w:styleId="Footer">
    <w:name w:val="footer"/>
    <w:basedOn w:val="Normal"/>
    <w:link w:val="FooterChar"/>
    <w:uiPriority w:val="99"/>
    <w:unhideWhenUsed/>
    <w:rsid w:val="00994B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B45"/>
  </w:style>
  <w:style w:type="paragraph" w:styleId="TOCHeading">
    <w:name w:val="TOC Heading"/>
    <w:basedOn w:val="Heading1"/>
    <w:next w:val="Normal"/>
    <w:uiPriority w:val="39"/>
    <w:unhideWhenUsed/>
    <w:qFormat/>
    <w:rsid w:val="00994B45"/>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994B4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94B45"/>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994B45"/>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aeburndesign.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B2067-3863-4770-B36B-43F856431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5548</Words>
  <Characters>31625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 Vezarov</dc:creator>
  <cp:keywords/>
  <dc:description/>
  <cp:lastModifiedBy>Yordan Vezarov</cp:lastModifiedBy>
  <cp:revision>2</cp:revision>
  <dcterms:created xsi:type="dcterms:W3CDTF">2025-12-18T11:55:00Z</dcterms:created>
  <dcterms:modified xsi:type="dcterms:W3CDTF">2025-12-18T11:55:00Z</dcterms:modified>
</cp:coreProperties>
</file>