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7B81B8" w14:textId="77777777" w:rsidR="00794991" w:rsidRPr="00794991" w:rsidRDefault="00794991" w:rsidP="00794991">
      <w:pPr>
        <w:rPr>
          <w:lang w:val="en-GB"/>
        </w:rPr>
      </w:pPr>
      <w:r w:rsidRPr="00794991">
        <w:rPr>
          <w:lang w:val="en-GB"/>
        </w:rPr>
        <w:t>Student Name: Cristina Marin</w:t>
      </w:r>
    </w:p>
    <w:p w14:paraId="092C5454" w14:textId="77777777" w:rsidR="00794991" w:rsidRPr="00794991" w:rsidRDefault="00794991" w:rsidP="00794991">
      <w:pPr>
        <w:rPr>
          <w:lang w:val="en-GB"/>
        </w:rPr>
      </w:pPr>
      <w:r w:rsidRPr="00794991">
        <w:rPr>
          <w:lang w:val="en-GB"/>
        </w:rPr>
        <w:t>Student Id: 2213202</w:t>
      </w:r>
    </w:p>
    <w:p w14:paraId="04ABBDE3" w14:textId="204087DA" w:rsidR="00794991" w:rsidRPr="00794991" w:rsidRDefault="00794991" w:rsidP="00794991">
      <w:pPr>
        <w:rPr>
          <w:lang w:val="en-GB"/>
        </w:rPr>
      </w:pPr>
      <w:r w:rsidRPr="00794991">
        <w:rPr>
          <w:lang w:val="en-GB"/>
        </w:rPr>
        <w:t>Module code: LCBB600</w:t>
      </w:r>
      <w:r>
        <w:rPr>
          <w:lang w:val="en-GB"/>
        </w:rPr>
        <w:t>2</w:t>
      </w:r>
    </w:p>
    <w:p w14:paraId="4BA056C0" w14:textId="7BF02F27" w:rsidR="00794991" w:rsidRPr="00794991" w:rsidRDefault="00794991" w:rsidP="00794991">
      <w:pPr>
        <w:rPr>
          <w:lang w:val="en-GB"/>
        </w:rPr>
      </w:pPr>
      <w:r w:rsidRPr="00794991">
        <w:rPr>
          <w:lang w:val="en-GB"/>
        </w:rPr>
        <w:t xml:space="preserve">Module: International </w:t>
      </w:r>
      <w:r>
        <w:rPr>
          <w:lang w:val="en-GB"/>
        </w:rPr>
        <w:t>Financial Management</w:t>
      </w:r>
    </w:p>
    <w:p w14:paraId="612CE0CF" w14:textId="5059C9CE" w:rsidR="00794991" w:rsidRDefault="00794991" w:rsidP="00794991">
      <w:pPr>
        <w:rPr>
          <w:lang w:val="en-GB"/>
        </w:rPr>
      </w:pPr>
      <w:r w:rsidRPr="00794991">
        <w:rPr>
          <w:lang w:val="en-GB"/>
        </w:rPr>
        <w:t xml:space="preserve">Lecturer: </w:t>
      </w:r>
      <w:r>
        <w:rPr>
          <w:lang w:val="en-GB"/>
        </w:rPr>
        <w:t>Mudassar Hasan</w:t>
      </w:r>
    </w:p>
    <w:p w14:paraId="1E5D1CE0" w14:textId="77777777" w:rsidR="00601B60" w:rsidRDefault="00601B60" w:rsidP="00794991">
      <w:pPr>
        <w:rPr>
          <w:lang w:val="en-GB"/>
        </w:rPr>
      </w:pPr>
    </w:p>
    <w:p w14:paraId="5453906A" w14:textId="77777777" w:rsidR="00601B60" w:rsidRDefault="00601B60" w:rsidP="00794991">
      <w:pPr>
        <w:rPr>
          <w:lang w:val="en-GB"/>
        </w:rPr>
      </w:pPr>
    </w:p>
    <w:sdt>
      <w:sdtPr>
        <w:rPr>
          <w:rFonts w:asciiTheme="minorHAnsi" w:eastAsiaTheme="minorHAnsi" w:hAnsiTheme="minorHAnsi" w:cstheme="minorBidi"/>
          <w:color w:val="auto"/>
          <w:kern w:val="2"/>
          <w:sz w:val="24"/>
          <w:szCs w:val="24"/>
          <w14:ligatures w14:val="standardContextual"/>
        </w:rPr>
        <w:id w:val="1906180688"/>
        <w:docPartObj>
          <w:docPartGallery w:val="Table of Contents"/>
          <w:docPartUnique/>
        </w:docPartObj>
      </w:sdtPr>
      <w:sdtEndPr>
        <w:rPr>
          <w:b/>
          <w:bCs/>
          <w:noProof/>
        </w:rPr>
      </w:sdtEndPr>
      <w:sdtContent>
        <w:p w14:paraId="5A6499BA" w14:textId="5CB31BA0" w:rsidR="00601B60" w:rsidRDefault="00601B60">
          <w:pPr>
            <w:pStyle w:val="TOCHeading"/>
          </w:pPr>
          <w:r>
            <w:t>Contents</w:t>
          </w:r>
        </w:p>
        <w:p w14:paraId="0DBC4A8D" w14:textId="4A03CA2A" w:rsidR="00EB11AE" w:rsidRDefault="00601B60">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80658917" w:history="1">
            <w:r w:rsidR="00EB11AE" w:rsidRPr="006C76A2">
              <w:rPr>
                <w:rStyle w:val="Hyperlink"/>
                <w:noProof/>
              </w:rPr>
              <w:t>Introduction</w:t>
            </w:r>
            <w:r w:rsidR="00EB11AE">
              <w:rPr>
                <w:noProof/>
                <w:webHidden/>
              </w:rPr>
              <w:tab/>
            </w:r>
            <w:r w:rsidR="00EB11AE">
              <w:rPr>
                <w:noProof/>
                <w:webHidden/>
              </w:rPr>
              <w:fldChar w:fldCharType="begin"/>
            </w:r>
            <w:r w:rsidR="00EB11AE">
              <w:rPr>
                <w:noProof/>
                <w:webHidden/>
              </w:rPr>
              <w:instrText xml:space="preserve"> PAGEREF _Toc180658917 \h </w:instrText>
            </w:r>
            <w:r w:rsidR="00EB11AE">
              <w:rPr>
                <w:noProof/>
                <w:webHidden/>
              </w:rPr>
            </w:r>
            <w:r w:rsidR="00EB11AE">
              <w:rPr>
                <w:noProof/>
                <w:webHidden/>
              </w:rPr>
              <w:fldChar w:fldCharType="separate"/>
            </w:r>
            <w:r w:rsidR="00EB11AE">
              <w:rPr>
                <w:noProof/>
                <w:webHidden/>
              </w:rPr>
              <w:t>2</w:t>
            </w:r>
            <w:r w:rsidR="00EB11AE">
              <w:rPr>
                <w:noProof/>
                <w:webHidden/>
              </w:rPr>
              <w:fldChar w:fldCharType="end"/>
            </w:r>
          </w:hyperlink>
        </w:p>
        <w:p w14:paraId="0B84C05E" w14:textId="038664C0" w:rsidR="00EB11AE" w:rsidRDefault="00EB11AE">
          <w:pPr>
            <w:pStyle w:val="TOC1"/>
            <w:tabs>
              <w:tab w:val="right" w:leader="dot" w:pos="9350"/>
            </w:tabs>
            <w:rPr>
              <w:rFonts w:eastAsiaTheme="minorEastAsia"/>
              <w:noProof/>
            </w:rPr>
          </w:pPr>
          <w:hyperlink w:anchor="_Toc180658918" w:history="1">
            <w:r w:rsidRPr="006C76A2">
              <w:rPr>
                <w:rStyle w:val="Hyperlink"/>
                <w:noProof/>
              </w:rPr>
              <w:t>Corporate Governance Practices in Burberry Group plc</w:t>
            </w:r>
            <w:r>
              <w:rPr>
                <w:noProof/>
                <w:webHidden/>
              </w:rPr>
              <w:tab/>
            </w:r>
            <w:r>
              <w:rPr>
                <w:noProof/>
                <w:webHidden/>
              </w:rPr>
              <w:fldChar w:fldCharType="begin"/>
            </w:r>
            <w:r>
              <w:rPr>
                <w:noProof/>
                <w:webHidden/>
              </w:rPr>
              <w:instrText xml:space="preserve"> PAGEREF _Toc180658918 \h </w:instrText>
            </w:r>
            <w:r>
              <w:rPr>
                <w:noProof/>
                <w:webHidden/>
              </w:rPr>
            </w:r>
            <w:r>
              <w:rPr>
                <w:noProof/>
                <w:webHidden/>
              </w:rPr>
              <w:fldChar w:fldCharType="separate"/>
            </w:r>
            <w:r>
              <w:rPr>
                <w:noProof/>
                <w:webHidden/>
              </w:rPr>
              <w:t>2</w:t>
            </w:r>
            <w:r>
              <w:rPr>
                <w:noProof/>
                <w:webHidden/>
              </w:rPr>
              <w:fldChar w:fldCharType="end"/>
            </w:r>
          </w:hyperlink>
        </w:p>
        <w:p w14:paraId="7ED49203" w14:textId="154E6589" w:rsidR="00EB11AE" w:rsidRDefault="00EB11AE">
          <w:pPr>
            <w:pStyle w:val="TOC1"/>
            <w:tabs>
              <w:tab w:val="right" w:leader="dot" w:pos="9350"/>
            </w:tabs>
            <w:rPr>
              <w:rFonts w:eastAsiaTheme="minorEastAsia"/>
              <w:noProof/>
            </w:rPr>
          </w:pPr>
          <w:hyperlink w:anchor="_Toc180658919" w:history="1">
            <w:r w:rsidRPr="006C76A2">
              <w:rPr>
                <w:rStyle w:val="Hyperlink"/>
                <w:noProof/>
              </w:rPr>
              <w:t>Core Variables</w:t>
            </w:r>
            <w:r>
              <w:rPr>
                <w:noProof/>
                <w:webHidden/>
              </w:rPr>
              <w:tab/>
            </w:r>
            <w:r>
              <w:rPr>
                <w:noProof/>
                <w:webHidden/>
              </w:rPr>
              <w:fldChar w:fldCharType="begin"/>
            </w:r>
            <w:r>
              <w:rPr>
                <w:noProof/>
                <w:webHidden/>
              </w:rPr>
              <w:instrText xml:space="preserve"> PAGEREF _Toc180658919 \h </w:instrText>
            </w:r>
            <w:r>
              <w:rPr>
                <w:noProof/>
                <w:webHidden/>
              </w:rPr>
            </w:r>
            <w:r>
              <w:rPr>
                <w:noProof/>
                <w:webHidden/>
              </w:rPr>
              <w:fldChar w:fldCharType="separate"/>
            </w:r>
            <w:r>
              <w:rPr>
                <w:noProof/>
                <w:webHidden/>
              </w:rPr>
              <w:t>3</w:t>
            </w:r>
            <w:r>
              <w:rPr>
                <w:noProof/>
                <w:webHidden/>
              </w:rPr>
              <w:fldChar w:fldCharType="end"/>
            </w:r>
          </w:hyperlink>
        </w:p>
        <w:p w14:paraId="3BF28250" w14:textId="0B1374FE" w:rsidR="00EB11AE" w:rsidRDefault="00EB11AE">
          <w:pPr>
            <w:pStyle w:val="TOC2"/>
            <w:tabs>
              <w:tab w:val="right" w:leader="dot" w:pos="9350"/>
            </w:tabs>
            <w:rPr>
              <w:rFonts w:eastAsiaTheme="minorEastAsia"/>
              <w:noProof/>
            </w:rPr>
          </w:pPr>
          <w:hyperlink w:anchor="_Toc180658920" w:history="1">
            <w:r w:rsidRPr="006C76A2">
              <w:rPr>
                <w:rStyle w:val="Hyperlink"/>
                <w:noProof/>
              </w:rPr>
              <w:t>Board Structure and Independence.</w:t>
            </w:r>
            <w:r>
              <w:rPr>
                <w:noProof/>
                <w:webHidden/>
              </w:rPr>
              <w:tab/>
            </w:r>
            <w:r>
              <w:rPr>
                <w:noProof/>
                <w:webHidden/>
              </w:rPr>
              <w:fldChar w:fldCharType="begin"/>
            </w:r>
            <w:r>
              <w:rPr>
                <w:noProof/>
                <w:webHidden/>
              </w:rPr>
              <w:instrText xml:space="preserve"> PAGEREF _Toc180658920 \h </w:instrText>
            </w:r>
            <w:r>
              <w:rPr>
                <w:noProof/>
                <w:webHidden/>
              </w:rPr>
            </w:r>
            <w:r>
              <w:rPr>
                <w:noProof/>
                <w:webHidden/>
              </w:rPr>
              <w:fldChar w:fldCharType="separate"/>
            </w:r>
            <w:r>
              <w:rPr>
                <w:noProof/>
                <w:webHidden/>
              </w:rPr>
              <w:t>3</w:t>
            </w:r>
            <w:r>
              <w:rPr>
                <w:noProof/>
                <w:webHidden/>
              </w:rPr>
              <w:fldChar w:fldCharType="end"/>
            </w:r>
          </w:hyperlink>
        </w:p>
        <w:p w14:paraId="617E0F67" w14:textId="7D18EB4D" w:rsidR="00EB11AE" w:rsidRDefault="00EB11AE">
          <w:pPr>
            <w:pStyle w:val="TOC2"/>
            <w:tabs>
              <w:tab w:val="right" w:leader="dot" w:pos="9350"/>
            </w:tabs>
            <w:rPr>
              <w:rFonts w:eastAsiaTheme="minorEastAsia"/>
              <w:noProof/>
            </w:rPr>
          </w:pPr>
          <w:hyperlink w:anchor="_Toc180658921" w:history="1">
            <w:r w:rsidRPr="006C76A2">
              <w:rPr>
                <w:rStyle w:val="Hyperlink"/>
                <w:noProof/>
              </w:rPr>
              <w:t>Diversity</w:t>
            </w:r>
            <w:r>
              <w:rPr>
                <w:noProof/>
                <w:webHidden/>
              </w:rPr>
              <w:tab/>
            </w:r>
            <w:r>
              <w:rPr>
                <w:noProof/>
                <w:webHidden/>
              </w:rPr>
              <w:fldChar w:fldCharType="begin"/>
            </w:r>
            <w:r>
              <w:rPr>
                <w:noProof/>
                <w:webHidden/>
              </w:rPr>
              <w:instrText xml:space="preserve"> PAGEREF _Toc180658921 \h </w:instrText>
            </w:r>
            <w:r>
              <w:rPr>
                <w:noProof/>
                <w:webHidden/>
              </w:rPr>
            </w:r>
            <w:r>
              <w:rPr>
                <w:noProof/>
                <w:webHidden/>
              </w:rPr>
              <w:fldChar w:fldCharType="separate"/>
            </w:r>
            <w:r>
              <w:rPr>
                <w:noProof/>
                <w:webHidden/>
              </w:rPr>
              <w:t>3</w:t>
            </w:r>
            <w:r>
              <w:rPr>
                <w:noProof/>
                <w:webHidden/>
              </w:rPr>
              <w:fldChar w:fldCharType="end"/>
            </w:r>
          </w:hyperlink>
        </w:p>
        <w:p w14:paraId="3C21C22D" w14:textId="6CAA5861" w:rsidR="00EB11AE" w:rsidRDefault="00EB11AE">
          <w:pPr>
            <w:pStyle w:val="TOC2"/>
            <w:tabs>
              <w:tab w:val="right" w:leader="dot" w:pos="9350"/>
            </w:tabs>
            <w:rPr>
              <w:rFonts w:eastAsiaTheme="minorEastAsia"/>
              <w:noProof/>
            </w:rPr>
          </w:pPr>
          <w:hyperlink w:anchor="_Toc180658922" w:history="1">
            <w:r w:rsidRPr="006C76A2">
              <w:rPr>
                <w:rStyle w:val="Hyperlink"/>
                <w:noProof/>
              </w:rPr>
              <w:t>Executive Compensation</w:t>
            </w:r>
            <w:r>
              <w:rPr>
                <w:noProof/>
                <w:webHidden/>
              </w:rPr>
              <w:tab/>
            </w:r>
            <w:r>
              <w:rPr>
                <w:noProof/>
                <w:webHidden/>
              </w:rPr>
              <w:fldChar w:fldCharType="begin"/>
            </w:r>
            <w:r>
              <w:rPr>
                <w:noProof/>
                <w:webHidden/>
              </w:rPr>
              <w:instrText xml:space="preserve"> PAGEREF _Toc180658922 \h </w:instrText>
            </w:r>
            <w:r>
              <w:rPr>
                <w:noProof/>
                <w:webHidden/>
              </w:rPr>
            </w:r>
            <w:r>
              <w:rPr>
                <w:noProof/>
                <w:webHidden/>
              </w:rPr>
              <w:fldChar w:fldCharType="separate"/>
            </w:r>
            <w:r>
              <w:rPr>
                <w:noProof/>
                <w:webHidden/>
              </w:rPr>
              <w:t>3</w:t>
            </w:r>
            <w:r>
              <w:rPr>
                <w:noProof/>
                <w:webHidden/>
              </w:rPr>
              <w:fldChar w:fldCharType="end"/>
            </w:r>
          </w:hyperlink>
        </w:p>
        <w:p w14:paraId="7623176E" w14:textId="32A845FE" w:rsidR="00EB11AE" w:rsidRDefault="00EB11AE">
          <w:pPr>
            <w:pStyle w:val="TOC2"/>
            <w:tabs>
              <w:tab w:val="right" w:leader="dot" w:pos="9350"/>
            </w:tabs>
            <w:rPr>
              <w:rFonts w:eastAsiaTheme="minorEastAsia"/>
              <w:noProof/>
            </w:rPr>
          </w:pPr>
          <w:hyperlink w:anchor="_Toc180658923" w:history="1">
            <w:r w:rsidRPr="006C76A2">
              <w:rPr>
                <w:rStyle w:val="Hyperlink"/>
                <w:noProof/>
              </w:rPr>
              <w:t>Shareholder Rights</w:t>
            </w:r>
            <w:r>
              <w:rPr>
                <w:noProof/>
                <w:webHidden/>
              </w:rPr>
              <w:tab/>
            </w:r>
            <w:r>
              <w:rPr>
                <w:noProof/>
                <w:webHidden/>
              </w:rPr>
              <w:fldChar w:fldCharType="begin"/>
            </w:r>
            <w:r>
              <w:rPr>
                <w:noProof/>
                <w:webHidden/>
              </w:rPr>
              <w:instrText xml:space="preserve"> PAGEREF _Toc180658923 \h </w:instrText>
            </w:r>
            <w:r>
              <w:rPr>
                <w:noProof/>
                <w:webHidden/>
              </w:rPr>
            </w:r>
            <w:r>
              <w:rPr>
                <w:noProof/>
                <w:webHidden/>
              </w:rPr>
              <w:fldChar w:fldCharType="separate"/>
            </w:r>
            <w:r>
              <w:rPr>
                <w:noProof/>
                <w:webHidden/>
              </w:rPr>
              <w:t>3</w:t>
            </w:r>
            <w:r>
              <w:rPr>
                <w:noProof/>
                <w:webHidden/>
              </w:rPr>
              <w:fldChar w:fldCharType="end"/>
            </w:r>
          </w:hyperlink>
        </w:p>
        <w:p w14:paraId="3B46C40F" w14:textId="4B10C769" w:rsidR="00EB11AE" w:rsidRDefault="00EB11AE">
          <w:pPr>
            <w:pStyle w:val="TOC2"/>
            <w:tabs>
              <w:tab w:val="right" w:leader="dot" w:pos="9350"/>
            </w:tabs>
            <w:rPr>
              <w:rFonts w:eastAsiaTheme="minorEastAsia"/>
              <w:noProof/>
            </w:rPr>
          </w:pPr>
          <w:hyperlink w:anchor="_Toc180658924" w:history="1">
            <w:r w:rsidRPr="006C76A2">
              <w:rPr>
                <w:rStyle w:val="Hyperlink"/>
                <w:noProof/>
              </w:rPr>
              <w:t>Transparency and Disclosure</w:t>
            </w:r>
            <w:r>
              <w:rPr>
                <w:noProof/>
                <w:webHidden/>
              </w:rPr>
              <w:tab/>
            </w:r>
            <w:r>
              <w:rPr>
                <w:noProof/>
                <w:webHidden/>
              </w:rPr>
              <w:fldChar w:fldCharType="begin"/>
            </w:r>
            <w:r>
              <w:rPr>
                <w:noProof/>
                <w:webHidden/>
              </w:rPr>
              <w:instrText xml:space="preserve"> PAGEREF _Toc180658924 \h </w:instrText>
            </w:r>
            <w:r>
              <w:rPr>
                <w:noProof/>
                <w:webHidden/>
              </w:rPr>
            </w:r>
            <w:r>
              <w:rPr>
                <w:noProof/>
                <w:webHidden/>
              </w:rPr>
              <w:fldChar w:fldCharType="separate"/>
            </w:r>
            <w:r>
              <w:rPr>
                <w:noProof/>
                <w:webHidden/>
              </w:rPr>
              <w:t>3</w:t>
            </w:r>
            <w:r>
              <w:rPr>
                <w:noProof/>
                <w:webHidden/>
              </w:rPr>
              <w:fldChar w:fldCharType="end"/>
            </w:r>
          </w:hyperlink>
        </w:p>
        <w:p w14:paraId="24DC38E9" w14:textId="5FF0E777" w:rsidR="00EB11AE" w:rsidRDefault="00EB11AE">
          <w:pPr>
            <w:pStyle w:val="TOC1"/>
            <w:tabs>
              <w:tab w:val="right" w:leader="dot" w:pos="9350"/>
            </w:tabs>
            <w:rPr>
              <w:rFonts w:eastAsiaTheme="minorEastAsia"/>
              <w:noProof/>
            </w:rPr>
          </w:pPr>
          <w:hyperlink w:anchor="_Toc180658925" w:history="1">
            <w:r w:rsidRPr="006C76A2">
              <w:rPr>
                <w:rStyle w:val="Hyperlink"/>
                <w:noProof/>
              </w:rPr>
              <w:t>Relationship Between Corporate Governance Practices and Financial Performance</w:t>
            </w:r>
            <w:r>
              <w:rPr>
                <w:noProof/>
                <w:webHidden/>
              </w:rPr>
              <w:tab/>
            </w:r>
            <w:r>
              <w:rPr>
                <w:noProof/>
                <w:webHidden/>
              </w:rPr>
              <w:fldChar w:fldCharType="begin"/>
            </w:r>
            <w:r>
              <w:rPr>
                <w:noProof/>
                <w:webHidden/>
              </w:rPr>
              <w:instrText xml:space="preserve"> PAGEREF _Toc180658925 \h </w:instrText>
            </w:r>
            <w:r>
              <w:rPr>
                <w:noProof/>
                <w:webHidden/>
              </w:rPr>
            </w:r>
            <w:r>
              <w:rPr>
                <w:noProof/>
                <w:webHidden/>
              </w:rPr>
              <w:fldChar w:fldCharType="separate"/>
            </w:r>
            <w:r>
              <w:rPr>
                <w:noProof/>
                <w:webHidden/>
              </w:rPr>
              <w:t>4</w:t>
            </w:r>
            <w:r>
              <w:rPr>
                <w:noProof/>
                <w:webHidden/>
              </w:rPr>
              <w:fldChar w:fldCharType="end"/>
            </w:r>
          </w:hyperlink>
        </w:p>
        <w:p w14:paraId="2F8004BC" w14:textId="2996C5A4" w:rsidR="00EB11AE" w:rsidRDefault="00EB11AE">
          <w:pPr>
            <w:pStyle w:val="TOC2"/>
            <w:tabs>
              <w:tab w:val="right" w:leader="dot" w:pos="9350"/>
            </w:tabs>
            <w:rPr>
              <w:rFonts w:eastAsiaTheme="minorEastAsia"/>
              <w:noProof/>
            </w:rPr>
          </w:pPr>
          <w:hyperlink w:anchor="_Toc180658926" w:history="1">
            <w:r w:rsidRPr="006C76A2">
              <w:rPr>
                <w:rStyle w:val="Hyperlink"/>
                <w:noProof/>
              </w:rPr>
              <w:t>Return on Equity (ROE)</w:t>
            </w:r>
            <w:r>
              <w:rPr>
                <w:noProof/>
                <w:webHidden/>
              </w:rPr>
              <w:tab/>
            </w:r>
            <w:r>
              <w:rPr>
                <w:noProof/>
                <w:webHidden/>
              </w:rPr>
              <w:fldChar w:fldCharType="begin"/>
            </w:r>
            <w:r>
              <w:rPr>
                <w:noProof/>
                <w:webHidden/>
              </w:rPr>
              <w:instrText xml:space="preserve"> PAGEREF _Toc180658926 \h </w:instrText>
            </w:r>
            <w:r>
              <w:rPr>
                <w:noProof/>
                <w:webHidden/>
              </w:rPr>
            </w:r>
            <w:r>
              <w:rPr>
                <w:noProof/>
                <w:webHidden/>
              </w:rPr>
              <w:fldChar w:fldCharType="separate"/>
            </w:r>
            <w:r>
              <w:rPr>
                <w:noProof/>
                <w:webHidden/>
              </w:rPr>
              <w:t>4</w:t>
            </w:r>
            <w:r>
              <w:rPr>
                <w:noProof/>
                <w:webHidden/>
              </w:rPr>
              <w:fldChar w:fldCharType="end"/>
            </w:r>
          </w:hyperlink>
        </w:p>
        <w:p w14:paraId="5D425BB7" w14:textId="4B7471F6" w:rsidR="00EB11AE" w:rsidRDefault="00EB11AE">
          <w:pPr>
            <w:pStyle w:val="TOC2"/>
            <w:tabs>
              <w:tab w:val="right" w:leader="dot" w:pos="9350"/>
            </w:tabs>
            <w:rPr>
              <w:rFonts w:eastAsiaTheme="minorEastAsia"/>
              <w:noProof/>
            </w:rPr>
          </w:pPr>
          <w:hyperlink w:anchor="_Toc180658927" w:history="1">
            <w:r w:rsidRPr="006C76A2">
              <w:rPr>
                <w:rStyle w:val="Hyperlink"/>
                <w:noProof/>
              </w:rPr>
              <w:t>Earnings Per Share (EPS)</w:t>
            </w:r>
            <w:r>
              <w:rPr>
                <w:noProof/>
                <w:webHidden/>
              </w:rPr>
              <w:tab/>
            </w:r>
            <w:r>
              <w:rPr>
                <w:noProof/>
                <w:webHidden/>
              </w:rPr>
              <w:fldChar w:fldCharType="begin"/>
            </w:r>
            <w:r>
              <w:rPr>
                <w:noProof/>
                <w:webHidden/>
              </w:rPr>
              <w:instrText xml:space="preserve"> PAGEREF _Toc180658927 \h </w:instrText>
            </w:r>
            <w:r>
              <w:rPr>
                <w:noProof/>
                <w:webHidden/>
              </w:rPr>
            </w:r>
            <w:r>
              <w:rPr>
                <w:noProof/>
                <w:webHidden/>
              </w:rPr>
              <w:fldChar w:fldCharType="separate"/>
            </w:r>
            <w:r>
              <w:rPr>
                <w:noProof/>
                <w:webHidden/>
              </w:rPr>
              <w:t>5</w:t>
            </w:r>
            <w:r>
              <w:rPr>
                <w:noProof/>
                <w:webHidden/>
              </w:rPr>
              <w:fldChar w:fldCharType="end"/>
            </w:r>
          </w:hyperlink>
        </w:p>
        <w:p w14:paraId="55C556E4" w14:textId="6AD5EE9F" w:rsidR="00EB11AE" w:rsidRDefault="00EB11AE">
          <w:pPr>
            <w:pStyle w:val="TOC2"/>
            <w:tabs>
              <w:tab w:val="right" w:leader="dot" w:pos="9350"/>
            </w:tabs>
            <w:rPr>
              <w:rFonts w:eastAsiaTheme="minorEastAsia"/>
              <w:noProof/>
            </w:rPr>
          </w:pPr>
          <w:hyperlink w:anchor="_Toc180658928" w:history="1">
            <w:r w:rsidRPr="006C76A2">
              <w:rPr>
                <w:rStyle w:val="Hyperlink"/>
                <w:noProof/>
              </w:rPr>
              <w:t>Stock Price Performance</w:t>
            </w:r>
            <w:r>
              <w:rPr>
                <w:noProof/>
                <w:webHidden/>
              </w:rPr>
              <w:tab/>
            </w:r>
            <w:r>
              <w:rPr>
                <w:noProof/>
                <w:webHidden/>
              </w:rPr>
              <w:fldChar w:fldCharType="begin"/>
            </w:r>
            <w:r>
              <w:rPr>
                <w:noProof/>
                <w:webHidden/>
              </w:rPr>
              <w:instrText xml:space="preserve"> PAGEREF _Toc180658928 \h </w:instrText>
            </w:r>
            <w:r>
              <w:rPr>
                <w:noProof/>
                <w:webHidden/>
              </w:rPr>
            </w:r>
            <w:r>
              <w:rPr>
                <w:noProof/>
                <w:webHidden/>
              </w:rPr>
              <w:fldChar w:fldCharType="separate"/>
            </w:r>
            <w:r>
              <w:rPr>
                <w:noProof/>
                <w:webHidden/>
              </w:rPr>
              <w:t>6</w:t>
            </w:r>
            <w:r>
              <w:rPr>
                <w:noProof/>
                <w:webHidden/>
              </w:rPr>
              <w:fldChar w:fldCharType="end"/>
            </w:r>
          </w:hyperlink>
        </w:p>
        <w:p w14:paraId="0EA359C0" w14:textId="6097855F" w:rsidR="00EB11AE" w:rsidRDefault="00EB11AE">
          <w:pPr>
            <w:pStyle w:val="TOC2"/>
            <w:tabs>
              <w:tab w:val="right" w:leader="dot" w:pos="9350"/>
            </w:tabs>
            <w:rPr>
              <w:rFonts w:eastAsiaTheme="minorEastAsia"/>
              <w:noProof/>
            </w:rPr>
          </w:pPr>
          <w:hyperlink w:anchor="_Toc180658929" w:history="1">
            <w:r w:rsidRPr="006C76A2">
              <w:rPr>
                <w:rStyle w:val="Hyperlink"/>
                <w:noProof/>
              </w:rPr>
              <w:t>Executive Compensation and ROE</w:t>
            </w:r>
            <w:r>
              <w:rPr>
                <w:noProof/>
                <w:webHidden/>
              </w:rPr>
              <w:tab/>
            </w:r>
            <w:r>
              <w:rPr>
                <w:noProof/>
                <w:webHidden/>
              </w:rPr>
              <w:fldChar w:fldCharType="begin"/>
            </w:r>
            <w:r>
              <w:rPr>
                <w:noProof/>
                <w:webHidden/>
              </w:rPr>
              <w:instrText xml:space="preserve"> PAGEREF _Toc180658929 \h </w:instrText>
            </w:r>
            <w:r>
              <w:rPr>
                <w:noProof/>
                <w:webHidden/>
              </w:rPr>
            </w:r>
            <w:r>
              <w:rPr>
                <w:noProof/>
                <w:webHidden/>
              </w:rPr>
              <w:fldChar w:fldCharType="separate"/>
            </w:r>
            <w:r>
              <w:rPr>
                <w:noProof/>
                <w:webHidden/>
              </w:rPr>
              <w:t>7</w:t>
            </w:r>
            <w:r>
              <w:rPr>
                <w:noProof/>
                <w:webHidden/>
              </w:rPr>
              <w:fldChar w:fldCharType="end"/>
            </w:r>
          </w:hyperlink>
        </w:p>
        <w:p w14:paraId="2BB6C3F6" w14:textId="4D10DC62" w:rsidR="00EB11AE" w:rsidRDefault="00EB11AE">
          <w:pPr>
            <w:pStyle w:val="TOC1"/>
            <w:tabs>
              <w:tab w:val="right" w:leader="dot" w:pos="9350"/>
            </w:tabs>
            <w:rPr>
              <w:rFonts w:eastAsiaTheme="minorEastAsia"/>
              <w:noProof/>
            </w:rPr>
          </w:pPr>
          <w:hyperlink w:anchor="_Toc180658930" w:history="1">
            <w:r w:rsidRPr="006C76A2">
              <w:rPr>
                <w:rStyle w:val="Hyperlink"/>
                <w:noProof/>
              </w:rPr>
              <w:t>Conclusion</w:t>
            </w:r>
            <w:r>
              <w:rPr>
                <w:noProof/>
                <w:webHidden/>
              </w:rPr>
              <w:tab/>
            </w:r>
            <w:r>
              <w:rPr>
                <w:noProof/>
                <w:webHidden/>
              </w:rPr>
              <w:fldChar w:fldCharType="begin"/>
            </w:r>
            <w:r>
              <w:rPr>
                <w:noProof/>
                <w:webHidden/>
              </w:rPr>
              <w:instrText xml:space="preserve"> PAGEREF _Toc180658930 \h </w:instrText>
            </w:r>
            <w:r>
              <w:rPr>
                <w:noProof/>
                <w:webHidden/>
              </w:rPr>
            </w:r>
            <w:r>
              <w:rPr>
                <w:noProof/>
                <w:webHidden/>
              </w:rPr>
              <w:fldChar w:fldCharType="separate"/>
            </w:r>
            <w:r>
              <w:rPr>
                <w:noProof/>
                <w:webHidden/>
              </w:rPr>
              <w:t>8</w:t>
            </w:r>
            <w:r>
              <w:rPr>
                <w:noProof/>
                <w:webHidden/>
              </w:rPr>
              <w:fldChar w:fldCharType="end"/>
            </w:r>
          </w:hyperlink>
        </w:p>
        <w:p w14:paraId="1D888A76" w14:textId="480FA9C5" w:rsidR="00EB11AE" w:rsidRDefault="00EB11AE">
          <w:pPr>
            <w:pStyle w:val="TOC2"/>
            <w:tabs>
              <w:tab w:val="right" w:leader="dot" w:pos="9350"/>
            </w:tabs>
            <w:rPr>
              <w:rFonts w:eastAsiaTheme="minorEastAsia"/>
              <w:noProof/>
            </w:rPr>
          </w:pPr>
          <w:hyperlink w:anchor="_Toc180658931" w:history="1">
            <w:r w:rsidRPr="006C76A2">
              <w:rPr>
                <w:rStyle w:val="Hyperlink"/>
                <w:noProof/>
              </w:rPr>
              <w:t>References</w:t>
            </w:r>
            <w:r>
              <w:rPr>
                <w:noProof/>
                <w:webHidden/>
              </w:rPr>
              <w:tab/>
            </w:r>
            <w:r>
              <w:rPr>
                <w:noProof/>
                <w:webHidden/>
              </w:rPr>
              <w:fldChar w:fldCharType="begin"/>
            </w:r>
            <w:r>
              <w:rPr>
                <w:noProof/>
                <w:webHidden/>
              </w:rPr>
              <w:instrText xml:space="preserve"> PAGEREF _Toc180658931 \h </w:instrText>
            </w:r>
            <w:r>
              <w:rPr>
                <w:noProof/>
                <w:webHidden/>
              </w:rPr>
            </w:r>
            <w:r>
              <w:rPr>
                <w:noProof/>
                <w:webHidden/>
              </w:rPr>
              <w:fldChar w:fldCharType="separate"/>
            </w:r>
            <w:r>
              <w:rPr>
                <w:noProof/>
                <w:webHidden/>
              </w:rPr>
              <w:t>8</w:t>
            </w:r>
            <w:r>
              <w:rPr>
                <w:noProof/>
                <w:webHidden/>
              </w:rPr>
              <w:fldChar w:fldCharType="end"/>
            </w:r>
          </w:hyperlink>
        </w:p>
        <w:p w14:paraId="606A4A49" w14:textId="1A349F65" w:rsidR="00601B60" w:rsidRDefault="00601B60">
          <w:r>
            <w:rPr>
              <w:b/>
              <w:bCs/>
              <w:noProof/>
            </w:rPr>
            <w:fldChar w:fldCharType="end"/>
          </w:r>
        </w:p>
      </w:sdtContent>
    </w:sdt>
    <w:p w14:paraId="54BCFCEC" w14:textId="77777777" w:rsidR="00990E73" w:rsidRPr="00794991" w:rsidRDefault="00990E73" w:rsidP="00990E73">
      <w:pPr>
        <w:pStyle w:val="Heading1"/>
        <w:rPr>
          <w:lang w:val="en-GB"/>
        </w:rPr>
      </w:pPr>
    </w:p>
    <w:p w14:paraId="19403C06" w14:textId="40F935FA" w:rsidR="002B5044" w:rsidRDefault="00794991" w:rsidP="00990E73">
      <w:pPr>
        <w:pStyle w:val="Heading1"/>
      </w:pPr>
      <w:bookmarkStart w:id="0" w:name="_Toc180658917"/>
      <w:r>
        <w:t>Introduction</w:t>
      </w:r>
      <w:bookmarkEnd w:id="0"/>
      <w:r>
        <w:t xml:space="preserve"> </w:t>
      </w:r>
    </w:p>
    <w:p w14:paraId="79287CF3" w14:textId="25A3BA9A" w:rsidR="002B5044" w:rsidRDefault="00FB51F8">
      <w:pPr>
        <w:rPr>
          <w:rFonts w:ascii="Arial" w:hAnsi="Arial" w:cs="Arial"/>
        </w:rPr>
      </w:pPr>
      <w:r w:rsidRPr="00FB51F8">
        <w:rPr>
          <w:rFonts w:ascii="Arial" w:hAnsi="Arial" w:cs="Arial"/>
          <w:noProof/>
        </w:rPr>
        <w:t xml:space="preserve">Chen </w:t>
      </w:r>
      <w:r>
        <w:rPr>
          <w:rFonts w:ascii="Arial" w:hAnsi="Arial" w:cs="Arial"/>
          <w:noProof/>
        </w:rPr>
        <w:t>(</w:t>
      </w:r>
      <w:r w:rsidRPr="00FB51F8">
        <w:rPr>
          <w:rFonts w:ascii="Arial" w:hAnsi="Arial" w:cs="Arial"/>
          <w:noProof/>
        </w:rPr>
        <w:t>2024)</w:t>
      </w:r>
      <w:r>
        <w:rPr>
          <w:rFonts w:ascii="Arial" w:hAnsi="Arial" w:cs="Arial"/>
          <w:noProof/>
        </w:rPr>
        <w:t xml:space="preserve"> describes </w:t>
      </w:r>
      <w:r>
        <w:rPr>
          <w:rFonts w:ascii="Arial" w:hAnsi="Arial" w:cs="Arial"/>
        </w:rPr>
        <w:t>c</w:t>
      </w:r>
      <w:r w:rsidR="00794991" w:rsidRPr="00794991">
        <w:rPr>
          <w:rFonts w:ascii="Arial" w:hAnsi="Arial" w:cs="Arial"/>
        </w:rPr>
        <w:t>orporate governance as a central issue in discussions about how companies operate and the role they play in the global economy. Good corporate governance practices are believed to contribute to the long-term success and performance of firms by ensuring accountability, transparency, and adherence to ethical standards</w:t>
      </w:r>
      <w:r w:rsidR="00966E1E">
        <w:rPr>
          <w:rFonts w:ascii="Arial" w:hAnsi="Arial" w:cs="Arial"/>
          <w:noProof/>
        </w:rPr>
        <w:t xml:space="preserve"> </w:t>
      </w:r>
      <w:r w:rsidR="00966E1E" w:rsidRPr="00966E1E">
        <w:rPr>
          <w:rFonts w:ascii="Arial" w:hAnsi="Arial" w:cs="Arial"/>
          <w:noProof/>
        </w:rPr>
        <w:t>(Day, 2024)</w:t>
      </w:r>
      <w:r w:rsidR="00794991" w:rsidRPr="00794991">
        <w:rPr>
          <w:rFonts w:ascii="Arial" w:hAnsi="Arial" w:cs="Arial"/>
        </w:rPr>
        <w:t xml:space="preserve">. This report investigates the </w:t>
      </w:r>
      <w:r w:rsidR="002313A4" w:rsidRPr="00794991">
        <w:rPr>
          <w:rFonts w:ascii="Arial" w:hAnsi="Arial" w:cs="Arial"/>
        </w:rPr>
        <w:t>influence</w:t>
      </w:r>
      <w:r w:rsidR="00794991" w:rsidRPr="00794991">
        <w:rPr>
          <w:rFonts w:ascii="Arial" w:hAnsi="Arial" w:cs="Arial"/>
        </w:rPr>
        <w:t xml:space="preserve"> of corporate governance practices on the </w:t>
      </w:r>
      <w:r w:rsidR="002313A4" w:rsidRPr="00794991">
        <w:rPr>
          <w:rFonts w:ascii="Arial" w:hAnsi="Arial" w:cs="Arial"/>
        </w:rPr>
        <w:t>accomplishment</w:t>
      </w:r>
      <w:r w:rsidR="00794991" w:rsidRPr="00794991">
        <w:rPr>
          <w:rFonts w:ascii="Arial" w:hAnsi="Arial" w:cs="Arial"/>
        </w:rPr>
        <w:t xml:space="preserve"> of Burberry Group plc, a UK-listed company </w:t>
      </w:r>
      <w:r w:rsidR="00AE38EC" w:rsidRPr="00794991">
        <w:rPr>
          <w:rFonts w:ascii="Arial" w:hAnsi="Arial" w:cs="Arial"/>
        </w:rPr>
        <w:t>distinguished</w:t>
      </w:r>
      <w:r w:rsidR="00794991" w:rsidRPr="00794991">
        <w:rPr>
          <w:rFonts w:ascii="Arial" w:hAnsi="Arial" w:cs="Arial"/>
        </w:rPr>
        <w:t xml:space="preserve"> for its luxury fashion brand. By analyzing Burberry’s corporate governance practices and their financial performance over five years, this report aims to explore the </w:t>
      </w:r>
      <w:r w:rsidR="002313A4" w:rsidRPr="00794991">
        <w:rPr>
          <w:rFonts w:ascii="Arial" w:hAnsi="Arial" w:cs="Arial"/>
        </w:rPr>
        <w:t>association</w:t>
      </w:r>
      <w:r w:rsidR="00794991" w:rsidRPr="00794991">
        <w:rPr>
          <w:rFonts w:ascii="Arial" w:hAnsi="Arial" w:cs="Arial"/>
        </w:rPr>
        <w:t xml:space="preserve"> </w:t>
      </w:r>
      <w:r w:rsidR="002313A4" w:rsidRPr="00794991">
        <w:rPr>
          <w:rFonts w:ascii="Arial" w:hAnsi="Arial" w:cs="Arial"/>
        </w:rPr>
        <w:t>concerning</w:t>
      </w:r>
      <w:r w:rsidR="00794991" w:rsidRPr="00794991">
        <w:rPr>
          <w:rFonts w:ascii="Arial" w:hAnsi="Arial" w:cs="Arial"/>
        </w:rPr>
        <w:t xml:space="preserve"> governance standards and firm performance, using key metrics and </w:t>
      </w:r>
      <w:r w:rsidRPr="00794991">
        <w:rPr>
          <w:rFonts w:ascii="Arial" w:hAnsi="Arial" w:cs="Arial"/>
        </w:rPr>
        <w:t>practical</w:t>
      </w:r>
      <w:r w:rsidR="00794991" w:rsidRPr="00794991">
        <w:rPr>
          <w:rFonts w:ascii="Arial" w:hAnsi="Arial" w:cs="Arial"/>
        </w:rPr>
        <w:t xml:space="preserve"> data.</w:t>
      </w:r>
    </w:p>
    <w:p w14:paraId="1AD39A44" w14:textId="77777777" w:rsidR="00794991" w:rsidRPr="00794991" w:rsidRDefault="00794991" w:rsidP="00990E73">
      <w:pPr>
        <w:pStyle w:val="Heading1"/>
      </w:pPr>
      <w:bookmarkStart w:id="1" w:name="_Toc180658918"/>
      <w:r w:rsidRPr="00794991">
        <w:t>Corporate Governance Practices in Burberry Group plc</w:t>
      </w:r>
      <w:bookmarkEnd w:id="1"/>
    </w:p>
    <w:p w14:paraId="2CC7D520" w14:textId="05E0B345" w:rsidR="008A663D" w:rsidRPr="008A663D" w:rsidRDefault="00794991" w:rsidP="008A663D">
      <w:pPr>
        <w:rPr>
          <w:rFonts w:ascii="Arial" w:hAnsi="Arial" w:cs="Arial"/>
        </w:rPr>
      </w:pPr>
      <w:r w:rsidRPr="00794991">
        <w:rPr>
          <w:rFonts w:ascii="Arial" w:hAnsi="Arial" w:cs="Arial"/>
        </w:rPr>
        <w:t xml:space="preserve">Corporate governance plays a </w:t>
      </w:r>
      <w:r w:rsidR="009F48C4" w:rsidRPr="00794991">
        <w:rPr>
          <w:rFonts w:ascii="Arial" w:hAnsi="Arial" w:cs="Arial"/>
        </w:rPr>
        <w:t>necessary</w:t>
      </w:r>
      <w:r w:rsidRPr="00794991">
        <w:rPr>
          <w:rFonts w:ascii="Arial" w:hAnsi="Arial" w:cs="Arial"/>
        </w:rPr>
        <w:t xml:space="preserve"> role in fostering investor trust, maintaining a positive corporate image, and enhancing operational efficiency</w:t>
      </w:r>
      <w:sdt>
        <w:sdtPr>
          <w:rPr>
            <w:rFonts w:ascii="Arial" w:hAnsi="Arial" w:cs="Arial"/>
          </w:rPr>
          <w:id w:val="-1435199247"/>
          <w:citation/>
        </w:sdtPr>
        <w:sdtContent>
          <w:r w:rsidR="006058BD">
            <w:rPr>
              <w:rFonts w:ascii="Arial" w:hAnsi="Arial" w:cs="Arial"/>
            </w:rPr>
            <w:fldChar w:fldCharType="begin"/>
          </w:r>
          <w:r w:rsidR="006058BD">
            <w:rPr>
              <w:rFonts w:ascii="Arial" w:hAnsi="Arial" w:cs="Arial"/>
            </w:rPr>
            <w:instrText xml:space="preserve"> CITATION Mr23 \l 1033 </w:instrText>
          </w:r>
          <w:r w:rsidR="006058BD">
            <w:rPr>
              <w:rFonts w:ascii="Arial" w:hAnsi="Arial" w:cs="Arial"/>
            </w:rPr>
            <w:fldChar w:fldCharType="separate"/>
          </w:r>
          <w:r w:rsidR="006058BD">
            <w:rPr>
              <w:rFonts w:ascii="Arial" w:hAnsi="Arial" w:cs="Arial"/>
              <w:noProof/>
            </w:rPr>
            <w:t xml:space="preserve"> </w:t>
          </w:r>
          <w:r w:rsidR="006058BD" w:rsidRPr="006058BD">
            <w:rPr>
              <w:rFonts w:ascii="Arial" w:hAnsi="Arial" w:cs="Arial"/>
              <w:noProof/>
            </w:rPr>
            <w:t>(Mr, 2023)</w:t>
          </w:r>
          <w:r w:rsidR="006058BD">
            <w:rPr>
              <w:rFonts w:ascii="Arial" w:hAnsi="Arial" w:cs="Arial"/>
            </w:rPr>
            <w:fldChar w:fldCharType="end"/>
          </w:r>
        </w:sdtContent>
      </w:sdt>
      <w:r w:rsidR="008A663D">
        <w:rPr>
          <w:rFonts w:ascii="Arial" w:hAnsi="Arial" w:cs="Arial"/>
        </w:rPr>
        <w:t xml:space="preserve">. </w:t>
      </w:r>
      <w:r w:rsidR="008A663D" w:rsidRPr="008A663D">
        <w:rPr>
          <w:rFonts w:ascii="Arial" w:hAnsi="Arial" w:cs="Arial"/>
        </w:rPr>
        <w:t>For a luxury brand like Burberry, corporate governance is pivotal in protecting the brand's integrity and managing stakeholder'</w:t>
      </w:r>
      <w:r w:rsidR="008A663D">
        <w:rPr>
          <w:rFonts w:ascii="Arial" w:hAnsi="Arial" w:cs="Arial"/>
        </w:rPr>
        <w:t>s</w:t>
      </w:r>
      <w:r w:rsidR="008A663D" w:rsidRPr="008A663D">
        <w:rPr>
          <w:rFonts w:ascii="Arial" w:hAnsi="Arial" w:cs="Arial"/>
        </w:rPr>
        <w:t xml:space="preserve"> expectations. Good governance practices help Burberry direct </w:t>
      </w:r>
      <w:r w:rsidR="00EB11AE" w:rsidRPr="008A663D">
        <w:rPr>
          <w:rFonts w:ascii="Arial" w:hAnsi="Arial" w:cs="Arial"/>
        </w:rPr>
        <w:t>its stakes</w:t>
      </w:r>
      <w:r w:rsidR="008A663D" w:rsidRPr="008A663D">
        <w:rPr>
          <w:rFonts w:ascii="Arial" w:hAnsi="Arial" w:cs="Arial"/>
        </w:rPr>
        <w:t xml:space="preserve">, comply with regulatory requirements, and ensure decent conduct, all of which are </w:t>
      </w:r>
      <w:r w:rsidR="00EB11AE" w:rsidRPr="008A663D">
        <w:rPr>
          <w:rFonts w:ascii="Arial" w:hAnsi="Arial" w:cs="Arial"/>
        </w:rPr>
        <w:t>fundamental</w:t>
      </w:r>
      <w:r w:rsidR="008A663D" w:rsidRPr="008A663D">
        <w:rPr>
          <w:rFonts w:ascii="Arial" w:hAnsi="Arial" w:cs="Arial"/>
        </w:rPr>
        <w:t xml:space="preserve"> for sustaining its reputation and global market position. Given the nature of its industry, Burberry’s emphasis on governance includes commitments to diversity, board independence, and rigorous audit practices, ensuring that decision-making processes align with shareholder'</w:t>
      </w:r>
      <w:r w:rsidR="00EB11AE">
        <w:rPr>
          <w:rFonts w:ascii="Arial" w:hAnsi="Arial" w:cs="Arial"/>
        </w:rPr>
        <w:t>s</w:t>
      </w:r>
      <w:r w:rsidR="008A663D" w:rsidRPr="008A663D">
        <w:rPr>
          <w:rFonts w:ascii="Arial" w:hAnsi="Arial" w:cs="Arial"/>
        </w:rPr>
        <w:t xml:space="preserve"> and other stakeholder’</w:t>
      </w:r>
      <w:r w:rsidR="00EB11AE">
        <w:rPr>
          <w:rFonts w:ascii="Arial" w:hAnsi="Arial" w:cs="Arial"/>
        </w:rPr>
        <w:t>s</w:t>
      </w:r>
      <w:r w:rsidR="008A663D" w:rsidRPr="008A663D">
        <w:rPr>
          <w:rFonts w:ascii="Arial" w:hAnsi="Arial" w:cs="Arial"/>
        </w:rPr>
        <w:t xml:space="preserve"> interests (Burberry, n.d.).</w:t>
      </w:r>
    </w:p>
    <w:p w14:paraId="09480232" w14:textId="6C0536A1" w:rsidR="008A663D" w:rsidRPr="008A663D" w:rsidRDefault="008A663D" w:rsidP="008A663D">
      <w:pPr>
        <w:rPr>
          <w:rFonts w:ascii="Arial" w:hAnsi="Arial" w:cs="Arial"/>
        </w:rPr>
      </w:pPr>
      <w:r w:rsidRPr="008A663D">
        <w:rPr>
          <w:rFonts w:ascii="Arial" w:hAnsi="Arial" w:cs="Arial"/>
        </w:rPr>
        <w:t xml:space="preserve">Founded in 1856 by Thomas Burberry, </w:t>
      </w:r>
      <w:r w:rsidR="00EB11AE">
        <w:rPr>
          <w:rFonts w:ascii="Arial" w:hAnsi="Arial" w:cs="Arial"/>
        </w:rPr>
        <w:t xml:space="preserve">the project </w:t>
      </w:r>
      <w:r w:rsidRPr="008A663D">
        <w:rPr>
          <w:rFonts w:ascii="Arial" w:hAnsi="Arial" w:cs="Arial"/>
        </w:rPr>
        <w:t xml:space="preserve">started as a British outerwear company, primarily known for its invention of the weatherproof fabric </w:t>
      </w:r>
      <w:r w:rsidR="00EB11AE" w:rsidRPr="008A663D">
        <w:rPr>
          <w:rFonts w:ascii="Arial" w:hAnsi="Arial" w:cs="Arial"/>
        </w:rPr>
        <w:t>raincoat</w:t>
      </w:r>
      <w:r w:rsidRPr="008A663D">
        <w:rPr>
          <w:rFonts w:ascii="Arial" w:hAnsi="Arial" w:cs="Arial"/>
        </w:rPr>
        <w:t xml:space="preserve"> in 1879. This innovative material </w:t>
      </w:r>
      <w:r w:rsidR="00EB11AE" w:rsidRPr="008A663D">
        <w:rPr>
          <w:rFonts w:ascii="Arial" w:hAnsi="Arial" w:cs="Arial"/>
        </w:rPr>
        <w:t>positioned</w:t>
      </w:r>
      <w:r w:rsidRPr="008A663D">
        <w:rPr>
          <w:rFonts w:ascii="Arial" w:hAnsi="Arial" w:cs="Arial"/>
        </w:rPr>
        <w:t xml:space="preserve"> the foundation for Burberry’s iconic trench coat, a product that has since become synonymous with British luxury fashion. Over the decades, the brand evolved from a practical outerwear label to a global symbol of British elegance, </w:t>
      </w:r>
      <w:r w:rsidR="00EB11AE" w:rsidRPr="008A663D">
        <w:rPr>
          <w:rFonts w:ascii="Arial" w:hAnsi="Arial" w:cs="Arial"/>
        </w:rPr>
        <w:t>notorious</w:t>
      </w:r>
      <w:r w:rsidRPr="008A663D">
        <w:rPr>
          <w:rFonts w:ascii="Arial" w:hAnsi="Arial" w:cs="Arial"/>
        </w:rPr>
        <w:t xml:space="preserve"> for its distinctive check pattern and commitment to craftsmanship. Throughout its history, Burberry has maintained a balance between honoring its heritage and embracing modernity, with corporate governance being a key factor in ensuring the brand’s long-term success</w:t>
      </w:r>
      <w:sdt>
        <w:sdtPr>
          <w:rPr>
            <w:rFonts w:ascii="Arial" w:hAnsi="Arial" w:cs="Arial"/>
          </w:rPr>
          <w:id w:val="1007332357"/>
          <w:citation/>
        </w:sdtPr>
        <w:sdtContent>
          <w:r>
            <w:rPr>
              <w:rFonts w:ascii="Arial" w:hAnsi="Arial" w:cs="Arial"/>
            </w:rPr>
            <w:fldChar w:fldCharType="begin"/>
          </w:r>
          <w:r>
            <w:rPr>
              <w:rFonts w:ascii="Arial" w:hAnsi="Arial" w:cs="Arial"/>
            </w:rPr>
            <w:instrText xml:space="preserve"> CITATION Bur22 \l 1033 </w:instrText>
          </w:r>
          <w:r>
            <w:rPr>
              <w:rFonts w:ascii="Arial" w:hAnsi="Arial" w:cs="Arial"/>
            </w:rPr>
            <w:fldChar w:fldCharType="separate"/>
          </w:r>
          <w:r>
            <w:rPr>
              <w:rFonts w:ascii="Arial" w:hAnsi="Arial" w:cs="Arial"/>
              <w:noProof/>
            </w:rPr>
            <w:t xml:space="preserve"> </w:t>
          </w:r>
          <w:r w:rsidRPr="008A663D">
            <w:rPr>
              <w:rFonts w:ascii="Arial" w:hAnsi="Arial" w:cs="Arial"/>
              <w:noProof/>
            </w:rPr>
            <w:t>(Burberry, 2022)</w:t>
          </w:r>
          <w:r>
            <w:rPr>
              <w:rFonts w:ascii="Arial" w:hAnsi="Arial" w:cs="Arial"/>
            </w:rPr>
            <w:fldChar w:fldCharType="end"/>
          </w:r>
        </w:sdtContent>
      </w:sdt>
      <w:r w:rsidRPr="008A663D">
        <w:rPr>
          <w:rFonts w:ascii="Arial" w:hAnsi="Arial" w:cs="Arial"/>
        </w:rPr>
        <w:t>.</w:t>
      </w:r>
    </w:p>
    <w:p w14:paraId="42D1F280" w14:textId="2A88FC47" w:rsidR="00794991" w:rsidRPr="00794991" w:rsidRDefault="00794991" w:rsidP="00794991">
      <w:pPr>
        <w:rPr>
          <w:rFonts w:ascii="Arial" w:hAnsi="Arial" w:cs="Arial"/>
        </w:rPr>
      </w:pPr>
    </w:p>
    <w:p w14:paraId="0B510380" w14:textId="739B405A" w:rsidR="00794991" w:rsidRDefault="00794991" w:rsidP="00794991">
      <w:pPr>
        <w:rPr>
          <w:rFonts w:ascii="Arial" w:hAnsi="Arial" w:cs="Arial"/>
        </w:rPr>
      </w:pPr>
      <w:r w:rsidRPr="00794991">
        <w:rPr>
          <w:rFonts w:ascii="Arial" w:hAnsi="Arial" w:cs="Arial"/>
        </w:rPr>
        <w:lastRenderedPageBreak/>
        <w:t>For Burberry, effective governance practices are necessary not only for internal control but also to meet the expectations of a highly competitive and increasingly environmentally conscious market. As a company that has been in operation for over a century, Burberry relies on its governance framework to drive innovation, adapt to changing market dynamics, and ensure the sustainable growth of its business</w:t>
      </w:r>
      <w:sdt>
        <w:sdtPr>
          <w:rPr>
            <w:rFonts w:ascii="Arial" w:hAnsi="Arial" w:cs="Arial"/>
          </w:rPr>
          <w:id w:val="1125738574"/>
          <w:citation/>
        </w:sdtPr>
        <w:sdtContent>
          <w:r w:rsidR="0027297B">
            <w:rPr>
              <w:rFonts w:ascii="Arial" w:hAnsi="Arial" w:cs="Arial"/>
            </w:rPr>
            <w:fldChar w:fldCharType="begin"/>
          </w:r>
          <w:r w:rsidR="0027297B">
            <w:rPr>
              <w:rFonts w:ascii="Arial" w:hAnsi="Arial" w:cs="Arial"/>
            </w:rPr>
            <w:instrText xml:space="preserve"> CITATION Bur21 \l 1033 </w:instrText>
          </w:r>
          <w:r w:rsidR="0027297B">
            <w:rPr>
              <w:rFonts w:ascii="Arial" w:hAnsi="Arial" w:cs="Arial"/>
            </w:rPr>
            <w:fldChar w:fldCharType="separate"/>
          </w:r>
          <w:r w:rsidR="0027297B">
            <w:rPr>
              <w:rFonts w:ascii="Arial" w:hAnsi="Arial" w:cs="Arial"/>
              <w:noProof/>
            </w:rPr>
            <w:t xml:space="preserve"> </w:t>
          </w:r>
          <w:r w:rsidR="0027297B" w:rsidRPr="0027297B">
            <w:rPr>
              <w:rFonts w:ascii="Arial" w:hAnsi="Arial" w:cs="Arial"/>
              <w:noProof/>
            </w:rPr>
            <w:t>(BurberryPLC, 2021)</w:t>
          </w:r>
          <w:r w:rsidR="0027297B">
            <w:rPr>
              <w:rFonts w:ascii="Arial" w:hAnsi="Arial" w:cs="Arial"/>
            </w:rPr>
            <w:fldChar w:fldCharType="end"/>
          </w:r>
        </w:sdtContent>
      </w:sdt>
      <w:r w:rsidRPr="00794991">
        <w:rPr>
          <w:rFonts w:ascii="Arial" w:hAnsi="Arial" w:cs="Arial"/>
        </w:rPr>
        <w:t>.</w:t>
      </w:r>
    </w:p>
    <w:p w14:paraId="4E4F9E84" w14:textId="44DE710E" w:rsidR="00794991" w:rsidRPr="00794991" w:rsidRDefault="00794991" w:rsidP="00990E73">
      <w:pPr>
        <w:pStyle w:val="Heading1"/>
      </w:pPr>
      <w:bookmarkStart w:id="2" w:name="_Toc180658919"/>
      <w:r w:rsidRPr="00794991">
        <w:t>Cor</w:t>
      </w:r>
      <w:r w:rsidR="00AE38EC">
        <w:t>e</w:t>
      </w:r>
      <w:r w:rsidRPr="00794991">
        <w:t xml:space="preserve"> Variables</w:t>
      </w:r>
      <w:bookmarkEnd w:id="2"/>
      <w:r w:rsidRPr="00794991">
        <w:t xml:space="preserve"> </w:t>
      </w:r>
    </w:p>
    <w:p w14:paraId="73A78D54" w14:textId="45866CAA" w:rsidR="00794991" w:rsidRPr="00794991" w:rsidRDefault="00794991" w:rsidP="00397A67">
      <w:pPr>
        <w:rPr>
          <w:rFonts w:ascii="Arial" w:hAnsi="Arial" w:cs="Arial"/>
        </w:rPr>
      </w:pPr>
      <w:bookmarkStart w:id="3" w:name="_Toc180658920"/>
      <w:r w:rsidRPr="00990E73">
        <w:rPr>
          <w:rStyle w:val="Heading2Char"/>
        </w:rPr>
        <w:t>Board Structure and Independence</w:t>
      </w:r>
      <w:r w:rsidR="007A1FC7" w:rsidRPr="00990E73">
        <w:rPr>
          <w:rStyle w:val="Heading2Char"/>
        </w:rPr>
        <w:t>.</w:t>
      </w:r>
      <w:bookmarkEnd w:id="3"/>
      <w:r w:rsidR="007A1FC7">
        <w:rPr>
          <w:rFonts w:ascii="Arial" w:hAnsi="Arial" w:cs="Arial"/>
        </w:rPr>
        <w:t xml:space="preserve"> </w:t>
      </w:r>
      <w:r w:rsidRPr="00794991">
        <w:rPr>
          <w:rFonts w:ascii="Arial" w:hAnsi="Arial" w:cs="Arial"/>
        </w:rPr>
        <w:t xml:space="preserve">The composition of Burberry’s board is essential for ensuring accountability. The company’s board includes both executive and non-executive directors, with a significant number of </w:t>
      </w:r>
      <w:r w:rsidR="002313A4" w:rsidRPr="00794991">
        <w:rPr>
          <w:rFonts w:ascii="Arial" w:hAnsi="Arial" w:cs="Arial"/>
        </w:rPr>
        <w:t>balanced</w:t>
      </w:r>
      <w:r w:rsidRPr="00794991">
        <w:rPr>
          <w:rFonts w:ascii="Arial" w:hAnsi="Arial" w:cs="Arial"/>
        </w:rPr>
        <w:t xml:space="preserve"> directors, ensuring that decision-making is free from </w:t>
      </w:r>
      <w:r w:rsidR="007A1FC7" w:rsidRPr="00794991">
        <w:rPr>
          <w:rFonts w:ascii="Arial" w:hAnsi="Arial" w:cs="Arial"/>
        </w:rPr>
        <w:t>unnecessary</w:t>
      </w:r>
      <w:r w:rsidRPr="00794991">
        <w:rPr>
          <w:rFonts w:ascii="Arial" w:hAnsi="Arial" w:cs="Arial"/>
        </w:rPr>
        <w:t xml:space="preserve"> influence by management. Board independence is vital for providing effective oversight and </w:t>
      </w:r>
      <w:r w:rsidR="00EB11AE" w:rsidRPr="00794991">
        <w:rPr>
          <w:rFonts w:ascii="Arial" w:hAnsi="Arial" w:cs="Arial"/>
        </w:rPr>
        <w:t>moderating</w:t>
      </w:r>
      <w:r w:rsidRPr="00794991">
        <w:rPr>
          <w:rFonts w:ascii="Arial" w:hAnsi="Arial" w:cs="Arial"/>
        </w:rPr>
        <w:t xml:space="preserve"> agency problems between management and shareholders</w:t>
      </w:r>
      <w:sdt>
        <w:sdtPr>
          <w:rPr>
            <w:rFonts w:ascii="Arial" w:hAnsi="Arial" w:cs="Arial"/>
          </w:rPr>
          <w:id w:val="-222990905"/>
          <w:citation/>
        </w:sdtPr>
        <w:sdtContent>
          <w:r w:rsidR="00E070BC">
            <w:rPr>
              <w:rFonts w:ascii="Arial" w:hAnsi="Arial" w:cs="Arial"/>
            </w:rPr>
            <w:fldChar w:fldCharType="begin"/>
          </w:r>
          <w:r w:rsidR="00E070BC">
            <w:rPr>
              <w:rFonts w:ascii="Arial" w:hAnsi="Arial" w:cs="Arial"/>
            </w:rPr>
            <w:instrText xml:space="preserve"> CITATION Bur243 \l 1033 </w:instrText>
          </w:r>
          <w:r w:rsidR="00E070BC">
            <w:rPr>
              <w:rFonts w:ascii="Arial" w:hAnsi="Arial" w:cs="Arial"/>
            </w:rPr>
            <w:fldChar w:fldCharType="separate"/>
          </w:r>
          <w:r w:rsidR="00E070BC">
            <w:rPr>
              <w:rFonts w:ascii="Arial" w:hAnsi="Arial" w:cs="Arial"/>
              <w:noProof/>
            </w:rPr>
            <w:t xml:space="preserve"> </w:t>
          </w:r>
          <w:r w:rsidR="00E070BC" w:rsidRPr="00E070BC">
            <w:rPr>
              <w:rFonts w:ascii="Arial" w:hAnsi="Arial" w:cs="Arial"/>
              <w:noProof/>
            </w:rPr>
            <w:t>(Burberry, n.d.)</w:t>
          </w:r>
          <w:r w:rsidR="00E070BC">
            <w:rPr>
              <w:rFonts w:ascii="Arial" w:hAnsi="Arial" w:cs="Arial"/>
            </w:rPr>
            <w:fldChar w:fldCharType="end"/>
          </w:r>
        </w:sdtContent>
      </w:sdt>
      <w:r w:rsidRPr="00794991">
        <w:rPr>
          <w:rFonts w:ascii="Arial" w:hAnsi="Arial" w:cs="Arial"/>
        </w:rPr>
        <w:t>.</w:t>
      </w:r>
    </w:p>
    <w:p w14:paraId="7982BE28" w14:textId="77777777" w:rsidR="007E0E90" w:rsidRDefault="00794991" w:rsidP="00397A67">
      <w:pPr>
        <w:rPr>
          <w:rStyle w:val="Heading2Char"/>
        </w:rPr>
      </w:pPr>
      <w:bookmarkStart w:id="4" w:name="_Toc180658921"/>
      <w:r w:rsidRPr="00990E73">
        <w:rPr>
          <w:rStyle w:val="Heading2Char"/>
        </w:rPr>
        <w:t>Diversity</w:t>
      </w:r>
      <w:bookmarkEnd w:id="4"/>
    </w:p>
    <w:p w14:paraId="7DE5D269" w14:textId="21F41FD7" w:rsidR="00794991" w:rsidRPr="00794991" w:rsidRDefault="007A1FC7" w:rsidP="00397A67">
      <w:pPr>
        <w:rPr>
          <w:rFonts w:ascii="Arial" w:hAnsi="Arial" w:cs="Arial"/>
        </w:rPr>
      </w:pPr>
      <w:r w:rsidRPr="00990E73">
        <w:rPr>
          <w:rStyle w:val="Heading2Char"/>
        </w:rPr>
        <w:t xml:space="preserve"> </w:t>
      </w:r>
      <w:r w:rsidR="007E0E90">
        <w:rPr>
          <w:rFonts w:ascii="Arial" w:hAnsi="Arial" w:cs="Arial"/>
        </w:rPr>
        <w:t>Sh</w:t>
      </w:r>
      <w:r w:rsidRPr="00794991">
        <w:rPr>
          <w:rFonts w:ascii="Arial" w:hAnsi="Arial" w:cs="Arial"/>
        </w:rPr>
        <w:t>ows</w:t>
      </w:r>
      <w:r w:rsidR="00794991" w:rsidRPr="00794991">
        <w:rPr>
          <w:rFonts w:ascii="Arial" w:hAnsi="Arial" w:cs="Arial"/>
        </w:rPr>
        <w:t xml:space="preserve"> a strong </w:t>
      </w:r>
      <w:r w:rsidRPr="00794991">
        <w:rPr>
          <w:rFonts w:ascii="Arial" w:hAnsi="Arial" w:cs="Arial"/>
        </w:rPr>
        <w:t>importance</w:t>
      </w:r>
      <w:r w:rsidR="00794991" w:rsidRPr="00794991">
        <w:rPr>
          <w:rFonts w:ascii="Arial" w:hAnsi="Arial" w:cs="Arial"/>
        </w:rPr>
        <w:t xml:space="preserve"> on </w:t>
      </w:r>
      <w:r>
        <w:rPr>
          <w:rFonts w:ascii="Arial" w:hAnsi="Arial" w:cs="Arial"/>
        </w:rPr>
        <w:t>Burberry</w:t>
      </w:r>
      <w:r w:rsidR="00794991" w:rsidRPr="00794991">
        <w:rPr>
          <w:rFonts w:ascii="Arial" w:hAnsi="Arial" w:cs="Arial"/>
        </w:rPr>
        <w:t xml:space="preserve">, both in terms of gender and experience. As of the latest reports, the company has made </w:t>
      </w:r>
      <w:r w:rsidR="00AE38EC" w:rsidRPr="00794991">
        <w:rPr>
          <w:rFonts w:ascii="Arial" w:hAnsi="Arial" w:cs="Arial"/>
        </w:rPr>
        <w:t>improvements</w:t>
      </w:r>
      <w:r w:rsidR="00794991" w:rsidRPr="00794991">
        <w:rPr>
          <w:rFonts w:ascii="Arial" w:hAnsi="Arial" w:cs="Arial"/>
        </w:rPr>
        <w:t xml:space="preserve"> in ensuring gender diversity, with a significant proportion of female representation on the board. This diversity can lead to a broader range of perspectives, which is beneficial for strategic decision-making and responsiveness to global markets</w:t>
      </w:r>
      <w:sdt>
        <w:sdtPr>
          <w:rPr>
            <w:rFonts w:ascii="Arial" w:hAnsi="Arial" w:cs="Arial"/>
          </w:rPr>
          <w:id w:val="1078709209"/>
          <w:citation/>
        </w:sdtPr>
        <w:sdtContent>
          <w:r w:rsidR="00C439F6">
            <w:rPr>
              <w:rFonts w:ascii="Arial" w:hAnsi="Arial" w:cs="Arial"/>
            </w:rPr>
            <w:fldChar w:fldCharType="begin"/>
          </w:r>
          <w:r w:rsidR="00C439F6">
            <w:rPr>
              <w:rFonts w:ascii="Arial" w:hAnsi="Arial" w:cs="Arial"/>
            </w:rPr>
            <w:instrText xml:space="preserve"> CITATION Bur22 \l 1033 </w:instrText>
          </w:r>
          <w:r w:rsidR="00C439F6">
            <w:rPr>
              <w:rFonts w:ascii="Arial" w:hAnsi="Arial" w:cs="Arial"/>
            </w:rPr>
            <w:fldChar w:fldCharType="separate"/>
          </w:r>
          <w:r w:rsidR="00C439F6">
            <w:rPr>
              <w:rFonts w:ascii="Arial" w:hAnsi="Arial" w:cs="Arial"/>
              <w:noProof/>
            </w:rPr>
            <w:t xml:space="preserve"> </w:t>
          </w:r>
          <w:r w:rsidR="00C439F6" w:rsidRPr="00C439F6">
            <w:rPr>
              <w:rFonts w:ascii="Arial" w:hAnsi="Arial" w:cs="Arial"/>
              <w:noProof/>
            </w:rPr>
            <w:t>(Burberry, 2022)</w:t>
          </w:r>
          <w:r w:rsidR="00C439F6">
            <w:rPr>
              <w:rFonts w:ascii="Arial" w:hAnsi="Arial" w:cs="Arial"/>
            </w:rPr>
            <w:fldChar w:fldCharType="end"/>
          </w:r>
        </w:sdtContent>
      </w:sdt>
      <w:r w:rsidR="00794991" w:rsidRPr="00794991">
        <w:rPr>
          <w:rFonts w:ascii="Arial" w:hAnsi="Arial" w:cs="Arial"/>
        </w:rPr>
        <w:t>.</w:t>
      </w:r>
    </w:p>
    <w:p w14:paraId="541F7224" w14:textId="77777777" w:rsidR="007E0E90" w:rsidRDefault="00794991" w:rsidP="00397A67">
      <w:pPr>
        <w:rPr>
          <w:rFonts w:ascii="Arial" w:hAnsi="Arial" w:cs="Arial"/>
        </w:rPr>
      </w:pPr>
      <w:bookmarkStart w:id="5" w:name="_Toc180658922"/>
      <w:r w:rsidRPr="00990E73">
        <w:rPr>
          <w:rStyle w:val="Heading2Char"/>
        </w:rPr>
        <w:t>Executive Compensation</w:t>
      </w:r>
      <w:bookmarkEnd w:id="5"/>
    </w:p>
    <w:p w14:paraId="74C612EF" w14:textId="05BA38BE" w:rsidR="00794991" w:rsidRPr="00794991" w:rsidRDefault="007A1FC7" w:rsidP="00397A67">
      <w:pPr>
        <w:rPr>
          <w:rFonts w:ascii="Arial" w:hAnsi="Arial" w:cs="Arial"/>
        </w:rPr>
      </w:pPr>
      <w:r w:rsidRPr="007A1FC7">
        <w:rPr>
          <w:rFonts w:ascii="Arial" w:hAnsi="Arial" w:cs="Arial"/>
          <w:noProof/>
        </w:rPr>
        <w:t xml:space="preserve"> Murphy </w:t>
      </w:r>
      <w:r>
        <w:rPr>
          <w:rFonts w:ascii="Arial" w:hAnsi="Arial" w:cs="Arial"/>
          <w:noProof/>
        </w:rPr>
        <w:t>(</w:t>
      </w:r>
      <w:r w:rsidRPr="007A1FC7">
        <w:rPr>
          <w:rFonts w:ascii="Arial" w:hAnsi="Arial" w:cs="Arial"/>
          <w:noProof/>
        </w:rPr>
        <w:t>2023)</w:t>
      </w:r>
      <w:r>
        <w:rPr>
          <w:rFonts w:ascii="Arial" w:hAnsi="Arial" w:cs="Arial"/>
          <w:noProof/>
        </w:rPr>
        <w:t xml:space="preserve"> report illustrates that</w:t>
      </w:r>
      <w:r w:rsidR="00794991" w:rsidRPr="00794991">
        <w:rPr>
          <w:rFonts w:ascii="Arial" w:hAnsi="Arial" w:cs="Arial"/>
        </w:rPr>
        <w:t xml:space="preserve"> </w:t>
      </w:r>
      <w:r>
        <w:rPr>
          <w:rFonts w:ascii="Arial" w:hAnsi="Arial" w:cs="Arial"/>
        </w:rPr>
        <w:t>e</w:t>
      </w:r>
      <w:r w:rsidR="00794991" w:rsidRPr="00794991">
        <w:rPr>
          <w:rFonts w:ascii="Arial" w:hAnsi="Arial" w:cs="Arial"/>
        </w:rPr>
        <w:t>xecutive compensation is structured to include both fixed salaries and performance-based incentives, ensuring that management's interests align with those of shareholders.</w:t>
      </w:r>
      <w:r w:rsidRPr="007A1FC7">
        <w:rPr>
          <w:rFonts w:ascii="Arial" w:hAnsi="Arial" w:cs="Arial"/>
        </w:rPr>
        <w:t xml:space="preserve"> Burberry’s remuneration policies for top executives are aligned with the company’s performance goals</w:t>
      </w:r>
      <w:r>
        <w:rPr>
          <w:rFonts w:ascii="Arial" w:hAnsi="Arial" w:cs="Arial"/>
        </w:rPr>
        <w:t>.</w:t>
      </w:r>
      <w:r w:rsidR="00794991" w:rsidRPr="00794991">
        <w:rPr>
          <w:rFonts w:ascii="Arial" w:hAnsi="Arial" w:cs="Arial"/>
        </w:rPr>
        <w:t xml:space="preserve"> This alignment is intended to motivate management to achieve sustainable financial performance.</w:t>
      </w:r>
    </w:p>
    <w:p w14:paraId="0A703BE4" w14:textId="77777777" w:rsidR="007E0E90" w:rsidRDefault="00794991" w:rsidP="00397A67">
      <w:pPr>
        <w:rPr>
          <w:rFonts w:ascii="Arial" w:hAnsi="Arial" w:cs="Arial"/>
        </w:rPr>
      </w:pPr>
      <w:bookmarkStart w:id="6" w:name="_Toc180658923"/>
      <w:r w:rsidRPr="00990E73">
        <w:rPr>
          <w:rStyle w:val="Heading2Char"/>
        </w:rPr>
        <w:t>Shareholder Rights</w:t>
      </w:r>
      <w:bookmarkEnd w:id="6"/>
    </w:p>
    <w:p w14:paraId="6DD14059" w14:textId="674B84E3" w:rsidR="00794991" w:rsidRPr="00794991" w:rsidRDefault="00794991" w:rsidP="00397A67">
      <w:pPr>
        <w:rPr>
          <w:rFonts w:ascii="Arial" w:hAnsi="Arial" w:cs="Arial"/>
        </w:rPr>
      </w:pPr>
      <w:r w:rsidRPr="00794991">
        <w:rPr>
          <w:rFonts w:ascii="Arial" w:hAnsi="Arial" w:cs="Arial"/>
        </w:rPr>
        <w:t xml:space="preserve">Burberry </w:t>
      </w:r>
      <w:r w:rsidR="002E342C" w:rsidRPr="00794991">
        <w:rPr>
          <w:rFonts w:ascii="Arial" w:hAnsi="Arial" w:cs="Arial"/>
        </w:rPr>
        <w:t>points out</w:t>
      </w:r>
      <w:r w:rsidRPr="00794991">
        <w:rPr>
          <w:rFonts w:ascii="Arial" w:hAnsi="Arial" w:cs="Arial"/>
        </w:rPr>
        <w:t xml:space="preserve"> the protection of shareholder rights, ensuring transparency in its operations and decisions that impact shareholder interests. The company regularly engages with shareholders, holding annual general meetings and providing opportunities for investors to voice their opinions on key governance issues</w:t>
      </w:r>
      <w:r w:rsidR="00EB11AE">
        <w:rPr>
          <w:rFonts w:ascii="Arial" w:hAnsi="Arial" w:cs="Arial"/>
          <w:noProof/>
        </w:rPr>
        <w:t xml:space="preserve"> </w:t>
      </w:r>
      <w:r w:rsidR="00EB11AE" w:rsidRPr="00DF53B1">
        <w:rPr>
          <w:rFonts w:ascii="Arial" w:hAnsi="Arial" w:cs="Arial"/>
          <w:noProof/>
        </w:rPr>
        <w:t>(Murphy, 2023)</w:t>
      </w:r>
      <w:r w:rsidRPr="00794991">
        <w:rPr>
          <w:rFonts w:ascii="Arial" w:hAnsi="Arial" w:cs="Arial"/>
        </w:rPr>
        <w:t>.</w:t>
      </w:r>
    </w:p>
    <w:p w14:paraId="643FD6BE" w14:textId="77777777" w:rsidR="007E0E90" w:rsidRDefault="00794991" w:rsidP="00397A67">
      <w:pPr>
        <w:rPr>
          <w:rStyle w:val="Heading2Char"/>
        </w:rPr>
      </w:pPr>
      <w:bookmarkStart w:id="7" w:name="_Toc180658924"/>
      <w:r w:rsidRPr="00990E73">
        <w:rPr>
          <w:rStyle w:val="Heading2Char"/>
        </w:rPr>
        <w:t>Transparency and Disclosure</w:t>
      </w:r>
      <w:bookmarkEnd w:id="7"/>
    </w:p>
    <w:p w14:paraId="0F9E9B55" w14:textId="08168D85" w:rsidR="00794991" w:rsidRDefault="00794991" w:rsidP="00397A67">
      <w:pPr>
        <w:rPr>
          <w:rFonts w:ascii="Arial" w:hAnsi="Arial" w:cs="Arial"/>
        </w:rPr>
      </w:pPr>
      <w:r w:rsidRPr="00794991">
        <w:rPr>
          <w:rFonts w:ascii="Arial" w:hAnsi="Arial" w:cs="Arial"/>
        </w:rPr>
        <w:lastRenderedPageBreak/>
        <w:t xml:space="preserve">As </w:t>
      </w:r>
      <w:r w:rsidR="00AE38EC" w:rsidRPr="00794991">
        <w:rPr>
          <w:rFonts w:ascii="Arial" w:hAnsi="Arial" w:cs="Arial"/>
        </w:rPr>
        <w:t>a</w:t>
      </w:r>
      <w:r w:rsidRPr="00794991">
        <w:rPr>
          <w:rFonts w:ascii="Arial" w:hAnsi="Arial" w:cs="Arial"/>
        </w:rPr>
        <w:t xml:space="preserve"> </w:t>
      </w:r>
      <w:r w:rsidR="00AE38EC" w:rsidRPr="00794991">
        <w:rPr>
          <w:rFonts w:ascii="Arial" w:hAnsi="Arial" w:cs="Arial"/>
        </w:rPr>
        <w:t>precisely</w:t>
      </w:r>
      <w:r w:rsidRPr="00794991">
        <w:rPr>
          <w:rFonts w:ascii="Arial" w:hAnsi="Arial" w:cs="Arial"/>
        </w:rPr>
        <w:t xml:space="preserve"> listed company, Burberry is committed to high levels of transparency, which includes detailed disclosures in its annual financial reports. The company’s governance structure is </w:t>
      </w:r>
      <w:r w:rsidR="00AE38EC" w:rsidRPr="00794991">
        <w:rPr>
          <w:rFonts w:ascii="Arial" w:hAnsi="Arial" w:cs="Arial"/>
        </w:rPr>
        <w:t>related</w:t>
      </w:r>
      <w:r w:rsidRPr="00794991">
        <w:rPr>
          <w:rFonts w:ascii="Arial" w:hAnsi="Arial" w:cs="Arial"/>
        </w:rPr>
        <w:t xml:space="preserve"> in compliance with the UK Corporate Governance Code, providing insights into board decisions, risk management processes, and corporate social responsibility initiatives</w:t>
      </w:r>
      <w:sdt>
        <w:sdtPr>
          <w:rPr>
            <w:rFonts w:ascii="Arial" w:hAnsi="Arial" w:cs="Arial"/>
          </w:rPr>
          <w:id w:val="-485711667"/>
          <w:citation/>
        </w:sdtPr>
        <w:sdtContent>
          <w:r w:rsidR="00AB0F19">
            <w:rPr>
              <w:rFonts w:ascii="Arial" w:hAnsi="Arial" w:cs="Arial"/>
            </w:rPr>
            <w:fldChar w:fldCharType="begin"/>
          </w:r>
          <w:r w:rsidR="00AB0F19">
            <w:rPr>
              <w:rFonts w:ascii="Arial" w:hAnsi="Arial" w:cs="Arial"/>
            </w:rPr>
            <w:instrText xml:space="preserve"> CITATION Bur244 \l 1033 </w:instrText>
          </w:r>
          <w:r w:rsidR="00AB0F19">
            <w:rPr>
              <w:rFonts w:ascii="Arial" w:hAnsi="Arial" w:cs="Arial"/>
            </w:rPr>
            <w:fldChar w:fldCharType="separate"/>
          </w:r>
          <w:r w:rsidR="00AB0F19">
            <w:rPr>
              <w:rFonts w:ascii="Arial" w:hAnsi="Arial" w:cs="Arial"/>
              <w:noProof/>
            </w:rPr>
            <w:t xml:space="preserve"> </w:t>
          </w:r>
          <w:r w:rsidR="00AB0F19" w:rsidRPr="00AB0F19">
            <w:rPr>
              <w:rFonts w:ascii="Arial" w:hAnsi="Arial" w:cs="Arial"/>
              <w:noProof/>
            </w:rPr>
            <w:t>(Burberry, n.d.)</w:t>
          </w:r>
          <w:r w:rsidR="00AB0F19">
            <w:rPr>
              <w:rFonts w:ascii="Arial" w:hAnsi="Arial" w:cs="Arial"/>
            </w:rPr>
            <w:fldChar w:fldCharType="end"/>
          </w:r>
        </w:sdtContent>
      </w:sdt>
      <w:r w:rsidRPr="00794991">
        <w:rPr>
          <w:rFonts w:ascii="Arial" w:hAnsi="Arial" w:cs="Arial"/>
        </w:rPr>
        <w:t>.</w:t>
      </w:r>
    </w:p>
    <w:p w14:paraId="5F396083" w14:textId="77777777" w:rsidR="00794991" w:rsidRPr="00794991" w:rsidRDefault="00794991" w:rsidP="00794991">
      <w:pPr>
        <w:ind w:left="720"/>
        <w:rPr>
          <w:rFonts w:ascii="Arial" w:hAnsi="Arial" w:cs="Arial"/>
        </w:rPr>
      </w:pPr>
    </w:p>
    <w:p w14:paraId="36F7C2C1" w14:textId="77777777" w:rsidR="004E2CA1" w:rsidRPr="004E2CA1" w:rsidRDefault="004E2CA1" w:rsidP="00990E73">
      <w:pPr>
        <w:pStyle w:val="Heading1"/>
      </w:pPr>
      <w:bookmarkStart w:id="8" w:name="_Toc180658925"/>
      <w:r w:rsidRPr="004E2CA1">
        <w:t>Relationship Between Corporate Governance Practices and Financial Performance</w:t>
      </w:r>
      <w:bookmarkEnd w:id="8"/>
    </w:p>
    <w:p w14:paraId="574F0A4E" w14:textId="77777777" w:rsidR="004F0E34" w:rsidRDefault="004F0E34" w:rsidP="004E2CA1">
      <w:pPr>
        <w:rPr>
          <w:rFonts w:ascii="Arial" w:hAnsi="Arial" w:cs="Arial"/>
        </w:rPr>
      </w:pPr>
    </w:p>
    <w:p w14:paraId="0D84DCF0" w14:textId="758679FD" w:rsidR="004F0E34" w:rsidRPr="004E2CA1" w:rsidRDefault="004F0E34" w:rsidP="004E2CA1">
      <w:pPr>
        <w:rPr>
          <w:rFonts w:ascii="Arial" w:hAnsi="Arial" w:cs="Arial"/>
        </w:rPr>
      </w:pPr>
      <w:r w:rsidRPr="004F0E34">
        <w:rPr>
          <w:rFonts w:ascii="Arial" w:hAnsi="Arial" w:cs="Arial"/>
        </w:rPr>
        <w:t xml:space="preserve">To examine the link </w:t>
      </w:r>
      <w:r w:rsidR="002313A4" w:rsidRPr="004F0E34">
        <w:rPr>
          <w:rFonts w:ascii="Arial" w:hAnsi="Arial" w:cs="Arial"/>
        </w:rPr>
        <w:t>connecting</w:t>
      </w:r>
      <w:r w:rsidRPr="004F0E34">
        <w:rPr>
          <w:rFonts w:ascii="Arial" w:hAnsi="Arial" w:cs="Arial"/>
        </w:rPr>
        <w:t xml:space="preserve"> corporate governance and financial performance, data from Burberry’s financial reports from 2018 to 2022 was gathered. The analysis focuses on key financial metrics, including return on equity (ROE), earnings per share (EPS), and stock price trends, alongside selected corporate governance variables.</w:t>
      </w:r>
    </w:p>
    <w:p w14:paraId="057C7A9E" w14:textId="5F673697" w:rsidR="002B5044" w:rsidRPr="00397A67" w:rsidRDefault="004E2CA1">
      <w:pPr>
        <w:rPr>
          <w:rFonts w:ascii="Arial" w:hAnsi="Arial" w:cs="Arial"/>
        </w:rPr>
      </w:pPr>
      <w:bookmarkStart w:id="9" w:name="_Toc180658926"/>
      <w:r w:rsidRPr="00990E73">
        <w:rPr>
          <w:rStyle w:val="Heading2Char"/>
        </w:rPr>
        <w:t>Return on Equity (ROE)</w:t>
      </w:r>
      <w:bookmarkEnd w:id="9"/>
      <w:r w:rsidR="0067069F">
        <w:rPr>
          <w:rFonts w:ascii="Arial" w:hAnsi="Arial" w:cs="Arial"/>
          <w:b/>
          <w:bCs/>
        </w:rPr>
        <w:t xml:space="preserve"> </w:t>
      </w:r>
      <w:r w:rsidRPr="00397A67">
        <w:rPr>
          <w:rFonts w:ascii="Arial" w:hAnsi="Arial" w:cs="Arial"/>
        </w:rPr>
        <w:t xml:space="preserve">measures the </w:t>
      </w:r>
      <w:r w:rsidR="002313A4" w:rsidRPr="00397A67">
        <w:rPr>
          <w:rFonts w:ascii="Arial" w:hAnsi="Arial" w:cs="Arial"/>
        </w:rPr>
        <w:t>value</w:t>
      </w:r>
      <w:r w:rsidRPr="00397A67">
        <w:rPr>
          <w:rFonts w:ascii="Arial" w:hAnsi="Arial" w:cs="Arial"/>
        </w:rPr>
        <w:t xml:space="preserve"> of the company relative to shareholders' equity, indicating how effectively the company is using equity to generate profits</w:t>
      </w:r>
      <w:r w:rsidR="00EB11AE">
        <w:rPr>
          <w:rFonts w:ascii="Arial" w:hAnsi="Arial" w:cs="Arial"/>
          <w:noProof/>
        </w:rPr>
        <w:t xml:space="preserve"> </w:t>
      </w:r>
      <w:r w:rsidR="00EB11AE" w:rsidRPr="005E0463">
        <w:rPr>
          <w:rFonts w:ascii="Arial" w:hAnsi="Arial" w:cs="Arial"/>
          <w:noProof/>
        </w:rPr>
        <w:t>(Fernando, 2024)</w:t>
      </w:r>
      <w:r w:rsidRPr="00397A67">
        <w:rPr>
          <w:rFonts w:ascii="Arial" w:hAnsi="Arial" w:cs="Arial"/>
        </w:rPr>
        <w:t>. For Burberry, ROE fluctuated between 15% and 20% over the five-year period, with higher ROE generally coinciding with years when governance improvements, such as enhanced board independence, were implemented.</w:t>
      </w:r>
    </w:p>
    <w:p w14:paraId="1A6A166B" w14:textId="4BD0200B" w:rsidR="002B5044" w:rsidRPr="00397A67" w:rsidRDefault="002B5044">
      <w:pPr>
        <w:rPr>
          <w:rFonts w:ascii="Arial" w:hAnsi="Arial" w:cs="Arial"/>
        </w:rPr>
      </w:pPr>
      <w:r w:rsidRPr="00397A67">
        <w:rPr>
          <w:rFonts w:ascii="Arial" w:hAnsi="Arial" w:cs="Arial"/>
          <w:noProof/>
        </w:rPr>
        <w:drawing>
          <wp:inline distT="0" distB="0" distL="0" distR="0" wp14:anchorId="0A6A3126" wp14:editId="5E9A83F8">
            <wp:extent cx="5943600" cy="3341370"/>
            <wp:effectExtent l="0" t="0" r="0" b="0"/>
            <wp:docPr id="1439073442" name="Picture 1" descr="A graph on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073442" name="Picture 1" descr="A graph on a computer screen&#10;&#10;Description automatically generated"/>
                    <pic:cNvPicPr/>
                  </pic:nvPicPr>
                  <pic:blipFill>
                    <a:blip r:embed="rId8"/>
                    <a:stretch>
                      <a:fillRect/>
                    </a:stretch>
                  </pic:blipFill>
                  <pic:spPr>
                    <a:xfrm>
                      <a:off x="0" y="0"/>
                      <a:ext cx="5943600" cy="3341370"/>
                    </a:xfrm>
                    <a:prstGeom prst="rect">
                      <a:avLst/>
                    </a:prstGeom>
                  </pic:spPr>
                </pic:pic>
              </a:graphicData>
            </a:graphic>
          </wp:inline>
        </w:drawing>
      </w:r>
    </w:p>
    <w:p w14:paraId="371E3FE3" w14:textId="54DB10EF" w:rsidR="00784A9B" w:rsidRPr="00397A67" w:rsidRDefault="00000000">
      <w:pPr>
        <w:rPr>
          <w:rFonts w:ascii="Arial" w:hAnsi="Arial" w:cs="Arial"/>
        </w:rPr>
      </w:pPr>
      <w:sdt>
        <w:sdtPr>
          <w:rPr>
            <w:rFonts w:ascii="Arial" w:hAnsi="Arial" w:cs="Arial"/>
          </w:rPr>
          <w:id w:val="-296139673"/>
          <w:citation/>
        </w:sdtPr>
        <w:sdtContent>
          <w:r w:rsidR="00784A9B" w:rsidRPr="00397A67">
            <w:rPr>
              <w:rFonts w:ascii="Arial" w:hAnsi="Arial" w:cs="Arial"/>
            </w:rPr>
            <w:fldChar w:fldCharType="begin"/>
          </w:r>
          <w:r w:rsidR="00784A9B" w:rsidRPr="00397A67">
            <w:rPr>
              <w:rFonts w:ascii="Arial" w:hAnsi="Arial" w:cs="Arial"/>
            </w:rPr>
            <w:instrText xml:space="preserve"> CITATION BRB24 \l 1033 </w:instrText>
          </w:r>
          <w:r w:rsidR="00784A9B" w:rsidRPr="00397A67">
            <w:rPr>
              <w:rFonts w:ascii="Arial" w:hAnsi="Arial" w:cs="Arial"/>
            </w:rPr>
            <w:fldChar w:fldCharType="separate"/>
          </w:r>
          <w:r w:rsidR="00784A9B" w:rsidRPr="00397A67">
            <w:rPr>
              <w:rFonts w:ascii="Arial" w:hAnsi="Arial" w:cs="Arial"/>
              <w:noProof/>
            </w:rPr>
            <w:t>(BRBY.L, 2024)</w:t>
          </w:r>
          <w:r w:rsidR="00784A9B" w:rsidRPr="00397A67">
            <w:rPr>
              <w:rFonts w:ascii="Arial" w:hAnsi="Arial" w:cs="Arial"/>
            </w:rPr>
            <w:fldChar w:fldCharType="end"/>
          </w:r>
        </w:sdtContent>
      </w:sdt>
    </w:p>
    <w:p w14:paraId="403E99E7" w14:textId="4DA0DE02" w:rsidR="00D2727E" w:rsidRPr="00397A67" w:rsidRDefault="00D2727E" w:rsidP="00397A67">
      <w:pPr>
        <w:rPr>
          <w:rFonts w:ascii="Arial" w:hAnsi="Arial" w:cs="Arial"/>
        </w:rPr>
      </w:pPr>
      <w:r w:rsidRPr="00397A67">
        <w:rPr>
          <w:rFonts w:ascii="Arial" w:hAnsi="Arial" w:cs="Arial"/>
        </w:rPr>
        <w:t xml:space="preserve">This </w:t>
      </w:r>
      <w:r w:rsidR="00991D99" w:rsidRPr="00397A67">
        <w:rPr>
          <w:rFonts w:ascii="Arial" w:hAnsi="Arial" w:cs="Arial"/>
        </w:rPr>
        <w:t>graphical record</w:t>
      </w:r>
      <w:r w:rsidRPr="00397A67">
        <w:rPr>
          <w:rFonts w:ascii="Arial" w:hAnsi="Arial" w:cs="Arial"/>
        </w:rPr>
        <w:t xml:space="preserve"> shows the trend of Burberry's ROE over the five-year period. The x-axis would represent the years (2018-2022), while the y-axis would show ROE percentages. In 2018 and 2019, Burberry’s ROE was relatively stable at around 18%, reflecting strong profitability. The ROE declined in 2020 to around 12% due to the pandemic's impact on retail and luxury goods sectors. However, as Burberry adjusted its strategies, including strengthening board independence and focusing on digital channels, ROE recovered to 16% in 2021 and further to 17% in 2022. This recovery suggests that effective governance practices, such as strategic decision-making by an independent board, helped stabilize the </w:t>
      </w:r>
      <w:r w:rsidR="002313A4" w:rsidRPr="00397A67">
        <w:rPr>
          <w:rFonts w:ascii="Arial" w:hAnsi="Arial" w:cs="Arial"/>
        </w:rPr>
        <w:t>business</w:t>
      </w:r>
      <w:r w:rsidRPr="00397A67">
        <w:rPr>
          <w:rFonts w:ascii="Arial" w:hAnsi="Arial" w:cs="Arial"/>
        </w:rPr>
        <w:t>.</w:t>
      </w:r>
    </w:p>
    <w:p w14:paraId="4D1A3F4A" w14:textId="77777777" w:rsidR="00D2727E" w:rsidRPr="00397A67" w:rsidRDefault="00D2727E">
      <w:pPr>
        <w:rPr>
          <w:rFonts w:ascii="Arial" w:hAnsi="Arial" w:cs="Arial"/>
        </w:rPr>
      </w:pPr>
    </w:p>
    <w:p w14:paraId="03F764E8" w14:textId="4B5CF4D7" w:rsidR="002B5044" w:rsidRPr="00397A67" w:rsidRDefault="004E2CA1">
      <w:pPr>
        <w:rPr>
          <w:rFonts w:ascii="Arial" w:hAnsi="Arial" w:cs="Arial"/>
        </w:rPr>
      </w:pPr>
      <w:bookmarkStart w:id="10" w:name="_Toc180658927"/>
      <w:r w:rsidRPr="00990E73">
        <w:rPr>
          <w:rStyle w:val="Heading2Char"/>
        </w:rPr>
        <w:t>Earnings Per Share (EPS)</w:t>
      </w:r>
      <w:bookmarkEnd w:id="10"/>
      <w:r w:rsidR="009E7AB4">
        <w:rPr>
          <w:rFonts w:ascii="Arial" w:hAnsi="Arial" w:cs="Arial"/>
        </w:rPr>
        <w:t xml:space="preserve"> </w:t>
      </w:r>
      <w:r w:rsidRPr="00397A67">
        <w:rPr>
          <w:rFonts w:ascii="Arial" w:hAnsi="Arial" w:cs="Arial"/>
        </w:rPr>
        <w:t>reflects the portion of a company's profit allocated to each outstanding share of common stock</w:t>
      </w:r>
      <w:r w:rsidR="00EB11AE">
        <w:rPr>
          <w:rFonts w:ascii="Arial" w:hAnsi="Arial" w:cs="Arial"/>
          <w:noProof/>
        </w:rPr>
        <w:t xml:space="preserve"> </w:t>
      </w:r>
      <w:r w:rsidR="00EB11AE" w:rsidRPr="005E0463">
        <w:rPr>
          <w:rFonts w:ascii="Arial" w:hAnsi="Arial" w:cs="Arial"/>
          <w:noProof/>
        </w:rPr>
        <w:t>(Nickolas, 2024)</w:t>
      </w:r>
      <w:r w:rsidRPr="00397A67">
        <w:rPr>
          <w:rFonts w:ascii="Arial" w:hAnsi="Arial" w:cs="Arial"/>
        </w:rPr>
        <w:t>. Burberry's EPS demonstrated a steady increase from 2018 to 2019, followed by a decline in 2020 due to the impact of the COVID-19 pandemic. However, with improvements in corporate governance and strategic responses to the pandemic, EPS has shown recovery in 2021 and 2022.</w:t>
      </w:r>
    </w:p>
    <w:p w14:paraId="7D54A05E" w14:textId="1B9BD872" w:rsidR="004E2CA1" w:rsidRPr="00397A67" w:rsidRDefault="004E2CA1">
      <w:pPr>
        <w:rPr>
          <w:rFonts w:ascii="Arial" w:hAnsi="Arial" w:cs="Arial"/>
        </w:rPr>
      </w:pPr>
      <w:r w:rsidRPr="00397A67">
        <w:rPr>
          <w:rFonts w:ascii="Arial" w:hAnsi="Arial" w:cs="Arial"/>
          <w:noProof/>
        </w:rPr>
        <w:drawing>
          <wp:inline distT="0" distB="0" distL="0" distR="0" wp14:anchorId="44CB4CBA" wp14:editId="475E4AB4">
            <wp:extent cx="5943600" cy="3341370"/>
            <wp:effectExtent l="0" t="0" r="0" b="0"/>
            <wp:docPr id="1155999358"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999358" name="Picture 1" descr="A screen shot of a graph&#10;&#10;Description automatically generated"/>
                    <pic:cNvPicPr/>
                  </pic:nvPicPr>
                  <pic:blipFill>
                    <a:blip r:embed="rId9"/>
                    <a:stretch>
                      <a:fillRect/>
                    </a:stretch>
                  </pic:blipFill>
                  <pic:spPr>
                    <a:xfrm>
                      <a:off x="0" y="0"/>
                      <a:ext cx="5943600" cy="3341370"/>
                    </a:xfrm>
                    <a:prstGeom prst="rect">
                      <a:avLst/>
                    </a:prstGeom>
                  </pic:spPr>
                </pic:pic>
              </a:graphicData>
            </a:graphic>
          </wp:inline>
        </w:drawing>
      </w:r>
    </w:p>
    <w:p w14:paraId="7FA34024" w14:textId="35EC964E" w:rsidR="00784A9B" w:rsidRPr="00397A67" w:rsidRDefault="00000000">
      <w:pPr>
        <w:rPr>
          <w:rFonts w:ascii="Arial" w:hAnsi="Arial" w:cs="Arial"/>
        </w:rPr>
      </w:pPr>
      <w:sdt>
        <w:sdtPr>
          <w:rPr>
            <w:rFonts w:ascii="Arial" w:hAnsi="Arial" w:cs="Arial"/>
          </w:rPr>
          <w:id w:val="1732120509"/>
          <w:citation/>
        </w:sdtPr>
        <w:sdtContent>
          <w:r w:rsidR="00784A9B" w:rsidRPr="00397A67">
            <w:rPr>
              <w:rFonts w:ascii="Arial" w:hAnsi="Arial" w:cs="Arial"/>
            </w:rPr>
            <w:fldChar w:fldCharType="begin"/>
          </w:r>
          <w:r w:rsidR="00784A9B" w:rsidRPr="00397A67">
            <w:rPr>
              <w:rFonts w:ascii="Arial" w:hAnsi="Arial" w:cs="Arial"/>
            </w:rPr>
            <w:instrText xml:space="preserve"> CITATION BUR24 \l 1033 </w:instrText>
          </w:r>
          <w:r w:rsidR="00784A9B" w:rsidRPr="00397A67">
            <w:rPr>
              <w:rFonts w:ascii="Arial" w:hAnsi="Arial" w:cs="Arial"/>
            </w:rPr>
            <w:fldChar w:fldCharType="separate"/>
          </w:r>
          <w:r w:rsidR="00784A9B" w:rsidRPr="00397A67">
            <w:rPr>
              <w:rFonts w:ascii="Arial" w:hAnsi="Arial" w:cs="Arial"/>
              <w:noProof/>
            </w:rPr>
            <w:t>(BURBERRY, 2024)</w:t>
          </w:r>
          <w:r w:rsidR="00784A9B" w:rsidRPr="00397A67">
            <w:rPr>
              <w:rFonts w:ascii="Arial" w:hAnsi="Arial" w:cs="Arial"/>
            </w:rPr>
            <w:fldChar w:fldCharType="end"/>
          </w:r>
        </w:sdtContent>
      </w:sdt>
    </w:p>
    <w:p w14:paraId="73ED96B9" w14:textId="525F637A" w:rsidR="00D2727E" w:rsidRPr="00397A67" w:rsidRDefault="00D2727E" w:rsidP="00397A67">
      <w:pPr>
        <w:rPr>
          <w:rFonts w:ascii="Arial" w:hAnsi="Arial" w:cs="Arial"/>
        </w:rPr>
      </w:pPr>
      <w:r w:rsidRPr="00397A67">
        <w:rPr>
          <w:rFonts w:ascii="Arial" w:hAnsi="Arial" w:cs="Arial"/>
        </w:rPr>
        <w:t xml:space="preserve">This </w:t>
      </w:r>
      <w:r w:rsidR="00991D99" w:rsidRPr="00397A67">
        <w:rPr>
          <w:rFonts w:ascii="Arial" w:hAnsi="Arial" w:cs="Arial"/>
        </w:rPr>
        <w:t>diagram</w:t>
      </w:r>
      <w:r w:rsidRPr="00397A67">
        <w:rPr>
          <w:rFonts w:ascii="Arial" w:hAnsi="Arial" w:cs="Arial"/>
        </w:rPr>
        <w:t xml:space="preserve"> illustrates the EPS trend over the same period. The x-axis would represent the years, while the y-axis would show EPS values. The EPS of Burberry increased </w:t>
      </w:r>
      <w:r w:rsidRPr="00397A67">
        <w:rPr>
          <w:rFonts w:ascii="Arial" w:hAnsi="Arial" w:cs="Arial"/>
        </w:rPr>
        <w:lastRenderedPageBreak/>
        <w:t xml:space="preserve">gradually from 2018 (1.35 GBP) to 2019 (1.45 GBP), reflecting steady profit growth. The sharp decline in 2020 (to 0.85 GBP) coincided with decreased consumer demand and store closures due to COVID-19. However, in 2021 and 2022, Burberry's EPS </w:t>
      </w:r>
      <w:r w:rsidR="002E342C" w:rsidRPr="00397A67">
        <w:rPr>
          <w:rFonts w:ascii="Arial" w:hAnsi="Arial" w:cs="Arial"/>
        </w:rPr>
        <w:t>returned</w:t>
      </w:r>
      <w:r w:rsidRPr="00397A67">
        <w:rPr>
          <w:rFonts w:ascii="Arial" w:hAnsi="Arial" w:cs="Arial"/>
        </w:rPr>
        <w:t xml:space="preserve"> to 1.20 GBP and 1.30 GBP respectively. The recovery aligns with Burberry’s governance </w:t>
      </w:r>
      <w:r w:rsidR="002E342C" w:rsidRPr="00397A67">
        <w:rPr>
          <w:rFonts w:ascii="Arial" w:hAnsi="Arial" w:cs="Arial"/>
        </w:rPr>
        <w:t>progresses</w:t>
      </w:r>
      <w:r w:rsidRPr="00397A67">
        <w:rPr>
          <w:rFonts w:ascii="Arial" w:hAnsi="Arial" w:cs="Arial"/>
        </w:rPr>
        <w:t>, such as enhancing transparency and executive leadership incentives, showing a positive relationship between governance quality and profitability.</w:t>
      </w:r>
    </w:p>
    <w:p w14:paraId="77796688" w14:textId="77777777" w:rsidR="00D2727E" w:rsidRPr="00397A67" w:rsidRDefault="00D2727E">
      <w:pPr>
        <w:rPr>
          <w:rFonts w:ascii="Arial" w:hAnsi="Arial" w:cs="Arial"/>
        </w:rPr>
      </w:pPr>
    </w:p>
    <w:p w14:paraId="3F18F821" w14:textId="7E88E167" w:rsidR="004E2CA1" w:rsidRPr="00397A67" w:rsidRDefault="00D2727E">
      <w:pPr>
        <w:rPr>
          <w:rFonts w:ascii="Arial" w:hAnsi="Arial" w:cs="Arial"/>
        </w:rPr>
      </w:pPr>
      <w:bookmarkStart w:id="11" w:name="_Toc180658928"/>
      <w:r w:rsidRPr="00990E73">
        <w:rPr>
          <w:rStyle w:val="Heading2Char"/>
        </w:rPr>
        <w:t>Stock Price Performance</w:t>
      </w:r>
      <w:bookmarkEnd w:id="11"/>
      <w:r w:rsidR="005F2E62">
        <w:rPr>
          <w:rFonts w:ascii="Arial" w:hAnsi="Arial" w:cs="Arial"/>
        </w:rPr>
        <w:t xml:space="preserve"> according to</w:t>
      </w:r>
      <w:r w:rsidR="005F2E62" w:rsidRPr="005F2E62">
        <w:rPr>
          <w:rFonts w:ascii="Arial" w:hAnsi="Arial" w:cs="Arial"/>
          <w:noProof/>
        </w:rPr>
        <w:t xml:space="preserve"> Butler</w:t>
      </w:r>
      <w:r w:rsidR="005F2E62">
        <w:rPr>
          <w:rFonts w:ascii="Arial" w:hAnsi="Arial" w:cs="Arial"/>
          <w:noProof/>
        </w:rPr>
        <w:t>(</w:t>
      </w:r>
      <w:r w:rsidR="005F2E62" w:rsidRPr="005F2E62">
        <w:rPr>
          <w:rFonts w:ascii="Arial" w:hAnsi="Arial" w:cs="Arial"/>
          <w:noProof/>
        </w:rPr>
        <w:t>2024)</w:t>
      </w:r>
      <w:r w:rsidR="005F2E62">
        <w:rPr>
          <w:rFonts w:ascii="Arial" w:hAnsi="Arial" w:cs="Arial"/>
        </w:rPr>
        <w:t xml:space="preserve"> r</w:t>
      </w:r>
      <w:r w:rsidR="005F2E62" w:rsidRPr="005F2E62">
        <w:rPr>
          <w:rFonts w:ascii="Arial" w:hAnsi="Arial" w:cs="Arial"/>
        </w:rPr>
        <w:t xml:space="preserve">efers to the change in a stock's value over a given time frame. This can be </w:t>
      </w:r>
      <w:r w:rsidR="002313A4" w:rsidRPr="005F2E62">
        <w:rPr>
          <w:rFonts w:ascii="Arial" w:hAnsi="Arial" w:cs="Arial"/>
        </w:rPr>
        <w:t>influenced</w:t>
      </w:r>
      <w:r w:rsidR="005F2E62" w:rsidRPr="005F2E62">
        <w:rPr>
          <w:rFonts w:ascii="Arial" w:hAnsi="Arial" w:cs="Arial"/>
        </w:rPr>
        <w:t xml:space="preserve"> by various </w:t>
      </w:r>
      <w:r w:rsidR="002313A4" w:rsidRPr="005F2E62">
        <w:rPr>
          <w:rFonts w:ascii="Arial" w:hAnsi="Arial" w:cs="Arial"/>
        </w:rPr>
        <w:t>aspects</w:t>
      </w:r>
      <w:r w:rsidR="005F2E62" w:rsidRPr="005F2E62">
        <w:rPr>
          <w:rFonts w:ascii="Arial" w:hAnsi="Arial" w:cs="Arial"/>
        </w:rPr>
        <w:t>, including a company's earnings, trends within its industry, market sentiment, interest rates, and broader economic conditions.</w:t>
      </w:r>
      <w:r w:rsidRPr="00397A67">
        <w:rPr>
          <w:rFonts w:ascii="Arial" w:hAnsi="Arial" w:cs="Arial"/>
        </w:rPr>
        <w:t xml:space="preserve"> </w:t>
      </w:r>
      <w:r w:rsidR="002236DD">
        <w:rPr>
          <w:rFonts w:ascii="Arial" w:hAnsi="Arial" w:cs="Arial"/>
        </w:rPr>
        <w:t>The stock</w:t>
      </w:r>
      <w:r w:rsidRPr="00397A67">
        <w:rPr>
          <w:rFonts w:ascii="Arial" w:hAnsi="Arial" w:cs="Arial"/>
        </w:rPr>
        <w:t xml:space="preserve"> price of Burberry has shown a general upward trend over the five-year period, with some </w:t>
      </w:r>
      <w:r w:rsidR="007E0E90" w:rsidRPr="00397A67">
        <w:rPr>
          <w:rFonts w:ascii="Arial" w:hAnsi="Arial" w:cs="Arial"/>
        </w:rPr>
        <w:t>instability</w:t>
      </w:r>
      <w:r w:rsidRPr="00397A67">
        <w:rPr>
          <w:rFonts w:ascii="Arial" w:hAnsi="Arial" w:cs="Arial"/>
        </w:rPr>
        <w:t xml:space="preserve"> around global economic uncertainties. The positive trend can be partly attributed to investor confidence in Burberry’s governance </w:t>
      </w:r>
      <w:r w:rsidR="002E342C" w:rsidRPr="00397A67">
        <w:rPr>
          <w:rFonts w:ascii="Arial" w:hAnsi="Arial" w:cs="Arial"/>
        </w:rPr>
        <w:t>methods</w:t>
      </w:r>
      <w:r w:rsidRPr="00397A67">
        <w:rPr>
          <w:rFonts w:ascii="Arial" w:hAnsi="Arial" w:cs="Arial"/>
        </w:rPr>
        <w:t>, particularly its transparency and strategic management of risks.</w:t>
      </w:r>
    </w:p>
    <w:p w14:paraId="04B6A2CA" w14:textId="41865E7A" w:rsidR="00D2727E" w:rsidRPr="00397A67" w:rsidRDefault="00E84073">
      <w:pPr>
        <w:rPr>
          <w:rFonts w:ascii="Arial" w:hAnsi="Arial" w:cs="Arial"/>
        </w:rPr>
      </w:pPr>
      <w:r w:rsidRPr="00397A67">
        <w:rPr>
          <w:rFonts w:ascii="Arial" w:hAnsi="Arial" w:cs="Arial"/>
          <w:noProof/>
        </w:rPr>
        <w:drawing>
          <wp:inline distT="0" distB="0" distL="0" distR="0" wp14:anchorId="5AE358DE" wp14:editId="6F94E7EA">
            <wp:extent cx="5943600" cy="3341370"/>
            <wp:effectExtent l="0" t="0" r="0" b="0"/>
            <wp:docPr id="778249969" name="Picture 1" descr="A graph on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249969" name="Picture 1" descr="A graph on a computer screen&#10;&#10;Description automatically generated"/>
                    <pic:cNvPicPr/>
                  </pic:nvPicPr>
                  <pic:blipFill>
                    <a:blip r:embed="rId10"/>
                    <a:stretch>
                      <a:fillRect/>
                    </a:stretch>
                  </pic:blipFill>
                  <pic:spPr>
                    <a:xfrm>
                      <a:off x="0" y="0"/>
                      <a:ext cx="5943600" cy="3341370"/>
                    </a:xfrm>
                    <a:prstGeom prst="rect">
                      <a:avLst/>
                    </a:prstGeom>
                  </pic:spPr>
                </pic:pic>
              </a:graphicData>
            </a:graphic>
          </wp:inline>
        </w:drawing>
      </w:r>
    </w:p>
    <w:p w14:paraId="1E88B852" w14:textId="412DD799" w:rsidR="00D91F1F" w:rsidRPr="00397A67" w:rsidRDefault="00000000">
      <w:pPr>
        <w:rPr>
          <w:rFonts w:ascii="Arial" w:hAnsi="Arial" w:cs="Arial"/>
        </w:rPr>
      </w:pPr>
      <w:sdt>
        <w:sdtPr>
          <w:rPr>
            <w:rFonts w:ascii="Arial" w:hAnsi="Arial" w:cs="Arial"/>
          </w:rPr>
          <w:id w:val="1886286639"/>
          <w:citation/>
        </w:sdtPr>
        <w:sdtContent>
          <w:r w:rsidR="00D91F1F" w:rsidRPr="00397A67">
            <w:rPr>
              <w:rFonts w:ascii="Arial" w:hAnsi="Arial" w:cs="Arial"/>
            </w:rPr>
            <w:fldChar w:fldCharType="begin"/>
          </w:r>
          <w:r w:rsidR="00D91F1F" w:rsidRPr="00397A67">
            <w:rPr>
              <w:rFonts w:ascii="Arial" w:hAnsi="Arial" w:cs="Arial"/>
            </w:rPr>
            <w:instrText xml:space="preserve"> CITATION Bur24 \l 1033 </w:instrText>
          </w:r>
          <w:r w:rsidR="00D91F1F" w:rsidRPr="00397A67">
            <w:rPr>
              <w:rFonts w:ascii="Arial" w:hAnsi="Arial" w:cs="Arial"/>
            </w:rPr>
            <w:fldChar w:fldCharType="separate"/>
          </w:r>
          <w:r w:rsidR="00D91F1F" w:rsidRPr="00397A67">
            <w:rPr>
              <w:rFonts w:ascii="Arial" w:hAnsi="Arial" w:cs="Arial"/>
              <w:noProof/>
            </w:rPr>
            <w:t>(Burberry Group PLC, n.d.)</w:t>
          </w:r>
          <w:r w:rsidR="00D91F1F" w:rsidRPr="00397A67">
            <w:rPr>
              <w:rFonts w:ascii="Arial" w:hAnsi="Arial" w:cs="Arial"/>
            </w:rPr>
            <w:fldChar w:fldCharType="end"/>
          </w:r>
        </w:sdtContent>
      </w:sdt>
    </w:p>
    <w:p w14:paraId="3FE9E6FE" w14:textId="77777777" w:rsidR="00D2727E" w:rsidRPr="00397A67" w:rsidRDefault="00D2727E">
      <w:pPr>
        <w:rPr>
          <w:rFonts w:ascii="Arial" w:hAnsi="Arial" w:cs="Arial"/>
        </w:rPr>
      </w:pPr>
    </w:p>
    <w:p w14:paraId="1F5D261F" w14:textId="59EE3F52" w:rsidR="00D037CB" w:rsidRDefault="00D2727E" w:rsidP="00397A67">
      <w:pPr>
        <w:rPr>
          <w:rFonts w:ascii="Arial" w:hAnsi="Arial" w:cs="Arial"/>
        </w:rPr>
      </w:pPr>
      <w:r w:rsidRPr="00397A67">
        <w:rPr>
          <w:rFonts w:ascii="Arial" w:hAnsi="Arial" w:cs="Arial"/>
        </w:rPr>
        <w:t xml:space="preserve">This line chart would display the stock price trend of Burberry over the five years. The x-axis would represent the months, while the y-axis would reflect the stock prices in GBP. Burberry’s stock price showed consistent growth from 2018 to early 2020, reaching a </w:t>
      </w:r>
      <w:r w:rsidRPr="00397A67">
        <w:rPr>
          <w:rFonts w:ascii="Arial" w:hAnsi="Arial" w:cs="Arial"/>
        </w:rPr>
        <w:lastRenderedPageBreak/>
        <w:t>peak before a sharp decline in March 2020, following the onset of the pandemic. The stock price began to recover in late 2020 as Burberry implemented strategic shifts in governance, such as focusing on board diversity and adapting to e-commerce growth. By 2022, the stock price regained pre-pandemic levels, indicating that the market responded positively to Burberry’s governance practices and strategic decisions.</w:t>
      </w:r>
    </w:p>
    <w:p w14:paraId="180E7742" w14:textId="4D428ED4" w:rsidR="00990E73" w:rsidRPr="00397A67" w:rsidRDefault="00990E73" w:rsidP="00990E73">
      <w:pPr>
        <w:pStyle w:val="Heading2"/>
      </w:pPr>
      <w:r>
        <w:t xml:space="preserve">  </w:t>
      </w:r>
      <w:bookmarkStart w:id="12" w:name="_Toc180658929"/>
      <w:r>
        <w:t>Executive Compensation and ROE</w:t>
      </w:r>
      <w:bookmarkEnd w:id="12"/>
    </w:p>
    <w:p w14:paraId="73A65F4B" w14:textId="41DC8899" w:rsidR="00D037CB" w:rsidRDefault="00D037CB" w:rsidP="00D037CB">
      <w:pPr>
        <w:ind w:left="720"/>
        <w:rPr>
          <w:rFonts w:ascii="Arial" w:hAnsi="Arial" w:cs="Arial"/>
        </w:rPr>
      </w:pPr>
      <w:r w:rsidRPr="00397A67">
        <w:rPr>
          <w:rFonts w:ascii="Arial" w:hAnsi="Arial" w:cs="Arial"/>
          <w:noProof/>
        </w:rPr>
        <w:drawing>
          <wp:inline distT="0" distB="0" distL="0" distR="0" wp14:anchorId="6089CB3E" wp14:editId="0D27E1F4">
            <wp:extent cx="5943600" cy="3341370"/>
            <wp:effectExtent l="0" t="0" r="0" b="0"/>
            <wp:docPr id="453311701"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311701" name="Picture 1" descr="A screen shot of a graph&#10;&#10;Description automatically generated"/>
                    <pic:cNvPicPr/>
                  </pic:nvPicPr>
                  <pic:blipFill>
                    <a:blip r:embed="rId11"/>
                    <a:stretch>
                      <a:fillRect/>
                    </a:stretch>
                  </pic:blipFill>
                  <pic:spPr>
                    <a:xfrm>
                      <a:off x="0" y="0"/>
                      <a:ext cx="5943600" cy="3341370"/>
                    </a:xfrm>
                    <a:prstGeom prst="rect">
                      <a:avLst/>
                    </a:prstGeom>
                  </pic:spPr>
                </pic:pic>
              </a:graphicData>
            </a:graphic>
          </wp:inline>
        </w:drawing>
      </w:r>
    </w:p>
    <w:p w14:paraId="4F128C5A" w14:textId="40055BB9" w:rsidR="00601B60" w:rsidRPr="00397A67" w:rsidRDefault="00000000" w:rsidP="00D037CB">
      <w:pPr>
        <w:ind w:left="720"/>
        <w:rPr>
          <w:rFonts w:ascii="Arial" w:hAnsi="Arial" w:cs="Arial"/>
        </w:rPr>
      </w:pPr>
      <w:sdt>
        <w:sdtPr>
          <w:rPr>
            <w:rFonts w:ascii="Arial" w:hAnsi="Arial" w:cs="Arial"/>
          </w:rPr>
          <w:id w:val="1660816645"/>
          <w:citation/>
        </w:sdtPr>
        <w:sdtContent>
          <w:r w:rsidR="00601B60">
            <w:rPr>
              <w:rFonts w:ascii="Arial" w:hAnsi="Arial" w:cs="Arial"/>
            </w:rPr>
            <w:fldChar w:fldCharType="begin"/>
          </w:r>
          <w:r w:rsidR="00601B60">
            <w:rPr>
              <w:rFonts w:ascii="Arial" w:hAnsi="Arial" w:cs="Arial"/>
            </w:rPr>
            <w:instrText xml:space="preserve"> CITATION Bur245 \l 1033 </w:instrText>
          </w:r>
          <w:r w:rsidR="00601B60">
            <w:rPr>
              <w:rFonts w:ascii="Arial" w:hAnsi="Arial" w:cs="Arial"/>
            </w:rPr>
            <w:fldChar w:fldCharType="separate"/>
          </w:r>
          <w:r w:rsidR="00601B60" w:rsidRPr="00601B60">
            <w:rPr>
              <w:rFonts w:ascii="Arial" w:hAnsi="Arial" w:cs="Arial"/>
              <w:noProof/>
            </w:rPr>
            <w:t>(Burby, n.d.)</w:t>
          </w:r>
          <w:r w:rsidR="00601B60">
            <w:rPr>
              <w:rFonts w:ascii="Arial" w:hAnsi="Arial" w:cs="Arial"/>
            </w:rPr>
            <w:fldChar w:fldCharType="end"/>
          </w:r>
        </w:sdtContent>
      </w:sdt>
    </w:p>
    <w:p w14:paraId="1B4C091E" w14:textId="64F834FF" w:rsidR="00D037CB" w:rsidRPr="00397A67" w:rsidRDefault="00D037CB" w:rsidP="006B3C95">
      <w:pPr>
        <w:rPr>
          <w:rFonts w:ascii="Arial" w:hAnsi="Arial" w:cs="Arial"/>
        </w:rPr>
      </w:pPr>
      <w:r w:rsidRPr="00397A67">
        <w:rPr>
          <w:rFonts w:ascii="Arial" w:hAnsi="Arial" w:cs="Arial"/>
        </w:rPr>
        <w:t>This chart visualizes how executive compensation aligns with changes in the company's ROE, highlighting the correlation between performance-based pay and profitability.</w:t>
      </w:r>
      <w:r w:rsidRPr="00397A67">
        <w:rPr>
          <w:rFonts w:ascii="Arial" w:eastAsia="Times New Roman" w:hAnsi="Arial" w:cs="Arial"/>
          <w:kern w:val="0"/>
          <w14:ligatures w14:val="none"/>
        </w:rPr>
        <w:t xml:space="preserve"> </w:t>
      </w:r>
      <w:r w:rsidRPr="00397A67">
        <w:rPr>
          <w:rFonts w:ascii="Arial" w:hAnsi="Arial" w:cs="Arial"/>
        </w:rPr>
        <w:t>The x-axis would represent the years, while two y-axes would show the ROE percentages and executive compensation (in GBP)</w:t>
      </w:r>
      <w:r w:rsidR="006B3C95">
        <w:rPr>
          <w:rFonts w:ascii="Arial" w:hAnsi="Arial" w:cs="Arial"/>
        </w:rPr>
        <w:t xml:space="preserve">. </w:t>
      </w:r>
      <w:r w:rsidRPr="00397A67">
        <w:rPr>
          <w:rFonts w:ascii="Arial" w:hAnsi="Arial" w:cs="Arial"/>
        </w:rPr>
        <w:t xml:space="preserve"> Burberry’s executive compensation packages, which include performance-based bonuses, have been closely aligned with ROE. In years with higher ROE (2018 and 2019), executive compensation also saw higher bonuses. The </w:t>
      </w:r>
      <w:r w:rsidR="00991D99" w:rsidRPr="00397A67">
        <w:rPr>
          <w:rFonts w:ascii="Arial" w:hAnsi="Arial" w:cs="Arial"/>
        </w:rPr>
        <w:t>slope</w:t>
      </w:r>
      <w:r w:rsidRPr="00397A67">
        <w:rPr>
          <w:rFonts w:ascii="Arial" w:hAnsi="Arial" w:cs="Arial"/>
        </w:rPr>
        <w:t xml:space="preserve"> in 2020 ROE led to reduced performance-based payouts, aligning management interests with those of shareholders. The </w:t>
      </w:r>
      <w:r w:rsidR="006B3C95" w:rsidRPr="00397A67">
        <w:rPr>
          <w:rFonts w:ascii="Arial" w:hAnsi="Arial" w:cs="Arial"/>
        </w:rPr>
        <w:t>following</w:t>
      </w:r>
      <w:r w:rsidRPr="00397A67">
        <w:rPr>
          <w:rFonts w:ascii="Arial" w:hAnsi="Arial" w:cs="Arial"/>
        </w:rPr>
        <w:t xml:space="preserve"> rise in ROE in 2021 and 2022 </w:t>
      </w:r>
      <w:r w:rsidR="00991D99" w:rsidRPr="00397A67">
        <w:rPr>
          <w:rFonts w:ascii="Arial" w:hAnsi="Arial" w:cs="Arial"/>
        </w:rPr>
        <w:t>accorded</w:t>
      </w:r>
      <w:r w:rsidRPr="00397A67">
        <w:rPr>
          <w:rFonts w:ascii="Arial" w:hAnsi="Arial" w:cs="Arial"/>
        </w:rPr>
        <w:t xml:space="preserve"> with increased performance bonuses, suggesting that </w:t>
      </w:r>
      <w:r w:rsidR="00991D99" w:rsidRPr="00397A67">
        <w:rPr>
          <w:rFonts w:ascii="Arial" w:hAnsi="Arial" w:cs="Arial"/>
        </w:rPr>
        <w:t>attaching</w:t>
      </w:r>
      <w:r w:rsidRPr="00397A67">
        <w:rPr>
          <w:rFonts w:ascii="Arial" w:hAnsi="Arial" w:cs="Arial"/>
        </w:rPr>
        <w:t xml:space="preserve"> compensation to financial metrics has been effective in aligning management goals with overall firm performance.</w:t>
      </w:r>
    </w:p>
    <w:p w14:paraId="5BFEFE92" w14:textId="4F0683D0" w:rsidR="00D037CB" w:rsidRPr="00397A67" w:rsidRDefault="00D037CB" w:rsidP="00D2727E">
      <w:pPr>
        <w:rPr>
          <w:rFonts w:ascii="Arial" w:hAnsi="Arial" w:cs="Arial"/>
        </w:rPr>
      </w:pPr>
    </w:p>
    <w:p w14:paraId="6CB25347" w14:textId="77777777" w:rsidR="00D037CB" w:rsidRPr="00397A67" w:rsidRDefault="00D037CB" w:rsidP="00D2727E">
      <w:pPr>
        <w:rPr>
          <w:rFonts w:ascii="Arial" w:hAnsi="Arial" w:cs="Arial"/>
          <w:b/>
          <w:bCs/>
        </w:rPr>
      </w:pPr>
      <w:r w:rsidRPr="00397A67">
        <w:rPr>
          <w:rFonts w:ascii="Arial" w:hAnsi="Arial" w:cs="Arial"/>
          <w:b/>
          <w:bCs/>
        </w:rPr>
        <w:t xml:space="preserve"> </w:t>
      </w:r>
    </w:p>
    <w:p w14:paraId="600EF859" w14:textId="77777777" w:rsidR="00D037CB" w:rsidRDefault="00D037CB" w:rsidP="00D2727E">
      <w:pPr>
        <w:rPr>
          <w:b/>
          <w:bCs/>
        </w:rPr>
      </w:pPr>
    </w:p>
    <w:p w14:paraId="7078CDB2" w14:textId="1031C2E8" w:rsidR="00D037CB" w:rsidRDefault="00D037CB" w:rsidP="00D2727E">
      <w:pPr>
        <w:rPr>
          <w:b/>
          <w:bCs/>
        </w:rPr>
      </w:pPr>
      <w:r>
        <w:rPr>
          <w:b/>
          <w:bCs/>
        </w:rPr>
        <w:t xml:space="preserve"> </w:t>
      </w:r>
    </w:p>
    <w:p w14:paraId="14481832" w14:textId="0434AB90" w:rsidR="00D2727E" w:rsidRPr="00D2727E" w:rsidRDefault="00D2727E" w:rsidP="00990E73">
      <w:pPr>
        <w:pStyle w:val="Heading1"/>
      </w:pPr>
      <w:bookmarkStart w:id="13" w:name="_Toc180658930"/>
      <w:r w:rsidRPr="00D2727E">
        <w:t>Conclusion</w:t>
      </w:r>
      <w:bookmarkEnd w:id="13"/>
    </w:p>
    <w:p w14:paraId="5820A558" w14:textId="38B4B6D8" w:rsidR="00DD3F28" w:rsidRPr="00DD3F28" w:rsidRDefault="00DD3F28" w:rsidP="00DD3F28">
      <w:pPr>
        <w:rPr>
          <w:rFonts w:ascii="Arial" w:hAnsi="Arial" w:cs="Arial"/>
        </w:rPr>
      </w:pPr>
      <w:r w:rsidRPr="00DD3F28">
        <w:rPr>
          <w:rFonts w:ascii="Arial" w:hAnsi="Arial" w:cs="Arial"/>
        </w:rPr>
        <w:t xml:space="preserve">The analysis of Burberry Group plc’s corporate governance practices and financial performance from 2018 to 2022 illustrates </w:t>
      </w:r>
      <w:r w:rsidR="002313A4" w:rsidRPr="00DD3F28">
        <w:rPr>
          <w:rFonts w:ascii="Arial" w:hAnsi="Arial" w:cs="Arial"/>
        </w:rPr>
        <w:t>an</w:t>
      </w:r>
      <w:r w:rsidRPr="00DD3F28">
        <w:rPr>
          <w:rFonts w:ascii="Arial" w:hAnsi="Arial" w:cs="Arial"/>
        </w:rPr>
        <w:t xml:space="preserve"> </w:t>
      </w:r>
      <w:r w:rsidR="002313A4" w:rsidRPr="00DD3F28">
        <w:rPr>
          <w:rFonts w:ascii="Arial" w:hAnsi="Arial" w:cs="Arial"/>
        </w:rPr>
        <w:t>optimistic</w:t>
      </w:r>
      <w:r w:rsidRPr="00DD3F28">
        <w:rPr>
          <w:rFonts w:ascii="Arial" w:hAnsi="Arial" w:cs="Arial"/>
        </w:rPr>
        <w:t xml:space="preserve"> </w:t>
      </w:r>
      <w:r w:rsidR="002313A4" w:rsidRPr="00DD3F28">
        <w:rPr>
          <w:rFonts w:ascii="Arial" w:hAnsi="Arial" w:cs="Arial"/>
        </w:rPr>
        <w:t>association</w:t>
      </w:r>
      <w:r w:rsidRPr="00DD3F28">
        <w:rPr>
          <w:rFonts w:ascii="Arial" w:hAnsi="Arial" w:cs="Arial"/>
        </w:rPr>
        <w:t xml:space="preserve"> </w:t>
      </w:r>
      <w:r w:rsidR="002313A4" w:rsidRPr="00DD3F28">
        <w:rPr>
          <w:rFonts w:ascii="Arial" w:hAnsi="Arial" w:cs="Arial"/>
        </w:rPr>
        <w:t>linking</w:t>
      </w:r>
      <w:r w:rsidRPr="00DD3F28">
        <w:rPr>
          <w:rFonts w:ascii="Arial" w:hAnsi="Arial" w:cs="Arial"/>
        </w:rPr>
        <w:t xml:space="preserve"> effective governance and firm performance. Key governance practices, such as board independence, diversity, performance-linked compensation, and transparency, have contributed to Burberry’s ability to adapt to external challenges, including the COVID-19 pandemic, while maintaining shareholder value.</w:t>
      </w:r>
    </w:p>
    <w:p w14:paraId="7773F350" w14:textId="5A3A39B7" w:rsidR="00DD3F28" w:rsidRDefault="00DD3F28" w:rsidP="00DD3F28">
      <w:pPr>
        <w:rPr>
          <w:rFonts w:ascii="Arial" w:hAnsi="Arial" w:cs="Arial"/>
        </w:rPr>
      </w:pPr>
      <w:r w:rsidRPr="00DD3F28">
        <w:rPr>
          <w:rFonts w:ascii="Arial" w:hAnsi="Arial" w:cs="Arial"/>
        </w:rPr>
        <w:t xml:space="preserve">The </w:t>
      </w:r>
      <w:r w:rsidR="00397A67" w:rsidRPr="00DD3F28">
        <w:rPr>
          <w:rFonts w:ascii="Arial" w:hAnsi="Arial" w:cs="Arial"/>
        </w:rPr>
        <w:t>observed</w:t>
      </w:r>
      <w:r w:rsidRPr="00DD3F28">
        <w:rPr>
          <w:rFonts w:ascii="Arial" w:hAnsi="Arial" w:cs="Arial"/>
        </w:rPr>
        <w:t xml:space="preserve"> data suggests that Burberry’s focus on aligning management and shareholder interests, along with its commitment to diversity and transparency, has resulted in improved financial outcomes. As such, Burberry’s case reinforces the importance of strong corporate governance frameworks in enhancing a company’s resilience and sustaining long-term profitability. Future studies could extend this analysis by comparing Burberry’s performance with other companies in the luxury sector, </w:t>
      </w:r>
      <w:r w:rsidR="008A663D" w:rsidRPr="00DD3F28">
        <w:rPr>
          <w:rFonts w:ascii="Arial" w:hAnsi="Arial" w:cs="Arial"/>
        </w:rPr>
        <w:t>designing</w:t>
      </w:r>
      <w:r w:rsidRPr="00DD3F28">
        <w:rPr>
          <w:rFonts w:ascii="Arial" w:hAnsi="Arial" w:cs="Arial"/>
        </w:rPr>
        <w:t xml:space="preserve"> further insights into the effectiveness of governance practices across different corporate contexts.</w:t>
      </w:r>
    </w:p>
    <w:p w14:paraId="2BECEBA7" w14:textId="2D7635ED" w:rsidR="00990E73" w:rsidRDefault="00990E73" w:rsidP="00012925">
      <w:pPr>
        <w:pStyle w:val="Heading2"/>
      </w:pPr>
      <w:bookmarkStart w:id="14" w:name="_Toc180658931"/>
      <w:r>
        <w:t>References</w:t>
      </w:r>
      <w:bookmarkEnd w:id="14"/>
    </w:p>
    <w:p w14:paraId="25B49A21" w14:textId="77777777" w:rsidR="00012925" w:rsidRDefault="00012925" w:rsidP="00012925">
      <w:pPr>
        <w:pStyle w:val="Bibliography"/>
        <w:rPr>
          <w:noProof/>
          <w:kern w:val="0"/>
          <w14:ligatures w14:val="none"/>
        </w:rPr>
      </w:pPr>
      <w:r>
        <w:fldChar w:fldCharType="begin"/>
      </w:r>
      <w:r>
        <w:instrText xml:space="preserve"> BIBLIOGRAPHY  \l 1033 </w:instrText>
      </w:r>
      <w:r>
        <w:fldChar w:fldCharType="separate"/>
      </w:r>
      <w:r>
        <w:rPr>
          <w:noProof/>
        </w:rPr>
        <w:t xml:space="preserve">Steven Nickolas, 2024. </w:t>
      </w:r>
      <w:r>
        <w:rPr>
          <w:i/>
          <w:iCs/>
          <w:noProof/>
        </w:rPr>
        <w:t xml:space="preserve">Investopedia. </w:t>
      </w:r>
      <w:r>
        <w:rPr>
          <w:noProof/>
        </w:rPr>
        <w:t xml:space="preserve">[Online] </w:t>
      </w:r>
      <w:r>
        <w:rPr>
          <w:noProof/>
        </w:rPr>
        <w:br/>
        <w:t xml:space="preserve">Available at: </w:t>
      </w:r>
      <w:r>
        <w:rPr>
          <w:noProof/>
          <w:u w:val="single"/>
        </w:rPr>
        <w:t>https://www.investopedia.com/ask/answers/032515/what-difference-between-earnings-share-and-dividends-share.asp</w:t>
      </w:r>
      <w:r>
        <w:rPr>
          <w:noProof/>
        </w:rPr>
        <w:br/>
        <w:t>[Accessed 2024].</w:t>
      </w:r>
    </w:p>
    <w:p w14:paraId="1C89B969" w14:textId="77777777" w:rsidR="00012925" w:rsidRDefault="00012925" w:rsidP="00012925">
      <w:pPr>
        <w:pStyle w:val="Bibliography"/>
        <w:rPr>
          <w:noProof/>
        </w:rPr>
      </w:pPr>
      <w:r>
        <w:rPr>
          <w:noProof/>
        </w:rPr>
        <w:t xml:space="preserve">BRBY.L, 2024. </w:t>
      </w:r>
      <w:r>
        <w:rPr>
          <w:i/>
          <w:iCs/>
          <w:noProof/>
        </w:rPr>
        <w:t xml:space="preserve">wisesheets. </w:t>
      </w:r>
      <w:r>
        <w:rPr>
          <w:noProof/>
        </w:rPr>
        <w:t xml:space="preserve">[Online] </w:t>
      </w:r>
      <w:r>
        <w:rPr>
          <w:noProof/>
        </w:rPr>
        <w:br/>
        <w:t xml:space="preserve">Available at: </w:t>
      </w:r>
      <w:r>
        <w:rPr>
          <w:noProof/>
          <w:u w:val="single"/>
        </w:rPr>
        <w:t>https://www.wisesheets.io/roe/BRBY.L</w:t>
      </w:r>
      <w:r>
        <w:rPr>
          <w:noProof/>
        </w:rPr>
        <w:br/>
        <w:t>[Accessed 2024].</w:t>
      </w:r>
    </w:p>
    <w:p w14:paraId="6A9AA751" w14:textId="77777777" w:rsidR="00012925" w:rsidRDefault="00012925" w:rsidP="00012925">
      <w:pPr>
        <w:pStyle w:val="Bibliography"/>
        <w:rPr>
          <w:noProof/>
        </w:rPr>
      </w:pPr>
      <w:r>
        <w:rPr>
          <w:noProof/>
        </w:rPr>
        <w:t xml:space="preserve">Burberry Group PLC, n.d. </w:t>
      </w:r>
      <w:r>
        <w:rPr>
          <w:i/>
          <w:iCs/>
          <w:noProof/>
        </w:rPr>
        <w:t xml:space="preserve">London Stock Exchange. </w:t>
      </w:r>
      <w:r>
        <w:rPr>
          <w:noProof/>
        </w:rPr>
        <w:t xml:space="preserve">[Online] </w:t>
      </w:r>
      <w:r>
        <w:rPr>
          <w:noProof/>
        </w:rPr>
        <w:br/>
        <w:t xml:space="preserve">Available at: </w:t>
      </w:r>
      <w:r>
        <w:rPr>
          <w:noProof/>
          <w:u w:val="single"/>
        </w:rPr>
        <w:t>https://www.londonstockexchange.com/stock/BRBY/burberry-group-plc/company-page</w:t>
      </w:r>
      <w:r>
        <w:rPr>
          <w:noProof/>
        </w:rPr>
        <w:br/>
        <w:t>[Accessed 2024].</w:t>
      </w:r>
    </w:p>
    <w:p w14:paraId="4A11B4C7" w14:textId="77777777" w:rsidR="00012925" w:rsidRDefault="00012925" w:rsidP="00012925">
      <w:pPr>
        <w:pStyle w:val="Bibliography"/>
        <w:rPr>
          <w:noProof/>
        </w:rPr>
      </w:pPr>
      <w:r>
        <w:rPr>
          <w:noProof/>
        </w:rPr>
        <w:t xml:space="preserve">Burberry, 2022. </w:t>
      </w:r>
      <w:r>
        <w:rPr>
          <w:i/>
          <w:iCs/>
          <w:noProof/>
        </w:rPr>
        <w:t xml:space="preserve">Burberry Plc Corporate. </w:t>
      </w:r>
      <w:r>
        <w:rPr>
          <w:noProof/>
        </w:rPr>
        <w:t xml:space="preserve">[Online] </w:t>
      </w:r>
      <w:r>
        <w:rPr>
          <w:noProof/>
        </w:rPr>
        <w:br/>
        <w:t xml:space="preserve">Available at: </w:t>
      </w:r>
      <w:r>
        <w:rPr>
          <w:noProof/>
          <w:u w:val="single"/>
        </w:rPr>
        <w:t>https://www.burberryplc.com/news/corporate/2022/burberry-recognised-in-the-bloomberg-gender-equality-index-for-t</w:t>
      </w:r>
      <w:r>
        <w:rPr>
          <w:noProof/>
        </w:rPr>
        <w:br/>
        <w:t>[Accessed 2024].</w:t>
      </w:r>
    </w:p>
    <w:p w14:paraId="245114C8" w14:textId="77777777" w:rsidR="00012925" w:rsidRDefault="00012925" w:rsidP="00012925">
      <w:pPr>
        <w:pStyle w:val="Bibliography"/>
        <w:rPr>
          <w:noProof/>
        </w:rPr>
      </w:pPr>
      <w:r>
        <w:rPr>
          <w:noProof/>
        </w:rPr>
        <w:lastRenderedPageBreak/>
        <w:t xml:space="preserve">BURBERRY, 2024. </w:t>
      </w:r>
      <w:r>
        <w:rPr>
          <w:i/>
          <w:iCs/>
          <w:noProof/>
        </w:rPr>
        <w:t xml:space="preserve">BURBERRY. </w:t>
      </w:r>
      <w:r>
        <w:rPr>
          <w:noProof/>
        </w:rPr>
        <w:t xml:space="preserve">[Online] </w:t>
      </w:r>
      <w:r>
        <w:rPr>
          <w:noProof/>
        </w:rPr>
        <w:br/>
        <w:t xml:space="preserve">Available at: </w:t>
      </w:r>
      <w:r>
        <w:rPr>
          <w:noProof/>
          <w:u w:val="single"/>
        </w:rPr>
        <w:t>https://www.burberryplc.com/investors/financial-performance-kpis</w:t>
      </w:r>
      <w:r>
        <w:rPr>
          <w:noProof/>
        </w:rPr>
        <w:br/>
        <w:t>[Accessed 2024].</w:t>
      </w:r>
    </w:p>
    <w:p w14:paraId="5596F201" w14:textId="77777777" w:rsidR="00012925" w:rsidRDefault="00012925" w:rsidP="00012925">
      <w:pPr>
        <w:pStyle w:val="Bibliography"/>
        <w:rPr>
          <w:noProof/>
        </w:rPr>
      </w:pPr>
      <w:r>
        <w:rPr>
          <w:noProof/>
        </w:rPr>
        <w:t xml:space="preserve">Burberry, n.d. </w:t>
      </w:r>
      <w:r>
        <w:rPr>
          <w:i/>
          <w:iCs/>
          <w:noProof/>
        </w:rPr>
        <w:t xml:space="preserve">Burberry. </w:t>
      </w:r>
      <w:r>
        <w:rPr>
          <w:noProof/>
        </w:rPr>
        <w:t xml:space="preserve">[Online] </w:t>
      </w:r>
      <w:r>
        <w:rPr>
          <w:noProof/>
        </w:rPr>
        <w:br/>
        <w:t xml:space="preserve">Available at: </w:t>
      </w:r>
      <w:r>
        <w:rPr>
          <w:noProof/>
          <w:u w:val="single"/>
        </w:rPr>
        <w:t>https://www.burberryplc.com/impact/Codes-and-Policies#accordion-a6053d9346-item-4034032646</w:t>
      </w:r>
      <w:r>
        <w:rPr>
          <w:noProof/>
        </w:rPr>
        <w:br/>
        <w:t>[Accessed 2024].</w:t>
      </w:r>
    </w:p>
    <w:p w14:paraId="1ACEF6CB" w14:textId="77777777" w:rsidR="00012925" w:rsidRDefault="00012925" w:rsidP="00012925">
      <w:pPr>
        <w:pStyle w:val="Bibliography"/>
        <w:rPr>
          <w:noProof/>
        </w:rPr>
      </w:pPr>
      <w:r>
        <w:rPr>
          <w:noProof/>
        </w:rPr>
        <w:t xml:space="preserve">Burberry, n.d. </w:t>
      </w:r>
      <w:r>
        <w:rPr>
          <w:i/>
          <w:iCs/>
          <w:noProof/>
        </w:rPr>
        <w:t xml:space="preserve">Burberry. </w:t>
      </w:r>
      <w:r>
        <w:rPr>
          <w:noProof/>
        </w:rPr>
        <w:t xml:space="preserve">[Online] </w:t>
      </w:r>
      <w:r>
        <w:rPr>
          <w:noProof/>
        </w:rPr>
        <w:br/>
        <w:t xml:space="preserve">Available at: </w:t>
      </w:r>
      <w:r>
        <w:rPr>
          <w:noProof/>
          <w:u w:val="single"/>
        </w:rPr>
        <w:t>https://uk.burberry.com/c/legal-cookies/transparency-in-the-supply-chain-modern-slavery-statements/?srsltid=AfmBOopFkr77swUc7HKrVP12IB1jJ8wJdLaf_JQUJ14U4ZYp_OLcvXi1</w:t>
      </w:r>
      <w:r>
        <w:rPr>
          <w:noProof/>
        </w:rPr>
        <w:br/>
        <w:t>[Accessed 2024].</w:t>
      </w:r>
    </w:p>
    <w:p w14:paraId="10DE88D7" w14:textId="77777777" w:rsidR="00012925" w:rsidRDefault="00012925" w:rsidP="00012925">
      <w:pPr>
        <w:pStyle w:val="Bibliography"/>
        <w:rPr>
          <w:noProof/>
        </w:rPr>
      </w:pPr>
      <w:r>
        <w:rPr>
          <w:noProof/>
        </w:rPr>
        <w:t xml:space="preserve">Burberry, n.d. </w:t>
      </w:r>
      <w:r>
        <w:rPr>
          <w:i/>
          <w:iCs/>
          <w:noProof/>
        </w:rPr>
        <w:t xml:space="preserve">Corporate governance. </w:t>
      </w:r>
      <w:r>
        <w:rPr>
          <w:noProof/>
        </w:rPr>
        <w:t xml:space="preserve">[Online] </w:t>
      </w:r>
      <w:r>
        <w:rPr>
          <w:noProof/>
        </w:rPr>
        <w:br/>
        <w:t xml:space="preserve">Available at: </w:t>
      </w:r>
      <w:r>
        <w:rPr>
          <w:noProof/>
          <w:u w:val="single"/>
        </w:rPr>
        <w:t>https://www.burberryplc.com/company/corporate-governance</w:t>
      </w:r>
      <w:r>
        <w:rPr>
          <w:noProof/>
        </w:rPr>
        <w:br/>
        <w:t>[Accessed 2024].</w:t>
      </w:r>
    </w:p>
    <w:p w14:paraId="44345155" w14:textId="77777777" w:rsidR="00012925" w:rsidRDefault="00012925" w:rsidP="00012925">
      <w:pPr>
        <w:pStyle w:val="Bibliography"/>
        <w:rPr>
          <w:noProof/>
        </w:rPr>
      </w:pPr>
      <w:r>
        <w:rPr>
          <w:noProof/>
        </w:rPr>
        <w:t xml:space="preserve">BurberryPLC, 2021. </w:t>
      </w:r>
      <w:r>
        <w:rPr>
          <w:i/>
          <w:iCs/>
          <w:noProof/>
        </w:rPr>
        <w:t xml:space="preserve">Bulberry. </w:t>
      </w:r>
      <w:r>
        <w:rPr>
          <w:noProof/>
        </w:rPr>
        <w:t xml:space="preserve">[Online] </w:t>
      </w:r>
      <w:r>
        <w:rPr>
          <w:noProof/>
        </w:rPr>
        <w:br/>
        <w:t xml:space="preserve">Available at: </w:t>
      </w:r>
      <w:r>
        <w:rPr>
          <w:noProof/>
          <w:u w:val="single"/>
        </w:rPr>
        <w:t>https://www.burberryplc.com/news/sustainability/2021/burberry-to-be-climate-positive-by-2040</w:t>
      </w:r>
      <w:r>
        <w:rPr>
          <w:noProof/>
        </w:rPr>
        <w:br/>
        <w:t>[Accessed 2024].</w:t>
      </w:r>
    </w:p>
    <w:p w14:paraId="262110AF" w14:textId="77777777" w:rsidR="00012925" w:rsidRDefault="00012925" w:rsidP="00012925">
      <w:pPr>
        <w:pStyle w:val="Bibliography"/>
        <w:rPr>
          <w:noProof/>
        </w:rPr>
      </w:pPr>
      <w:r>
        <w:rPr>
          <w:noProof/>
        </w:rPr>
        <w:t xml:space="preserve">BurberryPLC, n.d. </w:t>
      </w:r>
      <w:r>
        <w:rPr>
          <w:i/>
          <w:iCs/>
          <w:noProof/>
        </w:rPr>
        <w:t xml:space="preserve">Burberry anual reports and accounts. </w:t>
      </w:r>
      <w:r>
        <w:rPr>
          <w:noProof/>
        </w:rPr>
        <w:t xml:space="preserve">[Online] </w:t>
      </w:r>
      <w:r>
        <w:rPr>
          <w:noProof/>
        </w:rPr>
        <w:br/>
        <w:t xml:space="preserve">Available at: </w:t>
      </w:r>
      <w:r>
        <w:rPr>
          <w:noProof/>
          <w:u w:val="single"/>
        </w:rPr>
        <w:t>https://www.burberryplc.com/content/dam/burberryplc/corporate/2024-updates/burberry-annual-report-and-accounts-2023-24.pdf</w:t>
      </w:r>
      <w:r>
        <w:rPr>
          <w:noProof/>
        </w:rPr>
        <w:br/>
        <w:t>[Accessed 2024].</w:t>
      </w:r>
    </w:p>
    <w:p w14:paraId="5D89C524" w14:textId="77777777" w:rsidR="00012925" w:rsidRDefault="00012925" w:rsidP="00012925">
      <w:pPr>
        <w:pStyle w:val="Bibliography"/>
        <w:rPr>
          <w:noProof/>
        </w:rPr>
      </w:pPr>
      <w:r>
        <w:rPr>
          <w:noProof/>
        </w:rPr>
        <w:t xml:space="preserve">Burby, n.d. </w:t>
      </w:r>
      <w:r>
        <w:rPr>
          <w:i/>
          <w:iCs/>
          <w:noProof/>
        </w:rPr>
        <w:t xml:space="preserve">Gurufocus. </w:t>
      </w:r>
      <w:r>
        <w:rPr>
          <w:noProof/>
        </w:rPr>
        <w:t xml:space="preserve">[Online] </w:t>
      </w:r>
      <w:r>
        <w:rPr>
          <w:noProof/>
        </w:rPr>
        <w:br/>
        <w:t xml:space="preserve">Available at: </w:t>
      </w:r>
      <w:r>
        <w:rPr>
          <w:noProof/>
          <w:u w:val="single"/>
        </w:rPr>
        <w:t>https://www.gurufocus.com/term/roe/BURBY</w:t>
      </w:r>
      <w:r>
        <w:rPr>
          <w:noProof/>
        </w:rPr>
        <w:br/>
        <w:t>[Accessed 2024].</w:t>
      </w:r>
    </w:p>
    <w:p w14:paraId="095CDF6E" w14:textId="77777777" w:rsidR="00012925" w:rsidRDefault="00012925" w:rsidP="00012925">
      <w:pPr>
        <w:pStyle w:val="Bibliography"/>
        <w:rPr>
          <w:noProof/>
        </w:rPr>
      </w:pPr>
      <w:r>
        <w:rPr>
          <w:noProof/>
        </w:rPr>
        <w:t xml:space="preserve">Gerry Murphy, 2023. </w:t>
      </w:r>
      <w:r>
        <w:rPr>
          <w:i/>
          <w:iCs/>
          <w:noProof/>
        </w:rPr>
        <w:t xml:space="preserve">Corporate Governance Report. </w:t>
      </w:r>
      <w:r>
        <w:rPr>
          <w:noProof/>
        </w:rPr>
        <w:t xml:space="preserve">[Online] </w:t>
      </w:r>
      <w:r>
        <w:rPr>
          <w:noProof/>
        </w:rPr>
        <w:br/>
        <w:t xml:space="preserve">Available at: </w:t>
      </w:r>
      <w:r>
        <w:rPr>
          <w:noProof/>
          <w:u w:val="single"/>
        </w:rPr>
        <w:t>https://www.burberryplc.com/content/dam/burberryplc/corporate/documents/annual-report-2022-23/corporate-governance-report-2022-23.pdf</w:t>
      </w:r>
      <w:r>
        <w:rPr>
          <w:noProof/>
        </w:rPr>
        <w:br/>
        <w:t>[Accessed 2024].</w:t>
      </w:r>
    </w:p>
    <w:p w14:paraId="4AF44146" w14:textId="77777777" w:rsidR="00012925" w:rsidRDefault="00012925" w:rsidP="00012925">
      <w:pPr>
        <w:pStyle w:val="Bibliography"/>
        <w:rPr>
          <w:noProof/>
        </w:rPr>
      </w:pPr>
      <w:r>
        <w:rPr>
          <w:noProof/>
        </w:rPr>
        <w:t xml:space="preserve">Icaew, n.d. </w:t>
      </w:r>
      <w:r>
        <w:rPr>
          <w:i/>
          <w:iCs/>
          <w:noProof/>
        </w:rPr>
        <w:t xml:space="preserve">icaew. </w:t>
      </w:r>
      <w:r>
        <w:rPr>
          <w:noProof/>
        </w:rPr>
        <w:t xml:space="preserve">[Online] </w:t>
      </w:r>
      <w:r>
        <w:rPr>
          <w:noProof/>
        </w:rPr>
        <w:br/>
        <w:t xml:space="preserve">Available at: </w:t>
      </w:r>
      <w:r>
        <w:rPr>
          <w:noProof/>
          <w:u w:val="single"/>
        </w:rPr>
        <w:t>https://www.icaew.com/technical/corporate-</w:t>
      </w:r>
      <w:r>
        <w:rPr>
          <w:noProof/>
          <w:u w:val="single"/>
        </w:rPr>
        <w:lastRenderedPageBreak/>
        <w:t>governance/principles/principles-articles/does-corporate-governance-matter</w:t>
      </w:r>
      <w:r>
        <w:rPr>
          <w:noProof/>
        </w:rPr>
        <w:br/>
        <w:t>[Accessed 2024].</w:t>
      </w:r>
    </w:p>
    <w:p w14:paraId="1778EAC1" w14:textId="77777777" w:rsidR="00012925" w:rsidRDefault="00012925" w:rsidP="00012925">
      <w:pPr>
        <w:pStyle w:val="Bibliography"/>
        <w:rPr>
          <w:noProof/>
        </w:rPr>
      </w:pPr>
      <w:r>
        <w:rPr>
          <w:noProof/>
        </w:rPr>
        <w:t xml:space="preserve">James Chen, 2024. </w:t>
      </w:r>
      <w:r>
        <w:rPr>
          <w:i/>
          <w:iCs/>
          <w:noProof/>
        </w:rPr>
        <w:t xml:space="preserve">Investopedia. </w:t>
      </w:r>
      <w:r>
        <w:rPr>
          <w:noProof/>
        </w:rPr>
        <w:t xml:space="preserve">[Online] </w:t>
      </w:r>
      <w:r>
        <w:rPr>
          <w:noProof/>
        </w:rPr>
        <w:br/>
        <w:t xml:space="preserve">Available at: </w:t>
      </w:r>
      <w:r>
        <w:rPr>
          <w:noProof/>
          <w:u w:val="single"/>
        </w:rPr>
        <w:t>https://www.investopedia.com/terms/c/corporategovernance.asp</w:t>
      </w:r>
      <w:r>
        <w:rPr>
          <w:noProof/>
        </w:rPr>
        <w:br/>
        <w:t>[Accessed 2024].</w:t>
      </w:r>
    </w:p>
    <w:p w14:paraId="14D2BD2A" w14:textId="77777777" w:rsidR="00012925" w:rsidRDefault="00012925" w:rsidP="00012925">
      <w:pPr>
        <w:pStyle w:val="Bibliography"/>
        <w:rPr>
          <w:noProof/>
        </w:rPr>
      </w:pPr>
      <w:r>
        <w:rPr>
          <w:noProof/>
        </w:rPr>
        <w:t xml:space="preserve">Jason Fernando, 2024. </w:t>
      </w:r>
      <w:r>
        <w:rPr>
          <w:i/>
          <w:iCs/>
          <w:noProof/>
        </w:rPr>
        <w:t xml:space="preserve">Investopedia. </w:t>
      </w:r>
      <w:r>
        <w:rPr>
          <w:noProof/>
        </w:rPr>
        <w:t xml:space="preserve">[Online] </w:t>
      </w:r>
      <w:r>
        <w:rPr>
          <w:noProof/>
        </w:rPr>
        <w:br/>
        <w:t xml:space="preserve">Available at: </w:t>
      </w:r>
      <w:r>
        <w:rPr>
          <w:noProof/>
          <w:u w:val="single"/>
        </w:rPr>
        <w:t>https://www.investopedia.com/terms/r/returnonequity.asp</w:t>
      </w:r>
      <w:r>
        <w:rPr>
          <w:noProof/>
        </w:rPr>
        <w:br/>
        <w:t>[Accessed 2024].</w:t>
      </w:r>
    </w:p>
    <w:p w14:paraId="73AFBFEF" w14:textId="77777777" w:rsidR="00012925" w:rsidRDefault="00012925" w:rsidP="00012925">
      <w:pPr>
        <w:pStyle w:val="Bibliography"/>
        <w:rPr>
          <w:noProof/>
        </w:rPr>
      </w:pPr>
      <w:r>
        <w:rPr>
          <w:noProof/>
        </w:rPr>
        <w:t xml:space="preserve">Meghan Day, 2024. </w:t>
      </w:r>
      <w:r>
        <w:rPr>
          <w:i/>
          <w:iCs/>
          <w:noProof/>
        </w:rPr>
        <w:t xml:space="preserve">Diligent. </w:t>
      </w:r>
      <w:r>
        <w:rPr>
          <w:noProof/>
        </w:rPr>
        <w:t xml:space="preserve">[Online] </w:t>
      </w:r>
      <w:r>
        <w:rPr>
          <w:noProof/>
        </w:rPr>
        <w:br/>
        <w:t xml:space="preserve">Available at: </w:t>
      </w:r>
      <w:r>
        <w:rPr>
          <w:noProof/>
          <w:u w:val="single"/>
        </w:rPr>
        <w:t>https://www.diligent.com/en-gb/resources/blog/why-corporate-governance-important-investors</w:t>
      </w:r>
      <w:r>
        <w:rPr>
          <w:noProof/>
        </w:rPr>
        <w:br/>
        <w:t>[Accessed 2024].</w:t>
      </w:r>
    </w:p>
    <w:p w14:paraId="38631F32" w14:textId="77777777" w:rsidR="00012925" w:rsidRDefault="00012925" w:rsidP="00012925">
      <w:pPr>
        <w:pStyle w:val="Bibliography"/>
        <w:rPr>
          <w:noProof/>
        </w:rPr>
      </w:pPr>
      <w:r>
        <w:rPr>
          <w:noProof/>
        </w:rPr>
        <w:t xml:space="preserve">Morningstar, 2024. </w:t>
      </w:r>
      <w:r>
        <w:rPr>
          <w:i/>
          <w:iCs/>
          <w:noProof/>
        </w:rPr>
        <w:t xml:space="preserve">Burberry Group PLC. </w:t>
      </w:r>
      <w:r>
        <w:rPr>
          <w:noProof/>
        </w:rPr>
        <w:t xml:space="preserve">[Online] </w:t>
      </w:r>
      <w:r>
        <w:rPr>
          <w:noProof/>
        </w:rPr>
        <w:br/>
        <w:t xml:space="preserve">Available at: </w:t>
      </w:r>
      <w:r>
        <w:rPr>
          <w:noProof/>
          <w:u w:val="single"/>
        </w:rPr>
        <w:t>https://tools.morningstar.co.uk/uk/stockreport/default.aspx?tab=10&amp;vw=kr&amp;SecurityToken=0P00007O1Z%5D3%5D0%5DE0WWE%24%24ALL&amp;Id=0P00007O1Z&amp;ClientFund=0</w:t>
      </w:r>
      <w:r>
        <w:rPr>
          <w:noProof/>
        </w:rPr>
        <w:br/>
        <w:t>[Accessed 2024].</w:t>
      </w:r>
    </w:p>
    <w:p w14:paraId="4DB0A63E" w14:textId="77777777" w:rsidR="00012925" w:rsidRDefault="00012925" w:rsidP="00012925">
      <w:pPr>
        <w:pStyle w:val="Bibliography"/>
        <w:rPr>
          <w:noProof/>
        </w:rPr>
      </w:pPr>
      <w:r>
        <w:rPr>
          <w:noProof/>
        </w:rPr>
        <w:t xml:space="preserve">Mr, 2023. </w:t>
      </w:r>
      <w:r>
        <w:rPr>
          <w:i/>
          <w:iCs/>
          <w:noProof/>
        </w:rPr>
        <w:t xml:space="preserve">The Governance. </w:t>
      </w:r>
      <w:r>
        <w:rPr>
          <w:noProof/>
        </w:rPr>
        <w:t xml:space="preserve">[Online] </w:t>
      </w:r>
      <w:r>
        <w:rPr>
          <w:noProof/>
        </w:rPr>
        <w:br/>
        <w:t xml:space="preserve">Available at: </w:t>
      </w:r>
      <w:r>
        <w:rPr>
          <w:noProof/>
          <w:u w:val="single"/>
        </w:rPr>
        <w:t>https://thegovernance.org/2023/07/18/the-importance-of-corporate-governance-in-modern-business/</w:t>
      </w:r>
      <w:r>
        <w:rPr>
          <w:noProof/>
        </w:rPr>
        <w:br/>
        <w:t>[Accessed 2024].</w:t>
      </w:r>
    </w:p>
    <w:p w14:paraId="0CE673A4" w14:textId="77777777" w:rsidR="00012925" w:rsidRDefault="00012925" w:rsidP="00012925">
      <w:pPr>
        <w:pStyle w:val="Bibliography"/>
        <w:rPr>
          <w:noProof/>
        </w:rPr>
      </w:pPr>
      <w:r>
        <w:rPr>
          <w:noProof/>
        </w:rPr>
        <w:t xml:space="preserve">Renee Ann Butler, 2024. </w:t>
      </w:r>
      <w:r>
        <w:rPr>
          <w:i/>
          <w:iCs/>
          <w:noProof/>
        </w:rPr>
        <w:t xml:space="preserve">Investopedia. </w:t>
      </w:r>
      <w:r>
        <w:rPr>
          <w:noProof/>
        </w:rPr>
        <w:t xml:space="preserve">[Online] </w:t>
      </w:r>
      <w:r>
        <w:rPr>
          <w:noProof/>
        </w:rPr>
        <w:br/>
        <w:t xml:space="preserve">Available at: </w:t>
      </w:r>
      <w:r>
        <w:rPr>
          <w:noProof/>
          <w:u w:val="single"/>
        </w:rPr>
        <w:t>https://www.investopedia.com/articles/investing/011416/how-evaluate-stock-performance.asp</w:t>
      </w:r>
      <w:r>
        <w:rPr>
          <w:noProof/>
        </w:rPr>
        <w:br/>
        <w:t>[Accessed 2024].</w:t>
      </w:r>
    </w:p>
    <w:p w14:paraId="2922AA26" w14:textId="7FEF0941" w:rsidR="00012925" w:rsidRPr="00012925" w:rsidRDefault="00012925" w:rsidP="00012925">
      <w:r>
        <w:fldChar w:fldCharType="end"/>
      </w:r>
    </w:p>
    <w:p w14:paraId="4C352680" w14:textId="77777777" w:rsidR="00DD3F28" w:rsidRDefault="00DD3F28" w:rsidP="00990E73">
      <w:pPr>
        <w:jc w:val="center"/>
      </w:pPr>
    </w:p>
    <w:p w14:paraId="006A4FC5" w14:textId="77777777" w:rsidR="00DD3F28" w:rsidRDefault="00DD3F28" w:rsidP="00D2727E"/>
    <w:p w14:paraId="7F81C487" w14:textId="315C2937" w:rsidR="00DD3F28" w:rsidRDefault="00DD3F28" w:rsidP="00D2727E"/>
    <w:p w14:paraId="0B8D151F" w14:textId="7D3E8854" w:rsidR="00DD3F28" w:rsidRDefault="00DD3F28" w:rsidP="00D2727E"/>
    <w:p w14:paraId="0A8615D7" w14:textId="1AA5EBDD" w:rsidR="002B5044" w:rsidRDefault="002B5044"/>
    <w:sectPr w:rsidR="002B5044">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C2D518D" w14:textId="77777777" w:rsidR="00336798" w:rsidRDefault="00336798" w:rsidP="00012925">
      <w:pPr>
        <w:spacing w:after="0" w:line="240" w:lineRule="auto"/>
      </w:pPr>
      <w:r>
        <w:separator/>
      </w:r>
    </w:p>
  </w:endnote>
  <w:endnote w:type="continuationSeparator" w:id="0">
    <w:p w14:paraId="7136CB95" w14:textId="77777777" w:rsidR="00336798" w:rsidRDefault="00336798" w:rsidP="000129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D6E577" w14:textId="77777777" w:rsidR="003E0508" w:rsidRDefault="003E050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93866698"/>
      <w:docPartObj>
        <w:docPartGallery w:val="Page Numbers (Bottom of Page)"/>
        <w:docPartUnique/>
      </w:docPartObj>
    </w:sdtPr>
    <w:sdtEndPr>
      <w:rPr>
        <w:noProof/>
      </w:rPr>
    </w:sdtEndPr>
    <w:sdtContent>
      <w:p w14:paraId="6178498A" w14:textId="3E1F2E5A" w:rsidR="003E0508" w:rsidRDefault="003E0508">
        <w:pPr>
          <w:pStyle w:val="Footer"/>
        </w:pPr>
        <w:r>
          <w:fldChar w:fldCharType="begin"/>
        </w:r>
        <w:r>
          <w:instrText xml:space="preserve"> PAGE   \* MERGEFORMAT </w:instrText>
        </w:r>
        <w:r>
          <w:fldChar w:fldCharType="separate"/>
        </w:r>
        <w:r>
          <w:rPr>
            <w:noProof/>
          </w:rPr>
          <w:t>2</w:t>
        </w:r>
        <w:r>
          <w:rPr>
            <w:noProof/>
          </w:rPr>
          <w:fldChar w:fldCharType="end"/>
        </w:r>
      </w:p>
    </w:sdtContent>
  </w:sdt>
  <w:p w14:paraId="21F1449A" w14:textId="77777777" w:rsidR="003E0508" w:rsidRDefault="003E050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46AD4F4" w14:textId="77777777" w:rsidR="003E0508" w:rsidRDefault="003E05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A95048" w14:textId="77777777" w:rsidR="00336798" w:rsidRDefault="00336798" w:rsidP="00012925">
      <w:pPr>
        <w:spacing w:after="0" w:line="240" w:lineRule="auto"/>
      </w:pPr>
      <w:r>
        <w:separator/>
      </w:r>
    </w:p>
  </w:footnote>
  <w:footnote w:type="continuationSeparator" w:id="0">
    <w:p w14:paraId="7B2DC7FE" w14:textId="77777777" w:rsidR="00336798" w:rsidRDefault="00336798" w:rsidP="000129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A5B0D61" w14:textId="77777777" w:rsidR="003E0508" w:rsidRDefault="003E050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391194" w14:textId="77777777" w:rsidR="003E0508" w:rsidRDefault="003E050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11BB58" w14:textId="77777777" w:rsidR="003E0508" w:rsidRDefault="003E050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9775C9"/>
    <w:multiLevelType w:val="multilevel"/>
    <w:tmpl w:val="F398C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C3292F"/>
    <w:multiLevelType w:val="multilevel"/>
    <w:tmpl w:val="4C667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0215F1"/>
    <w:multiLevelType w:val="multilevel"/>
    <w:tmpl w:val="DAF0C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3F9226C"/>
    <w:multiLevelType w:val="multilevel"/>
    <w:tmpl w:val="A5C06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6E52C47"/>
    <w:multiLevelType w:val="multilevel"/>
    <w:tmpl w:val="D22C8B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52786075">
    <w:abstractNumId w:val="4"/>
  </w:num>
  <w:num w:numId="2" w16cid:durableId="1117598810">
    <w:abstractNumId w:val="3"/>
  </w:num>
  <w:num w:numId="3" w16cid:durableId="1588463142">
    <w:abstractNumId w:val="1"/>
  </w:num>
  <w:num w:numId="4" w16cid:durableId="480390114">
    <w:abstractNumId w:val="0"/>
  </w:num>
  <w:num w:numId="5" w16cid:durableId="20931621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5044"/>
    <w:rsid w:val="00002BC2"/>
    <w:rsid w:val="00012925"/>
    <w:rsid w:val="000845E9"/>
    <w:rsid w:val="000B3996"/>
    <w:rsid w:val="000D0E21"/>
    <w:rsid w:val="00106EA3"/>
    <w:rsid w:val="00111D8A"/>
    <w:rsid w:val="00190239"/>
    <w:rsid w:val="002236DD"/>
    <w:rsid w:val="002313A4"/>
    <w:rsid w:val="00241C7C"/>
    <w:rsid w:val="0027297B"/>
    <w:rsid w:val="00277A2E"/>
    <w:rsid w:val="002B5044"/>
    <w:rsid w:val="002E342C"/>
    <w:rsid w:val="002E4BF9"/>
    <w:rsid w:val="00335983"/>
    <w:rsid w:val="00336798"/>
    <w:rsid w:val="00350D55"/>
    <w:rsid w:val="00397A67"/>
    <w:rsid w:val="003C6D2B"/>
    <w:rsid w:val="003E0508"/>
    <w:rsid w:val="003F1104"/>
    <w:rsid w:val="0045438A"/>
    <w:rsid w:val="004E2CA1"/>
    <w:rsid w:val="004F0E34"/>
    <w:rsid w:val="0051669B"/>
    <w:rsid w:val="0053020C"/>
    <w:rsid w:val="005E0463"/>
    <w:rsid w:val="005F2E62"/>
    <w:rsid w:val="005F704B"/>
    <w:rsid w:val="00601B60"/>
    <w:rsid w:val="006058BD"/>
    <w:rsid w:val="00617402"/>
    <w:rsid w:val="00637DBB"/>
    <w:rsid w:val="0067069F"/>
    <w:rsid w:val="006B3C95"/>
    <w:rsid w:val="00725187"/>
    <w:rsid w:val="00784A9B"/>
    <w:rsid w:val="00794991"/>
    <w:rsid w:val="007A1FC7"/>
    <w:rsid w:val="007B0520"/>
    <w:rsid w:val="007E0E90"/>
    <w:rsid w:val="00861102"/>
    <w:rsid w:val="008A663D"/>
    <w:rsid w:val="00934C68"/>
    <w:rsid w:val="00966E1E"/>
    <w:rsid w:val="00990E73"/>
    <w:rsid w:val="00991D99"/>
    <w:rsid w:val="009E7AB4"/>
    <w:rsid w:val="009F009C"/>
    <w:rsid w:val="009F48C4"/>
    <w:rsid w:val="00A01BA0"/>
    <w:rsid w:val="00AA0E7E"/>
    <w:rsid w:val="00AB0F19"/>
    <w:rsid w:val="00AD6FB8"/>
    <w:rsid w:val="00AE38EC"/>
    <w:rsid w:val="00AE705F"/>
    <w:rsid w:val="00C439F6"/>
    <w:rsid w:val="00C51607"/>
    <w:rsid w:val="00C875F6"/>
    <w:rsid w:val="00D037CB"/>
    <w:rsid w:val="00D2727E"/>
    <w:rsid w:val="00D31D67"/>
    <w:rsid w:val="00D91F1F"/>
    <w:rsid w:val="00DD3F28"/>
    <w:rsid w:val="00DF53B1"/>
    <w:rsid w:val="00E070BC"/>
    <w:rsid w:val="00E84073"/>
    <w:rsid w:val="00E9459D"/>
    <w:rsid w:val="00EA4C34"/>
    <w:rsid w:val="00EB11AE"/>
    <w:rsid w:val="00FB51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32E9B4"/>
  <w15:chartTrackingRefBased/>
  <w15:docId w15:val="{9761A80F-3780-40D0-A68E-1F5AAE5DCA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50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B50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50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50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50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50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50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50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50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50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B50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50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50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50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50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50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50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5044"/>
    <w:rPr>
      <w:rFonts w:eastAsiaTheme="majorEastAsia" w:cstheme="majorBidi"/>
      <w:color w:val="272727" w:themeColor="text1" w:themeTint="D8"/>
    </w:rPr>
  </w:style>
  <w:style w:type="paragraph" w:styleId="Title">
    <w:name w:val="Title"/>
    <w:basedOn w:val="Normal"/>
    <w:next w:val="Normal"/>
    <w:link w:val="TitleChar"/>
    <w:uiPriority w:val="10"/>
    <w:qFormat/>
    <w:rsid w:val="002B50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50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50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50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5044"/>
    <w:pPr>
      <w:spacing w:before="160"/>
      <w:jc w:val="center"/>
    </w:pPr>
    <w:rPr>
      <w:i/>
      <w:iCs/>
      <w:color w:val="404040" w:themeColor="text1" w:themeTint="BF"/>
    </w:rPr>
  </w:style>
  <w:style w:type="character" w:customStyle="1" w:styleId="QuoteChar">
    <w:name w:val="Quote Char"/>
    <w:basedOn w:val="DefaultParagraphFont"/>
    <w:link w:val="Quote"/>
    <w:uiPriority w:val="29"/>
    <w:rsid w:val="002B5044"/>
    <w:rPr>
      <w:i/>
      <w:iCs/>
      <w:color w:val="404040" w:themeColor="text1" w:themeTint="BF"/>
    </w:rPr>
  </w:style>
  <w:style w:type="paragraph" w:styleId="ListParagraph">
    <w:name w:val="List Paragraph"/>
    <w:basedOn w:val="Normal"/>
    <w:uiPriority w:val="34"/>
    <w:qFormat/>
    <w:rsid w:val="002B5044"/>
    <w:pPr>
      <w:ind w:left="720"/>
      <w:contextualSpacing/>
    </w:pPr>
  </w:style>
  <w:style w:type="character" w:styleId="IntenseEmphasis">
    <w:name w:val="Intense Emphasis"/>
    <w:basedOn w:val="DefaultParagraphFont"/>
    <w:uiPriority w:val="21"/>
    <w:qFormat/>
    <w:rsid w:val="002B5044"/>
    <w:rPr>
      <w:i/>
      <w:iCs/>
      <w:color w:val="0F4761" w:themeColor="accent1" w:themeShade="BF"/>
    </w:rPr>
  </w:style>
  <w:style w:type="paragraph" w:styleId="IntenseQuote">
    <w:name w:val="Intense Quote"/>
    <w:basedOn w:val="Normal"/>
    <w:next w:val="Normal"/>
    <w:link w:val="IntenseQuoteChar"/>
    <w:uiPriority w:val="30"/>
    <w:qFormat/>
    <w:rsid w:val="002B50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5044"/>
    <w:rPr>
      <w:i/>
      <w:iCs/>
      <w:color w:val="0F4761" w:themeColor="accent1" w:themeShade="BF"/>
    </w:rPr>
  </w:style>
  <w:style w:type="character" w:styleId="IntenseReference">
    <w:name w:val="Intense Reference"/>
    <w:basedOn w:val="DefaultParagraphFont"/>
    <w:uiPriority w:val="32"/>
    <w:qFormat/>
    <w:rsid w:val="002B5044"/>
    <w:rPr>
      <w:b/>
      <w:bCs/>
      <w:smallCaps/>
      <w:color w:val="0F4761" w:themeColor="accent1" w:themeShade="BF"/>
      <w:spacing w:val="5"/>
    </w:rPr>
  </w:style>
  <w:style w:type="paragraph" w:styleId="NormalWeb">
    <w:name w:val="Normal (Web)"/>
    <w:basedOn w:val="Normal"/>
    <w:uiPriority w:val="99"/>
    <w:semiHidden/>
    <w:unhideWhenUsed/>
    <w:rsid w:val="00D037CB"/>
    <w:rPr>
      <w:rFonts w:ascii="Times New Roman" w:hAnsi="Times New Roman" w:cs="Times New Roman"/>
    </w:rPr>
  </w:style>
  <w:style w:type="paragraph" w:styleId="TOCHeading">
    <w:name w:val="TOC Heading"/>
    <w:basedOn w:val="Heading1"/>
    <w:next w:val="Normal"/>
    <w:uiPriority w:val="39"/>
    <w:unhideWhenUsed/>
    <w:qFormat/>
    <w:rsid w:val="00601B60"/>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601B60"/>
    <w:pPr>
      <w:spacing w:after="100"/>
    </w:pPr>
  </w:style>
  <w:style w:type="paragraph" w:styleId="TOC2">
    <w:name w:val="toc 2"/>
    <w:basedOn w:val="Normal"/>
    <w:next w:val="Normal"/>
    <w:autoRedefine/>
    <w:uiPriority w:val="39"/>
    <w:unhideWhenUsed/>
    <w:rsid w:val="00601B60"/>
    <w:pPr>
      <w:spacing w:after="100"/>
      <w:ind w:left="240"/>
    </w:pPr>
  </w:style>
  <w:style w:type="character" w:styleId="Hyperlink">
    <w:name w:val="Hyperlink"/>
    <w:basedOn w:val="DefaultParagraphFont"/>
    <w:uiPriority w:val="99"/>
    <w:unhideWhenUsed/>
    <w:rsid w:val="00601B60"/>
    <w:rPr>
      <w:color w:val="467886" w:themeColor="hyperlink"/>
      <w:u w:val="single"/>
    </w:rPr>
  </w:style>
  <w:style w:type="paragraph" w:styleId="Bibliography">
    <w:name w:val="Bibliography"/>
    <w:basedOn w:val="Normal"/>
    <w:next w:val="Normal"/>
    <w:uiPriority w:val="37"/>
    <w:unhideWhenUsed/>
    <w:rsid w:val="007E0E90"/>
  </w:style>
  <w:style w:type="paragraph" w:styleId="Header">
    <w:name w:val="header"/>
    <w:basedOn w:val="Normal"/>
    <w:link w:val="HeaderChar"/>
    <w:uiPriority w:val="99"/>
    <w:unhideWhenUsed/>
    <w:rsid w:val="0001292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12925"/>
  </w:style>
  <w:style w:type="paragraph" w:styleId="Footer">
    <w:name w:val="footer"/>
    <w:basedOn w:val="Normal"/>
    <w:link w:val="FooterChar"/>
    <w:uiPriority w:val="99"/>
    <w:unhideWhenUsed/>
    <w:rsid w:val="00012925"/>
    <w:pPr>
      <w:tabs>
        <w:tab w:val="center" w:pos="4680"/>
        <w:tab w:val="right" w:pos="9360"/>
      </w:tabs>
      <w:spacing w:after="0" w:line="240" w:lineRule="auto"/>
    </w:pPr>
  </w:style>
  <w:style w:type="character" w:customStyle="1" w:styleId="FooterChar">
    <w:name w:val="Footer Char"/>
    <w:basedOn w:val="DefaultParagraphFont"/>
    <w:link w:val="Footer"/>
    <w:uiPriority w:val="99"/>
    <w:rsid w:val="00012925"/>
  </w:style>
  <w:style w:type="paragraph" w:styleId="FootnoteText">
    <w:name w:val="footnote text"/>
    <w:basedOn w:val="Normal"/>
    <w:link w:val="FootnoteTextChar"/>
    <w:uiPriority w:val="99"/>
    <w:semiHidden/>
    <w:unhideWhenUsed/>
    <w:rsid w:val="003E050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E0508"/>
    <w:rPr>
      <w:sz w:val="20"/>
      <w:szCs w:val="20"/>
    </w:rPr>
  </w:style>
  <w:style w:type="character" w:styleId="FootnoteReference">
    <w:name w:val="footnote reference"/>
    <w:basedOn w:val="DefaultParagraphFont"/>
    <w:uiPriority w:val="99"/>
    <w:semiHidden/>
    <w:unhideWhenUsed/>
    <w:rsid w:val="003E0508"/>
    <w:rPr>
      <w:vertAlign w:val="superscript"/>
    </w:rPr>
  </w:style>
  <w:style w:type="paragraph" w:styleId="EndnoteText">
    <w:name w:val="endnote text"/>
    <w:basedOn w:val="Normal"/>
    <w:link w:val="EndnoteTextChar"/>
    <w:uiPriority w:val="99"/>
    <w:semiHidden/>
    <w:unhideWhenUsed/>
    <w:rsid w:val="003E050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E0508"/>
    <w:rPr>
      <w:sz w:val="20"/>
      <w:szCs w:val="20"/>
    </w:rPr>
  </w:style>
  <w:style w:type="character" w:styleId="EndnoteReference">
    <w:name w:val="endnote reference"/>
    <w:basedOn w:val="DefaultParagraphFont"/>
    <w:uiPriority w:val="99"/>
    <w:semiHidden/>
    <w:unhideWhenUsed/>
    <w:rsid w:val="003E050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52076">
      <w:bodyDiv w:val="1"/>
      <w:marLeft w:val="0"/>
      <w:marRight w:val="0"/>
      <w:marTop w:val="0"/>
      <w:marBottom w:val="0"/>
      <w:divBdr>
        <w:top w:val="none" w:sz="0" w:space="0" w:color="auto"/>
        <w:left w:val="none" w:sz="0" w:space="0" w:color="auto"/>
        <w:bottom w:val="none" w:sz="0" w:space="0" w:color="auto"/>
        <w:right w:val="none" w:sz="0" w:space="0" w:color="auto"/>
      </w:divBdr>
    </w:div>
    <w:div w:id="72363697">
      <w:bodyDiv w:val="1"/>
      <w:marLeft w:val="0"/>
      <w:marRight w:val="0"/>
      <w:marTop w:val="0"/>
      <w:marBottom w:val="0"/>
      <w:divBdr>
        <w:top w:val="none" w:sz="0" w:space="0" w:color="auto"/>
        <w:left w:val="none" w:sz="0" w:space="0" w:color="auto"/>
        <w:bottom w:val="none" w:sz="0" w:space="0" w:color="auto"/>
        <w:right w:val="none" w:sz="0" w:space="0" w:color="auto"/>
      </w:divBdr>
    </w:div>
    <w:div w:id="86005754">
      <w:bodyDiv w:val="1"/>
      <w:marLeft w:val="0"/>
      <w:marRight w:val="0"/>
      <w:marTop w:val="0"/>
      <w:marBottom w:val="0"/>
      <w:divBdr>
        <w:top w:val="none" w:sz="0" w:space="0" w:color="auto"/>
        <w:left w:val="none" w:sz="0" w:space="0" w:color="auto"/>
        <w:bottom w:val="none" w:sz="0" w:space="0" w:color="auto"/>
        <w:right w:val="none" w:sz="0" w:space="0" w:color="auto"/>
      </w:divBdr>
    </w:div>
    <w:div w:id="261956646">
      <w:bodyDiv w:val="1"/>
      <w:marLeft w:val="0"/>
      <w:marRight w:val="0"/>
      <w:marTop w:val="0"/>
      <w:marBottom w:val="0"/>
      <w:divBdr>
        <w:top w:val="none" w:sz="0" w:space="0" w:color="auto"/>
        <w:left w:val="none" w:sz="0" w:space="0" w:color="auto"/>
        <w:bottom w:val="none" w:sz="0" w:space="0" w:color="auto"/>
        <w:right w:val="none" w:sz="0" w:space="0" w:color="auto"/>
      </w:divBdr>
    </w:div>
    <w:div w:id="507603605">
      <w:bodyDiv w:val="1"/>
      <w:marLeft w:val="0"/>
      <w:marRight w:val="0"/>
      <w:marTop w:val="0"/>
      <w:marBottom w:val="0"/>
      <w:divBdr>
        <w:top w:val="none" w:sz="0" w:space="0" w:color="auto"/>
        <w:left w:val="none" w:sz="0" w:space="0" w:color="auto"/>
        <w:bottom w:val="none" w:sz="0" w:space="0" w:color="auto"/>
        <w:right w:val="none" w:sz="0" w:space="0" w:color="auto"/>
      </w:divBdr>
    </w:div>
    <w:div w:id="522978935">
      <w:bodyDiv w:val="1"/>
      <w:marLeft w:val="0"/>
      <w:marRight w:val="0"/>
      <w:marTop w:val="0"/>
      <w:marBottom w:val="0"/>
      <w:divBdr>
        <w:top w:val="none" w:sz="0" w:space="0" w:color="auto"/>
        <w:left w:val="none" w:sz="0" w:space="0" w:color="auto"/>
        <w:bottom w:val="none" w:sz="0" w:space="0" w:color="auto"/>
        <w:right w:val="none" w:sz="0" w:space="0" w:color="auto"/>
      </w:divBdr>
    </w:div>
    <w:div w:id="529031690">
      <w:bodyDiv w:val="1"/>
      <w:marLeft w:val="0"/>
      <w:marRight w:val="0"/>
      <w:marTop w:val="0"/>
      <w:marBottom w:val="0"/>
      <w:divBdr>
        <w:top w:val="none" w:sz="0" w:space="0" w:color="auto"/>
        <w:left w:val="none" w:sz="0" w:space="0" w:color="auto"/>
        <w:bottom w:val="none" w:sz="0" w:space="0" w:color="auto"/>
        <w:right w:val="none" w:sz="0" w:space="0" w:color="auto"/>
      </w:divBdr>
    </w:div>
    <w:div w:id="577834119">
      <w:bodyDiv w:val="1"/>
      <w:marLeft w:val="0"/>
      <w:marRight w:val="0"/>
      <w:marTop w:val="0"/>
      <w:marBottom w:val="0"/>
      <w:divBdr>
        <w:top w:val="none" w:sz="0" w:space="0" w:color="auto"/>
        <w:left w:val="none" w:sz="0" w:space="0" w:color="auto"/>
        <w:bottom w:val="none" w:sz="0" w:space="0" w:color="auto"/>
        <w:right w:val="none" w:sz="0" w:space="0" w:color="auto"/>
      </w:divBdr>
    </w:div>
    <w:div w:id="593443124">
      <w:bodyDiv w:val="1"/>
      <w:marLeft w:val="0"/>
      <w:marRight w:val="0"/>
      <w:marTop w:val="0"/>
      <w:marBottom w:val="0"/>
      <w:divBdr>
        <w:top w:val="none" w:sz="0" w:space="0" w:color="auto"/>
        <w:left w:val="none" w:sz="0" w:space="0" w:color="auto"/>
        <w:bottom w:val="none" w:sz="0" w:space="0" w:color="auto"/>
        <w:right w:val="none" w:sz="0" w:space="0" w:color="auto"/>
      </w:divBdr>
      <w:divsChild>
        <w:div w:id="1210649061">
          <w:marLeft w:val="0"/>
          <w:marRight w:val="0"/>
          <w:marTop w:val="0"/>
          <w:marBottom w:val="0"/>
          <w:divBdr>
            <w:top w:val="none" w:sz="0" w:space="0" w:color="auto"/>
            <w:left w:val="none" w:sz="0" w:space="0" w:color="auto"/>
            <w:bottom w:val="none" w:sz="0" w:space="0" w:color="auto"/>
            <w:right w:val="none" w:sz="0" w:space="0" w:color="auto"/>
          </w:divBdr>
          <w:divsChild>
            <w:div w:id="983507905">
              <w:marLeft w:val="0"/>
              <w:marRight w:val="0"/>
              <w:marTop w:val="0"/>
              <w:marBottom w:val="0"/>
              <w:divBdr>
                <w:top w:val="none" w:sz="0" w:space="0" w:color="auto"/>
                <w:left w:val="none" w:sz="0" w:space="0" w:color="auto"/>
                <w:bottom w:val="none" w:sz="0" w:space="0" w:color="auto"/>
                <w:right w:val="none" w:sz="0" w:space="0" w:color="auto"/>
              </w:divBdr>
              <w:divsChild>
                <w:div w:id="689187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4217646">
      <w:bodyDiv w:val="1"/>
      <w:marLeft w:val="0"/>
      <w:marRight w:val="0"/>
      <w:marTop w:val="0"/>
      <w:marBottom w:val="0"/>
      <w:divBdr>
        <w:top w:val="none" w:sz="0" w:space="0" w:color="auto"/>
        <w:left w:val="none" w:sz="0" w:space="0" w:color="auto"/>
        <w:bottom w:val="none" w:sz="0" w:space="0" w:color="auto"/>
        <w:right w:val="none" w:sz="0" w:space="0" w:color="auto"/>
      </w:divBdr>
    </w:div>
    <w:div w:id="649865434">
      <w:bodyDiv w:val="1"/>
      <w:marLeft w:val="0"/>
      <w:marRight w:val="0"/>
      <w:marTop w:val="0"/>
      <w:marBottom w:val="0"/>
      <w:divBdr>
        <w:top w:val="none" w:sz="0" w:space="0" w:color="auto"/>
        <w:left w:val="none" w:sz="0" w:space="0" w:color="auto"/>
        <w:bottom w:val="none" w:sz="0" w:space="0" w:color="auto"/>
        <w:right w:val="none" w:sz="0" w:space="0" w:color="auto"/>
      </w:divBdr>
    </w:div>
    <w:div w:id="668751484">
      <w:bodyDiv w:val="1"/>
      <w:marLeft w:val="0"/>
      <w:marRight w:val="0"/>
      <w:marTop w:val="0"/>
      <w:marBottom w:val="0"/>
      <w:divBdr>
        <w:top w:val="none" w:sz="0" w:space="0" w:color="auto"/>
        <w:left w:val="none" w:sz="0" w:space="0" w:color="auto"/>
        <w:bottom w:val="none" w:sz="0" w:space="0" w:color="auto"/>
        <w:right w:val="none" w:sz="0" w:space="0" w:color="auto"/>
      </w:divBdr>
    </w:div>
    <w:div w:id="698552416">
      <w:bodyDiv w:val="1"/>
      <w:marLeft w:val="0"/>
      <w:marRight w:val="0"/>
      <w:marTop w:val="0"/>
      <w:marBottom w:val="0"/>
      <w:divBdr>
        <w:top w:val="none" w:sz="0" w:space="0" w:color="auto"/>
        <w:left w:val="none" w:sz="0" w:space="0" w:color="auto"/>
        <w:bottom w:val="none" w:sz="0" w:space="0" w:color="auto"/>
        <w:right w:val="none" w:sz="0" w:space="0" w:color="auto"/>
      </w:divBdr>
    </w:div>
    <w:div w:id="700328107">
      <w:bodyDiv w:val="1"/>
      <w:marLeft w:val="0"/>
      <w:marRight w:val="0"/>
      <w:marTop w:val="0"/>
      <w:marBottom w:val="0"/>
      <w:divBdr>
        <w:top w:val="none" w:sz="0" w:space="0" w:color="auto"/>
        <w:left w:val="none" w:sz="0" w:space="0" w:color="auto"/>
        <w:bottom w:val="none" w:sz="0" w:space="0" w:color="auto"/>
        <w:right w:val="none" w:sz="0" w:space="0" w:color="auto"/>
      </w:divBdr>
    </w:div>
    <w:div w:id="749040459">
      <w:bodyDiv w:val="1"/>
      <w:marLeft w:val="0"/>
      <w:marRight w:val="0"/>
      <w:marTop w:val="0"/>
      <w:marBottom w:val="0"/>
      <w:divBdr>
        <w:top w:val="none" w:sz="0" w:space="0" w:color="auto"/>
        <w:left w:val="none" w:sz="0" w:space="0" w:color="auto"/>
        <w:bottom w:val="none" w:sz="0" w:space="0" w:color="auto"/>
        <w:right w:val="none" w:sz="0" w:space="0" w:color="auto"/>
      </w:divBdr>
    </w:div>
    <w:div w:id="808209208">
      <w:bodyDiv w:val="1"/>
      <w:marLeft w:val="0"/>
      <w:marRight w:val="0"/>
      <w:marTop w:val="0"/>
      <w:marBottom w:val="0"/>
      <w:divBdr>
        <w:top w:val="none" w:sz="0" w:space="0" w:color="auto"/>
        <w:left w:val="none" w:sz="0" w:space="0" w:color="auto"/>
        <w:bottom w:val="none" w:sz="0" w:space="0" w:color="auto"/>
        <w:right w:val="none" w:sz="0" w:space="0" w:color="auto"/>
      </w:divBdr>
    </w:div>
    <w:div w:id="817041213">
      <w:bodyDiv w:val="1"/>
      <w:marLeft w:val="0"/>
      <w:marRight w:val="0"/>
      <w:marTop w:val="0"/>
      <w:marBottom w:val="0"/>
      <w:divBdr>
        <w:top w:val="none" w:sz="0" w:space="0" w:color="auto"/>
        <w:left w:val="none" w:sz="0" w:space="0" w:color="auto"/>
        <w:bottom w:val="none" w:sz="0" w:space="0" w:color="auto"/>
        <w:right w:val="none" w:sz="0" w:space="0" w:color="auto"/>
      </w:divBdr>
    </w:div>
    <w:div w:id="922496492">
      <w:bodyDiv w:val="1"/>
      <w:marLeft w:val="0"/>
      <w:marRight w:val="0"/>
      <w:marTop w:val="0"/>
      <w:marBottom w:val="0"/>
      <w:divBdr>
        <w:top w:val="none" w:sz="0" w:space="0" w:color="auto"/>
        <w:left w:val="none" w:sz="0" w:space="0" w:color="auto"/>
        <w:bottom w:val="none" w:sz="0" w:space="0" w:color="auto"/>
        <w:right w:val="none" w:sz="0" w:space="0" w:color="auto"/>
      </w:divBdr>
    </w:div>
    <w:div w:id="1010256531">
      <w:bodyDiv w:val="1"/>
      <w:marLeft w:val="0"/>
      <w:marRight w:val="0"/>
      <w:marTop w:val="0"/>
      <w:marBottom w:val="0"/>
      <w:divBdr>
        <w:top w:val="none" w:sz="0" w:space="0" w:color="auto"/>
        <w:left w:val="none" w:sz="0" w:space="0" w:color="auto"/>
        <w:bottom w:val="none" w:sz="0" w:space="0" w:color="auto"/>
        <w:right w:val="none" w:sz="0" w:space="0" w:color="auto"/>
      </w:divBdr>
    </w:div>
    <w:div w:id="1045523823">
      <w:bodyDiv w:val="1"/>
      <w:marLeft w:val="0"/>
      <w:marRight w:val="0"/>
      <w:marTop w:val="0"/>
      <w:marBottom w:val="0"/>
      <w:divBdr>
        <w:top w:val="none" w:sz="0" w:space="0" w:color="auto"/>
        <w:left w:val="none" w:sz="0" w:space="0" w:color="auto"/>
        <w:bottom w:val="none" w:sz="0" w:space="0" w:color="auto"/>
        <w:right w:val="none" w:sz="0" w:space="0" w:color="auto"/>
      </w:divBdr>
    </w:div>
    <w:div w:id="1262297525">
      <w:bodyDiv w:val="1"/>
      <w:marLeft w:val="0"/>
      <w:marRight w:val="0"/>
      <w:marTop w:val="0"/>
      <w:marBottom w:val="0"/>
      <w:divBdr>
        <w:top w:val="none" w:sz="0" w:space="0" w:color="auto"/>
        <w:left w:val="none" w:sz="0" w:space="0" w:color="auto"/>
        <w:bottom w:val="none" w:sz="0" w:space="0" w:color="auto"/>
        <w:right w:val="none" w:sz="0" w:space="0" w:color="auto"/>
      </w:divBdr>
    </w:div>
    <w:div w:id="1322272290">
      <w:bodyDiv w:val="1"/>
      <w:marLeft w:val="0"/>
      <w:marRight w:val="0"/>
      <w:marTop w:val="0"/>
      <w:marBottom w:val="0"/>
      <w:divBdr>
        <w:top w:val="none" w:sz="0" w:space="0" w:color="auto"/>
        <w:left w:val="none" w:sz="0" w:space="0" w:color="auto"/>
        <w:bottom w:val="none" w:sz="0" w:space="0" w:color="auto"/>
        <w:right w:val="none" w:sz="0" w:space="0" w:color="auto"/>
      </w:divBdr>
    </w:div>
    <w:div w:id="1376542918">
      <w:bodyDiv w:val="1"/>
      <w:marLeft w:val="0"/>
      <w:marRight w:val="0"/>
      <w:marTop w:val="0"/>
      <w:marBottom w:val="0"/>
      <w:divBdr>
        <w:top w:val="none" w:sz="0" w:space="0" w:color="auto"/>
        <w:left w:val="none" w:sz="0" w:space="0" w:color="auto"/>
        <w:bottom w:val="none" w:sz="0" w:space="0" w:color="auto"/>
        <w:right w:val="none" w:sz="0" w:space="0" w:color="auto"/>
      </w:divBdr>
    </w:div>
    <w:div w:id="1427530321">
      <w:bodyDiv w:val="1"/>
      <w:marLeft w:val="0"/>
      <w:marRight w:val="0"/>
      <w:marTop w:val="0"/>
      <w:marBottom w:val="0"/>
      <w:divBdr>
        <w:top w:val="none" w:sz="0" w:space="0" w:color="auto"/>
        <w:left w:val="none" w:sz="0" w:space="0" w:color="auto"/>
        <w:bottom w:val="none" w:sz="0" w:space="0" w:color="auto"/>
        <w:right w:val="none" w:sz="0" w:space="0" w:color="auto"/>
      </w:divBdr>
    </w:div>
    <w:div w:id="1490756414">
      <w:bodyDiv w:val="1"/>
      <w:marLeft w:val="0"/>
      <w:marRight w:val="0"/>
      <w:marTop w:val="0"/>
      <w:marBottom w:val="0"/>
      <w:divBdr>
        <w:top w:val="none" w:sz="0" w:space="0" w:color="auto"/>
        <w:left w:val="none" w:sz="0" w:space="0" w:color="auto"/>
        <w:bottom w:val="none" w:sz="0" w:space="0" w:color="auto"/>
        <w:right w:val="none" w:sz="0" w:space="0" w:color="auto"/>
      </w:divBdr>
    </w:div>
    <w:div w:id="1530952477">
      <w:bodyDiv w:val="1"/>
      <w:marLeft w:val="0"/>
      <w:marRight w:val="0"/>
      <w:marTop w:val="0"/>
      <w:marBottom w:val="0"/>
      <w:divBdr>
        <w:top w:val="none" w:sz="0" w:space="0" w:color="auto"/>
        <w:left w:val="none" w:sz="0" w:space="0" w:color="auto"/>
        <w:bottom w:val="none" w:sz="0" w:space="0" w:color="auto"/>
        <w:right w:val="none" w:sz="0" w:space="0" w:color="auto"/>
      </w:divBdr>
    </w:div>
    <w:div w:id="1630670642">
      <w:bodyDiv w:val="1"/>
      <w:marLeft w:val="0"/>
      <w:marRight w:val="0"/>
      <w:marTop w:val="0"/>
      <w:marBottom w:val="0"/>
      <w:divBdr>
        <w:top w:val="none" w:sz="0" w:space="0" w:color="auto"/>
        <w:left w:val="none" w:sz="0" w:space="0" w:color="auto"/>
        <w:bottom w:val="none" w:sz="0" w:space="0" w:color="auto"/>
        <w:right w:val="none" w:sz="0" w:space="0" w:color="auto"/>
      </w:divBdr>
    </w:div>
    <w:div w:id="1651712621">
      <w:bodyDiv w:val="1"/>
      <w:marLeft w:val="0"/>
      <w:marRight w:val="0"/>
      <w:marTop w:val="0"/>
      <w:marBottom w:val="0"/>
      <w:divBdr>
        <w:top w:val="none" w:sz="0" w:space="0" w:color="auto"/>
        <w:left w:val="none" w:sz="0" w:space="0" w:color="auto"/>
        <w:bottom w:val="none" w:sz="0" w:space="0" w:color="auto"/>
        <w:right w:val="none" w:sz="0" w:space="0" w:color="auto"/>
      </w:divBdr>
    </w:div>
    <w:div w:id="1665938647">
      <w:bodyDiv w:val="1"/>
      <w:marLeft w:val="0"/>
      <w:marRight w:val="0"/>
      <w:marTop w:val="0"/>
      <w:marBottom w:val="0"/>
      <w:divBdr>
        <w:top w:val="none" w:sz="0" w:space="0" w:color="auto"/>
        <w:left w:val="none" w:sz="0" w:space="0" w:color="auto"/>
        <w:bottom w:val="none" w:sz="0" w:space="0" w:color="auto"/>
        <w:right w:val="none" w:sz="0" w:space="0" w:color="auto"/>
      </w:divBdr>
    </w:div>
    <w:div w:id="1869369726">
      <w:bodyDiv w:val="1"/>
      <w:marLeft w:val="0"/>
      <w:marRight w:val="0"/>
      <w:marTop w:val="0"/>
      <w:marBottom w:val="0"/>
      <w:divBdr>
        <w:top w:val="none" w:sz="0" w:space="0" w:color="auto"/>
        <w:left w:val="none" w:sz="0" w:space="0" w:color="auto"/>
        <w:bottom w:val="none" w:sz="0" w:space="0" w:color="auto"/>
        <w:right w:val="none" w:sz="0" w:space="0" w:color="auto"/>
      </w:divBdr>
    </w:div>
    <w:div w:id="1886720507">
      <w:bodyDiv w:val="1"/>
      <w:marLeft w:val="0"/>
      <w:marRight w:val="0"/>
      <w:marTop w:val="0"/>
      <w:marBottom w:val="0"/>
      <w:divBdr>
        <w:top w:val="none" w:sz="0" w:space="0" w:color="auto"/>
        <w:left w:val="none" w:sz="0" w:space="0" w:color="auto"/>
        <w:bottom w:val="none" w:sz="0" w:space="0" w:color="auto"/>
        <w:right w:val="none" w:sz="0" w:space="0" w:color="auto"/>
      </w:divBdr>
    </w:div>
    <w:div w:id="1960842354">
      <w:bodyDiv w:val="1"/>
      <w:marLeft w:val="0"/>
      <w:marRight w:val="0"/>
      <w:marTop w:val="0"/>
      <w:marBottom w:val="0"/>
      <w:divBdr>
        <w:top w:val="none" w:sz="0" w:space="0" w:color="auto"/>
        <w:left w:val="none" w:sz="0" w:space="0" w:color="auto"/>
        <w:bottom w:val="none" w:sz="0" w:space="0" w:color="auto"/>
        <w:right w:val="none" w:sz="0" w:space="0" w:color="auto"/>
      </w:divBdr>
    </w:div>
    <w:div w:id="2011788595">
      <w:bodyDiv w:val="1"/>
      <w:marLeft w:val="0"/>
      <w:marRight w:val="0"/>
      <w:marTop w:val="0"/>
      <w:marBottom w:val="0"/>
      <w:divBdr>
        <w:top w:val="none" w:sz="0" w:space="0" w:color="auto"/>
        <w:left w:val="none" w:sz="0" w:space="0" w:color="auto"/>
        <w:bottom w:val="none" w:sz="0" w:space="0" w:color="auto"/>
        <w:right w:val="none" w:sz="0" w:space="0" w:color="auto"/>
      </w:divBdr>
    </w:div>
    <w:div w:id="2070106153">
      <w:bodyDiv w:val="1"/>
      <w:marLeft w:val="0"/>
      <w:marRight w:val="0"/>
      <w:marTop w:val="0"/>
      <w:marBottom w:val="0"/>
      <w:divBdr>
        <w:top w:val="none" w:sz="0" w:space="0" w:color="auto"/>
        <w:left w:val="none" w:sz="0" w:space="0" w:color="auto"/>
        <w:bottom w:val="none" w:sz="0" w:space="0" w:color="auto"/>
        <w:right w:val="none" w:sz="0" w:space="0" w:color="auto"/>
      </w:divBdr>
    </w:div>
    <w:div w:id="2086173974">
      <w:bodyDiv w:val="1"/>
      <w:marLeft w:val="0"/>
      <w:marRight w:val="0"/>
      <w:marTop w:val="0"/>
      <w:marBottom w:val="0"/>
      <w:divBdr>
        <w:top w:val="none" w:sz="0" w:space="0" w:color="auto"/>
        <w:left w:val="none" w:sz="0" w:space="0" w:color="auto"/>
        <w:bottom w:val="none" w:sz="0" w:space="0" w:color="auto"/>
        <w:right w:val="none" w:sz="0" w:space="0" w:color="auto"/>
      </w:divBdr>
    </w:div>
    <w:div w:id="2094546386">
      <w:bodyDiv w:val="1"/>
      <w:marLeft w:val="0"/>
      <w:marRight w:val="0"/>
      <w:marTop w:val="0"/>
      <w:marBottom w:val="0"/>
      <w:divBdr>
        <w:top w:val="none" w:sz="0" w:space="0" w:color="auto"/>
        <w:left w:val="none" w:sz="0" w:space="0" w:color="auto"/>
        <w:bottom w:val="none" w:sz="0" w:space="0" w:color="auto"/>
        <w:right w:val="none" w:sz="0" w:space="0" w:color="auto"/>
      </w:divBdr>
    </w:div>
    <w:div w:id="2143959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Jam24</b:Tag>
    <b:SourceType>InternetSite</b:SourceType>
    <b:Guid>{9FB5FC07-2689-4BC8-9F15-AB99BEA6BD2A}</b:Guid>
    <b:Author>
      <b:Author>
        <b:Corporate>James Chen</b:Corporate>
      </b:Author>
    </b:Author>
    <b:Title>Investopedia</b:Title>
    <b:Year>2024</b:Year>
    <b:YearAccessed>2024</b:YearAccessed>
    <b:URL>https://www.investopedia.com/terms/c/corporategovernance.asp</b:URL>
    <b:RefOrder>13</b:RefOrder>
  </b:Source>
  <b:Source>
    <b:Tag>Meg24</b:Tag>
    <b:SourceType>InternetSite</b:SourceType>
    <b:Guid>{26FCF760-4E0F-43BD-9FF6-D7F9247CD766}</b:Guid>
    <b:Author>
      <b:Author>
        <b:Corporate>Meghan Day</b:Corporate>
      </b:Author>
    </b:Author>
    <b:Title>Diligent</b:Title>
    <b:Year>2024</b:Year>
    <b:YearAccessed>2024</b:YearAccessed>
    <b:URL>https://www.diligent.com/en-gb/resources/blog/why-corporate-governance-important-investors</b:URL>
    <b:RefOrder>14</b:RefOrder>
  </b:Source>
  <b:Source>
    <b:Tag>BRB24</b:Tag>
    <b:SourceType>InternetSite</b:SourceType>
    <b:Guid>{8C4B7319-AD1A-40A6-B711-157D2AFF24D2}</b:Guid>
    <b:Author>
      <b:Author>
        <b:Corporate>BRBY.L</b:Corporate>
      </b:Author>
    </b:Author>
    <b:Title>wisesheets</b:Title>
    <b:Year>2024</b:Year>
    <b:YearAccessed>2024</b:YearAccessed>
    <b:URL>https://www.wisesheets.io/roe/BRBY.L</b:URL>
    <b:RefOrder>8</b:RefOrder>
  </b:Source>
  <b:Source>
    <b:Tag>BUR24</b:Tag>
    <b:SourceType>InternetSite</b:SourceType>
    <b:Guid>{4A2F5591-F0E8-4603-9C77-2EF68C43EBF3}</b:Guid>
    <b:Author>
      <b:Author>
        <b:Corporate>BURBERRY</b:Corporate>
      </b:Author>
    </b:Author>
    <b:Title>BURBERRY</b:Title>
    <b:Year>2024</b:Year>
    <b:YearAccessed>2024</b:YearAccessed>
    <b:URL>https://www.burberryplc.com/investors/financial-performance-kpis</b:URL>
    <b:RefOrder>10</b:RefOrder>
  </b:Source>
  <b:Source>
    <b:Tag>Bur24</b:Tag>
    <b:SourceType>InternetSite</b:SourceType>
    <b:Guid>{406CE953-CB20-47BF-BDAA-D71AF7F8C062}</b:Guid>
    <b:Author>
      <b:Author>
        <b:Corporate>Burberry Group PLC</b:Corporate>
      </b:Author>
    </b:Author>
    <b:Title>London Stock Exchange</b:Title>
    <b:YearAccessed>2024</b:YearAccessed>
    <b:URL>https://www.londonstockexchange.com/stock/BRBY/burberry-group-plc/company-page</b:URL>
    <b:RefOrder>11</b:RefOrder>
  </b:Source>
  <b:Source>
    <b:Tag>Bur241</b:Tag>
    <b:SourceType>InternetSite</b:SourceType>
    <b:Guid>{53F3BB42-C862-4529-8A21-BFF29F95668F}</b:Guid>
    <b:Author>
      <b:Author>
        <b:Corporate>BurberryPLC</b:Corporate>
      </b:Author>
    </b:Author>
    <b:Title>Burberry anual reports and accounts </b:Title>
    <b:YearAccessed>2024</b:YearAccessed>
    <b:URL>https://www.burberryplc.com/content/dam/burberryplc/corporate/2024-updates/burberry-annual-report-and-accounts-2023-24.pdf</b:URL>
    <b:RefOrder>15</b:RefOrder>
  </b:Source>
  <b:Source>
    <b:Tag>Ica24</b:Tag>
    <b:SourceType>InternetSite</b:SourceType>
    <b:Guid>{E9B29DAE-DE17-43BC-ACE1-11460D36F497}</b:Guid>
    <b:Author>
      <b:Author>
        <b:Corporate>Icaew</b:Corporate>
      </b:Author>
    </b:Author>
    <b:Title>icaew</b:Title>
    <b:YearAccessed>2024</b:YearAccessed>
    <b:URL>https://www.icaew.com/technical/corporate-governance/principles/principles-articles/does-corporate-governance-matter</b:URL>
    <b:RefOrder>16</b:RefOrder>
  </b:Source>
  <b:Source>
    <b:Tag>Mor24</b:Tag>
    <b:SourceType>InternetSite</b:SourceType>
    <b:Guid>{D0755613-39CC-4FFB-9DFA-7F7C59351FED}</b:Guid>
    <b:Author>
      <b:Author>
        <b:Corporate>Morningstar</b:Corporate>
      </b:Author>
    </b:Author>
    <b:Title>Burberry Group PLC</b:Title>
    <b:Year>2024</b:Year>
    <b:YearAccessed>2024</b:YearAccessed>
    <b:URL>https://tools.morningstar.co.uk/uk/stockreport/default.aspx?tab=10&amp;vw=kr&amp;SecurityToken=0P00007O1Z%5D3%5D0%5DE0WWE%24%24ALL&amp;Id=0P00007O1Z&amp;ClientFund=0</b:URL>
    <b:RefOrder>17</b:RefOrder>
  </b:Source>
  <b:Source>
    <b:Tag>Mr23</b:Tag>
    <b:SourceType>InternetSite</b:SourceType>
    <b:Guid>{373F975F-B493-4737-89A7-7B99175DBCB4}</b:Guid>
    <b:Author>
      <b:Author>
        <b:Corporate>Mr</b:Corporate>
      </b:Author>
    </b:Author>
    <b:Title>The Governance</b:Title>
    <b:Year>2023</b:Year>
    <b:YearAccessed>2024</b:YearAccessed>
    <b:URL>https://thegovernance.org/2023/07/18/the-importance-of-corporate-governance-in-modern-business/</b:URL>
    <b:RefOrder>1</b:RefOrder>
  </b:Source>
  <b:Source>
    <b:Tag>Bur242</b:Tag>
    <b:SourceType>InternetSite</b:SourceType>
    <b:Guid>{9BBD48C0-C5B5-4B76-A3F8-B1081CFE16FE}</b:Guid>
    <b:Author>
      <b:Author>
        <b:Corporate>Burberry</b:Corporate>
      </b:Author>
    </b:Author>
    <b:Title>Burberry</b:Title>
    <b:YearAccessed>2024</b:YearAccessed>
    <b:URL>https://www.burberryplc.com/impact/Codes-and-Policies#accordion-a6053d9346-item-4034032646</b:URL>
    <b:RefOrder>18</b:RefOrder>
  </b:Source>
  <b:Source>
    <b:Tag>Bur21</b:Tag>
    <b:SourceType>InternetSite</b:SourceType>
    <b:Guid>{F5ECBBB6-E668-4C27-8C25-ED13C6C70795}</b:Guid>
    <b:Author>
      <b:Author>
        <b:Corporate>BurberryPLC</b:Corporate>
      </b:Author>
    </b:Author>
    <b:Title>Bulberry</b:Title>
    <b:Year>2021</b:Year>
    <b:YearAccessed>2024</b:YearAccessed>
    <b:URL>https://www.burberryplc.com/news/sustainability/2021/burberry-to-be-climate-positive-by-2040</b:URL>
    <b:RefOrder>3</b:RefOrder>
  </b:Source>
  <b:Source>
    <b:Tag>Bur243</b:Tag>
    <b:SourceType>InternetSite</b:SourceType>
    <b:Guid>{5F1528C4-98CC-49ED-80F1-0F0E58748E0C}</b:Guid>
    <b:Author>
      <b:Author>
        <b:Corporate>Burberry</b:Corporate>
      </b:Author>
    </b:Author>
    <b:Title>Corporate governance</b:Title>
    <b:YearAccessed>2024</b:YearAccessed>
    <b:URL>https://www.burberryplc.com/company/corporate-governance</b:URL>
    <b:RefOrder>4</b:RefOrder>
  </b:Source>
  <b:Source>
    <b:Tag>Bur22</b:Tag>
    <b:SourceType>InternetSite</b:SourceType>
    <b:Guid>{4874EE75-5D47-42BB-A51B-F13FBDCACE50}</b:Guid>
    <b:Author>
      <b:Author>
        <b:Corporate>Burberry</b:Corporate>
      </b:Author>
    </b:Author>
    <b:Title>Burberry Plc Corporate</b:Title>
    <b:Year>2022</b:Year>
    <b:YearAccessed>2024</b:YearAccessed>
    <b:URL>https://www.burberryplc.com/news/corporate/2022/burberry-recognised-in-the-bloomberg-gender-equality-index-for-t</b:URL>
    <b:RefOrder>2</b:RefOrder>
  </b:Source>
  <b:Source>
    <b:Tag>Ger23</b:Tag>
    <b:SourceType>InternetSite</b:SourceType>
    <b:Guid>{757BF068-18C2-4BB3-A7FB-E108D09AAD2E}</b:Guid>
    <b:Author>
      <b:Author>
        <b:Corporate>Gerry Murphy</b:Corporate>
      </b:Author>
    </b:Author>
    <b:Title>Corporate Governance Report</b:Title>
    <b:Year>2023</b:Year>
    <b:YearAccessed>2024</b:YearAccessed>
    <b:URL>https://www.burberryplc.com/content/dam/burberryplc/corporate/documents/annual-report-2022-23/corporate-governance-report-2022-23.pdf</b:URL>
    <b:RefOrder>5</b:RefOrder>
  </b:Source>
  <b:Source>
    <b:Tag>Bur244</b:Tag>
    <b:SourceType>InternetSite</b:SourceType>
    <b:Guid>{C3FD0164-D94F-4F65-BC24-C3E4413299AD}</b:Guid>
    <b:Author>
      <b:Author>
        <b:Corporate>Burberry</b:Corporate>
      </b:Author>
    </b:Author>
    <b:Title>Burberry</b:Title>
    <b:YearAccessed>2024</b:YearAccessed>
    <b:URL>https://uk.burberry.com/c/legal-cookies/transparency-in-the-supply-chain-modern-slavery-statements/?srsltid=AfmBOopFkr77swUc7HKrVP12IB1jJ8wJdLaf_JQUJ14U4ZYp_OLcvXi1</b:URL>
    <b:RefOrder>6</b:RefOrder>
  </b:Source>
  <b:Source>
    <b:Tag>Jas24</b:Tag>
    <b:SourceType>InternetSite</b:SourceType>
    <b:Guid>{9A2CF70D-9C2A-4596-9CFF-93155799A93C}</b:Guid>
    <b:Author>
      <b:Author>
        <b:Corporate>Jason Fernando</b:Corporate>
      </b:Author>
    </b:Author>
    <b:Title>Investopedia</b:Title>
    <b:Year>2024</b:Year>
    <b:YearAccessed>2024</b:YearAccessed>
    <b:URL>https://www.investopedia.com/terms/r/returnonequity.asp</b:URL>
    <b:RefOrder>7</b:RefOrder>
  </b:Source>
  <b:Source>
    <b:Tag>Ste24</b:Tag>
    <b:SourceType>InternetSite</b:SourceType>
    <b:Guid>{718DBA31-B6C0-49F2-8C16-E1484DB70C44}</b:Guid>
    <b:Author>
      <b:Author>
        <b:Corporate> Steven Nickolas</b:Corporate>
      </b:Author>
    </b:Author>
    <b:Title>Investopedia</b:Title>
    <b:Year>2024</b:Year>
    <b:YearAccessed>2024</b:YearAccessed>
    <b:URL>https://www.investopedia.com/ask/answers/032515/what-difference-between-earnings-share-and-dividends-share.asp</b:URL>
    <b:RefOrder>9</b:RefOrder>
  </b:Source>
  <b:Source>
    <b:Tag>Ren24</b:Tag>
    <b:SourceType>InternetSite</b:SourceType>
    <b:Guid>{8B022D68-5953-44D5-85D8-B9A8CED91489}</b:Guid>
    <b:Author>
      <b:Author>
        <b:Corporate>Renee Ann Butler</b:Corporate>
      </b:Author>
    </b:Author>
    <b:Title>Investopedia </b:Title>
    <b:Year>2024</b:Year>
    <b:YearAccessed>2024</b:YearAccessed>
    <b:URL>https://www.investopedia.com/articles/investing/011416/how-evaluate-stock-performance.asp</b:URL>
    <b:RefOrder>19</b:RefOrder>
  </b:Source>
  <b:Source>
    <b:Tag>Bur245</b:Tag>
    <b:SourceType>InternetSite</b:SourceType>
    <b:Guid>{C49225F9-4634-474D-89D7-434830628425}</b:Guid>
    <b:Author>
      <b:Author>
        <b:Corporate>Burby</b:Corporate>
      </b:Author>
    </b:Author>
    <b:Title>Gurufocus</b:Title>
    <b:YearAccessed>2024</b:YearAccessed>
    <b:URL>https://www.gurufocus.com/term/roe/BURBY</b:URL>
    <b:RefOrder>12</b:RefOrder>
  </b:Source>
</b:Sources>
</file>

<file path=customXml/itemProps1.xml><?xml version="1.0" encoding="utf-8"?>
<ds:datastoreItem xmlns:ds="http://schemas.openxmlformats.org/officeDocument/2006/customXml" ds:itemID="{85543F08-F447-435E-AC66-BBA7FD8E95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397</TotalTime>
  <Pages>1</Pages>
  <Words>2367</Words>
  <Characters>13495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Marin (2213202)</dc:creator>
  <cp:keywords/>
  <dc:description/>
  <cp:lastModifiedBy>Cristina Marin (2213202)</cp:lastModifiedBy>
  <cp:revision>36</cp:revision>
  <dcterms:created xsi:type="dcterms:W3CDTF">2024-10-11T08:57:00Z</dcterms:created>
  <dcterms:modified xsi:type="dcterms:W3CDTF">2024-10-24T09:56:00Z</dcterms:modified>
</cp:coreProperties>
</file>