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F5499C" w14:textId="7F57430F" w:rsidR="007D0BCC" w:rsidRDefault="00921547" w:rsidP="00921547">
      <w:pPr>
        <w:jc w:val="center"/>
        <w:rPr>
          <w:rFonts w:asciiTheme="majorHAnsi" w:hAnsiTheme="majorHAnsi" w:cstheme="majorHAnsi"/>
          <w:b/>
          <w:bCs/>
          <w:sz w:val="28"/>
          <w:szCs w:val="28"/>
          <w:u w:val="single"/>
        </w:rPr>
      </w:pPr>
      <w:r w:rsidRPr="00921547">
        <w:rPr>
          <w:rFonts w:asciiTheme="majorHAnsi" w:hAnsiTheme="majorHAnsi" w:cstheme="majorHAnsi"/>
          <w:b/>
          <w:bCs/>
          <w:sz w:val="28"/>
          <w:szCs w:val="28"/>
          <w:u w:val="single"/>
        </w:rPr>
        <w:t>BMSS5005 A2</w:t>
      </w:r>
      <w:r>
        <w:rPr>
          <w:rFonts w:asciiTheme="majorHAnsi" w:hAnsiTheme="majorHAnsi" w:cstheme="majorHAnsi"/>
          <w:b/>
          <w:bCs/>
          <w:sz w:val="28"/>
          <w:szCs w:val="28"/>
          <w:u w:val="single"/>
        </w:rPr>
        <w:t xml:space="preserve"> essay creativity and value creation </w:t>
      </w:r>
    </w:p>
    <w:p w14:paraId="5C2817CD" w14:textId="77777777" w:rsidR="007636E5" w:rsidRDefault="007636E5" w:rsidP="007636E5">
      <w:pPr>
        <w:rPr>
          <w:sz w:val="28"/>
          <w:szCs w:val="28"/>
          <w:lang w:val="en-US"/>
        </w:rPr>
      </w:pPr>
    </w:p>
    <w:p w14:paraId="092601EC" w14:textId="77777777" w:rsidR="007636E5" w:rsidRDefault="007636E5" w:rsidP="007636E5">
      <w:pPr>
        <w:spacing w:line="240" w:lineRule="auto"/>
        <w:rPr>
          <w:szCs w:val="20"/>
          <w:lang w:val="en-US"/>
        </w:rPr>
      </w:pPr>
      <w:r w:rsidRPr="00936E16">
        <w:rPr>
          <w:szCs w:val="20"/>
          <w:lang w:val="en-US"/>
        </w:rPr>
        <w:t>At first, the proposition to define creativity and research appears somewhat linear, but closer analyses and informed reading exposes a plethora of physical, life, earth, and social science</w:t>
      </w:r>
      <w:r>
        <w:rPr>
          <w:szCs w:val="20"/>
          <w:lang w:val="en-US"/>
        </w:rPr>
        <w:t xml:space="preserve"> considerations</w:t>
      </w:r>
      <w:r w:rsidRPr="00936E16">
        <w:rPr>
          <w:szCs w:val="20"/>
          <w:lang w:val="en-US"/>
        </w:rPr>
        <w:t>.</w:t>
      </w:r>
      <w:r>
        <w:rPr>
          <w:szCs w:val="20"/>
          <w:lang w:val="en-US"/>
        </w:rPr>
        <w:t xml:space="preserve"> Combined with the variability of both people and the outdoor word, the research and therefore learning permutations remain infinite.</w:t>
      </w:r>
    </w:p>
    <w:p w14:paraId="1224642C" w14:textId="537FC44C" w:rsidR="007636E5" w:rsidRDefault="007636E5" w:rsidP="007636E5">
      <w:pPr>
        <w:spacing w:line="240" w:lineRule="auto"/>
        <w:rPr>
          <w:szCs w:val="20"/>
          <w:lang w:val="en-US"/>
        </w:rPr>
      </w:pPr>
      <w:r>
        <w:rPr>
          <w:szCs w:val="20"/>
          <w:lang w:val="en-US"/>
        </w:rPr>
        <w:t xml:space="preserve">‘Educational researchers cannot simply read off the planning and conduct of research as though one were reading a recipe for baking a cake’ </w:t>
      </w:r>
      <w:r w:rsidR="008A57A9">
        <w:rPr>
          <w:szCs w:val="20"/>
          <w:lang w:val="en-US"/>
        </w:rPr>
        <w:t>(</w:t>
      </w:r>
      <w:r w:rsidR="008A57A9" w:rsidRPr="008A57A9">
        <w:t>Cohen, L 2018)</w:t>
      </w:r>
      <w:r>
        <w:rPr>
          <w:szCs w:val="20"/>
          <w:lang w:val="en-US"/>
        </w:rPr>
        <w:t>.</w:t>
      </w:r>
    </w:p>
    <w:p w14:paraId="1923B09F" w14:textId="583C5198" w:rsidR="007636E5" w:rsidRPr="00936E16" w:rsidRDefault="007636E5" w:rsidP="007636E5">
      <w:pPr>
        <w:spacing w:line="240" w:lineRule="auto"/>
        <w:rPr>
          <w:szCs w:val="20"/>
          <w:lang w:val="en-US"/>
        </w:rPr>
      </w:pPr>
      <w:r>
        <w:rPr>
          <w:szCs w:val="20"/>
          <w:lang w:val="en-US"/>
        </w:rPr>
        <w:t xml:space="preserve">In his book, Key Concepts in Sport and Exercise Research, the author goes to great lengths to debunk a perceived myth that research can only fall into the categories of applied or pure research. The latter he defines as systemic study of life aimed at fuller knowledge or understanding. Conversely applied research is described as an empirical study undertaken to generate knowledge to solve a problem </w:t>
      </w:r>
      <w:r w:rsidR="00B56015">
        <w:t>(Atkinson, 2012)</w:t>
      </w:r>
      <w:r>
        <w:rPr>
          <w:szCs w:val="20"/>
          <w:lang w:val="en-US"/>
        </w:rPr>
        <w:t>.</w:t>
      </w:r>
    </w:p>
    <w:p w14:paraId="093B85ED" w14:textId="63A7911B" w:rsidR="007636E5" w:rsidRDefault="00A766DE" w:rsidP="007636E5">
      <w:pPr>
        <w:pStyle w:val="NoSpacing"/>
        <w:rPr>
          <w:lang w:val="en-US"/>
        </w:rPr>
      </w:pPr>
      <w:r w:rsidRPr="00A766DE">
        <w:rPr>
          <w:lang w:val="en-US"/>
        </w:rPr>
        <w:t>(Cambridge dictionary, 2023)</w:t>
      </w:r>
      <w:r w:rsidR="007636E5">
        <w:rPr>
          <w:lang w:val="en-US"/>
        </w:rPr>
        <w:t xml:space="preserve"> defines ‘Research’ as </w:t>
      </w:r>
      <w:r w:rsidR="007636E5" w:rsidRPr="00E14A78">
        <w:rPr>
          <w:lang w:val="en-US"/>
        </w:rPr>
        <w:t>a detailed study of a subject, especially in order to discover (new) information or reach a (new) understanding:</w:t>
      </w:r>
      <w:r w:rsidR="007636E5">
        <w:rPr>
          <w:lang w:val="en-US"/>
        </w:rPr>
        <w:t xml:space="preserve"> In comparison, </w:t>
      </w:r>
      <w:r>
        <w:t>(</w:t>
      </w:r>
      <w:r>
        <w:rPr>
          <w:i/>
          <w:iCs/>
        </w:rPr>
        <w:t>Cambridge dictionary,</w:t>
      </w:r>
      <w:r>
        <w:t xml:space="preserve"> 2023)</w:t>
      </w:r>
      <w:r w:rsidR="007636E5">
        <w:rPr>
          <w:lang w:val="en-US"/>
        </w:rPr>
        <w:t xml:space="preserve"> illustrates creativity as ‘</w:t>
      </w:r>
      <w:r w:rsidR="007636E5" w:rsidRPr="00E14A78">
        <w:rPr>
          <w:lang w:val="en-US"/>
        </w:rPr>
        <w:t>producing or using original and unusual ideas:</w:t>
      </w:r>
      <w:r w:rsidR="007636E5">
        <w:rPr>
          <w:lang w:val="en-US"/>
        </w:rPr>
        <w:t xml:space="preserve">’ in their 2020 paper </w:t>
      </w:r>
      <w:r w:rsidR="008B4F2B">
        <w:t>(Villa &amp; Guerra, 2020)</w:t>
      </w:r>
      <w:r w:rsidR="007636E5">
        <w:rPr>
          <w:lang w:val="en-US"/>
        </w:rPr>
        <w:t xml:space="preserve">, the authors state that the increasing urgency to trace sustainable solutions in the person -environment entails the essential search for alternative possibilities and creative actions to promote the education of children. The authors further look to define the bond between creativity and outdoor education, tracing back common elements to a paper published in 1979 by </w:t>
      </w:r>
      <w:r w:rsidR="00F33206">
        <w:t>(Gibson, 1979)</w:t>
      </w:r>
      <w:r w:rsidR="007636E5">
        <w:rPr>
          <w:lang w:val="en-US"/>
        </w:rPr>
        <w:t xml:space="preserve"> describing the theory of affordances, a term coined by the author to in his book </w:t>
      </w:r>
      <w:r w:rsidR="00F51F78">
        <w:rPr>
          <w:lang w:val="en-US"/>
        </w:rPr>
        <w:t>(</w:t>
      </w:r>
      <w:r w:rsidR="00107D30" w:rsidRPr="00107D30">
        <w:t xml:space="preserve">J. J. Gibson 1966). </w:t>
      </w:r>
      <w:r w:rsidR="007636E5">
        <w:rPr>
          <w:lang w:val="en-US"/>
        </w:rPr>
        <w:t xml:space="preserve"> to describe what the environment offers the individual and the multifaceted relationships and tangents thereafter.</w:t>
      </w:r>
    </w:p>
    <w:p w14:paraId="4B8D977C" w14:textId="77777777" w:rsidR="007636E5" w:rsidRDefault="007636E5" w:rsidP="007636E5">
      <w:pPr>
        <w:pStyle w:val="NoSpacing"/>
        <w:rPr>
          <w:lang w:val="en-US"/>
        </w:rPr>
      </w:pPr>
    </w:p>
    <w:p w14:paraId="11F94757" w14:textId="07A7AB46" w:rsidR="007636E5" w:rsidRDefault="007636E5" w:rsidP="007636E5">
      <w:pPr>
        <w:pStyle w:val="NoSpacing"/>
        <w:rPr>
          <w:lang w:val="en-US"/>
        </w:rPr>
      </w:pPr>
      <w:r>
        <w:rPr>
          <w:lang w:val="en-US"/>
        </w:rPr>
        <w:t>When one considers the phrase research, terms such as quantitative and qualitative assessment come to mind, these however are merely headers for distinct tranches of research methodology. For instance, the qualitative research style of P</w:t>
      </w:r>
      <w:r w:rsidRPr="00814240">
        <w:rPr>
          <w:lang w:val="en-US"/>
        </w:rPr>
        <w:t>henomenology</w:t>
      </w:r>
      <w:r>
        <w:rPr>
          <w:lang w:val="en-US"/>
        </w:rPr>
        <w:t xml:space="preserve">, as defined by </w:t>
      </w:r>
      <w:r w:rsidR="001F34FA" w:rsidRPr="001F34FA">
        <w:rPr>
          <w:lang w:val="en-US"/>
        </w:rPr>
        <w:t>(Neubauer et al., 2019)</w:t>
      </w:r>
      <w:r w:rsidRPr="00814240">
        <w:rPr>
          <w:lang w:val="en-US"/>
        </w:rPr>
        <w:t xml:space="preserve"> can be </w:t>
      </w:r>
      <w:r>
        <w:rPr>
          <w:lang w:val="en-US"/>
        </w:rPr>
        <w:t xml:space="preserve">characterized </w:t>
      </w:r>
      <w:r w:rsidRPr="00814240">
        <w:rPr>
          <w:lang w:val="en-US"/>
        </w:rPr>
        <w:t>as an approach to research that seeks to describe the essence of</w:t>
      </w:r>
      <w:r>
        <w:rPr>
          <w:lang w:val="en-US"/>
        </w:rPr>
        <w:t xml:space="preserve"> </w:t>
      </w:r>
      <w:r w:rsidRPr="00814240">
        <w:rPr>
          <w:lang w:val="en-US"/>
        </w:rPr>
        <w:t>a phenomenon by exploring it from the perspective of those</w:t>
      </w:r>
      <w:r>
        <w:rPr>
          <w:lang w:val="en-US"/>
        </w:rPr>
        <w:t xml:space="preserve"> </w:t>
      </w:r>
      <w:r w:rsidRPr="00814240">
        <w:rPr>
          <w:lang w:val="en-US"/>
        </w:rPr>
        <w:t>who have experienced it</w:t>
      </w:r>
      <w:r>
        <w:rPr>
          <w:lang w:val="en-US"/>
        </w:rPr>
        <w:t xml:space="preserve">. </w:t>
      </w:r>
      <w:r w:rsidR="001F34FA">
        <w:t>(Neubauer et al., 2019)</w:t>
      </w:r>
      <w:r>
        <w:rPr>
          <w:lang w:val="en-US"/>
        </w:rPr>
        <w:t xml:space="preserve"> further states that phenomenology can be split into transcendental, descriptive, and Hermeneutic (interpretive) definitions.</w:t>
      </w:r>
    </w:p>
    <w:p w14:paraId="23329F89" w14:textId="77777777" w:rsidR="007636E5" w:rsidRDefault="007636E5" w:rsidP="007636E5">
      <w:pPr>
        <w:pStyle w:val="NoSpacing"/>
        <w:rPr>
          <w:lang w:val="en-US"/>
        </w:rPr>
      </w:pPr>
    </w:p>
    <w:p w14:paraId="681F16D2" w14:textId="2DA858E3" w:rsidR="007636E5" w:rsidRDefault="007636E5" w:rsidP="007636E5">
      <w:pPr>
        <w:rPr>
          <w:lang w:val="en-US"/>
        </w:rPr>
      </w:pPr>
      <w:r>
        <w:rPr>
          <w:lang w:val="en-US"/>
        </w:rPr>
        <w:t xml:space="preserve">Another form of qualitative research is </w:t>
      </w:r>
      <w:r w:rsidRPr="001B332D">
        <w:rPr>
          <w:lang w:val="en-US"/>
        </w:rPr>
        <w:t>Ethnography</w:t>
      </w:r>
      <w:r>
        <w:rPr>
          <w:lang w:val="en-US"/>
        </w:rPr>
        <w:t>. This method</w:t>
      </w:r>
      <w:r w:rsidRPr="001B332D">
        <w:rPr>
          <w:lang w:val="en-US"/>
        </w:rPr>
        <w:t xml:space="preserve"> involves observing people in their own environment to understand their experiences, perspectives, and everyday practices. This </w:t>
      </w:r>
      <w:r>
        <w:rPr>
          <w:lang w:val="en-US"/>
        </w:rPr>
        <w:t>method can provide granular</w:t>
      </w:r>
      <w:r w:rsidRPr="001B332D">
        <w:rPr>
          <w:lang w:val="en-US"/>
        </w:rPr>
        <w:t xml:space="preserve"> insight into a particular context, group, or culture.</w:t>
      </w:r>
      <w:r>
        <w:rPr>
          <w:lang w:val="en-US"/>
        </w:rPr>
        <w:t xml:space="preserve"> According to </w:t>
      </w:r>
      <w:r w:rsidR="006464EF" w:rsidRPr="006464EF">
        <w:rPr>
          <w:lang w:val="en-US"/>
        </w:rPr>
        <w:t>(Ethnographic study: Qualitative studies)</w:t>
      </w:r>
      <w:r>
        <w:rPr>
          <w:lang w:val="en-US"/>
        </w:rPr>
        <w:t xml:space="preserve"> </w:t>
      </w:r>
      <w:r w:rsidRPr="001B332D">
        <w:rPr>
          <w:lang w:val="en-US"/>
        </w:rPr>
        <w:t xml:space="preserve">Ethnography investigates the whole setting rather than </w:t>
      </w:r>
      <w:r>
        <w:rPr>
          <w:lang w:val="en-US"/>
        </w:rPr>
        <w:t xml:space="preserve">a given solution or hypotheses </w:t>
      </w:r>
      <w:r w:rsidRPr="001B332D">
        <w:rPr>
          <w:lang w:val="en-US"/>
        </w:rPr>
        <w:t xml:space="preserve">in isolation. It focuses on exploring experiences (how </w:t>
      </w:r>
      <w:r>
        <w:rPr>
          <w:lang w:val="en-US"/>
        </w:rPr>
        <w:t>individuals</w:t>
      </w:r>
      <w:r w:rsidRPr="001B332D">
        <w:rPr>
          <w:lang w:val="en-US"/>
        </w:rPr>
        <w:t xml:space="preserve"> might use the </w:t>
      </w:r>
      <w:r>
        <w:rPr>
          <w:lang w:val="en-US"/>
        </w:rPr>
        <w:t>guidance</w:t>
      </w:r>
      <w:r w:rsidRPr="001B332D">
        <w:rPr>
          <w:lang w:val="en-US"/>
        </w:rPr>
        <w:t xml:space="preserve"> in practice), not testing hypotheses. It is usually informed by specific research questions and theory.</w:t>
      </w:r>
      <w:r>
        <w:rPr>
          <w:lang w:val="en-US"/>
        </w:rPr>
        <w:t xml:space="preserve"> Such a research method can </w:t>
      </w:r>
      <w:r w:rsidRPr="00814240">
        <w:rPr>
          <w:lang w:val="en-US"/>
        </w:rPr>
        <w:t>offer a deeper understanding of experiences and local practices than quantitative studies or qualitative studies that only rely on interviewing (what people do versus what they say)</w:t>
      </w:r>
      <w:r>
        <w:rPr>
          <w:lang w:val="en-US"/>
        </w:rPr>
        <w:t xml:space="preserve"> however it </w:t>
      </w:r>
      <w:r w:rsidRPr="00814240">
        <w:rPr>
          <w:lang w:val="en-US"/>
        </w:rPr>
        <w:t>can be subjective because it’s very dependent on the evaluator’s interpretation and skills</w:t>
      </w:r>
      <w:r>
        <w:rPr>
          <w:lang w:val="en-US"/>
        </w:rPr>
        <w:t>.</w:t>
      </w:r>
    </w:p>
    <w:p w14:paraId="0BBB5E25" w14:textId="37F7DD7F" w:rsidR="007636E5" w:rsidRPr="006B06C3" w:rsidRDefault="007636E5" w:rsidP="007636E5">
      <w:pPr>
        <w:rPr>
          <w:lang w:val="en-US"/>
        </w:rPr>
      </w:pPr>
      <w:r w:rsidRPr="006B06C3">
        <w:rPr>
          <w:lang w:val="en-US"/>
        </w:rPr>
        <w:t xml:space="preserve">Autoethnography </w:t>
      </w:r>
      <w:r>
        <w:rPr>
          <w:lang w:val="en-US"/>
        </w:rPr>
        <w:t xml:space="preserve">is a distinct field of social science whereby self-narrative or autobiographical narrative is used in a story telling capacity. </w:t>
      </w:r>
      <w:proofErr w:type="spellStart"/>
      <w:r w:rsidR="00243EA6" w:rsidRPr="00243EA6">
        <w:rPr>
          <w:lang w:val="en-US"/>
        </w:rPr>
        <w:t>Chang.H</w:t>
      </w:r>
      <w:proofErr w:type="spellEnd"/>
      <w:r w:rsidR="00243EA6" w:rsidRPr="00243EA6">
        <w:rPr>
          <w:lang w:val="en-US"/>
        </w:rPr>
        <w:t>. (2008)</w:t>
      </w:r>
      <w:r>
        <w:rPr>
          <w:lang w:val="en-US"/>
        </w:rPr>
        <w:t xml:space="preserve"> describes autoethnography as a field of anthropology that shares the storytelling feature with other genres of self-narrative but transcends mere narration of self to engage in cultural analyses and interpretation. According to </w:t>
      </w:r>
      <w:r w:rsidR="00BF41C8" w:rsidRPr="00BF41C8">
        <w:rPr>
          <w:lang w:val="en-US"/>
        </w:rPr>
        <w:t>(Méndez, 2014)</w:t>
      </w:r>
      <w:r>
        <w:rPr>
          <w:lang w:val="en-US"/>
        </w:rPr>
        <w:t xml:space="preserve">, despite the advantages of such a research method there are also limitations. An example being the </w:t>
      </w:r>
      <w:r w:rsidRPr="00E77AD8">
        <w:rPr>
          <w:lang w:val="en-US"/>
        </w:rPr>
        <w:t xml:space="preserve">feelings evoked in readers </w:t>
      </w:r>
      <w:r>
        <w:rPr>
          <w:lang w:val="en-US"/>
        </w:rPr>
        <w:t xml:space="preserve">/ students </w:t>
      </w:r>
      <w:r w:rsidRPr="00E77AD8">
        <w:rPr>
          <w:lang w:val="en-US"/>
        </w:rPr>
        <w:t>may be unpleasant since the connections readers</w:t>
      </w:r>
      <w:r>
        <w:rPr>
          <w:lang w:val="en-US"/>
        </w:rPr>
        <w:t xml:space="preserve"> / students </w:t>
      </w:r>
      <w:r w:rsidRPr="00E77AD8">
        <w:rPr>
          <w:lang w:val="en-US"/>
        </w:rPr>
        <w:t>make to narratives cannot be predicted</w:t>
      </w:r>
      <w:r>
        <w:rPr>
          <w:lang w:val="en-US"/>
        </w:rPr>
        <w:t xml:space="preserve"> </w:t>
      </w:r>
      <w:r w:rsidR="00892AFA">
        <w:rPr>
          <w:lang w:val="en-US"/>
        </w:rPr>
        <w:t>(</w:t>
      </w:r>
      <w:r w:rsidR="00892AFA">
        <w:rPr>
          <w:rFonts w:ascii="Helvetica" w:hAnsi="Helvetica" w:cs="Helvetica"/>
          <w:color w:val="3A3A3A"/>
          <w:sz w:val="23"/>
          <w:szCs w:val="23"/>
          <w:shd w:val="clear" w:color="auto" w:fill="FFFFFF"/>
        </w:rPr>
        <w:t xml:space="preserve">Ellis, C., </w:t>
      </w:r>
      <w:proofErr w:type="spellStart"/>
      <w:r w:rsidR="00892AFA">
        <w:rPr>
          <w:rFonts w:ascii="Helvetica" w:hAnsi="Helvetica" w:cs="Helvetica"/>
          <w:color w:val="3A3A3A"/>
          <w:sz w:val="23"/>
          <w:szCs w:val="23"/>
          <w:shd w:val="clear" w:color="auto" w:fill="FFFFFF"/>
        </w:rPr>
        <w:t>Bochner</w:t>
      </w:r>
      <w:proofErr w:type="spellEnd"/>
      <w:r w:rsidR="00892AFA">
        <w:rPr>
          <w:rFonts w:ascii="Helvetica" w:hAnsi="Helvetica" w:cs="Helvetica"/>
          <w:color w:val="3A3A3A"/>
          <w:sz w:val="23"/>
          <w:szCs w:val="23"/>
          <w:shd w:val="clear" w:color="auto" w:fill="FFFFFF"/>
        </w:rPr>
        <w:t>, A.P. and Rath, J.</w:t>
      </w:r>
      <w:r w:rsidR="00892AFA">
        <w:rPr>
          <w:rFonts w:ascii="Helvetica" w:hAnsi="Helvetica" w:cs="Helvetica"/>
          <w:color w:val="3A3A3A"/>
          <w:sz w:val="23"/>
          <w:szCs w:val="23"/>
          <w:shd w:val="clear" w:color="auto" w:fill="FFFFFF"/>
        </w:rPr>
        <w:t xml:space="preserve">, </w:t>
      </w:r>
      <w:r w:rsidR="00892AFA">
        <w:rPr>
          <w:rFonts w:ascii="Helvetica" w:hAnsi="Helvetica" w:cs="Helvetica"/>
          <w:color w:val="3A3A3A"/>
          <w:sz w:val="23"/>
          <w:szCs w:val="23"/>
          <w:shd w:val="clear" w:color="auto" w:fill="FFFFFF"/>
        </w:rPr>
        <w:t>2001)</w:t>
      </w:r>
      <w:r w:rsidR="00892AFA">
        <w:rPr>
          <w:lang w:val="en-US"/>
        </w:rPr>
        <w:t xml:space="preserve">. </w:t>
      </w:r>
      <w:r w:rsidRPr="00E77AD8">
        <w:rPr>
          <w:lang w:val="en-US"/>
        </w:rPr>
        <w:lastRenderedPageBreak/>
        <w:t>Another limitation is the exposure it implies of the researcher's feelings and thoughts, which require honesty and willingness to self-disclose.</w:t>
      </w:r>
    </w:p>
    <w:p w14:paraId="2E175B7A" w14:textId="3F303052" w:rsidR="007636E5" w:rsidRDefault="007636E5" w:rsidP="007636E5">
      <w:pPr>
        <w:rPr>
          <w:lang w:val="en-US"/>
        </w:rPr>
      </w:pPr>
      <w:r w:rsidRPr="00E77AD8">
        <w:rPr>
          <w:lang w:val="en-US"/>
        </w:rPr>
        <w:t>Quantitative Research</w:t>
      </w:r>
      <w:r w:rsidRPr="00936E16">
        <w:rPr>
          <w:lang w:val="en-US"/>
        </w:rPr>
        <w:t xml:space="preserve"> </w:t>
      </w:r>
      <w:r>
        <w:rPr>
          <w:lang w:val="en-US"/>
        </w:rPr>
        <w:t xml:space="preserve">is far less subjective being based on metrics and measures involving science based or logic centered investigations and field work in outdoor door environments. However, in their paper </w:t>
      </w:r>
      <w:r w:rsidR="00560B47">
        <w:t>(</w:t>
      </w:r>
      <w:proofErr w:type="spellStart"/>
      <w:r w:rsidR="00560B47">
        <w:t>Scrutton</w:t>
      </w:r>
      <w:proofErr w:type="spellEnd"/>
      <w:r w:rsidR="00560B47">
        <w:t xml:space="preserve"> &amp; </w:t>
      </w:r>
      <w:proofErr w:type="spellStart"/>
      <w:r w:rsidR="00560B47">
        <w:t>Beames</w:t>
      </w:r>
      <w:proofErr w:type="spellEnd"/>
      <w:r w:rsidR="00560B47">
        <w:t>, 2013)</w:t>
      </w:r>
      <w:r>
        <w:rPr>
          <w:lang w:val="en-US"/>
        </w:rPr>
        <w:t xml:space="preserve"> the authors conclude that quantitative studies in out adventure education are being diluted in distinct key areas. These being the sample, the questionnaire and its use along with the management of variables. This then questions the suitability of quantitative research in outdoor adventure education. The authors of the study conclude that wrongly, Stake holders want evidence in numbers and not anecdote </w:t>
      </w:r>
      <w:r w:rsidR="00560B47">
        <w:t>(</w:t>
      </w:r>
      <w:proofErr w:type="spellStart"/>
      <w:r w:rsidR="00560B47">
        <w:t>Scrutton</w:t>
      </w:r>
      <w:proofErr w:type="spellEnd"/>
      <w:r w:rsidR="00560B47">
        <w:t xml:space="preserve"> &amp; </w:t>
      </w:r>
      <w:proofErr w:type="spellStart"/>
      <w:r w:rsidR="00560B47">
        <w:t>Beames</w:t>
      </w:r>
      <w:proofErr w:type="spellEnd"/>
      <w:r w:rsidR="00560B47">
        <w:t>, 2013)</w:t>
      </w:r>
      <w:r w:rsidR="00560B47">
        <w:t>.</w:t>
      </w:r>
    </w:p>
    <w:p w14:paraId="511D2D56" w14:textId="77777777" w:rsidR="007636E5" w:rsidRDefault="007636E5" w:rsidP="007636E5">
      <w:pPr>
        <w:rPr>
          <w:lang w:val="en-US"/>
        </w:rPr>
      </w:pPr>
      <w:r>
        <w:rPr>
          <w:lang w:val="en-US"/>
        </w:rPr>
        <w:t>It is quite easy to understand that gathering valid d</w:t>
      </w:r>
      <w:r w:rsidRPr="00013A09">
        <w:rPr>
          <w:lang w:val="en-US"/>
        </w:rPr>
        <w:t xml:space="preserve">ata from large groups in the outdoors </w:t>
      </w:r>
      <w:r>
        <w:rPr>
          <w:lang w:val="en-US"/>
        </w:rPr>
        <w:t xml:space="preserve">could be fraught with challenge. The outdoors does not present a constant variable with which one can collate, assess and aggregate data. It could be argued that the complexities and therefore variances of human interaction are the only constant, more so if the subject cohort are in states of stress from weather, fatigue or various stages of fear / anxiety. </w:t>
      </w:r>
    </w:p>
    <w:p w14:paraId="67612A29" w14:textId="5E24B786" w:rsidR="007636E5" w:rsidRDefault="007636E5" w:rsidP="007636E5">
      <w:pPr>
        <w:rPr>
          <w:lang w:val="en-US"/>
        </w:rPr>
      </w:pPr>
      <w:r>
        <w:rPr>
          <w:lang w:val="en-US"/>
        </w:rPr>
        <w:t xml:space="preserve">Creativity and research are not mutually exclusive attributes. They are inextricably linked with each having the ability to drive thought innovation in pursuit of satisfying the proposition or seeking new ways to elicit meaningful and relevant case study material. To this end multimodal and mobile technologies (the use of digital technology) </w:t>
      </w:r>
      <w:r w:rsidR="00CD3677" w:rsidRPr="00CD3677">
        <w:rPr>
          <w:lang w:val="en-US"/>
        </w:rPr>
        <w:t>(</w:t>
      </w:r>
      <w:proofErr w:type="spellStart"/>
      <w:r w:rsidR="00CD3677" w:rsidRPr="00CD3677">
        <w:rPr>
          <w:lang w:val="en-US"/>
        </w:rPr>
        <w:t>Humberstone</w:t>
      </w:r>
      <w:proofErr w:type="spellEnd"/>
      <w:r w:rsidR="00CD3677" w:rsidRPr="00CD3677">
        <w:rPr>
          <w:lang w:val="en-US"/>
        </w:rPr>
        <w:t xml:space="preserve"> &amp; Prince, 2019)</w:t>
      </w:r>
      <w:r w:rsidR="00CD3677">
        <w:rPr>
          <w:lang w:val="en-US"/>
        </w:rPr>
        <w:t xml:space="preserve"> </w:t>
      </w:r>
      <w:r>
        <w:rPr>
          <w:lang w:val="en-US"/>
        </w:rPr>
        <w:t xml:space="preserve">are often seen as complimentary to the more ingrained social science research genres of </w:t>
      </w:r>
      <w:r w:rsidRPr="003E1FDF">
        <w:rPr>
          <w:lang w:val="en-US"/>
        </w:rPr>
        <w:t>Conceptual, philosophical, and theoretical frameworks</w:t>
      </w:r>
      <w:r>
        <w:rPr>
          <w:lang w:val="en-US"/>
        </w:rPr>
        <w:t xml:space="preserve"> underpinning conventional qualitative and quantitative analyses. Mixed method approaches offer both evaluation, quality and evidentiary criteria whilst remaining true to the hypothesis. However, no one research style can negate the complexity and value of ethical research. </w:t>
      </w:r>
      <w:r w:rsidRPr="00E266FB">
        <w:rPr>
          <w:lang w:val="en-US"/>
        </w:rPr>
        <w:t>he moral integrity of the researcher is a critically important aspect of ensuring that the research process and a researcher’s findings are trustworthy and valid.</w:t>
      </w:r>
      <w:r>
        <w:rPr>
          <w:lang w:val="en-US"/>
        </w:rPr>
        <w:t xml:space="preserve"> </w:t>
      </w:r>
      <w:r w:rsidR="00FB0B2B">
        <w:t>(sagepub.com)</w:t>
      </w:r>
    </w:p>
    <w:p w14:paraId="159B52A5" w14:textId="28411419" w:rsidR="007636E5" w:rsidRDefault="007636E5" w:rsidP="007636E5">
      <w:pPr>
        <w:rPr>
          <w:sz w:val="28"/>
          <w:szCs w:val="28"/>
          <w:lang w:val="en-US"/>
        </w:rPr>
      </w:pPr>
      <w:r>
        <w:rPr>
          <w:lang w:val="en-US"/>
        </w:rPr>
        <w:t xml:space="preserve">It is particularly interesting to note that the authors of Research Ethics in Exercise. Health and Sports Sciences found irony in that most research method texts in exercise and sport science contain little content with regards to sport sciences. research ethics They went as far as inferring that methods were more perceived to be more important than Morals </w:t>
      </w:r>
      <w:r w:rsidR="007A6EA4">
        <w:t>(McNamee et al., 2006)</w:t>
      </w:r>
    </w:p>
    <w:p w14:paraId="02BE3F10" w14:textId="47CC4405" w:rsidR="007636E5" w:rsidRDefault="007636E5" w:rsidP="007636E5">
      <w:pPr>
        <w:rPr>
          <w:lang w:val="en-US"/>
        </w:rPr>
      </w:pPr>
      <w:r>
        <w:rPr>
          <w:lang w:val="en-US"/>
        </w:rPr>
        <w:t xml:space="preserve">Due their large body of research on experiential learning starting in 1997 with The Range of Teaching Styles in Adventure Programming </w:t>
      </w:r>
      <w:r w:rsidR="00E01663">
        <w:rPr>
          <w:lang w:val="en-US"/>
        </w:rPr>
        <w:t>(</w:t>
      </w:r>
      <w:r w:rsidR="00E01663" w:rsidRPr="00E01663">
        <w:t>Priest, S. &amp; Gass, M. A. 1997)</w:t>
      </w:r>
      <w:r>
        <w:rPr>
          <w:lang w:val="en-US"/>
        </w:rPr>
        <w:t>, experiential learning has colloquially been referred to as ‘</w:t>
      </w:r>
      <w:proofErr w:type="spellStart"/>
      <w:r>
        <w:rPr>
          <w:lang w:val="en-US"/>
        </w:rPr>
        <w:t>Priestian</w:t>
      </w:r>
      <w:proofErr w:type="spellEnd"/>
      <w:r>
        <w:rPr>
          <w:lang w:val="en-US"/>
        </w:rPr>
        <w:t xml:space="preserve">’, ‘American’ and ‘Algorithmic’.  In his paper the ‘The Generative Paradigm, discusses the challenges of this algorithmic paradigm by defining its characteristics before addressing an emerging thought process called the Generative Paradigm </w:t>
      </w:r>
      <w:r w:rsidR="00A0030A" w:rsidRPr="00A0030A">
        <w:rPr>
          <w:lang w:val="en-US"/>
        </w:rPr>
        <w:t>(</w:t>
      </w:r>
      <w:proofErr w:type="spellStart"/>
      <w:r w:rsidR="00A0030A" w:rsidRPr="00A0030A">
        <w:rPr>
          <w:lang w:val="en-US"/>
        </w:rPr>
        <w:t>Loynes</w:t>
      </w:r>
      <w:proofErr w:type="spellEnd"/>
      <w:r w:rsidR="00A0030A" w:rsidRPr="00A0030A">
        <w:rPr>
          <w:lang w:val="en-US"/>
        </w:rPr>
        <w:t>, 2002)</w:t>
      </w:r>
      <w:r>
        <w:rPr>
          <w:lang w:val="en-US"/>
        </w:rPr>
        <w:t xml:space="preserve">. This paradigm is specifically aimed at western and global cultural and educational debates in relation to sustainability and human purpose. In Essence this paper describes a paradigm where all participants inclusive of leaders and students, irrespective of age,  work creatively, supportively and non-hierarchically and with a sense of responsibility in an organic and innovative way. </w:t>
      </w:r>
    </w:p>
    <w:p w14:paraId="5786085A" w14:textId="28C63392" w:rsidR="007636E5" w:rsidRDefault="007636E5" w:rsidP="007636E5">
      <w:pPr>
        <w:rPr>
          <w:lang w:val="en-US"/>
        </w:rPr>
      </w:pPr>
      <w:r>
        <w:rPr>
          <w:lang w:val="en-US"/>
        </w:rPr>
        <w:t xml:space="preserve">Such a construct is polar to the masculine algorithmic, output focus of </w:t>
      </w:r>
      <w:proofErr w:type="spellStart"/>
      <w:r>
        <w:rPr>
          <w:lang w:val="en-US"/>
        </w:rPr>
        <w:t>rationalised</w:t>
      </w:r>
      <w:proofErr w:type="spellEnd"/>
      <w:r>
        <w:rPr>
          <w:lang w:val="en-US"/>
        </w:rPr>
        <w:t xml:space="preserve"> and quantitative assessment of conventional experiential learning studies. The term Generative paradigm was first coined in 1976 by educational Thinker, Roger Hodgkin in the context of educations role in supporting people in the creative interpretation of their existence and a transforming influence on their culture. </w:t>
      </w:r>
      <w:r w:rsidR="00A0030A">
        <w:t>(</w:t>
      </w:r>
      <w:proofErr w:type="spellStart"/>
      <w:r w:rsidR="00A0030A">
        <w:t>Loynes</w:t>
      </w:r>
      <w:proofErr w:type="spellEnd"/>
      <w:r w:rsidR="00A0030A">
        <w:t>, 2002</w:t>
      </w:r>
      <w:r w:rsidR="001D0212">
        <w:t>.</w:t>
      </w:r>
      <w:r>
        <w:rPr>
          <w:lang w:val="en-US"/>
        </w:rPr>
        <w:t xml:space="preserve"> I firmly believe that the society, let alone the outdoor sector was not ready such </w:t>
      </w:r>
      <w:r>
        <w:rPr>
          <w:lang w:val="en-US"/>
        </w:rPr>
        <w:lastRenderedPageBreak/>
        <w:t xml:space="preserve">thinking in 1976 and as such it is only recent mind set changes endorsed by political and ethnographic views that allow such ideas to permeate. </w:t>
      </w:r>
    </w:p>
    <w:p w14:paraId="4BFB3FBC" w14:textId="2297C0D6" w:rsidR="007636E5" w:rsidRDefault="007636E5" w:rsidP="007636E5">
      <w:pPr>
        <w:rPr>
          <w:szCs w:val="20"/>
          <w:lang w:val="en-US"/>
        </w:rPr>
      </w:pPr>
      <w:r w:rsidRPr="00DB7BE4">
        <w:rPr>
          <w:szCs w:val="20"/>
          <w:lang w:val="en-US"/>
        </w:rPr>
        <w:t xml:space="preserve">In their book </w:t>
      </w:r>
      <w:r w:rsidR="00CD3677">
        <w:t>(</w:t>
      </w:r>
      <w:proofErr w:type="spellStart"/>
      <w:r w:rsidR="00CD3677">
        <w:t>Humberstone</w:t>
      </w:r>
      <w:proofErr w:type="spellEnd"/>
      <w:r w:rsidR="00CD3677">
        <w:t xml:space="preserve"> &amp; Prince, 2019)</w:t>
      </w:r>
      <w:r w:rsidR="00CD3677">
        <w:rPr>
          <w:szCs w:val="20"/>
          <w:lang w:val="en-US"/>
        </w:rPr>
        <w:t>,</w:t>
      </w:r>
      <w:r w:rsidRPr="00DB7BE4">
        <w:rPr>
          <w:szCs w:val="20"/>
          <w:lang w:val="en-US"/>
        </w:rPr>
        <w:t xml:space="preserve"> the authors </w:t>
      </w:r>
      <w:r>
        <w:rPr>
          <w:szCs w:val="20"/>
          <w:lang w:val="en-US"/>
        </w:rPr>
        <w:t xml:space="preserve">consider that research in outdoor studies has grown significantly, more so since 2000 as the number of researchers and published outputs have increased and therefore such an increment in qualified learning through research could be argued to influence current policy and decision making </w:t>
      </w:r>
      <w:r w:rsidR="001441B6">
        <w:rPr>
          <w:szCs w:val="20"/>
          <w:lang w:val="en-US"/>
        </w:rPr>
        <w:t>(</w:t>
      </w:r>
      <w:r w:rsidR="001441B6">
        <w:t xml:space="preserve">Coates, E. </w:t>
      </w:r>
      <w:r w:rsidR="001441B6">
        <w:rPr>
          <w:i/>
          <w:iCs/>
        </w:rPr>
        <w:t>et al.</w:t>
      </w:r>
      <w:r w:rsidR="001441B6">
        <w:rPr>
          <w:i/>
          <w:iCs/>
        </w:rPr>
        <w:t>,</w:t>
      </w:r>
      <w:r w:rsidR="001441B6">
        <w:t xml:space="preserve"> 2015)</w:t>
      </w:r>
      <w:r>
        <w:rPr>
          <w:szCs w:val="20"/>
          <w:lang w:val="en-US"/>
        </w:rPr>
        <w:t xml:space="preserve">. It could be debated that accessibility to the outdoors has grown commensurately as has its alure making a once elitest or niche construct a potential panacea for many of </w:t>
      </w:r>
      <w:r w:rsidR="007A6EA4">
        <w:rPr>
          <w:szCs w:val="20"/>
          <w:lang w:val="en-US"/>
        </w:rPr>
        <w:t>society’s</w:t>
      </w:r>
      <w:r>
        <w:rPr>
          <w:szCs w:val="20"/>
          <w:lang w:val="en-US"/>
        </w:rPr>
        <w:t xml:space="preserve"> problems.</w:t>
      </w:r>
    </w:p>
    <w:p w14:paraId="00C8F461" w14:textId="05CAB193" w:rsidR="007636E5" w:rsidRDefault="007636E5" w:rsidP="007636E5">
      <w:pPr>
        <w:rPr>
          <w:szCs w:val="20"/>
          <w:lang w:val="en-US"/>
        </w:rPr>
      </w:pPr>
      <w:r>
        <w:rPr>
          <w:szCs w:val="20"/>
          <w:lang w:val="en-US"/>
        </w:rPr>
        <w:t xml:space="preserve">Furthermore ‘cutting-edge research’ studies continue to be interdisciplinary and transdisciplinary. According to </w:t>
      </w:r>
      <w:r w:rsidR="0014436B">
        <w:t>(Leavy, 2016)</w:t>
      </w:r>
      <w:r>
        <w:rPr>
          <w:szCs w:val="20"/>
          <w:lang w:val="en-US"/>
        </w:rPr>
        <w:t xml:space="preserve"> </w:t>
      </w:r>
      <w:r w:rsidRPr="0033574A">
        <w:rPr>
          <w:szCs w:val="20"/>
          <w:lang w:val="en-US"/>
        </w:rPr>
        <w:t>“</w:t>
      </w:r>
      <w:proofErr w:type="spellStart"/>
      <w:r w:rsidRPr="0033574A">
        <w:rPr>
          <w:szCs w:val="20"/>
          <w:lang w:val="en-US"/>
        </w:rPr>
        <w:t>Transdisciplinarity</w:t>
      </w:r>
      <w:proofErr w:type="spellEnd"/>
      <w:r w:rsidRPr="0033574A">
        <w:rPr>
          <w:szCs w:val="20"/>
          <w:lang w:val="en-US"/>
        </w:rPr>
        <w:t xml:space="preserve"> has emerged in order to meet the promise of transcending disciplinary knowledge production in order to more effectively address real world issues and problems”</w:t>
      </w:r>
      <w:r>
        <w:rPr>
          <w:szCs w:val="20"/>
          <w:lang w:val="en-US"/>
        </w:rPr>
        <w:t>. In essence such a mindset views</w:t>
      </w:r>
      <w:r w:rsidRPr="0033574A">
        <w:rPr>
          <w:szCs w:val="20"/>
          <w:lang w:val="en-US"/>
        </w:rPr>
        <w:t xml:space="preserve"> knowledge-building and </w:t>
      </w:r>
      <w:r>
        <w:rPr>
          <w:szCs w:val="20"/>
          <w:lang w:val="en-US"/>
        </w:rPr>
        <w:t xml:space="preserve">the </w:t>
      </w:r>
      <w:r w:rsidRPr="0033574A">
        <w:rPr>
          <w:szCs w:val="20"/>
          <w:lang w:val="en-US"/>
        </w:rPr>
        <w:t>dissemination as a holistic process that requires innovation and flexibility. It thrives on creativity, looking at and thinking about things in a different way, with the purpose of doing things differently.</w:t>
      </w:r>
      <w:r>
        <w:rPr>
          <w:szCs w:val="20"/>
          <w:lang w:val="en-US"/>
        </w:rPr>
        <w:t xml:space="preserve"> However, it is proposed that future research be aimed at enhancing emerging methods and methodologies in socio-cultural and socio-environmental areas of outdoor recreation, leisure and sporting activities. </w:t>
      </w:r>
      <w:r w:rsidR="0014436B">
        <w:t>(Leavy, 2016)</w:t>
      </w:r>
      <w:r>
        <w:rPr>
          <w:szCs w:val="20"/>
          <w:lang w:val="en-US"/>
        </w:rPr>
        <w:t xml:space="preserve"> Such studies can lead to </w:t>
      </w:r>
      <w:r w:rsidRPr="007D4BA7">
        <w:rPr>
          <w:szCs w:val="20"/>
          <w:lang w:val="en-US"/>
        </w:rPr>
        <w:t>human transformation within and with the environment /more-than-human world</w:t>
      </w:r>
      <w:r>
        <w:rPr>
          <w:szCs w:val="20"/>
          <w:lang w:val="en-US"/>
        </w:rPr>
        <w:t xml:space="preserve"> and seek to enhance </w:t>
      </w:r>
      <w:r w:rsidRPr="007D4BA7">
        <w:rPr>
          <w:szCs w:val="20"/>
          <w:lang w:val="en-US"/>
        </w:rPr>
        <w:t>public health and wellbeing</w:t>
      </w:r>
      <w:r>
        <w:rPr>
          <w:szCs w:val="20"/>
          <w:lang w:val="en-US"/>
        </w:rPr>
        <w:t xml:space="preserve"> and </w:t>
      </w:r>
      <w:r w:rsidRPr="007D4BA7">
        <w:rPr>
          <w:szCs w:val="20"/>
          <w:lang w:val="en-US"/>
        </w:rPr>
        <w:t>educational</w:t>
      </w:r>
      <w:r>
        <w:rPr>
          <w:szCs w:val="20"/>
          <w:lang w:val="en-US"/>
        </w:rPr>
        <w:t xml:space="preserve"> agendas.</w:t>
      </w:r>
    </w:p>
    <w:p w14:paraId="3853E1FD" w14:textId="4BA90C5E" w:rsidR="007636E5" w:rsidRDefault="007636E5" w:rsidP="007636E5">
      <w:r w:rsidRPr="007D4BA7">
        <w:rPr>
          <w:szCs w:val="20"/>
          <w:lang w:val="en-US"/>
        </w:rPr>
        <w:t>Onto-</w:t>
      </w:r>
      <w:proofErr w:type="spellStart"/>
      <w:r w:rsidRPr="007D4BA7">
        <w:rPr>
          <w:szCs w:val="20"/>
          <w:lang w:val="en-US"/>
        </w:rPr>
        <w:t>ethico</w:t>
      </w:r>
      <w:proofErr w:type="spellEnd"/>
      <w:r w:rsidRPr="007D4BA7">
        <w:rPr>
          <w:szCs w:val="20"/>
          <w:lang w:val="en-US"/>
        </w:rPr>
        <w:t>-epistemological thinking in outdoor studies</w:t>
      </w:r>
      <w:r>
        <w:rPr>
          <w:szCs w:val="20"/>
          <w:lang w:val="en-US"/>
        </w:rPr>
        <w:t xml:space="preserve"> was discussed in </w:t>
      </w:r>
      <w:r w:rsidR="00FE1FE3">
        <w:t>(</w:t>
      </w:r>
      <w:proofErr w:type="spellStart"/>
      <w:r w:rsidR="00FE1FE3">
        <w:t>Humberstone</w:t>
      </w:r>
      <w:proofErr w:type="spellEnd"/>
      <w:r w:rsidR="00FE1FE3">
        <w:t xml:space="preserve"> &amp; Prince, 2019)</w:t>
      </w:r>
      <w:r>
        <w:rPr>
          <w:szCs w:val="20"/>
          <w:lang w:val="en-US"/>
        </w:rPr>
        <w:t xml:space="preserve">. According to </w:t>
      </w:r>
      <w:r w:rsidR="00C6328A">
        <w:t>(Barad, 2007)</w:t>
      </w:r>
      <w:r>
        <w:rPr>
          <w:szCs w:val="20"/>
          <w:lang w:val="en-US"/>
        </w:rPr>
        <w:t xml:space="preserve"> </w:t>
      </w:r>
      <w:proofErr w:type="spellStart"/>
      <w:r w:rsidRPr="00471F07">
        <w:rPr>
          <w:szCs w:val="20"/>
          <w:lang w:val="en-US"/>
        </w:rPr>
        <w:t>Ethico</w:t>
      </w:r>
      <w:proofErr w:type="spellEnd"/>
      <w:r w:rsidRPr="00471F07">
        <w:rPr>
          <w:szCs w:val="20"/>
          <w:lang w:val="en-US"/>
        </w:rPr>
        <w:t>-onto-epistemology highlights the interrelatedness of “ethics, knowing, and being” across unstable and indeterminate assemblages constituted by various forms of life and nonlife.</w:t>
      </w:r>
      <w:r>
        <w:rPr>
          <w:szCs w:val="20"/>
          <w:lang w:val="en-US"/>
        </w:rPr>
        <w:t xml:space="preserve"> At a more academic level of study, scholars debate the influence of </w:t>
      </w:r>
      <w:r w:rsidRPr="00471F07">
        <w:rPr>
          <w:szCs w:val="20"/>
          <w:lang w:val="en-US"/>
        </w:rPr>
        <w:t>on</w:t>
      </w:r>
      <w:r>
        <w:rPr>
          <w:szCs w:val="20"/>
          <w:lang w:val="en-US"/>
        </w:rPr>
        <w:t xml:space="preserve"> </w:t>
      </w:r>
      <w:r w:rsidRPr="00471F07">
        <w:rPr>
          <w:szCs w:val="20"/>
          <w:lang w:val="en-US"/>
        </w:rPr>
        <w:t>human elements in research contexts, including molecular matter, animal life, and technological</w:t>
      </w:r>
      <w:r>
        <w:rPr>
          <w:szCs w:val="20"/>
          <w:lang w:val="en-US"/>
        </w:rPr>
        <w:t xml:space="preserve"> attachments </w:t>
      </w:r>
      <w:r w:rsidR="00250658">
        <w:t>(Jackson &amp; Mazzei, 2022)</w:t>
      </w:r>
      <w:r>
        <w:rPr>
          <w:szCs w:val="20"/>
          <w:lang w:val="en-US"/>
        </w:rPr>
        <w:t xml:space="preserve"> .</w:t>
      </w:r>
      <w:r w:rsidRPr="00471F07">
        <w:t xml:space="preserve"> </w:t>
      </w:r>
      <w:r w:rsidR="00FE1FE3">
        <w:t>(</w:t>
      </w:r>
      <w:proofErr w:type="spellStart"/>
      <w:r w:rsidR="00FE1FE3">
        <w:t>Humberstone</w:t>
      </w:r>
      <w:proofErr w:type="spellEnd"/>
      <w:r w:rsidR="00FE1FE3">
        <w:t xml:space="preserve"> &amp; Prince, 2019)</w:t>
      </w:r>
      <w:r w:rsidR="00FE1FE3">
        <w:t xml:space="preserve"> </w:t>
      </w:r>
      <w:r>
        <w:t xml:space="preserve">argues that such ways of thinking are derived to examine contested theorisations and dualisms. Based on critical multimodal projects undertaken by young adults the author </w:t>
      </w:r>
      <w:r w:rsidR="00C6328A">
        <w:t>(Barad, 2007)</w:t>
      </w:r>
      <w:r>
        <w:t xml:space="preserve"> set out to encapsulate his thinking around two key questions. </w:t>
      </w:r>
      <w:r w:rsidRPr="00FC2B06">
        <w:t>How can reencounters with data destabilize the researcher–subject binary within literacy research spaces?</w:t>
      </w:r>
      <w:r>
        <w:t xml:space="preserve"> </w:t>
      </w:r>
      <w:r w:rsidRPr="00FC2B06">
        <w:t>How can re-searching learning assemblages enhance attention to entanglements among human and nonhuman actors?</w:t>
      </w:r>
      <w:r>
        <w:t xml:space="preserve">  Whilst the first question does not specifically satisfy the expected outcome of discussing future areas of development to further enhance practice, I feel the second strongly resonates. In understanding both our place and entanglements with people and things in a plethora of environments, such research could unlock far greater levels of understanding and meaning and therefore attainment, achievement, and enjoyment.</w:t>
      </w:r>
    </w:p>
    <w:p w14:paraId="05117BF5" w14:textId="447D8DBD" w:rsidR="007636E5" w:rsidRDefault="007636E5" w:rsidP="007636E5">
      <w:r w:rsidRPr="001851D9">
        <w:t xml:space="preserve">The role of creativity and research in outdoor adventure education transcends the functional art of doing. </w:t>
      </w:r>
      <w:r w:rsidR="002F221D">
        <w:t>(</w:t>
      </w:r>
      <w:proofErr w:type="spellStart"/>
      <w:r w:rsidR="002F221D">
        <w:rPr>
          <w:rFonts w:ascii="Helvetica" w:hAnsi="Helvetica" w:cs="Helvetica"/>
          <w:color w:val="3A3A3A"/>
          <w:sz w:val="23"/>
          <w:szCs w:val="23"/>
          <w:shd w:val="clear" w:color="auto" w:fill="FFFFFF"/>
        </w:rPr>
        <w:t>Wurdinger</w:t>
      </w:r>
      <w:proofErr w:type="spellEnd"/>
      <w:r w:rsidR="002F221D">
        <w:rPr>
          <w:rFonts w:ascii="Helvetica" w:hAnsi="Helvetica" w:cs="Helvetica"/>
          <w:color w:val="3A3A3A"/>
          <w:sz w:val="23"/>
          <w:szCs w:val="23"/>
          <w:shd w:val="clear" w:color="auto" w:fill="FFFFFF"/>
        </w:rPr>
        <w:t>, S.D. 1994) </w:t>
      </w:r>
      <w:r w:rsidRPr="001851D9">
        <w:t xml:space="preserve">describes a ‘Moral Paradigm’ in which according to Kurt Han </w:t>
      </w:r>
      <w:r w:rsidR="001D0212">
        <w:t>(</w:t>
      </w:r>
      <w:proofErr w:type="spellStart"/>
      <w:r w:rsidR="001D0212">
        <w:t>Loynes</w:t>
      </w:r>
      <w:proofErr w:type="spellEnd"/>
      <w:r w:rsidR="001D0212">
        <w:t>, 2002)</w:t>
      </w:r>
      <w:r w:rsidRPr="001851D9">
        <w:t xml:space="preserve"> the goal is to toughen the moral fibres of young people, </w:t>
      </w:r>
      <w:r w:rsidR="009E579E">
        <w:t>(</w:t>
      </w:r>
      <w:proofErr w:type="spellStart"/>
      <w:r w:rsidR="009E579E">
        <w:rPr>
          <w:rFonts w:ascii="Helvetica" w:hAnsi="Helvetica" w:cs="Helvetica"/>
          <w:color w:val="3A3A3A"/>
          <w:sz w:val="23"/>
          <w:szCs w:val="23"/>
          <w:shd w:val="clear" w:color="auto" w:fill="FFFFFF"/>
        </w:rPr>
        <w:t>Repp</w:t>
      </w:r>
      <w:proofErr w:type="spellEnd"/>
      <w:r w:rsidR="009E579E">
        <w:rPr>
          <w:rFonts w:ascii="Helvetica" w:hAnsi="Helvetica" w:cs="Helvetica"/>
          <w:color w:val="3A3A3A"/>
          <w:sz w:val="23"/>
          <w:szCs w:val="23"/>
          <w:shd w:val="clear" w:color="auto" w:fill="FFFFFF"/>
        </w:rPr>
        <w:t xml:space="preserve">, G. 1996) </w:t>
      </w:r>
      <w:r w:rsidRPr="001851D9">
        <w:t>defines an ecological paradigm which acknowledges the importance of a particular style of relationship with nature as defining of the culture’s identity.  It is clear that to be a exponent in outdoor adventure education, one needs to be more than just an ex</w:t>
      </w:r>
      <w:r>
        <w:t>emplar</w:t>
      </w:r>
      <w:r w:rsidRPr="001851D9">
        <w:t xml:space="preserve"> of physical and technical attributes.</w:t>
      </w:r>
    </w:p>
    <w:p w14:paraId="0ACD2B2B" w14:textId="77777777" w:rsidR="007636E5" w:rsidRDefault="007636E5" w:rsidP="007636E5">
      <w:pPr>
        <w:rPr>
          <w:szCs w:val="20"/>
          <w:lang w:val="en-US"/>
        </w:rPr>
      </w:pPr>
      <w:r w:rsidRPr="001851D9">
        <w:rPr>
          <w:szCs w:val="20"/>
          <w:lang w:val="en-US"/>
        </w:rPr>
        <w:t xml:space="preserve">When I reflect on Strengths and limitations of Own proposal </w:t>
      </w:r>
      <w:r>
        <w:rPr>
          <w:szCs w:val="20"/>
          <w:lang w:val="en-US"/>
        </w:rPr>
        <w:t xml:space="preserve">from assessment 1, it is readily apparent that my research methodology was purely qualitative. Whilst I am satisfied that the interview questions, I proposed had both meaning and relevance in assessing the ‘what’, they have not addressed the ‘why’, they offered little other insight. If I were to undertake a viable survey with </w:t>
      </w:r>
      <w:r>
        <w:rPr>
          <w:szCs w:val="20"/>
          <w:lang w:val="en-US"/>
        </w:rPr>
        <w:lastRenderedPageBreak/>
        <w:t>my proposal as is, I believe after consolidation, I would determine a strong appraisal of an outdoor adventure education leader. To some degree, a job description, defining mandatory and desirable attributes.</w:t>
      </w:r>
    </w:p>
    <w:p w14:paraId="7BFDB6D5" w14:textId="77777777" w:rsidR="007636E5" w:rsidRDefault="007636E5" w:rsidP="007636E5">
      <w:pPr>
        <w:rPr>
          <w:szCs w:val="20"/>
          <w:lang w:val="en-US"/>
        </w:rPr>
      </w:pPr>
      <w:r>
        <w:rPr>
          <w:szCs w:val="20"/>
          <w:lang w:val="en-US"/>
        </w:rPr>
        <w:t>In not addressing the ‘why’, I remain uninformed as to what motivates the individuals to do what they do. I have not established how such leaders remain current in their field and how they respond change and challenge with new and emerging paradigms, especially those with deep entanglements with socio-economic, cultural, ecological, philosophical and gender bias.</w:t>
      </w:r>
    </w:p>
    <w:p w14:paraId="4F5BFBA5" w14:textId="01472FFF" w:rsidR="007636E5" w:rsidRDefault="007636E5" w:rsidP="007636E5">
      <w:pPr>
        <w:rPr>
          <w:szCs w:val="20"/>
          <w:lang w:val="en-US"/>
        </w:rPr>
      </w:pPr>
      <w:r>
        <w:rPr>
          <w:szCs w:val="20"/>
          <w:lang w:val="en-US"/>
        </w:rPr>
        <w:t xml:space="preserve">In retrospect, several of my questions strike me as being particularly vague and ambiguous and as such this has reaffirmed the conclusions of </w:t>
      </w:r>
      <w:r w:rsidR="00560B47">
        <w:t>(</w:t>
      </w:r>
      <w:proofErr w:type="spellStart"/>
      <w:r w:rsidR="00560B47">
        <w:t>Scrutton</w:t>
      </w:r>
      <w:proofErr w:type="spellEnd"/>
      <w:r w:rsidR="00560B47">
        <w:t xml:space="preserve"> &amp; </w:t>
      </w:r>
      <w:proofErr w:type="spellStart"/>
      <w:r w:rsidR="00560B47">
        <w:t>Beames</w:t>
      </w:r>
      <w:proofErr w:type="spellEnd"/>
      <w:r w:rsidR="00560B47">
        <w:t>, 2013)</w:t>
      </w:r>
      <w:r>
        <w:rPr>
          <w:szCs w:val="20"/>
          <w:lang w:val="en-US"/>
        </w:rPr>
        <w:t xml:space="preserve"> in that the quality of quantitative research is be</w:t>
      </w:r>
      <w:r w:rsidRPr="006A7582">
        <w:rPr>
          <w:szCs w:val="20"/>
          <w:lang w:val="en-US"/>
        </w:rPr>
        <w:t xml:space="preserve">ing diluted </w:t>
      </w:r>
      <w:r>
        <w:rPr>
          <w:szCs w:val="20"/>
          <w:lang w:val="en-US"/>
        </w:rPr>
        <w:t xml:space="preserve">in the </w:t>
      </w:r>
      <w:r w:rsidRPr="006A7582">
        <w:rPr>
          <w:szCs w:val="20"/>
          <w:lang w:val="en-US"/>
        </w:rPr>
        <w:t>distinct key areas</w:t>
      </w:r>
      <w:r>
        <w:rPr>
          <w:szCs w:val="20"/>
          <w:lang w:val="en-US"/>
        </w:rPr>
        <w:t xml:space="preserve"> of the </w:t>
      </w:r>
      <w:r w:rsidRPr="006A7582">
        <w:rPr>
          <w:szCs w:val="20"/>
          <w:lang w:val="en-US"/>
        </w:rPr>
        <w:t>sample, the questionnaire and its use along with the management of variables.</w:t>
      </w:r>
    </w:p>
    <w:p w14:paraId="16D1C2EF" w14:textId="77777777" w:rsidR="007636E5" w:rsidRDefault="007636E5" w:rsidP="007636E5">
      <w:pPr>
        <w:rPr>
          <w:szCs w:val="20"/>
          <w:lang w:val="en-US"/>
        </w:rPr>
      </w:pPr>
      <w:r>
        <w:rPr>
          <w:szCs w:val="20"/>
          <w:lang w:val="en-US"/>
        </w:rPr>
        <w:t xml:space="preserve">In hindsight I think the proposition was not clear enough. The interview structure set to determine an output that had not been defined at a granular level. When considering the reading undertaking for the essay, it is clear that I should have developed additional lines of assessment that deviated away from the requisite attributes of an individual. The ideal way to have achieved this would have been via a multimodal of research that could have retained the interview style, but also included methods such as fixed response </w:t>
      </w:r>
      <w:proofErr w:type="spellStart"/>
      <w:r>
        <w:rPr>
          <w:szCs w:val="20"/>
          <w:lang w:val="en-US"/>
        </w:rPr>
        <w:t>anonomised</w:t>
      </w:r>
      <w:proofErr w:type="spellEnd"/>
      <w:r>
        <w:rPr>
          <w:szCs w:val="20"/>
          <w:lang w:val="en-US"/>
        </w:rPr>
        <w:t xml:space="preserve"> surveys, psychometric analyses and demographically diverse focus groups with </w:t>
      </w:r>
      <w:proofErr w:type="spellStart"/>
      <w:r>
        <w:rPr>
          <w:szCs w:val="20"/>
          <w:lang w:val="en-US"/>
        </w:rPr>
        <w:t>my self</w:t>
      </w:r>
      <w:proofErr w:type="spellEnd"/>
      <w:r>
        <w:rPr>
          <w:szCs w:val="20"/>
          <w:lang w:val="en-US"/>
        </w:rPr>
        <w:t xml:space="preserve"> as moderator for example.</w:t>
      </w:r>
    </w:p>
    <w:p w14:paraId="08300413" w14:textId="77777777" w:rsidR="007636E5" w:rsidRDefault="007636E5" w:rsidP="007636E5">
      <w:pPr>
        <w:rPr>
          <w:szCs w:val="20"/>
          <w:lang w:val="en-US"/>
        </w:rPr>
      </w:pPr>
      <w:r>
        <w:rPr>
          <w:szCs w:val="20"/>
          <w:lang w:val="en-US"/>
        </w:rPr>
        <w:t>I would conclude that for any research activity to be initiated, there must be a granular level of understanding of what the derived intent is to be. This will then seed the research methodology allowing viable mechanisms for ensuring that ethical research integrity is upheld throughout. However, I do feel that creativity will always be the differentiator in the quality of the result. The ability to elicit information from people or data from the environment in a fun and interactive manner will always be more productive than repetitious and mundane statistical or semantic appraisal.</w:t>
      </w:r>
    </w:p>
    <w:p w14:paraId="19E2E9EA" w14:textId="6957C2B4" w:rsidR="007636E5" w:rsidRDefault="007636E5" w:rsidP="007636E5">
      <w:pPr>
        <w:rPr>
          <w:b/>
          <w:bCs/>
          <w:sz w:val="28"/>
          <w:szCs w:val="28"/>
          <w:lang w:val="en-US"/>
        </w:rPr>
      </w:pPr>
    </w:p>
    <w:p w14:paraId="45B66D5C" w14:textId="46EAC341" w:rsidR="007636E5" w:rsidRDefault="007636E5" w:rsidP="007636E5">
      <w:pPr>
        <w:rPr>
          <w:b/>
          <w:bCs/>
          <w:sz w:val="28"/>
          <w:szCs w:val="28"/>
          <w:lang w:val="en-US"/>
        </w:rPr>
      </w:pPr>
    </w:p>
    <w:p w14:paraId="375179FE" w14:textId="4BC1D5E5" w:rsidR="00741755" w:rsidRDefault="00741755" w:rsidP="007636E5">
      <w:pPr>
        <w:rPr>
          <w:b/>
          <w:bCs/>
          <w:sz w:val="28"/>
          <w:szCs w:val="28"/>
          <w:lang w:val="en-US"/>
        </w:rPr>
      </w:pPr>
    </w:p>
    <w:p w14:paraId="66379D1D" w14:textId="7E934317" w:rsidR="00741755" w:rsidRDefault="00741755" w:rsidP="007636E5">
      <w:pPr>
        <w:rPr>
          <w:b/>
          <w:bCs/>
          <w:sz w:val="28"/>
          <w:szCs w:val="28"/>
          <w:lang w:val="en-US"/>
        </w:rPr>
      </w:pPr>
    </w:p>
    <w:p w14:paraId="7281B639" w14:textId="7538A60F" w:rsidR="00741755" w:rsidRDefault="00741755" w:rsidP="007636E5">
      <w:pPr>
        <w:rPr>
          <w:b/>
          <w:bCs/>
          <w:sz w:val="28"/>
          <w:szCs w:val="28"/>
          <w:lang w:val="en-US"/>
        </w:rPr>
      </w:pPr>
    </w:p>
    <w:p w14:paraId="1947894F" w14:textId="686B58EA" w:rsidR="00741755" w:rsidRDefault="00741755" w:rsidP="007636E5">
      <w:pPr>
        <w:rPr>
          <w:b/>
          <w:bCs/>
          <w:sz w:val="28"/>
          <w:szCs w:val="28"/>
          <w:lang w:val="en-US"/>
        </w:rPr>
      </w:pPr>
    </w:p>
    <w:p w14:paraId="793EF234" w14:textId="7EDEB5FD" w:rsidR="00741755" w:rsidRDefault="00741755" w:rsidP="007636E5">
      <w:pPr>
        <w:rPr>
          <w:b/>
          <w:bCs/>
          <w:sz w:val="28"/>
          <w:szCs w:val="28"/>
          <w:lang w:val="en-US"/>
        </w:rPr>
      </w:pPr>
    </w:p>
    <w:p w14:paraId="40F8A9EA" w14:textId="1E9B4B5A" w:rsidR="00741755" w:rsidRDefault="00741755" w:rsidP="007636E5">
      <w:pPr>
        <w:rPr>
          <w:b/>
          <w:bCs/>
          <w:sz w:val="28"/>
          <w:szCs w:val="28"/>
          <w:lang w:val="en-US"/>
        </w:rPr>
      </w:pPr>
    </w:p>
    <w:p w14:paraId="46A69143" w14:textId="7F1FA1CF" w:rsidR="00741755" w:rsidRDefault="00741755" w:rsidP="007636E5">
      <w:pPr>
        <w:rPr>
          <w:b/>
          <w:bCs/>
          <w:sz w:val="28"/>
          <w:szCs w:val="28"/>
          <w:lang w:val="en-US"/>
        </w:rPr>
      </w:pPr>
    </w:p>
    <w:p w14:paraId="7B8F86AB" w14:textId="4C2E53B8" w:rsidR="00741755" w:rsidRDefault="00741755" w:rsidP="007636E5">
      <w:pPr>
        <w:rPr>
          <w:b/>
          <w:bCs/>
          <w:sz w:val="28"/>
          <w:szCs w:val="28"/>
          <w:lang w:val="en-US"/>
        </w:rPr>
      </w:pPr>
    </w:p>
    <w:p w14:paraId="284E8E97" w14:textId="77777777" w:rsidR="00741755" w:rsidRDefault="00741755" w:rsidP="007636E5">
      <w:pPr>
        <w:rPr>
          <w:b/>
          <w:bCs/>
          <w:sz w:val="28"/>
          <w:szCs w:val="28"/>
          <w:lang w:val="en-US"/>
        </w:rPr>
      </w:pPr>
    </w:p>
    <w:p w14:paraId="028E3FA3" w14:textId="77777777" w:rsidR="007636E5" w:rsidRDefault="007636E5" w:rsidP="007636E5">
      <w:pPr>
        <w:rPr>
          <w:b/>
          <w:bCs/>
          <w:sz w:val="28"/>
          <w:szCs w:val="28"/>
          <w:lang w:val="en-US"/>
        </w:rPr>
      </w:pPr>
    </w:p>
    <w:p w14:paraId="262C0232" w14:textId="77777777" w:rsidR="007636E5" w:rsidRDefault="007636E5" w:rsidP="007636E5">
      <w:pPr>
        <w:rPr>
          <w:b/>
          <w:bCs/>
          <w:sz w:val="28"/>
          <w:szCs w:val="28"/>
          <w:lang w:val="en-US"/>
        </w:rPr>
      </w:pPr>
    </w:p>
    <w:sdt>
      <w:sdtPr>
        <w:id w:val="169025762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0B608CC" w14:textId="7EF31255" w:rsidR="001068B3" w:rsidRDefault="001068B3">
          <w:pPr>
            <w:pStyle w:val="Heading1"/>
          </w:pPr>
          <w:r>
            <w:t>References</w:t>
          </w:r>
        </w:p>
        <w:sdt>
          <w:sdtPr>
            <w:id w:val="-573587230"/>
            <w:bibliography/>
          </w:sdtPr>
          <w:sdtEndPr>
            <w:rPr>
              <w:rFonts w:asciiTheme="minorHAnsi" w:eastAsiaTheme="minorHAnsi" w:hAnsiTheme="minorHAnsi" w:cstheme="minorBidi"/>
              <w:sz w:val="22"/>
              <w:szCs w:val="22"/>
              <w:lang w:eastAsia="en-US"/>
            </w:rPr>
          </w:sdtEndPr>
          <w:sdtContent>
            <w:p w14:paraId="6B6D2FAB" w14:textId="6042D6D0" w:rsidR="00000C54" w:rsidRDefault="001068B3" w:rsidP="00E32683">
              <w:pPr>
                <w:pStyle w:val="NormalWeb"/>
                <w:ind w:left="567" w:hanging="567"/>
                <w:rPr>
                  <w:b/>
                  <w:bCs/>
                  <w:noProof/>
                </w:rPr>
              </w:pPr>
              <w:r>
                <w:fldChar w:fldCharType="begin"/>
              </w:r>
              <w:r>
                <w:instrText xml:space="preserve"> BIBLIOGRAPHY </w:instrText>
              </w:r>
              <w:r>
                <w:fldChar w:fldCharType="separate"/>
              </w:r>
              <w:r w:rsidR="00000C54" w:rsidRPr="00000C54">
                <w:t xml:space="preserve"> </w:t>
              </w:r>
              <w:proofErr w:type="spellStart"/>
              <w:r w:rsidR="00000C54">
                <w:t>Humberstone</w:t>
              </w:r>
              <w:proofErr w:type="spellEnd"/>
              <w:r w:rsidR="00000C54">
                <w:t xml:space="preserve">, B. and Prince, H. (2019) </w:t>
              </w:r>
              <w:r w:rsidR="00000C54">
                <w:rPr>
                  <w:i/>
                  <w:iCs/>
                </w:rPr>
                <w:t>Research methods in outdoor studies</w:t>
              </w:r>
              <w:r w:rsidR="00000C54">
                <w:t xml:space="preserve">. </w:t>
              </w:r>
              <w:proofErr w:type="spellStart"/>
              <w:r w:rsidR="00000C54">
                <w:t>London:Routledge</w:t>
              </w:r>
              <w:proofErr w:type="spellEnd"/>
              <w:r w:rsidR="00000C54">
                <w:t xml:space="preserve">, Taylor &amp; Francis </w:t>
              </w:r>
              <w:proofErr w:type="spellStart"/>
              <w:r w:rsidR="00000C54">
                <w:t>Grou</w:t>
              </w:r>
              <w:proofErr w:type="spellEnd"/>
              <w:r w:rsidR="0017591C" w:rsidRPr="0017591C">
                <w:t xml:space="preserve"> </w:t>
              </w:r>
              <w:r w:rsidR="0017591C" w:rsidRPr="0017591C">
                <w:t>WAHYUNI, D., 2012. The Research Design Maze: Understanding Paradigms, Cases, Methods and Methodologies. Journal of Applied Management Accounting Research, 10(1), pp. 69-80.</w:t>
              </w:r>
              <w:r w:rsidR="00000C54">
                <w:t xml:space="preserve">p. </w:t>
              </w:r>
              <w:r>
                <w:rPr>
                  <w:b/>
                  <w:bCs/>
                  <w:noProof/>
                  <w:lang w:val="en-US"/>
                </w:rPr>
                <w:t>nt.</w:t>
              </w:r>
              <w:r>
                <w:rPr>
                  <w:b/>
                  <w:bCs/>
                  <w:noProof/>
                </w:rPr>
                <w:fldChar w:fldCharType="end"/>
              </w:r>
            </w:p>
            <w:p w14:paraId="6D547F17" w14:textId="40A94A97" w:rsidR="0002227E" w:rsidRDefault="0002227E" w:rsidP="0002227E">
              <w:pPr>
                <w:pStyle w:val="NormalWeb"/>
                <w:ind w:left="567" w:hanging="567"/>
              </w:pPr>
              <w:r>
                <w:t xml:space="preserve">Sparkes, A.C. (2015) “Developing mixed methods research in sport and exercise psychology: Critical reflections on five points of controversy,” </w:t>
              </w:r>
              <w:r>
                <w:rPr>
                  <w:i/>
                  <w:iCs/>
                </w:rPr>
                <w:t>Psychology of Sport and Exercise</w:t>
              </w:r>
              <w:r>
                <w:t xml:space="preserve">, 16(3), pp. 49–59. Available at: https://doi.org/10.1016/j.psychsport.2014.08.014. </w:t>
              </w:r>
            </w:p>
            <w:p w14:paraId="399F4FF5" w14:textId="1ACA65F7" w:rsidR="0002227E" w:rsidRDefault="0017591C" w:rsidP="0002227E">
              <w:pPr>
                <w:pStyle w:val="NormalWeb"/>
                <w:ind w:left="567" w:hanging="567"/>
              </w:pPr>
              <w:r w:rsidRPr="0017591C">
                <w:t>WAHYUNI, D., 2012. The Research Design Maze: Understanding Paradigms, Cases, Methods and Methodologies. Journal of Applied Management Accounting Research, 10(1), pp. 69-80.</w:t>
              </w:r>
            </w:p>
            <w:p w14:paraId="091366CC" w14:textId="77777777" w:rsidR="00066054" w:rsidRDefault="00066054" w:rsidP="00066054">
              <w:pPr>
                <w:pStyle w:val="NormalWeb"/>
                <w:ind w:left="567" w:hanging="567"/>
              </w:pPr>
              <w:proofErr w:type="spellStart"/>
              <w:r>
                <w:t>Sarantakos</w:t>
              </w:r>
              <w:proofErr w:type="spellEnd"/>
              <w:r>
                <w:t xml:space="preserve">, S. (2005) “Social Research,” 3rd ed. Available at: https://doi.org/10.1007/978-0-230-20901-5. </w:t>
              </w:r>
            </w:p>
            <w:p w14:paraId="61B67850" w14:textId="4CC423A4" w:rsidR="0017591C" w:rsidRDefault="006922DF" w:rsidP="003F627C">
              <w:pPr>
                <w:pStyle w:val="NormalWeb"/>
                <w:ind w:left="567" w:hanging="567"/>
              </w:pPr>
              <w:r>
                <w:t xml:space="preserve">Clarke, G. and </w:t>
              </w:r>
              <w:proofErr w:type="spellStart"/>
              <w:r>
                <w:t>Humberstone</w:t>
              </w:r>
              <w:proofErr w:type="spellEnd"/>
              <w:r>
                <w:t xml:space="preserve">, B. (1997) “Managing a women’s sport organisation: Interpreting biographies,” </w:t>
              </w:r>
              <w:r>
                <w:rPr>
                  <w:i/>
                  <w:iCs/>
                </w:rPr>
                <w:t>Researching Women and Sport</w:t>
              </w:r>
              <w:r>
                <w:t xml:space="preserve">, pp. 199–211. Available at: https://doi.org/10.1007/978-1-349-25317-3_1. </w:t>
              </w:r>
            </w:p>
            <w:p w14:paraId="4DD4DD2D" w14:textId="77777777" w:rsidR="003F627C" w:rsidRDefault="003F627C" w:rsidP="003F627C">
              <w:pPr>
                <w:pStyle w:val="NormalWeb"/>
                <w:ind w:left="567" w:hanging="567"/>
              </w:pPr>
              <w:r>
                <w:t xml:space="preserve">Coates, E. </w:t>
              </w:r>
              <w:r>
                <w:rPr>
                  <w:i/>
                  <w:iCs/>
                </w:rPr>
                <w:t>et al.</w:t>
              </w:r>
              <w:r>
                <w:t xml:space="preserve"> (2015) “Shifting perspectives on research in the outdoors,” </w:t>
              </w:r>
              <w:r>
                <w:rPr>
                  <w:i/>
                  <w:iCs/>
                </w:rPr>
                <w:t>Routledge International Handbook of Outdoor Studies</w:t>
              </w:r>
              <w:r>
                <w:t xml:space="preserve">, pp. 69–78. Available at: https://doi.org/10.4324/9781315768465-9. </w:t>
              </w:r>
            </w:p>
            <w:p w14:paraId="76C61EA5" w14:textId="4AFC3A94" w:rsidR="00E32683" w:rsidRDefault="0005511C" w:rsidP="00E32683">
              <w:pPr>
                <w:pStyle w:val="NormalWeb"/>
                <w:ind w:left="567" w:hanging="567"/>
              </w:pPr>
              <w:proofErr w:type="spellStart"/>
              <w:r w:rsidRPr="0005511C">
                <w:t>Chang.H</w:t>
              </w:r>
              <w:proofErr w:type="spellEnd"/>
              <w:r w:rsidRPr="0005511C">
                <w:t>. (2008). Chapter 3: Autoethnography. In Autoethnography as method (pp. 43-57). Walnut Creek, CA: Left Coast Press</w:t>
              </w:r>
            </w:p>
            <w:p w14:paraId="7452A717" w14:textId="22F6284B" w:rsidR="003B02EB" w:rsidRDefault="003B02EB" w:rsidP="003B02EB">
              <w:pPr>
                <w:pStyle w:val="NormalWeb"/>
                <w:ind w:left="567" w:hanging="567"/>
              </w:pPr>
              <w:proofErr w:type="spellStart"/>
              <w:r>
                <w:t>Loynes</w:t>
              </w:r>
              <w:proofErr w:type="spellEnd"/>
              <w:r>
                <w:t xml:space="preserve">, C. (2002) “The generative paradigm,” </w:t>
              </w:r>
              <w:r>
                <w:rPr>
                  <w:i/>
                  <w:iCs/>
                </w:rPr>
                <w:t>Journal of Adventure Education and Outdoor Learning</w:t>
              </w:r>
              <w:r>
                <w:t xml:space="preserve">, 2(2), pp. 113–125. Available at: https://doi.org/10.1080/14729670285200221. </w:t>
              </w:r>
            </w:p>
            <w:p w14:paraId="0CD9D2D1" w14:textId="77777777" w:rsidR="00141BC0" w:rsidRDefault="00141BC0" w:rsidP="00141BC0">
              <w:pPr>
                <w:pStyle w:val="NormalWeb"/>
                <w:ind w:left="567" w:hanging="567"/>
              </w:pPr>
              <w:r>
                <w:t xml:space="preserve">Neubauer, B.E., Witkop, C.T. and </w:t>
              </w:r>
              <w:proofErr w:type="spellStart"/>
              <w:r>
                <w:t>Varpio</w:t>
              </w:r>
              <w:proofErr w:type="spellEnd"/>
              <w:r>
                <w:t xml:space="preserve">, L. (2019) “How phenomenology can help us learn from the experiences of others,” </w:t>
              </w:r>
              <w:r>
                <w:rPr>
                  <w:i/>
                  <w:iCs/>
                </w:rPr>
                <w:t>Perspectives on Medical Education</w:t>
              </w:r>
              <w:r>
                <w:t xml:space="preserve">, 8(2), pp. 90–97. Available at: https://doi.org/10.1007/s40037-019-0509-2. </w:t>
              </w:r>
            </w:p>
            <w:p w14:paraId="395995BC" w14:textId="4FDF9212" w:rsidR="0046524A" w:rsidRDefault="0046524A" w:rsidP="0046524A">
              <w:pPr>
                <w:pStyle w:val="NormalWeb"/>
                <w:ind w:left="567" w:hanging="567"/>
              </w:pPr>
              <w:r>
                <w:rPr>
                  <w:i/>
                  <w:iCs/>
                </w:rPr>
                <w:t>Ethnographic study: Qualitative studies</w:t>
              </w:r>
              <w:r>
                <w:t xml:space="preserve"> (no date) </w:t>
              </w:r>
              <w:r>
                <w:rPr>
                  <w:i/>
                  <w:iCs/>
                </w:rPr>
                <w:t>GOV.UK</w:t>
              </w:r>
              <w:r>
                <w:t xml:space="preserve">. Available at: https://www.gov.uk/guidance/ethnographic-study-qualitative-studies (Accessed: January 19, 2023). </w:t>
              </w:r>
            </w:p>
            <w:p w14:paraId="7E02EF99" w14:textId="77777777" w:rsidR="00B049D2" w:rsidRDefault="00B049D2" w:rsidP="00B049D2">
              <w:pPr>
                <w:pStyle w:val="NormalWeb"/>
                <w:ind w:left="567" w:hanging="567"/>
              </w:pPr>
              <w:r>
                <w:t xml:space="preserve">Wittrock, C. </w:t>
              </w:r>
              <w:r>
                <w:rPr>
                  <w:i/>
                  <w:iCs/>
                </w:rPr>
                <w:t>et al.</w:t>
              </w:r>
              <w:r>
                <w:t xml:space="preserve"> (2021) “Implementing responsible research and innovation: Organisational and National Conditions,” </w:t>
              </w:r>
              <w:proofErr w:type="spellStart"/>
              <w:r>
                <w:rPr>
                  <w:i/>
                  <w:iCs/>
                </w:rPr>
                <w:t>SpringerBriefs</w:t>
              </w:r>
              <w:proofErr w:type="spellEnd"/>
              <w:r>
                <w:rPr>
                  <w:i/>
                  <w:iCs/>
                </w:rPr>
                <w:t xml:space="preserve"> in Ethics</w:t>
              </w:r>
              <w:r>
                <w:t xml:space="preserve"> [Preprint]. Available at: https://doi.org/10.1007/978-3-030-54286-3. </w:t>
              </w:r>
            </w:p>
            <w:p w14:paraId="59093F14" w14:textId="30362C9E" w:rsidR="00C03D3E" w:rsidRDefault="00C03D3E" w:rsidP="00C03D3E">
              <w:pPr>
                <w:pStyle w:val="NormalWeb"/>
                <w:ind w:left="567" w:hanging="567"/>
              </w:pPr>
              <w:r>
                <w:rPr>
                  <w:i/>
                  <w:iCs/>
                </w:rPr>
                <w:lastRenderedPageBreak/>
                <w:t>Research</w:t>
              </w:r>
              <w:r>
                <w:t xml:space="preserve"> (no date) </w:t>
              </w:r>
              <w:r>
                <w:rPr>
                  <w:i/>
                  <w:iCs/>
                </w:rPr>
                <w:t>Cambridge Dictionary</w:t>
              </w:r>
              <w:r>
                <w:t xml:space="preserve">. Available at: https://dictionary.cambridge.org/dictionary/english/research (Accessed: January 19, 2023). </w:t>
              </w:r>
            </w:p>
            <w:p w14:paraId="3C144383" w14:textId="74DB1DB7" w:rsidR="00327389" w:rsidRDefault="00327389" w:rsidP="00327389">
              <w:pPr>
                <w:pStyle w:val="NormalWeb"/>
                <w:ind w:left="567" w:hanging="567"/>
              </w:pPr>
              <w:r>
                <w:t xml:space="preserve">Villa, F.V. and Guerra, M. (2020) “The bond between creativity and outdoor education,” </w:t>
              </w:r>
              <w:r>
                <w:rPr>
                  <w:i/>
                  <w:iCs/>
                </w:rPr>
                <w:t>EDULEARN Proceedings</w:t>
              </w:r>
              <w:r>
                <w:t xml:space="preserve">, pp. 748–755. Available at: https://doi.org/10.21125/edulearn.2020.0280. </w:t>
              </w:r>
            </w:p>
            <w:p w14:paraId="2B8C65EF" w14:textId="38440501" w:rsidR="000A3E86" w:rsidRDefault="000A3E86" w:rsidP="000A3E86">
              <w:pPr>
                <w:pStyle w:val="NormalWeb"/>
                <w:ind w:left="567" w:hanging="567"/>
              </w:pPr>
              <w:r>
                <w:t>Gibson, J.J. (</w:t>
              </w:r>
              <w:r w:rsidR="00F33206">
                <w:t>1979</w:t>
              </w:r>
              <w:r>
                <w:t xml:space="preserve">) “The ecological approach to visual perception: The Theory of Affordances ,” </w:t>
              </w:r>
              <w:r>
                <w:rPr>
                  <w:i/>
                  <w:iCs/>
                </w:rPr>
                <w:t>James J. Gibson and the Psychology of Perception</w:t>
              </w:r>
              <w:r>
                <w:t xml:space="preserve">, pp. 279–295. Available at: </w:t>
              </w:r>
              <w:hyperlink r:id="rId6" w:history="1">
                <w:r w:rsidRPr="005E2C9E">
                  <w:rPr>
                    <w:rStyle w:val="Hyperlink"/>
                  </w:rPr>
                  <w:t>https://doi.org/10.2307/j.ctt1xp3nmm.20</w:t>
                </w:r>
              </w:hyperlink>
              <w:r>
                <w:t>.</w:t>
              </w:r>
            </w:p>
            <w:p w14:paraId="63897649" w14:textId="094051F6" w:rsidR="000A3E86" w:rsidRDefault="000A3E86" w:rsidP="000A3E86">
              <w:pPr>
                <w:pStyle w:val="NormalWeb"/>
                <w:ind w:left="567" w:hanging="567"/>
              </w:pPr>
              <w:r>
                <w:t xml:space="preserve"> </w:t>
              </w:r>
              <w:r w:rsidR="00107D30" w:rsidRPr="00107D30">
                <w:t>J. J. Gibson (1966). The Senses Considered as Perceptual Systems. Allen and Unwin, London.</w:t>
              </w:r>
            </w:p>
            <w:p w14:paraId="77A12F7B" w14:textId="77777777" w:rsidR="00E507D9" w:rsidRDefault="00E507D9" w:rsidP="00E507D9">
              <w:pPr>
                <w:pStyle w:val="NormalWeb"/>
                <w:ind w:left="567" w:hanging="567"/>
              </w:pPr>
              <w:r>
                <w:t xml:space="preserve">Méndez, M.G. (2014) “Autoethnography as a research method: Advantages, limitations and criticisms,” </w:t>
              </w:r>
              <w:r>
                <w:rPr>
                  <w:i/>
                  <w:iCs/>
                </w:rPr>
                <w:t>Colombian Applied Linguistics Journal</w:t>
              </w:r>
              <w:r>
                <w:t xml:space="preserve">, 15(2), p. 279. Available at: https://doi.org/10.14483/udistrital.jour.calj.2013.2.a09. </w:t>
              </w:r>
            </w:p>
            <w:p w14:paraId="150FDBC3" w14:textId="407142F7" w:rsidR="007F1E0A" w:rsidRDefault="004617BD" w:rsidP="00327389">
              <w:pPr>
                <w:pStyle w:val="NormalWeb"/>
                <w:ind w:left="567" w:hanging="567"/>
              </w:pPr>
              <w:r>
                <w:rPr>
                  <w:rFonts w:ascii="Helvetica" w:hAnsi="Helvetica" w:cs="Helvetica"/>
                  <w:color w:val="3A3A3A"/>
                  <w:sz w:val="23"/>
                  <w:szCs w:val="23"/>
                  <w:shd w:val="clear" w:color="auto" w:fill="FFFFFF"/>
                </w:rPr>
                <w:t xml:space="preserve">Ellis, C., </w:t>
              </w:r>
              <w:proofErr w:type="spellStart"/>
              <w:r>
                <w:rPr>
                  <w:rFonts w:ascii="Helvetica" w:hAnsi="Helvetica" w:cs="Helvetica"/>
                  <w:color w:val="3A3A3A"/>
                  <w:sz w:val="23"/>
                  <w:szCs w:val="23"/>
                  <w:shd w:val="clear" w:color="auto" w:fill="FFFFFF"/>
                </w:rPr>
                <w:t>Bochner</w:t>
              </w:r>
              <w:proofErr w:type="spellEnd"/>
              <w:r>
                <w:rPr>
                  <w:rFonts w:ascii="Helvetica" w:hAnsi="Helvetica" w:cs="Helvetica"/>
                  <w:color w:val="3A3A3A"/>
                  <w:sz w:val="23"/>
                  <w:szCs w:val="23"/>
                  <w:shd w:val="clear" w:color="auto" w:fill="FFFFFF"/>
                </w:rPr>
                <w:t>, A.P. and Rath, J. (2001) ‘Composing ethnography: alternative forms of qualitative writing’, </w:t>
              </w:r>
              <w:r>
                <w:rPr>
                  <w:rFonts w:ascii="Helvetica" w:hAnsi="Helvetica" w:cs="Helvetica"/>
                  <w:i/>
                  <w:iCs/>
                  <w:color w:val="3A3A3A"/>
                  <w:sz w:val="23"/>
                  <w:szCs w:val="23"/>
                  <w:shd w:val="clear" w:color="auto" w:fill="FFFFFF"/>
                </w:rPr>
                <w:t>Qualitative research</w:t>
              </w:r>
              <w:r>
                <w:rPr>
                  <w:rFonts w:ascii="Helvetica" w:hAnsi="Helvetica" w:cs="Helvetica"/>
                  <w:color w:val="3A3A3A"/>
                  <w:sz w:val="23"/>
                  <w:szCs w:val="23"/>
                  <w:shd w:val="clear" w:color="auto" w:fill="FFFFFF"/>
                </w:rPr>
                <w:t>, pp. 111–114.</w:t>
              </w:r>
            </w:p>
            <w:p w14:paraId="22CBF3F0" w14:textId="5DFBFE8C" w:rsidR="008E610A" w:rsidRDefault="008E610A" w:rsidP="008E610A">
              <w:pPr>
                <w:pStyle w:val="NormalWeb"/>
                <w:ind w:left="567" w:hanging="567"/>
              </w:pPr>
              <w:proofErr w:type="spellStart"/>
              <w:r>
                <w:t>Scrutton</w:t>
              </w:r>
              <w:proofErr w:type="spellEnd"/>
              <w:r>
                <w:t xml:space="preserve">, R. and </w:t>
              </w:r>
              <w:proofErr w:type="spellStart"/>
              <w:r>
                <w:t>Beames</w:t>
              </w:r>
              <w:proofErr w:type="spellEnd"/>
              <w:r>
                <w:t xml:space="preserve">, S. (2013) “Measuring the unmeasurable,” </w:t>
              </w:r>
              <w:r>
                <w:rPr>
                  <w:i/>
                  <w:iCs/>
                </w:rPr>
                <w:t>Journal of Experiential Education</w:t>
              </w:r>
              <w:r>
                <w:t xml:space="preserve">, 38(1), pp. 8–25. Available at: https://doi.org/10.1177/1053825913514730. </w:t>
              </w:r>
            </w:p>
            <w:p w14:paraId="4B87F8F3" w14:textId="77777777" w:rsidR="00A5521E" w:rsidRDefault="00A5521E" w:rsidP="00A5521E">
              <w:pPr>
                <w:pStyle w:val="NormalWeb"/>
                <w:ind w:left="567" w:hanging="567"/>
              </w:pPr>
              <w:r>
                <w:t xml:space="preserve">Leavy, P. (2016) “Essentials of transdisciplinary research.” Available at: https://doi.org/10.4324/9781315429137. </w:t>
              </w:r>
            </w:p>
            <w:p w14:paraId="3EF30D86" w14:textId="5C708879" w:rsidR="00FF7AF4" w:rsidRDefault="00FF7AF4" w:rsidP="00FF7AF4">
              <w:pPr>
                <w:pStyle w:val="NormalWeb"/>
                <w:ind w:left="567" w:hanging="567"/>
              </w:pPr>
              <w:r>
                <w:t xml:space="preserve">Jackson, A.Y. and Mazzei, L.A. (2022) “Thinking with theory in qualitative research.” Available at: https://doi.org/10.4324/9781315667768. </w:t>
              </w:r>
            </w:p>
            <w:p w14:paraId="5D97CB29" w14:textId="6D457406" w:rsidR="00B96CB3" w:rsidRDefault="00B96CB3" w:rsidP="00B96CB3">
              <w:pPr>
                <w:pStyle w:val="NormalWeb"/>
                <w:ind w:left="567" w:hanging="567"/>
              </w:pPr>
              <w:r>
                <w:t xml:space="preserve">Barad, K. (2007) “Meeting the universe halfway: Quantum Physics and the entanglement of matter and meaning. by Karen Barad. Durham, N.C.: Duke University Press, 2007.,” 24(1), pp. 212–218. Available at: https://doi.org/10.1111/j.1527-2001.2009.00013_10.x. </w:t>
              </w:r>
            </w:p>
            <w:p w14:paraId="1C810CA2" w14:textId="542311F1" w:rsidR="00E01663" w:rsidRDefault="00E01663" w:rsidP="00B96CB3">
              <w:pPr>
                <w:pStyle w:val="NormalWeb"/>
                <w:ind w:left="567" w:hanging="567"/>
              </w:pPr>
              <w:r w:rsidRPr="00E01663">
                <w:t>Priest, S. &amp; Gass, M. A. (1997). The range of teaching styles in adventure programming. The Journal of Adventure Education and Outdoor Leadership, 14, (4), 12-14. VL – 14</w:t>
              </w:r>
            </w:p>
            <w:p w14:paraId="60741A0C" w14:textId="037CE194" w:rsidR="002F221D" w:rsidRDefault="002F221D" w:rsidP="00B96CB3">
              <w:pPr>
                <w:pStyle w:val="NormalWeb"/>
                <w:ind w:left="567" w:hanging="567"/>
                <w:rPr>
                  <w:rFonts w:ascii="Helvetica" w:hAnsi="Helvetica" w:cs="Helvetica"/>
                  <w:color w:val="3A3A3A"/>
                  <w:sz w:val="23"/>
                  <w:szCs w:val="23"/>
                  <w:shd w:val="clear" w:color="auto" w:fill="FFFFFF"/>
                </w:rPr>
              </w:pPr>
              <w:proofErr w:type="spellStart"/>
              <w:r>
                <w:rPr>
                  <w:rFonts w:ascii="Helvetica" w:hAnsi="Helvetica" w:cs="Helvetica"/>
                  <w:color w:val="3A3A3A"/>
                  <w:sz w:val="23"/>
                  <w:szCs w:val="23"/>
                  <w:shd w:val="clear" w:color="auto" w:fill="FFFFFF"/>
                </w:rPr>
                <w:t>Wurdinger</w:t>
              </w:r>
              <w:proofErr w:type="spellEnd"/>
              <w:r>
                <w:rPr>
                  <w:rFonts w:ascii="Helvetica" w:hAnsi="Helvetica" w:cs="Helvetica"/>
                  <w:color w:val="3A3A3A"/>
                  <w:sz w:val="23"/>
                  <w:szCs w:val="23"/>
                  <w:shd w:val="clear" w:color="auto" w:fill="FFFFFF"/>
                </w:rPr>
                <w:t>, S.D. (1994) </w:t>
              </w:r>
              <w:r>
                <w:rPr>
                  <w:rFonts w:ascii="Helvetica" w:hAnsi="Helvetica" w:cs="Helvetica"/>
                  <w:i/>
                  <w:iCs/>
                  <w:color w:val="3A3A3A"/>
                  <w:sz w:val="23"/>
                  <w:szCs w:val="23"/>
                  <w:shd w:val="clear" w:color="auto" w:fill="FFFFFF"/>
                </w:rPr>
                <w:t>Philosophical Issues in Adventure Education</w:t>
              </w:r>
              <w:r>
                <w:rPr>
                  <w:rFonts w:ascii="Helvetica" w:hAnsi="Helvetica" w:cs="Helvetica"/>
                  <w:color w:val="3A3A3A"/>
                  <w:sz w:val="23"/>
                  <w:szCs w:val="23"/>
                  <w:shd w:val="clear" w:color="auto" w:fill="FFFFFF"/>
                </w:rPr>
                <w:t>. Kendall/Hunt Publishing Company.</w:t>
              </w:r>
            </w:p>
            <w:p w14:paraId="68E69180" w14:textId="24A4BA9B" w:rsidR="00FD0922" w:rsidRDefault="00FD0922" w:rsidP="00B96CB3">
              <w:pPr>
                <w:pStyle w:val="NormalWeb"/>
                <w:ind w:left="567" w:hanging="567"/>
              </w:pPr>
              <w:proofErr w:type="spellStart"/>
              <w:r>
                <w:rPr>
                  <w:rFonts w:ascii="Helvetica" w:hAnsi="Helvetica" w:cs="Helvetica"/>
                  <w:color w:val="3A3A3A"/>
                  <w:sz w:val="23"/>
                  <w:szCs w:val="23"/>
                  <w:shd w:val="clear" w:color="auto" w:fill="FFFFFF"/>
                </w:rPr>
                <w:t>Repp</w:t>
              </w:r>
              <w:proofErr w:type="spellEnd"/>
              <w:r>
                <w:rPr>
                  <w:rFonts w:ascii="Helvetica" w:hAnsi="Helvetica" w:cs="Helvetica"/>
                  <w:color w:val="3A3A3A"/>
                  <w:sz w:val="23"/>
                  <w:szCs w:val="23"/>
                  <w:shd w:val="clear" w:color="auto" w:fill="FFFFFF"/>
                </w:rPr>
                <w:t>, G. (1996) ‘Outdoor Adventure Education and “</w:t>
              </w:r>
              <w:proofErr w:type="spellStart"/>
              <w:r>
                <w:rPr>
                  <w:rFonts w:ascii="Helvetica" w:hAnsi="Helvetica" w:cs="Helvetica"/>
                  <w:color w:val="3A3A3A"/>
                  <w:sz w:val="23"/>
                  <w:szCs w:val="23"/>
                  <w:shd w:val="clear" w:color="auto" w:fill="FFFFFF"/>
                </w:rPr>
                <w:t>Friluftsliv</w:t>
              </w:r>
              <w:proofErr w:type="spellEnd"/>
              <w:r>
                <w:rPr>
                  <w:rFonts w:ascii="Helvetica" w:hAnsi="Helvetica" w:cs="Helvetica"/>
                  <w:color w:val="3A3A3A"/>
                  <w:sz w:val="23"/>
                  <w:szCs w:val="23"/>
                  <w:shd w:val="clear" w:color="auto" w:fill="FFFFFF"/>
                </w:rPr>
                <w:t>” Seen from a Sociology of Knowledge Perspective’, </w:t>
              </w:r>
              <w:r>
                <w:rPr>
                  <w:rFonts w:ascii="Helvetica" w:hAnsi="Helvetica" w:cs="Helvetica"/>
                  <w:i/>
                  <w:iCs/>
                  <w:color w:val="3A3A3A"/>
                  <w:sz w:val="23"/>
                  <w:szCs w:val="23"/>
                  <w:shd w:val="clear" w:color="auto" w:fill="FFFFFF"/>
                </w:rPr>
                <w:t>Journal of Adventure Education and Outdoor Leadership</w:t>
              </w:r>
              <w:r>
                <w:rPr>
                  <w:rFonts w:ascii="Helvetica" w:hAnsi="Helvetica" w:cs="Helvetica"/>
                  <w:color w:val="3A3A3A"/>
                  <w:sz w:val="23"/>
                  <w:szCs w:val="23"/>
                  <w:shd w:val="clear" w:color="auto" w:fill="FFFFFF"/>
                </w:rPr>
                <w:t>, 13(2), p. 63–</w:t>
              </w:r>
              <w:r>
                <w:rPr>
                  <w:rFonts w:ascii="Helvetica" w:hAnsi="Helvetica" w:cs="Helvetica"/>
                  <w:color w:val="3A3A3A"/>
                  <w:sz w:val="23"/>
                  <w:szCs w:val="23"/>
                  <w:shd w:val="clear" w:color="auto" w:fill="FFFFFF"/>
                </w:rPr>
                <w:t>66.</w:t>
              </w:r>
            </w:p>
            <w:p w14:paraId="64307075" w14:textId="1F27E792" w:rsidR="00B96CB3" w:rsidRDefault="008A57A9" w:rsidP="00FF7AF4">
              <w:pPr>
                <w:pStyle w:val="NormalWeb"/>
                <w:ind w:left="567" w:hanging="567"/>
              </w:pPr>
              <w:r w:rsidRPr="008A57A9">
                <w:t>Cohen, L (2018). Research Methods in Education [electronic Resource], Routledge, London - page 2</w:t>
              </w:r>
            </w:p>
            <w:p w14:paraId="26D1DF17" w14:textId="4EDBCDDA" w:rsidR="00710096" w:rsidRDefault="00710096" w:rsidP="00710096">
              <w:pPr>
                <w:pStyle w:val="NormalWeb"/>
                <w:ind w:left="567" w:hanging="567"/>
              </w:pPr>
              <w:r>
                <w:lastRenderedPageBreak/>
                <w:t xml:space="preserve">Atkinson, M. (2012) “Key concepts in sport and exercise research methods.” Available at: https://doi.org/10.4135/9781446288092. </w:t>
              </w:r>
            </w:p>
            <w:p w14:paraId="20E7994C" w14:textId="77777777" w:rsidR="00E15B89" w:rsidRDefault="00E15B89" w:rsidP="00E15B89">
              <w:pPr>
                <w:pStyle w:val="NormalWeb"/>
                <w:ind w:left="567" w:hanging="567"/>
              </w:pPr>
              <w:r>
                <w:t xml:space="preserve">McNamee, M.J., Olivier, S. and Wainwright, P. (2006) “Research ethics in exercise, health and Sports Sciences.” Available at: https://doi.org/10.4324/9780203966853. </w:t>
              </w:r>
            </w:p>
            <w:p w14:paraId="617506E0" w14:textId="77777777" w:rsidR="00E15B89" w:rsidRDefault="00E15B89" w:rsidP="00710096">
              <w:pPr>
                <w:pStyle w:val="NormalWeb"/>
                <w:ind w:left="567" w:hanging="567"/>
              </w:pPr>
            </w:p>
            <w:p w14:paraId="58EB9A4D" w14:textId="77777777" w:rsidR="00710096" w:rsidRDefault="00710096" w:rsidP="00FF7AF4">
              <w:pPr>
                <w:pStyle w:val="NormalWeb"/>
                <w:ind w:left="567" w:hanging="567"/>
              </w:pPr>
            </w:p>
            <w:p w14:paraId="27612CC2" w14:textId="77777777" w:rsidR="00A5521E" w:rsidRDefault="00A5521E" w:rsidP="008E610A">
              <w:pPr>
                <w:pStyle w:val="NormalWeb"/>
                <w:ind w:left="567" w:hanging="567"/>
              </w:pPr>
            </w:p>
            <w:p w14:paraId="10CA4B0A" w14:textId="77777777" w:rsidR="008E610A" w:rsidRDefault="008E610A" w:rsidP="00C03D3E">
              <w:pPr>
                <w:pStyle w:val="NormalWeb"/>
                <w:ind w:left="567" w:hanging="567"/>
              </w:pPr>
            </w:p>
            <w:p w14:paraId="5340A0AE" w14:textId="77777777" w:rsidR="00A766DE" w:rsidRDefault="00A766DE" w:rsidP="00C03D3E">
              <w:pPr>
                <w:pStyle w:val="NormalWeb"/>
                <w:ind w:left="567" w:hanging="567"/>
              </w:pPr>
            </w:p>
            <w:p w14:paraId="4EF3ACA2" w14:textId="77777777" w:rsidR="00B049D2" w:rsidRDefault="00B049D2" w:rsidP="0046524A">
              <w:pPr>
                <w:pStyle w:val="NormalWeb"/>
                <w:ind w:left="567" w:hanging="567"/>
              </w:pPr>
            </w:p>
            <w:p w14:paraId="58749040" w14:textId="77777777" w:rsidR="00141BC0" w:rsidRDefault="00141BC0" w:rsidP="003B02EB">
              <w:pPr>
                <w:pStyle w:val="NormalWeb"/>
                <w:ind w:left="567" w:hanging="567"/>
              </w:pPr>
            </w:p>
            <w:p w14:paraId="49602C69" w14:textId="77777777" w:rsidR="0005511C" w:rsidRPr="00E32683" w:rsidRDefault="0005511C" w:rsidP="00E32683">
              <w:pPr>
                <w:pStyle w:val="NormalWeb"/>
                <w:ind w:left="567" w:hanging="567"/>
              </w:pPr>
            </w:p>
            <w:p w14:paraId="0E9DB576" w14:textId="77777777" w:rsidR="00000C54" w:rsidRDefault="00000C54">
              <w:pPr>
                <w:rPr>
                  <w:b/>
                  <w:bCs/>
                  <w:noProof/>
                </w:rPr>
              </w:pPr>
            </w:p>
            <w:p w14:paraId="3C45D19D" w14:textId="77777777" w:rsidR="001F34FA" w:rsidRDefault="001068B3" w:rsidP="007636E5"/>
          </w:sdtContent>
        </w:sdt>
      </w:sdtContent>
    </w:sdt>
    <w:p w14:paraId="3B154907" w14:textId="639A94A8" w:rsidR="007636E5" w:rsidRPr="001F34FA" w:rsidRDefault="007636E5" w:rsidP="007636E5">
      <w:r w:rsidRPr="00E224A1">
        <w:rPr>
          <w:lang w:val="en-US"/>
        </w:rPr>
        <w:t xml:space="preserve"> </w:t>
      </w:r>
    </w:p>
    <w:p w14:paraId="0FB98DDB" w14:textId="48145A78" w:rsidR="007636E5" w:rsidRDefault="007636E5" w:rsidP="007636E5"/>
    <w:p w14:paraId="6E453BF2" w14:textId="4A85971B" w:rsidR="007636E5" w:rsidRDefault="007636E5" w:rsidP="007636E5">
      <w:pPr>
        <w:tabs>
          <w:tab w:val="left" w:pos="1090"/>
        </w:tabs>
        <w:rPr>
          <w:rStyle w:val="Hyperlink"/>
          <w:lang w:val="en-US"/>
        </w:rPr>
      </w:pPr>
    </w:p>
    <w:p w14:paraId="3A2CD09A" w14:textId="77777777" w:rsidR="007636E5" w:rsidRDefault="007636E5" w:rsidP="007636E5">
      <w:pPr>
        <w:rPr>
          <w:lang w:val="en-US"/>
        </w:rPr>
      </w:pPr>
    </w:p>
    <w:p w14:paraId="644B84E7" w14:textId="77777777" w:rsidR="007636E5" w:rsidRPr="00E224A1" w:rsidRDefault="007636E5" w:rsidP="007636E5">
      <w:pPr>
        <w:rPr>
          <w:lang w:val="en-US"/>
        </w:rPr>
      </w:pPr>
    </w:p>
    <w:p w14:paraId="40539819" w14:textId="39A540B2" w:rsidR="002B4D39" w:rsidRDefault="002B4D39" w:rsidP="002B4D39">
      <w:pPr>
        <w:rPr>
          <w:rFonts w:cstheme="minorHAnsi"/>
          <w:sz w:val="24"/>
          <w:szCs w:val="24"/>
        </w:rPr>
      </w:pPr>
    </w:p>
    <w:p w14:paraId="13AFBDD0" w14:textId="1D379762" w:rsidR="002B4D39" w:rsidRPr="002B4D39" w:rsidRDefault="002B4D39" w:rsidP="002B4D39">
      <w:pPr>
        <w:rPr>
          <w:rFonts w:cstheme="minorHAnsi"/>
          <w:sz w:val="24"/>
          <w:szCs w:val="24"/>
        </w:rPr>
      </w:pPr>
    </w:p>
    <w:sectPr w:rsidR="002B4D39" w:rsidRPr="002B4D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F7016C"/>
    <w:multiLevelType w:val="hybridMultilevel"/>
    <w:tmpl w:val="7812E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17125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547"/>
    <w:rsid w:val="00000C54"/>
    <w:rsid w:val="0002227E"/>
    <w:rsid w:val="0005511C"/>
    <w:rsid w:val="00066054"/>
    <w:rsid w:val="000A3E86"/>
    <w:rsid w:val="000F10C7"/>
    <w:rsid w:val="001068B3"/>
    <w:rsid w:val="00107D30"/>
    <w:rsid w:val="00141BC0"/>
    <w:rsid w:val="001441B6"/>
    <w:rsid w:val="0014436B"/>
    <w:rsid w:val="0017591C"/>
    <w:rsid w:val="001A4C1C"/>
    <w:rsid w:val="001D0212"/>
    <w:rsid w:val="001F34FA"/>
    <w:rsid w:val="00243EA6"/>
    <w:rsid w:val="00250658"/>
    <w:rsid w:val="002B4D39"/>
    <w:rsid w:val="002D6EE0"/>
    <w:rsid w:val="002E4E9F"/>
    <w:rsid w:val="002F221D"/>
    <w:rsid w:val="002F2BCF"/>
    <w:rsid w:val="00327389"/>
    <w:rsid w:val="003B02EB"/>
    <w:rsid w:val="003F627C"/>
    <w:rsid w:val="00424E32"/>
    <w:rsid w:val="004469BB"/>
    <w:rsid w:val="004617BD"/>
    <w:rsid w:val="0046524A"/>
    <w:rsid w:val="00476F30"/>
    <w:rsid w:val="004B1D66"/>
    <w:rsid w:val="00521F21"/>
    <w:rsid w:val="00560B47"/>
    <w:rsid w:val="00566FE4"/>
    <w:rsid w:val="006244E1"/>
    <w:rsid w:val="00630159"/>
    <w:rsid w:val="006464EF"/>
    <w:rsid w:val="006922DF"/>
    <w:rsid w:val="00710096"/>
    <w:rsid w:val="00741755"/>
    <w:rsid w:val="007636E5"/>
    <w:rsid w:val="00767ADD"/>
    <w:rsid w:val="007A6EA4"/>
    <w:rsid w:val="007F1E0A"/>
    <w:rsid w:val="00892AFA"/>
    <w:rsid w:val="008A57A9"/>
    <w:rsid w:val="008B4F2B"/>
    <w:rsid w:val="008E610A"/>
    <w:rsid w:val="00921547"/>
    <w:rsid w:val="00933BE4"/>
    <w:rsid w:val="00990A58"/>
    <w:rsid w:val="009E579E"/>
    <w:rsid w:val="009F447D"/>
    <w:rsid w:val="00A0030A"/>
    <w:rsid w:val="00A5521E"/>
    <w:rsid w:val="00A766DE"/>
    <w:rsid w:val="00AB0D5E"/>
    <w:rsid w:val="00B049D2"/>
    <w:rsid w:val="00B56015"/>
    <w:rsid w:val="00B96CB3"/>
    <w:rsid w:val="00BB5366"/>
    <w:rsid w:val="00BF411B"/>
    <w:rsid w:val="00BF41C8"/>
    <w:rsid w:val="00C03D3E"/>
    <w:rsid w:val="00C6328A"/>
    <w:rsid w:val="00CD3677"/>
    <w:rsid w:val="00D563F7"/>
    <w:rsid w:val="00E01663"/>
    <w:rsid w:val="00E15B89"/>
    <w:rsid w:val="00E32683"/>
    <w:rsid w:val="00E507D9"/>
    <w:rsid w:val="00F33206"/>
    <w:rsid w:val="00F51F78"/>
    <w:rsid w:val="00FA5FE9"/>
    <w:rsid w:val="00FB0B2B"/>
    <w:rsid w:val="00FD0922"/>
    <w:rsid w:val="00FE1FE3"/>
    <w:rsid w:val="00FF7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50C0F"/>
  <w15:chartTrackingRefBased/>
  <w15:docId w15:val="{09C42F13-9166-4AC5-BAB7-54FAEE8D7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68B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1547"/>
    <w:pPr>
      <w:ind w:left="720"/>
      <w:contextualSpacing/>
    </w:pPr>
  </w:style>
  <w:style w:type="paragraph" w:styleId="NoSpacing">
    <w:name w:val="No Spacing"/>
    <w:uiPriority w:val="1"/>
    <w:qFormat/>
    <w:rsid w:val="007636E5"/>
    <w:pPr>
      <w:spacing w:after="0" w:line="240" w:lineRule="auto"/>
    </w:pPr>
    <w:rPr>
      <w:color w:val="333333"/>
      <w:sz w:val="20"/>
    </w:rPr>
  </w:style>
  <w:style w:type="character" w:styleId="Hyperlink">
    <w:name w:val="Hyperlink"/>
    <w:basedOn w:val="DefaultParagraphFont"/>
    <w:uiPriority w:val="99"/>
    <w:unhideWhenUsed/>
    <w:rsid w:val="007636E5"/>
    <w:rPr>
      <w:color w:val="0000FF"/>
      <w:u w:val="single"/>
    </w:rPr>
  </w:style>
  <w:style w:type="character" w:customStyle="1" w:styleId="Heading1Char">
    <w:name w:val="Heading 1 Char"/>
    <w:basedOn w:val="DefaultParagraphFont"/>
    <w:link w:val="Heading1"/>
    <w:uiPriority w:val="9"/>
    <w:rsid w:val="001068B3"/>
    <w:rPr>
      <w:rFonts w:asciiTheme="majorHAnsi" w:eastAsiaTheme="majorEastAsia" w:hAnsiTheme="majorHAnsi" w:cstheme="majorBidi"/>
      <w:color w:val="2F5496" w:themeColor="accent1" w:themeShade="BF"/>
      <w:sz w:val="32"/>
      <w:szCs w:val="32"/>
      <w:lang w:val="en-US"/>
    </w:rPr>
  </w:style>
  <w:style w:type="paragraph" w:styleId="NormalWeb">
    <w:name w:val="Normal (Web)"/>
    <w:basedOn w:val="Normal"/>
    <w:uiPriority w:val="99"/>
    <w:unhideWhenUsed/>
    <w:rsid w:val="00000C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A3E86"/>
    <w:rPr>
      <w:color w:val="605E5C"/>
      <w:shd w:val="clear" w:color="auto" w:fill="E1DFDD"/>
    </w:rPr>
  </w:style>
  <w:style w:type="character" w:styleId="FollowedHyperlink">
    <w:name w:val="FollowedHyperlink"/>
    <w:basedOn w:val="DefaultParagraphFont"/>
    <w:uiPriority w:val="99"/>
    <w:semiHidden/>
    <w:unhideWhenUsed/>
    <w:rsid w:val="00FB0B2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009826">
      <w:bodyDiv w:val="1"/>
      <w:marLeft w:val="0"/>
      <w:marRight w:val="0"/>
      <w:marTop w:val="0"/>
      <w:marBottom w:val="0"/>
      <w:divBdr>
        <w:top w:val="none" w:sz="0" w:space="0" w:color="auto"/>
        <w:left w:val="none" w:sz="0" w:space="0" w:color="auto"/>
        <w:bottom w:val="none" w:sz="0" w:space="0" w:color="auto"/>
        <w:right w:val="none" w:sz="0" w:space="0" w:color="auto"/>
      </w:divBdr>
    </w:div>
    <w:div w:id="357203282">
      <w:bodyDiv w:val="1"/>
      <w:marLeft w:val="0"/>
      <w:marRight w:val="0"/>
      <w:marTop w:val="0"/>
      <w:marBottom w:val="0"/>
      <w:divBdr>
        <w:top w:val="none" w:sz="0" w:space="0" w:color="auto"/>
        <w:left w:val="none" w:sz="0" w:space="0" w:color="auto"/>
        <w:bottom w:val="none" w:sz="0" w:space="0" w:color="auto"/>
        <w:right w:val="none" w:sz="0" w:space="0" w:color="auto"/>
      </w:divBdr>
    </w:div>
    <w:div w:id="396051371">
      <w:bodyDiv w:val="1"/>
      <w:marLeft w:val="0"/>
      <w:marRight w:val="0"/>
      <w:marTop w:val="0"/>
      <w:marBottom w:val="0"/>
      <w:divBdr>
        <w:top w:val="none" w:sz="0" w:space="0" w:color="auto"/>
        <w:left w:val="none" w:sz="0" w:space="0" w:color="auto"/>
        <w:bottom w:val="none" w:sz="0" w:space="0" w:color="auto"/>
        <w:right w:val="none" w:sz="0" w:space="0" w:color="auto"/>
      </w:divBdr>
    </w:div>
    <w:div w:id="443422302">
      <w:bodyDiv w:val="1"/>
      <w:marLeft w:val="0"/>
      <w:marRight w:val="0"/>
      <w:marTop w:val="0"/>
      <w:marBottom w:val="0"/>
      <w:divBdr>
        <w:top w:val="none" w:sz="0" w:space="0" w:color="auto"/>
        <w:left w:val="none" w:sz="0" w:space="0" w:color="auto"/>
        <w:bottom w:val="none" w:sz="0" w:space="0" w:color="auto"/>
        <w:right w:val="none" w:sz="0" w:space="0" w:color="auto"/>
      </w:divBdr>
    </w:div>
    <w:div w:id="555631712">
      <w:bodyDiv w:val="1"/>
      <w:marLeft w:val="0"/>
      <w:marRight w:val="0"/>
      <w:marTop w:val="0"/>
      <w:marBottom w:val="0"/>
      <w:divBdr>
        <w:top w:val="none" w:sz="0" w:space="0" w:color="auto"/>
        <w:left w:val="none" w:sz="0" w:space="0" w:color="auto"/>
        <w:bottom w:val="none" w:sz="0" w:space="0" w:color="auto"/>
        <w:right w:val="none" w:sz="0" w:space="0" w:color="auto"/>
      </w:divBdr>
    </w:div>
    <w:div w:id="610665920">
      <w:bodyDiv w:val="1"/>
      <w:marLeft w:val="0"/>
      <w:marRight w:val="0"/>
      <w:marTop w:val="0"/>
      <w:marBottom w:val="0"/>
      <w:divBdr>
        <w:top w:val="none" w:sz="0" w:space="0" w:color="auto"/>
        <w:left w:val="none" w:sz="0" w:space="0" w:color="auto"/>
        <w:bottom w:val="none" w:sz="0" w:space="0" w:color="auto"/>
        <w:right w:val="none" w:sz="0" w:space="0" w:color="auto"/>
      </w:divBdr>
    </w:div>
    <w:div w:id="702873644">
      <w:bodyDiv w:val="1"/>
      <w:marLeft w:val="0"/>
      <w:marRight w:val="0"/>
      <w:marTop w:val="0"/>
      <w:marBottom w:val="0"/>
      <w:divBdr>
        <w:top w:val="none" w:sz="0" w:space="0" w:color="auto"/>
        <w:left w:val="none" w:sz="0" w:space="0" w:color="auto"/>
        <w:bottom w:val="none" w:sz="0" w:space="0" w:color="auto"/>
        <w:right w:val="none" w:sz="0" w:space="0" w:color="auto"/>
      </w:divBdr>
    </w:div>
    <w:div w:id="706108033">
      <w:bodyDiv w:val="1"/>
      <w:marLeft w:val="0"/>
      <w:marRight w:val="0"/>
      <w:marTop w:val="0"/>
      <w:marBottom w:val="0"/>
      <w:divBdr>
        <w:top w:val="none" w:sz="0" w:space="0" w:color="auto"/>
        <w:left w:val="none" w:sz="0" w:space="0" w:color="auto"/>
        <w:bottom w:val="none" w:sz="0" w:space="0" w:color="auto"/>
        <w:right w:val="none" w:sz="0" w:space="0" w:color="auto"/>
      </w:divBdr>
    </w:div>
    <w:div w:id="950361093">
      <w:bodyDiv w:val="1"/>
      <w:marLeft w:val="0"/>
      <w:marRight w:val="0"/>
      <w:marTop w:val="0"/>
      <w:marBottom w:val="0"/>
      <w:divBdr>
        <w:top w:val="none" w:sz="0" w:space="0" w:color="auto"/>
        <w:left w:val="none" w:sz="0" w:space="0" w:color="auto"/>
        <w:bottom w:val="none" w:sz="0" w:space="0" w:color="auto"/>
        <w:right w:val="none" w:sz="0" w:space="0" w:color="auto"/>
      </w:divBdr>
    </w:div>
    <w:div w:id="1094865854">
      <w:bodyDiv w:val="1"/>
      <w:marLeft w:val="0"/>
      <w:marRight w:val="0"/>
      <w:marTop w:val="0"/>
      <w:marBottom w:val="0"/>
      <w:divBdr>
        <w:top w:val="none" w:sz="0" w:space="0" w:color="auto"/>
        <w:left w:val="none" w:sz="0" w:space="0" w:color="auto"/>
        <w:bottom w:val="none" w:sz="0" w:space="0" w:color="auto"/>
        <w:right w:val="none" w:sz="0" w:space="0" w:color="auto"/>
      </w:divBdr>
    </w:div>
    <w:div w:id="1188569318">
      <w:bodyDiv w:val="1"/>
      <w:marLeft w:val="0"/>
      <w:marRight w:val="0"/>
      <w:marTop w:val="0"/>
      <w:marBottom w:val="0"/>
      <w:divBdr>
        <w:top w:val="none" w:sz="0" w:space="0" w:color="auto"/>
        <w:left w:val="none" w:sz="0" w:space="0" w:color="auto"/>
        <w:bottom w:val="none" w:sz="0" w:space="0" w:color="auto"/>
        <w:right w:val="none" w:sz="0" w:space="0" w:color="auto"/>
      </w:divBdr>
    </w:div>
    <w:div w:id="1255430886">
      <w:bodyDiv w:val="1"/>
      <w:marLeft w:val="0"/>
      <w:marRight w:val="0"/>
      <w:marTop w:val="0"/>
      <w:marBottom w:val="0"/>
      <w:divBdr>
        <w:top w:val="none" w:sz="0" w:space="0" w:color="auto"/>
        <w:left w:val="none" w:sz="0" w:space="0" w:color="auto"/>
        <w:bottom w:val="none" w:sz="0" w:space="0" w:color="auto"/>
        <w:right w:val="none" w:sz="0" w:space="0" w:color="auto"/>
      </w:divBdr>
    </w:div>
    <w:div w:id="1302269018">
      <w:bodyDiv w:val="1"/>
      <w:marLeft w:val="0"/>
      <w:marRight w:val="0"/>
      <w:marTop w:val="0"/>
      <w:marBottom w:val="0"/>
      <w:divBdr>
        <w:top w:val="none" w:sz="0" w:space="0" w:color="auto"/>
        <w:left w:val="none" w:sz="0" w:space="0" w:color="auto"/>
        <w:bottom w:val="none" w:sz="0" w:space="0" w:color="auto"/>
        <w:right w:val="none" w:sz="0" w:space="0" w:color="auto"/>
      </w:divBdr>
    </w:div>
    <w:div w:id="1335762336">
      <w:bodyDiv w:val="1"/>
      <w:marLeft w:val="0"/>
      <w:marRight w:val="0"/>
      <w:marTop w:val="0"/>
      <w:marBottom w:val="0"/>
      <w:divBdr>
        <w:top w:val="none" w:sz="0" w:space="0" w:color="auto"/>
        <w:left w:val="none" w:sz="0" w:space="0" w:color="auto"/>
        <w:bottom w:val="none" w:sz="0" w:space="0" w:color="auto"/>
        <w:right w:val="none" w:sz="0" w:space="0" w:color="auto"/>
      </w:divBdr>
    </w:div>
    <w:div w:id="1674264959">
      <w:bodyDiv w:val="1"/>
      <w:marLeft w:val="0"/>
      <w:marRight w:val="0"/>
      <w:marTop w:val="0"/>
      <w:marBottom w:val="0"/>
      <w:divBdr>
        <w:top w:val="none" w:sz="0" w:space="0" w:color="auto"/>
        <w:left w:val="none" w:sz="0" w:space="0" w:color="auto"/>
        <w:bottom w:val="none" w:sz="0" w:space="0" w:color="auto"/>
        <w:right w:val="none" w:sz="0" w:space="0" w:color="auto"/>
      </w:divBdr>
    </w:div>
    <w:div w:id="1745225045">
      <w:bodyDiv w:val="1"/>
      <w:marLeft w:val="0"/>
      <w:marRight w:val="0"/>
      <w:marTop w:val="0"/>
      <w:marBottom w:val="0"/>
      <w:divBdr>
        <w:top w:val="none" w:sz="0" w:space="0" w:color="auto"/>
        <w:left w:val="none" w:sz="0" w:space="0" w:color="auto"/>
        <w:bottom w:val="none" w:sz="0" w:space="0" w:color="auto"/>
        <w:right w:val="none" w:sz="0" w:space="0" w:color="auto"/>
      </w:divBdr>
    </w:div>
    <w:div w:id="1775711095">
      <w:bodyDiv w:val="1"/>
      <w:marLeft w:val="0"/>
      <w:marRight w:val="0"/>
      <w:marTop w:val="0"/>
      <w:marBottom w:val="0"/>
      <w:divBdr>
        <w:top w:val="none" w:sz="0" w:space="0" w:color="auto"/>
        <w:left w:val="none" w:sz="0" w:space="0" w:color="auto"/>
        <w:bottom w:val="none" w:sz="0" w:space="0" w:color="auto"/>
        <w:right w:val="none" w:sz="0" w:space="0" w:color="auto"/>
      </w:divBdr>
    </w:div>
    <w:div w:id="1812209033">
      <w:bodyDiv w:val="1"/>
      <w:marLeft w:val="0"/>
      <w:marRight w:val="0"/>
      <w:marTop w:val="0"/>
      <w:marBottom w:val="0"/>
      <w:divBdr>
        <w:top w:val="none" w:sz="0" w:space="0" w:color="auto"/>
        <w:left w:val="none" w:sz="0" w:space="0" w:color="auto"/>
        <w:bottom w:val="none" w:sz="0" w:space="0" w:color="auto"/>
        <w:right w:val="none" w:sz="0" w:space="0" w:color="auto"/>
      </w:divBdr>
    </w:div>
    <w:div w:id="1988390608">
      <w:bodyDiv w:val="1"/>
      <w:marLeft w:val="0"/>
      <w:marRight w:val="0"/>
      <w:marTop w:val="0"/>
      <w:marBottom w:val="0"/>
      <w:divBdr>
        <w:top w:val="none" w:sz="0" w:space="0" w:color="auto"/>
        <w:left w:val="none" w:sz="0" w:space="0" w:color="auto"/>
        <w:bottom w:val="none" w:sz="0" w:space="0" w:color="auto"/>
        <w:right w:val="none" w:sz="0" w:space="0" w:color="auto"/>
      </w:divBdr>
    </w:div>
    <w:div w:id="2018381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2307/j.ctt1xp3nmm.20"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59DFCB-8A43-4A88-A2FD-5A91B70AF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7</Pages>
  <Words>2857</Words>
  <Characters>16290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Miles</dc:creator>
  <cp:keywords/>
  <dc:description/>
  <cp:lastModifiedBy>Tom Miles</cp:lastModifiedBy>
  <cp:revision>74</cp:revision>
  <dcterms:created xsi:type="dcterms:W3CDTF">2022-11-02T19:27:00Z</dcterms:created>
  <dcterms:modified xsi:type="dcterms:W3CDTF">2023-01-19T23:12:00Z</dcterms:modified>
</cp:coreProperties>
</file>