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B1644" w14:textId="5A4DE168" w:rsidR="004F2CA4" w:rsidRDefault="004F2CA4" w:rsidP="004F2CA4">
      <w:pPr>
        <w:spacing w:line="360" w:lineRule="auto"/>
        <w:rPr>
          <w:rFonts w:ascii="Arial" w:hAnsi="Arial" w:cs="Arial"/>
          <w:b/>
          <w:bCs/>
          <w:sz w:val="24"/>
          <w:szCs w:val="24"/>
        </w:rPr>
      </w:pPr>
      <w:r>
        <w:rPr>
          <w:rFonts w:ascii="Arial" w:hAnsi="Arial" w:cs="Arial"/>
          <w:b/>
          <w:bCs/>
          <w:sz w:val="24"/>
          <w:szCs w:val="24"/>
        </w:rPr>
        <w:t>Irina-Diana Buture</w:t>
      </w:r>
    </w:p>
    <w:p w14:paraId="732156D3" w14:textId="5F28DAD2" w:rsidR="004F2CA4" w:rsidRDefault="004F2CA4" w:rsidP="004F2CA4">
      <w:pPr>
        <w:spacing w:line="360" w:lineRule="auto"/>
        <w:rPr>
          <w:rFonts w:ascii="Arial" w:hAnsi="Arial" w:cs="Arial"/>
          <w:b/>
          <w:bCs/>
          <w:sz w:val="24"/>
          <w:szCs w:val="24"/>
        </w:rPr>
      </w:pPr>
      <w:r>
        <w:rPr>
          <w:rFonts w:ascii="Arial" w:hAnsi="Arial" w:cs="Arial"/>
          <w:b/>
          <w:bCs/>
          <w:sz w:val="24"/>
          <w:szCs w:val="24"/>
        </w:rPr>
        <w:t>2239006</w:t>
      </w:r>
    </w:p>
    <w:p w14:paraId="1958FE3E" w14:textId="120F57FE" w:rsidR="004F2CA4" w:rsidRPr="004F2CA4" w:rsidRDefault="004F2CA4" w:rsidP="004F2CA4">
      <w:pPr>
        <w:spacing w:line="360" w:lineRule="auto"/>
        <w:rPr>
          <w:rFonts w:ascii="Arial" w:hAnsi="Arial" w:cs="Arial"/>
          <w:b/>
          <w:bCs/>
          <w:sz w:val="24"/>
          <w:szCs w:val="24"/>
        </w:rPr>
      </w:pPr>
      <w:r>
        <w:rPr>
          <w:rFonts w:ascii="Arial" w:hAnsi="Arial" w:cs="Arial"/>
          <w:b/>
          <w:bCs/>
          <w:sz w:val="24"/>
          <w:szCs w:val="24"/>
        </w:rPr>
        <w:t>BMIH5006</w:t>
      </w:r>
    </w:p>
    <w:p w14:paraId="67709AA3" w14:textId="77777777" w:rsidR="004F2CA4" w:rsidRDefault="004F2CA4" w:rsidP="004F2CA4">
      <w:pPr>
        <w:spacing w:line="360" w:lineRule="auto"/>
        <w:rPr>
          <w:rFonts w:ascii="Arial" w:hAnsi="Arial" w:cs="Arial"/>
          <w:b/>
          <w:bCs/>
          <w:sz w:val="32"/>
          <w:szCs w:val="32"/>
        </w:rPr>
      </w:pPr>
    </w:p>
    <w:p w14:paraId="43A84CEF" w14:textId="77777777" w:rsidR="004F2CA4" w:rsidRDefault="004F2CA4" w:rsidP="004F2CA4">
      <w:pPr>
        <w:spacing w:line="360" w:lineRule="auto"/>
        <w:rPr>
          <w:rFonts w:ascii="Arial" w:hAnsi="Arial" w:cs="Arial"/>
          <w:b/>
          <w:bCs/>
          <w:sz w:val="32"/>
          <w:szCs w:val="32"/>
        </w:rPr>
      </w:pPr>
    </w:p>
    <w:p w14:paraId="2F13EBC3" w14:textId="126FA008" w:rsidR="002105D5" w:rsidRPr="002105D5" w:rsidRDefault="002105D5" w:rsidP="004F2CA4">
      <w:pPr>
        <w:spacing w:line="360" w:lineRule="auto"/>
        <w:jc w:val="center"/>
        <w:rPr>
          <w:rFonts w:ascii="Arial" w:hAnsi="Arial" w:cs="Arial"/>
          <w:b/>
          <w:bCs/>
          <w:sz w:val="32"/>
          <w:szCs w:val="32"/>
        </w:rPr>
      </w:pPr>
      <w:r w:rsidRPr="002105D5">
        <w:rPr>
          <w:rFonts w:ascii="Arial" w:hAnsi="Arial" w:cs="Arial"/>
          <w:b/>
          <w:bCs/>
          <w:sz w:val="32"/>
          <w:szCs w:val="32"/>
        </w:rPr>
        <w:t>Sustainable Hospitality &amp; Tourism Management</w:t>
      </w:r>
    </w:p>
    <w:p w14:paraId="2A4864CB" w14:textId="77777777" w:rsidR="002105D5" w:rsidRDefault="002105D5" w:rsidP="002105D5">
      <w:pPr>
        <w:spacing w:line="360" w:lineRule="auto"/>
        <w:jc w:val="center"/>
        <w:rPr>
          <w:rFonts w:ascii="Arial" w:hAnsi="Arial" w:cs="Arial"/>
          <w:b/>
          <w:bCs/>
          <w:sz w:val="32"/>
          <w:szCs w:val="32"/>
        </w:rPr>
      </w:pPr>
      <w:r w:rsidRPr="002105D5">
        <w:rPr>
          <w:rFonts w:ascii="Arial" w:hAnsi="Arial" w:cs="Arial"/>
          <w:b/>
          <w:bCs/>
          <w:sz w:val="32"/>
          <w:szCs w:val="32"/>
        </w:rPr>
        <w:t>BMIH5006</w:t>
      </w:r>
    </w:p>
    <w:p w14:paraId="444800F8" w14:textId="77777777" w:rsidR="002105D5" w:rsidRDefault="002105D5" w:rsidP="002105D5">
      <w:pPr>
        <w:spacing w:line="360" w:lineRule="auto"/>
        <w:jc w:val="center"/>
        <w:rPr>
          <w:rFonts w:ascii="Arial" w:hAnsi="Arial" w:cs="Arial"/>
          <w:b/>
          <w:bCs/>
          <w:sz w:val="32"/>
          <w:szCs w:val="32"/>
        </w:rPr>
      </w:pPr>
    </w:p>
    <w:p w14:paraId="2D195C37" w14:textId="77777777" w:rsidR="002105D5" w:rsidRDefault="002105D5" w:rsidP="002105D5">
      <w:pPr>
        <w:spacing w:line="360" w:lineRule="auto"/>
        <w:jc w:val="center"/>
        <w:rPr>
          <w:rFonts w:ascii="Arial" w:hAnsi="Arial" w:cs="Arial"/>
          <w:b/>
          <w:bCs/>
          <w:sz w:val="32"/>
          <w:szCs w:val="32"/>
        </w:rPr>
      </w:pPr>
    </w:p>
    <w:p w14:paraId="54BC7302" w14:textId="77777777" w:rsidR="002105D5" w:rsidRDefault="002105D5" w:rsidP="002105D5">
      <w:pPr>
        <w:spacing w:line="360" w:lineRule="auto"/>
        <w:jc w:val="center"/>
        <w:rPr>
          <w:rFonts w:ascii="Arial" w:hAnsi="Arial" w:cs="Arial"/>
          <w:b/>
          <w:bCs/>
          <w:sz w:val="32"/>
          <w:szCs w:val="32"/>
        </w:rPr>
      </w:pPr>
    </w:p>
    <w:p w14:paraId="5BA3A03B" w14:textId="77777777" w:rsidR="002105D5" w:rsidRDefault="002105D5" w:rsidP="002105D5">
      <w:pPr>
        <w:spacing w:line="360" w:lineRule="auto"/>
        <w:jc w:val="center"/>
        <w:rPr>
          <w:rFonts w:ascii="Arial" w:hAnsi="Arial" w:cs="Arial"/>
          <w:b/>
          <w:bCs/>
          <w:sz w:val="32"/>
          <w:szCs w:val="32"/>
        </w:rPr>
      </w:pPr>
    </w:p>
    <w:p w14:paraId="4BC011A0" w14:textId="77777777" w:rsidR="002105D5" w:rsidRDefault="002105D5" w:rsidP="002105D5">
      <w:pPr>
        <w:spacing w:line="360" w:lineRule="auto"/>
        <w:jc w:val="center"/>
        <w:rPr>
          <w:rFonts w:ascii="Arial" w:hAnsi="Arial" w:cs="Arial"/>
          <w:b/>
          <w:bCs/>
          <w:sz w:val="32"/>
          <w:szCs w:val="32"/>
        </w:rPr>
      </w:pPr>
    </w:p>
    <w:p w14:paraId="65E56264" w14:textId="77777777" w:rsidR="002105D5" w:rsidRDefault="002105D5" w:rsidP="002105D5">
      <w:pPr>
        <w:spacing w:line="360" w:lineRule="auto"/>
        <w:jc w:val="center"/>
        <w:rPr>
          <w:rFonts w:ascii="Arial" w:hAnsi="Arial" w:cs="Arial"/>
          <w:b/>
          <w:bCs/>
          <w:sz w:val="32"/>
          <w:szCs w:val="32"/>
        </w:rPr>
      </w:pPr>
    </w:p>
    <w:p w14:paraId="0F8A463C" w14:textId="77777777" w:rsidR="002105D5" w:rsidRDefault="002105D5" w:rsidP="002105D5">
      <w:pPr>
        <w:spacing w:line="360" w:lineRule="auto"/>
        <w:jc w:val="center"/>
        <w:rPr>
          <w:rFonts w:ascii="Arial" w:hAnsi="Arial" w:cs="Arial"/>
          <w:b/>
          <w:bCs/>
          <w:sz w:val="32"/>
          <w:szCs w:val="32"/>
        </w:rPr>
      </w:pPr>
    </w:p>
    <w:p w14:paraId="2E49A8EC" w14:textId="77777777" w:rsidR="002105D5" w:rsidRPr="002105D5" w:rsidRDefault="002105D5" w:rsidP="002105D5">
      <w:pPr>
        <w:spacing w:line="360" w:lineRule="auto"/>
        <w:jc w:val="both"/>
        <w:rPr>
          <w:rFonts w:ascii="Arial" w:hAnsi="Arial" w:cs="Arial"/>
          <w:sz w:val="32"/>
          <w:szCs w:val="32"/>
        </w:rPr>
      </w:pPr>
    </w:p>
    <w:p w14:paraId="3101C65D" w14:textId="54EA212E" w:rsidR="002105D5" w:rsidRPr="002105D5" w:rsidRDefault="002105D5" w:rsidP="002105D5">
      <w:pPr>
        <w:spacing w:line="360" w:lineRule="auto"/>
        <w:jc w:val="both"/>
        <w:rPr>
          <w:rFonts w:ascii="Arial" w:hAnsi="Arial" w:cs="Arial"/>
          <w:sz w:val="32"/>
          <w:szCs w:val="32"/>
        </w:rPr>
      </w:pPr>
      <w:r w:rsidRPr="002105D5">
        <w:rPr>
          <w:rFonts w:ascii="Arial" w:hAnsi="Arial" w:cs="Arial"/>
          <w:sz w:val="32"/>
          <w:szCs w:val="32"/>
        </w:rPr>
        <w:t xml:space="preserve">I have used AI to help me structure in detail the document. Also, it was utilised for the correction of grammatical errors. </w:t>
      </w:r>
    </w:p>
    <w:p w14:paraId="1A3184DB" w14:textId="77777777" w:rsidR="002105D5" w:rsidRDefault="002105D5" w:rsidP="002105D5">
      <w:pPr>
        <w:spacing w:line="360" w:lineRule="auto"/>
        <w:jc w:val="center"/>
        <w:rPr>
          <w:rFonts w:ascii="Arial" w:hAnsi="Arial" w:cs="Arial"/>
          <w:b/>
          <w:bCs/>
          <w:sz w:val="32"/>
          <w:szCs w:val="32"/>
        </w:rPr>
      </w:pPr>
    </w:p>
    <w:p w14:paraId="58FA70CF" w14:textId="77777777" w:rsidR="002105D5" w:rsidRDefault="002105D5" w:rsidP="002105D5">
      <w:pPr>
        <w:spacing w:line="360" w:lineRule="auto"/>
        <w:jc w:val="center"/>
        <w:rPr>
          <w:rFonts w:ascii="Arial" w:hAnsi="Arial" w:cs="Arial"/>
          <w:b/>
          <w:bCs/>
          <w:sz w:val="32"/>
          <w:szCs w:val="32"/>
        </w:rPr>
      </w:pPr>
    </w:p>
    <w:p w14:paraId="50D7285F" w14:textId="77777777" w:rsidR="002105D5" w:rsidRDefault="002105D5" w:rsidP="002105D5">
      <w:pPr>
        <w:spacing w:line="360" w:lineRule="auto"/>
        <w:jc w:val="center"/>
        <w:rPr>
          <w:rFonts w:ascii="Arial" w:hAnsi="Arial" w:cs="Arial"/>
          <w:b/>
          <w:bCs/>
          <w:sz w:val="32"/>
          <w:szCs w:val="32"/>
        </w:rPr>
      </w:pPr>
    </w:p>
    <w:p w14:paraId="216F8298" w14:textId="77777777" w:rsidR="002105D5" w:rsidRDefault="002105D5" w:rsidP="002105D5">
      <w:pPr>
        <w:spacing w:line="360" w:lineRule="auto"/>
        <w:jc w:val="center"/>
        <w:rPr>
          <w:rFonts w:ascii="Arial" w:hAnsi="Arial" w:cs="Arial"/>
          <w:b/>
          <w:bCs/>
          <w:sz w:val="32"/>
          <w:szCs w:val="32"/>
        </w:rPr>
      </w:pPr>
    </w:p>
    <w:p w14:paraId="514E2D0E" w14:textId="77777777" w:rsidR="002105D5" w:rsidRDefault="002105D5" w:rsidP="002105D5">
      <w:pPr>
        <w:spacing w:line="360" w:lineRule="auto"/>
        <w:jc w:val="center"/>
        <w:rPr>
          <w:rFonts w:ascii="Arial" w:hAnsi="Arial" w:cs="Arial"/>
          <w:b/>
          <w:bCs/>
          <w:sz w:val="32"/>
          <w:szCs w:val="32"/>
        </w:rPr>
      </w:pPr>
    </w:p>
    <w:p w14:paraId="4697E69E" w14:textId="77777777" w:rsidR="002105D5" w:rsidRDefault="002105D5" w:rsidP="002105D5">
      <w:pPr>
        <w:spacing w:line="360" w:lineRule="auto"/>
        <w:jc w:val="center"/>
        <w:rPr>
          <w:rFonts w:ascii="Arial" w:hAnsi="Arial" w:cs="Arial"/>
          <w:b/>
          <w:bCs/>
          <w:sz w:val="32"/>
          <w:szCs w:val="32"/>
        </w:rPr>
      </w:pPr>
    </w:p>
    <w:p w14:paraId="0E62A340" w14:textId="77777777" w:rsidR="002105D5" w:rsidRDefault="002105D5" w:rsidP="002105D5">
      <w:pPr>
        <w:spacing w:line="360" w:lineRule="auto"/>
        <w:jc w:val="center"/>
        <w:rPr>
          <w:rFonts w:ascii="Arial" w:hAnsi="Arial" w:cs="Arial"/>
          <w:b/>
          <w:bCs/>
          <w:sz w:val="32"/>
          <w:szCs w:val="32"/>
        </w:rPr>
      </w:pPr>
    </w:p>
    <w:p w14:paraId="7DC13A53" w14:textId="77777777" w:rsidR="002105D5" w:rsidRDefault="002105D5" w:rsidP="002105D5">
      <w:pPr>
        <w:spacing w:line="360" w:lineRule="auto"/>
        <w:jc w:val="center"/>
        <w:rPr>
          <w:rFonts w:ascii="Arial" w:hAnsi="Arial" w:cs="Arial"/>
          <w:b/>
          <w:bCs/>
          <w:sz w:val="32"/>
          <w:szCs w:val="32"/>
        </w:rPr>
      </w:pPr>
    </w:p>
    <w:p w14:paraId="618914B2" w14:textId="6BC8FC55"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Since hotels are often just concerned with making a profit, many don't understand why they participate in environmental programs. No matter what, there may be a number of advantages to these programs that aim to reduce water usage or increase resource recycling. As a result, businesses may save money, improve their public image, and meet more stringent environmental regulations (Inkson and Minnaert, 2018). By switching to more energy-efficient lights and cutting down on single-use plastics, Marriott International has become an example of a green hotel business. However, managing food waste on-site is something that is often disregarded (Mariott, n.d.). This research looks at the possibility of an organic waste treatment system filling that void, which would be good for the planet and Marriott. It will demonstrate that organic waste management practices that are both effective and efficient reduce emissions of methane and align with the global trend towards a circular economy.</w:t>
      </w:r>
    </w:p>
    <w:p w14:paraId="62EBD36B" w14:textId="77777777"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According to Korstanje, George, and Nedelea (2020), an on-site organic waste system might reduce transportation expenses and landfill utilisation by turning leftover food into compost or biogas. Some eco-friendly hotels have biodigesters built, which turn food scraps into usable energy for things like water heating and partial lighting. In the meantime, material that aerobic composters produce is rich in nutrients and may be used for gardening or even by local farmers. According to Edgell (2020), hotels may recycle resources that have been previously used by following this circular approach. The adoption of these steps would showcase Marriott's deeper dedication to sustainability, solidifying its position as a leader in the hospitality industry. The project might be financially viable if the energy or compost generated is enough to cover other expenses (Haski-Leventhal, 2018). This strategy would appeal to Marriott's large audience since consumers and business travellers are looking for hotels with strong environmental standards.</w:t>
      </w:r>
    </w:p>
    <w:p w14:paraId="77C9403F" w14:textId="25A7A8A0"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lastRenderedPageBreak/>
        <w:t>Money problems are still a big hurdle. The purchase and installation of biodigesters and composters need a substantial initial cost (Batabyal, 2018). Some others think it's a waste of money that might have gone towards other things, like updating the rooms or the technology. Staff training is also of the highest importance. The method will not work if the culinary staff does not properly distinguish between organic and inorganic components. Furthermore, there is the matter of space; residences lacking outside area have to choose compact units that are capable of discretely handling large volumes (Nestoroska and Petrovska, 2014). According to New Governance and Management in Touristic Destinations (2022), these concerns can deter certain operators, but because of Marriott's scale, the company can pilot solutions at some locations before rolling them out nationwide. Large resort estates often have the space for extensive composting systems due to their ample land. To keep guests as undisturbed as possible, smaller digesters may be placed near loading docks in urban hotels.</w:t>
      </w:r>
    </w:p>
    <w:p w14:paraId="2697243F" w14:textId="1E54DAB3"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Consideration of the brand's image is also crucial. According to Inkson and Minnaert (2018), a large number of clients choose to book lodgings that show genuine concern for the environment. One measurable effect of an on-site waste program is the quantity of compost produced or the rate of landfill diversion. According to the Management Association (2018), this declaration might improve Marriott's communication with eco-conscious tourists. Market uniqueness could be enhanced by spreading the word about successes via social media or in-room information (Costa and Costa, 2022). On top of that, if guests are informed about these programs, they may be more likely to recycle more and participate in towel reuse programs while they are here. In order to become a pioneer in sustainable hospitality, the hotel should make waste reduction an integral part of the whole guest experience.</w:t>
      </w:r>
    </w:p>
    <w:p w14:paraId="0F563B10" w14:textId="74FFA738"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Taking food scraps out of landfills is good for the economy since it lowers disposal costs. In the long run, these savings could be enough to pay for the gadget (Cooper, 2021). Using compost or biogas instead of fossil fuels or artificial fertilisers might further reduce expenses. By implementing these solutions early on, Marriott may avoid last-minute rushing to comply with increasingly stringent worldwide environmental regulations (Jauhari, 2021). The need of taking measures to decrease greenhouse gas emissions is being brought to light by the increasing public pressure and legislative reforms. In fact, hotels that take the initiative to adopt more environmentally friendly </w:t>
      </w:r>
      <w:r w:rsidRPr="00A322EF">
        <w:rPr>
          <w:rFonts w:ascii="Arial" w:hAnsi="Arial" w:cs="Arial"/>
          <w:sz w:val="24"/>
          <w:szCs w:val="24"/>
        </w:rPr>
        <w:lastRenderedPageBreak/>
        <w:t>practices may be eligible for awards and certifications that boost their visibility in the market</w:t>
      </w:r>
      <w:r w:rsidR="00A322EF" w:rsidRPr="00A322EF">
        <w:rPr>
          <w:rFonts w:ascii="Arial" w:hAnsi="Arial" w:cs="Arial"/>
          <w:sz w:val="24"/>
          <w:szCs w:val="24"/>
        </w:rPr>
        <w:t xml:space="preserve"> (Gardetti and Torres, 2017)</w:t>
      </w:r>
      <w:r w:rsidRPr="00A322EF">
        <w:rPr>
          <w:rFonts w:ascii="Arial" w:hAnsi="Arial" w:cs="Arial"/>
          <w:sz w:val="24"/>
          <w:szCs w:val="24"/>
        </w:rPr>
        <w:t>. The economic case becomes stronger when future subsidies or financial incentives from municipal governments are taken into account.</w:t>
      </w:r>
    </w:p>
    <w:p w14:paraId="686D5AF5" w14:textId="2C5DD567" w:rsidR="00B54A94"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 xml:space="preserve">Sustainable tourism: breakthroughs in research and practice. </w:t>
      </w:r>
      <w:r w:rsidR="00B54A94" w:rsidRPr="00A322EF">
        <w:rPr>
          <w:rFonts w:ascii="Arial" w:hAnsi="Arial" w:cs="Arial"/>
          <w:sz w:val="24"/>
          <w:szCs w:val="24"/>
        </w:rPr>
        <w:t>(2019) states that in order for a global chain to find the optimal method for each location, consistent data collecting is necessary. Composting on a grand scale could be the way to go for a hotel with extensive grounds. A compact biodigester might be useful in an urban setting with many stories of buildings. Before rolling out the technologies company-wide, Marriott may pilot them at a small number of locations to gauge interest, improve training, and determine ROI (Batabyal, 2018). Working together with local waste management experts might streamline procedures and reduce the risk of contamination. Marriott may be able to replicate effective strategies thanks to the detailed criteria that may be provided by these pilot initiatives over time. Not only does this method cut down on wasted time, but it also lessens the chances of making mistakes while implementing new technology in several places</w:t>
      </w:r>
      <w:r w:rsidRPr="00A322EF">
        <w:rPr>
          <w:rFonts w:ascii="Arial" w:hAnsi="Arial" w:cs="Arial"/>
          <w:sz w:val="24"/>
          <w:szCs w:val="24"/>
        </w:rPr>
        <w:t xml:space="preserve"> (Nath, 2014).</w:t>
      </w:r>
    </w:p>
    <w:p w14:paraId="3726E6C7" w14:textId="77777777"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The chance to make connections within the community is another perk. One way for hotels to show their appreciation for the community is to donate their extra compost to farms or public gardens (Korstanje, George, &amp; Nedelea, 2020). Collaborations like this boost the profile of hotel brands. To show they care about the community, Marriott may provide waste reduction workshops or open homes (Inkson and Minnaert, 2018). In the long run, these projects bring about harmony among the hotel, the community, and the wider ecosystem. Soil fertility and pesticide consumption may both be improved with donated compost in agricultural areas, which can have a positive impact on local life. By participating in initiatives like these, Marriott is able to show its commitment to ethical management and enhance its social license to operate.</w:t>
      </w:r>
    </w:p>
    <w:p w14:paraId="6F926F17" w14:textId="6FB16062"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Waste management is an important part of a hotel's corporate social responsibility efforts since it reduces the negative impact on the environment. Efforts like this help bring the global total for emissions of greenhouse gases down. To reach its net-zero goals more quickly, Marriott may integrate biodigesting or composting with other eco-efforts, including using solar power to heat water</w:t>
      </w:r>
      <w:r w:rsidR="00A322EF" w:rsidRPr="00A322EF">
        <w:rPr>
          <w:rFonts w:ascii="Arial" w:hAnsi="Arial" w:cs="Arial"/>
          <w:sz w:val="24"/>
          <w:szCs w:val="24"/>
        </w:rPr>
        <w:t xml:space="preserve"> (Damiasih, 2025)</w:t>
      </w:r>
      <w:r w:rsidRPr="00A322EF">
        <w:rPr>
          <w:rFonts w:ascii="Arial" w:hAnsi="Arial" w:cs="Arial"/>
          <w:sz w:val="24"/>
          <w:szCs w:val="24"/>
        </w:rPr>
        <w:t xml:space="preserve">. The sustainable impact of Marriott may go beyond the hotel itself if this causes suppliers to reconsider their methods (Sloan, Legrand, and Chen, 2017). Academic research and industry </w:t>
      </w:r>
      <w:r w:rsidRPr="00A322EF">
        <w:rPr>
          <w:rFonts w:ascii="Arial" w:hAnsi="Arial" w:cs="Arial"/>
          <w:sz w:val="24"/>
          <w:szCs w:val="24"/>
        </w:rPr>
        <w:lastRenderedPageBreak/>
        <w:t>publications may benefit from the organization's process improvements since they provide light on what works best when scaled up. Marriott provides a road map for smaller businesses by documenting each milestone.</w:t>
      </w:r>
    </w:p>
    <w:p w14:paraId="639E429D" w14:textId="77777777"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Cooper (2021) argues that staff involvement is the key to a successful sustainability plan. Superior technology is rendered useless in the absence of employee support. Managers may instill a sense of duty by providing an explanation for the implementation of stricter sorting standards. According to the Management Association (2018), one way to motivate departments to achieve their waste-reduction goals is by offering incentives or public acknowledgement for such departments. Putting money into people has the potential to boost morale and make regular tasks easier. A culture of innovation may flourish when workers are self-assured; this includes the launch of new environmental initiatives (Edgell, 2020). To cut down on unnecessary ingredients, the kitchen team could come up with fresh menu options. Housekeeping could find new uses for old sheets. These side projects may increase the hotel's environmental impact via a domino effect.</w:t>
      </w:r>
    </w:p>
    <w:p w14:paraId="2D474B04" w14:textId="5567A814"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Potentially setting an example for the whole hotel sector, Marriott has implemented a forward-thinking organic waste plan. Constantly looking for indications of operational changes, industry analysts regularly examine international chains (Wickham, Donnelly,</w:t>
      </w:r>
      <w:r w:rsidR="00A322EF" w:rsidRPr="00A322EF">
        <w:rPr>
          <w:rFonts w:ascii="Arial" w:hAnsi="Arial" w:cs="Arial"/>
          <w:sz w:val="24"/>
          <w:szCs w:val="24"/>
        </w:rPr>
        <w:t xml:space="preserve"> and</w:t>
      </w:r>
      <w:r w:rsidRPr="00A322EF">
        <w:rPr>
          <w:rFonts w:ascii="Arial" w:hAnsi="Arial" w:cs="Arial"/>
          <w:sz w:val="24"/>
          <w:szCs w:val="24"/>
        </w:rPr>
        <w:t xml:space="preserve"> French, 2021). The hotel's track record of successful waste diversion, carbon reduction, and cost savings should encourage others to follow suit. The confirmation of the business case for sustainability by a prominent figure in the sector often generates momentum (Inkson and Minnaert, 2018). The overarching objective of reducing the environmental effect of tourism is further advanced by this cooperative effort. In addition, it follows the rules set forth by groups like the UNWTO, which encourages responsible use of resources in the tourist industry.</w:t>
      </w:r>
    </w:p>
    <w:p w14:paraId="302E0A7F" w14:textId="671E270F"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Academic discussions on sustainable tourism often centre on the interdependence of local ecosystems, communities, and businesses (Batabyal, 2018). There can be ecological consequences if a large hotel does not properly handle its trash. But with effective methods, it may help preserve these ecosystems (New Governance and Management in Tourist Destinations, 2022). Knowing that a balance between profitability and sustainability is essential, Marriott's proposed strategy is in line with this need (Cooper, 2021). The emergence of legislative frameworks to provide </w:t>
      </w:r>
      <w:r w:rsidRPr="00A322EF">
        <w:rPr>
          <w:rFonts w:ascii="Arial" w:hAnsi="Arial" w:cs="Arial"/>
          <w:sz w:val="24"/>
          <w:szCs w:val="24"/>
        </w:rPr>
        <w:lastRenderedPageBreak/>
        <w:t>incentives or regulatory standards that stimulate more innovation often follows large-scale behavioural changes. Government decisions on waste regulation are often influenced by the innovative actions of well-known hospitality firms, showing how private sector may impact public policy.</w:t>
      </w:r>
    </w:p>
    <w:p w14:paraId="715586F8" w14:textId="6E765067"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Despite these clear advantages, preparing for the future is crucial. Proper gear is not a guarantee of success. Methods for tracking continuous performance and fixing issues like malfunctions or smells are necessary for the hotel (Edgell, 2020). Contamination levels are kept low by frequent monitoring. Complaints and lost environmental benefits could come from a system that malfunctions often. Maintaining operations smoothly may be achieved via contingency planning and professional maintenance positions (Sustainable Tourism: Breakthroughs in Research and Practice, 2019). This approach also shows that the program </w:t>
      </w:r>
      <w:r w:rsidR="00A322EF" w:rsidRPr="00A322EF">
        <w:rPr>
          <w:rFonts w:ascii="Arial" w:hAnsi="Arial" w:cs="Arial"/>
          <w:sz w:val="24"/>
          <w:szCs w:val="24"/>
        </w:rPr>
        <w:t>is not</w:t>
      </w:r>
      <w:r w:rsidRPr="00A322EF">
        <w:rPr>
          <w:rFonts w:ascii="Arial" w:hAnsi="Arial" w:cs="Arial"/>
          <w:sz w:val="24"/>
          <w:szCs w:val="24"/>
        </w:rPr>
        <w:t xml:space="preserve"> just a passing trend; it's a serious commitment. To further emphasise its dedication to open, data-driven results, Marriott may choose to employ third-party auditors to confirm compost quality or reductions in greenhouse gas emissions; this might increase confidence.</w:t>
      </w:r>
    </w:p>
    <w:p w14:paraId="5EF46769" w14:textId="714F5AC7"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A system for organic waste is very beneficial to the environment. More heat is retained by landfill-emitted methane than by CO2 over an extended period of time (Management Association, 2018). The hotel may lessen its impact on the environment by reducing emissions of methane via composting or power generation from food scraps. According to Korstanje, George, and Nedelea (2020), resorts that demonstrate genuine commitment to sustainability tend to have more returning guests. They may also become devoted customers as a consequence of positive recommendations they provide to others. With more and more tourists looking for ways to support ethical businesses while they vacation, having strong environmental credentials can give you a leg up.</w:t>
      </w:r>
    </w:p>
    <w:p w14:paraId="3A89BC99" w14:textId="77777777" w:rsidR="00A322EF"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Accordingly, a key component of Marriott's comprehensive environmental strategy is the establishment of an on-site organic waste management program. The disposal of spoilt food is still an issue, even if efforts to reduce plastic waste and increase energy efficiency have been successful. By recycling organic waste, composters and biodigesters help make up for this shortfall, which in turn reduces disposal costs and boosts Marriott's green reputation</w:t>
      </w:r>
      <w:r w:rsidR="00A322EF" w:rsidRPr="00A322EF">
        <w:t xml:space="preserve"> </w:t>
      </w:r>
      <w:r w:rsidR="00A322EF" w:rsidRPr="00A322EF">
        <w:rPr>
          <w:rFonts w:ascii="Arial" w:hAnsi="Arial" w:cs="Arial"/>
          <w:sz w:val="24"/>
          <w:szCs w:val="24"/>
        </w:rPr>
        <w:t>(Marriott, 2024)</w:t>
      </w:r>
      <w:r w:rsidRPr="00A322EF">
        <w:rPr>
          <w:rFonts w:ascii="Arial" w:hAnsi="Arial" w:cs="Arial"/>
          <w:sz w:val="24"/>
          <w:szCs w:val="24"/>
        </w:rPr>
        <w:t xml:space="preserve">. There will be monetary, reputational, and ecological rewards in the long run that outweigh the initial investment </w:t>
      </w:r>
      <w:r w:rsidRPr="00A322EF">
        <w:rPr>
          <w:rFonts w:ascii="Arial" w:hAnsi="Arial" w:cs="Arial"/>
          <w:sz w:val="24"/>
          <w:szCs w:val="24"/>
        </w:rPr>
        <w:lastRenderedPageBreak/>
        <w:t>of time, money, and space needed to launch the effort (Haski-Leventhal, 2018). Its value is enhanced by its alignment with changing regulations, collaborative collaborations with communities, and higher tourist satisfaction. This would be a good first step towards a more circular economy in the hotel industry, where waste is used for other uses. In light of the present environmental crises, this kind of leadership is very necessary.</w:t>
      </w:r>
    </w:p>
    <w:p w14:paraId="4D1610C7" w14:textId="150D4E83"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As the on-site organic waste management system shows, there may be significant benefits to filling a neglected sustainability gap. Putting food scraps in landfills is a huge contributor to greenhouse gas emissions and a stain on Marriott's otherwise impeccable environmental record. The hotel chain can lessen its impact on the environment, save money on transportation, and give its stakeholders a better sense of purpose by recycling these materials into compost or biogas. Sloan, Legrand, and Chen (2017) found that the advantages of reduced utility costs, greater community links, and improved corporate responsibility more than compensate for the early expenditures and operational hurdles. Contamination rates drop and the entire cycle becomes easier to control when workers grasp and embrace the process. Looking forward, other hotels may be inspired to follow Marriott's lead, which would extend the advantage throughout the industry. This kind of cooperation is in line with sustainability principles, which aim to strike a balance between immediate financial gain and the long-term health of the earth. In conclusion, by implementing a robust organic waste system, Marriott goes beyond superficial eco-initiatives to a systemic shift in hotel resource management, demonstrating once again that sustainable development and financial success need not be mutually exclusive.</w:t>
      </w:r>
    </w:p>
    <w:p w14:paraId="2360AF3D" w14:textId="41FA8BD5"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To conclude, although Marriott International is showing a growing dedication to sustainability via initiatives like cutting down on single-use plastics and improving energy efficiency, the problem of food waste is still not addressed. Implementing a biodigester or composter on-site might save running costs and reliance on landfills by converting trash into compost or biogas. While simultaneously reducing emissions of methane, this action speeds up the shift to a circular economy. Customers are more likely to remain loyal in a cutthroat industry if they perceive that the firm is really committed to environmental sustainability. An innovative and collaborative work environment is fostered when employees are actively involved via training and rewards. Concerns about the first financial commitment and logistical limits are </w:t>
      </w:r>
      <w:r w:rsidRPr="00A322EF">
        <w:rPr>
          <w:rFonts w:ascii="Arial" w:hAnsi="Arial" w:cs="Arial"/>
          <w:sz w:val="24"/>
          <w:szCs w:val="24"/>
        </w:rPr>
        <w:lastRenderedPageBreak/>
        <w:t>common among decision-makers. However, pilot projects have the potential to test feasibility and refine processes. In addition to bolstering Marriott's CSR goals, this approach would show how the hotel industry can collaborate with neighbourhoods by donating extra compost or cutting down on trash pickups. Last but not least, the project strikes a compromise between short-term company benefits like better market positioning and lower disposal costs and longer-term environmental objectives. To show how hotels may be more responsible in the future by combining business with environmental care, Marriott must fill this critical gap in the definition of sustainable hospitality.</w:t>
      </w:r>
    </w:p>
    <w:p w14:paraId="6D988D27" w14:textId="77777777" w:rsidR="00B54A94" w:rsidRDefault="00B54A94" w:rsidP="00B54A94">
      <w:pPr>
        <w:spacing w:line="360" w:lineRule="auto"/>
        <w:jc w:val="both"/>
        <w:rPr>
          <w:rFonts w:ascii="Arial" w:hAnsi="Arial" w:cs="Arial"/>
          <w:sz w:val="24"/>
          <w:szCs w:val="24"/>
        </w:rPr>
      </w:pPr>
    </w:p>
    <w:p w14:paraId="1CFFF9F8" w14:textId="77777777" w:rsidR="00B54A94" w:rsidRDefault="00B54A94" w:rsidP="00B54A94">
      <w:pPr>
        <w:spacing w:line="360" w:lineRule="auto"/>
        <w:jc w:val="both"/>
        <w:rPr>
          <w:rFonts w:ascii="Arial" w:hAnsi="Arial" w:cs="Arial"/>
          <w:sz w:val="24"/>
          <w:szCs w:val="24"/>
        </w:rPr>
      </w:pPr>
    </w:p>
    <w:p w14:paraId="6A6A565F" w14:textId="77777777" w:rsidR="00B54A94" w:rsidRDefault="00B54A94" w:rsidP="00B54A94">
      <w:pPr>
        <w:spacing w:line="360" w:lineRule="auto"/>
        <w:jc w:val="both"/>
        <w:rPr>
          <w:rFonts w:ascii="Arial" w:hAnsi="Arial" w:cs="Arial"/>
          <w:sz w:val="24"/>
          <w:szCs w:val="24"/>
        </w:rPr>
      </w:pPr>
    </w:p>
    <w:p w14:paraId="365B4263" w14:textId="77777777" w:rsidR="00B54A94" w:rsidRDefault="00B54A94" w:rsidP="00B54A94">
      <w:pPr>
        <w:spacing w:line="360" w:lineRule="auto"/>
        <w:jc w:val="both"/>
        <w:rPr>
          <w:rFonts w:ascii="Arial" w:hAnsi="Arial" w:cs="Arial"/>
          <w:sz w:val="24"/>
          <w:szCs w:val="24"/>
        </w:rPr>
      </w:pPr>
    </w:p>
    <w:p w14:paraId="5C5B6C95" w14:textId="77777777" w:rsidR="00B54A94" w:rsidRDefault="00B54A94" w:rsidP="00B54A94">
      <w:pPr>
        <w:spacing w:line="360" w:lineRule="auto"/>
        <w:jc w:val="both"/>
        <w:rPr>
          <w:rFonts w:ascii="Arial" w:hAnsi="Arial" w:cs="Arial"/>
          <w:sz w:val="24"/>
          <w:szCs w:val="24"/>
        </w:rPr>
      </w:pPr>
    </w:p>
    <w:p w14:paraId="497B1A9D" w14:textId="77777777" w:rsidR="00B54A94" w:rsidRDefault="00B54A94" w:rsidP="00B54A94">
      <w:pPr>
        <w:spacing w:line="360" w:lineRule="auto"/>
        <w:jc w:val="both"/>
        <w:rPr>
          <w:rFonts w:ascii="Arial" w:hAnsi="Arial" w:cs="Arial"/>
          <w:sz w:val="24"/>
          <w:szCs w:val="24"/>
        </w:rPr>
      </w:pPr>
    </w:p>
    <w:p w14:paraId="59367942" w14:textId="77777777" w:rsidR="00B54A94" w:rsidRDefault="00B54A94" w:rsidP="00B54A94">
      <w:pPr>
        <w:spacing w:line="360" w:lineRule="auto"/>
        <w:jc w:val="both"/>
        <w:rPr>
          <w:rFonts w:ascii="Arial" w:hAnsi="Arial" w:cs="Arial"/>
          <w:sz w:val="24"/>
          <w:szCs w:val="24"/>
        </w:rPr>
      </w:pPr>
    </w:p>
    <w:p w14:paraId="5FC448FF" w14:textId="77777777" w:rsidR="00B54A94" w:rsidRDefault="00B54A94" w:rsidP="00B54A94">
      <w:pPr>
        <w:spacing w:line="360" w:lineRule="auto"/>
        <w:jc w:val="both"/>
        <w:rPr>
          <w:rFonts w:ascii="Arial" w:hAnsi="Arial" w:cs="Arial"/>
          <w:sz w:val="24"/>
          <w:szCs w:val="24"/>
        </w:rPr>
      </w:pPr>
    </w:p>
    <w:p w14:paraId="66B1AB10" w14:textId="77777777" w:rsidR="00B54A94" w:rsidRDefault="00B54A94" w:rsidP="00B54A94">
      <w:pPr>
        <w:spacing w:line="360" w:lineRule="auto"/>
        <w:jc w:val="both"/>
        <w:rPr>
          <w:rFonts w:ascii="Arial" w:hAnsi="Arial" w:cs="Arial"/>
          <w:sz w:val="24"/>
          <w:szCs w:val="24"/>
        </w:rPr>
      </w:pPr>
    </w:p>
    <w:p w14:paraId="188AF305" w14:textId="77777777" w:rsidR="00B54A94" w:rsidRDefault="00B54A94" w:rsidP="00B54A94">
      <w:pPr>
        <w:spacing w:line="360" w:lineRule="auto"/>
        <w:jc w:val="both"/>
        <w:rPr>
          <w:rFonts w:ascii="Arial" w:hAnsi="Arial" w:cs="Arial"/>
          <w:sz w:val="24"/>
          <w:szCs w:val="24"/>
        </w:rPr>
      </w:pPr>
    </w:p>
    <w:p w14:paraId="4A65A5ED" w14:textId="77777777" w:rsidR="00A322EF" w:rsidRDefault="00A322EF" w:rsidP="00B54A94">
      <w:pPr>
        <w:spacing w:line="360" w:lineRule="auto"/>
        <w:jc w:val="both"/>
        <w:rPr>
          <w:rFonts w:ascii="Arial" w:hAnsi="Arial" w:cs="Arial"/>
          <w:sz w:val="24"/>
          <w:szCs w:val="24"/>
        </w:rPr>
      </w:pPr>
    </w:p>
    <w:p w14:paraId="3AF08AAF" w14:textId="77777777" w:rsidR="00A322EF" w:rsidRDefault="00A322EF" w:rsidP="00B54A94">
      <w:pPr>
        <w:spacing w:line="360" w:lineRule="auto"/>
        <w:jc w:val="both"/>
        <w:rPr>
          <w:rFonts w:ascii="Arial" w:hAnsi="Arial" w:cs="Arial"/>
          <w:sz w:val="24"/>
          <w:szCs w:val="24"/>
        </w:rPr>
      </w:pPr>
    </w:p>
    <w:p w14:paraId="158F80CB" w14:textId="77777777" w:rsidR="00B54A94" w:rsidRDefault="00B54A94" w:rsidP="00B54A94">
      <w:pPr>
        <w:spacing w:line="360" w:lineRule="auto"/>
        <w:jc w:val="both"/>
        <w:rPr>
          <w:rFonts w:ascii="Arial" w:hAnsi="Arial" w:cs="Arial"/>
          <w:sz w:val="24"/>
          <w:szCs w:val="24"/>
        </w:rPr>
      </w:pPr>
    </w:p>
    <w:p w14:paraId="324334A3" w14:textId="77777777" w:rsidR="00A322EF" w:rsidRDefault="00A322EF" w:rsidP="00B54A94">
      <w:pPr>
        <w:spacing w:line="360" w:lineRule="auto"/>
        <w:jc w:val="both"/>
        <w:rPr>
          <w:rFonts w:ascii="Arial" w:hAnsi="Arial" w:cs="Arial"/>
          <w:sz w:val="24"/>
          <w:szCs w:val="24"/>
        </w:rPr>
      </w:pPr>
    </w:p>
    <w:p w14:paraId="6031AAEC" w14:textId="77777777" w:rsidR="00A322EF" w:rsidRDefault="00A322EF" w:rsidP="00B54A94">
      <w:pPr>
        <w:spacing w:line="360" w:lineRule="auto"/>
        <w:jc w:val="both"/>
        <w:rPr>
          <w:rFonts w:ascii="Arial" w:hAnsi="Arial" w:cs="Arial"/>
          <w:sz w:val="24"/>
          <w:szCs w:val="24"/>
        </w:rPr>
      </w:pPr>
    </w:p>
    <w:p w14:paraId="2B0F310D" w14:textId="77777777" w:rsidR="00A322EF" w:rsidRDefault="00A322EF" w:rsidP="00B54A94">
      <w:pPr>
        <w:spacing w:line="360" w:lineRule="auto"/>
        <w:jc w:val="both"/>
        <w:rPr>
          <w:rFonts w:ascii="Arial" w:hAnsi="Arial" w:cs="Arial"/>
          <w:sz w:val="24"/>
          <w:szCs w:val="24"/>
        </w:rPr>
      </w:pPr>
    </w:p>
    <w:p w14:paraId="33CB9EAE" w14:textId="77777777" w:rsidR="00A322EF" w:rsidRDefault="00A322EF" w:rsidP="00B54A94">
      <w:pPr>
        <w:spacing w:line="360" w:lineRule="auto"/>
        <w:jc w:val="both"/>
        <w:rPr>
          <w:rFonts w:ascii="Arial" w:hAnsi="Arial" w:cs="Arial"/>
          <w:sz w:val="24"/>
          <w:szCs w:val="24"/>
        </w:rPr>
      </w:pPr>
    </w:p>
    <w:p w14:paraId="1DCF4EF4" w14:textId="77777777" w:rsidR="00A322EF" w:rsidRDefault="00A322EF" w:rsidP="00B54A94">
      <w:pPr>
        <w:spacing w:line="360" w:lineRule="auto"/>
        <w:jc w:val="both"/>
        <w:rPr>
          <w:rFonts w:ascii="Arial" w:hAnsi="Arial" w:cs="Arial"/>
          <w:sz w:val="24"/>
          <w:szCs w:val="24"/>
        </w:rPr>
      </w:pPr>
    </w:p>
    <w:p w14:paraId="746D3B5A" w14:textId="77777777" w:rsidR="00A322EF" w:rsidRDefault="00A322EF" w:rsidP="00B54A94">
      <w:pPr>
        <w:spacing w:line="360" w:lineRule="auto"/>
        <w:jc w:val="both"/>
        <w:rPr>
          <w:rFonts w:ascii="Arial" w:hAnsi="Arial" w:cs="Arial"/>
          <w:sz w:val="24"/>
          <w:szCs w:val="24"/>
        </w:rPr>
      </w:pPr>
    </w:p>
    <w:p w14:paraId="76B7EAB1" w14:textId="77777777" w:rsidR="00A322EF" w:rsidRDefault="00A322EF" w:rsidP="00B54A94">
      <w:pPr>
        <w:spacing w:line="360" w:lineRule="auto"/>
        <w:jc w:val="both"/>
        <w:rPr>
          <w:rFonts w:ascii="Arial" w:hAnsi="Arial" w:cs="Arial"/>
          <w:sz w:val="24"/>
          <w:szCs w:val="24"/>
        </w:rPr>
      </w:pPr>
    </w:p>
    <w:p w14:paraId="6A1E3378" w14:textId="77777777" w:rsidR="00A322EF" w:rsidRDefault="00A322EF" w:rsidP="00B54A94">
      <w:pPr>
        <w:spacing w:line="360" w:lineRule="auto"/>
        <w:jc w:val="both"/>
        <w:rPr>
          <w:rFonts w:ascii="Arial" w:hAnsi="Arial" w:cs="Arial"/>
          <w:sz w:val="24"/>
          <w:szCs w:val="24"/>
        </w:rPr>
      </w:pPr>
    </w:p>
    <w:p w14:paraId="1D65BD2E" w14:textId="77777777" w:rsidR="00B54A94" w:rsidRDefault="00B54A94" w:rsidP="00B54A94">
      <w:pPr>
        <w:spacing w:line="360" w:lineRule="auto"/>
        <w:jc w:val="both"/>
        <w:rPr>
          <w:rFonts w:ascii="Arial" w:hAnsi="Arial" w:cs="Arial"/>
          <w:sz w:val="24"/>
          <w:szCs w:val="24"/>
        </w:rPr>
      </w:pPr>
    </w:p>
    <w:p w14:paraId="0E605DC9" w14:textId="77777777" w:rsidR="00B54A94" w:rsidRDefault="00B54A94" w:rsidP="00B54A94">
      <w:pPr>
        <w:spacing w:line="360" w:lineRule="auto"/>
        <w:jc w:val="both"/>
        <w:rPr>
          <w:rFonts w:ascii="Arial" w:hAnsi="Arial" w:cs="Arial"/>
          <w:sz w:val="24"/>
          <w:szCs w:val="24"/>
        </w:rPr>
      </w:pPr>
    </w:p>
    <w:p w14:paraId="5399477B" w14:textId="4DCD46B9" w:rsidR="00B54A94" w:rsidRPr="00A322EF" w:rsidRDefault="00B54A94" w:rsidP="00A322EF">
      <w:pPr>
        <w:spacing w:line="360" w:lineRule="auto"/>
        <w:jc w:val="both"/>
        <w:rPr>
          <w:rFonts w:ascii="Arial" w:hAnsi="Arial" w:cs="Arial"/>
          <w:b/>
          <w:bCs/>
          <w:sz w:val="24"/>
          <w:szCs w:val="24"/>
        </w:rPr>
      </w:pPr>
      <w:r w:rsidRPr="00A322EF">
        <w:rPr>
          <w:rFonts w:ascii="Arial" w:hAnsi="Arial" w:cs="Arial"/>
          <w:b/>
          <w:bCs/>
          <w:sz w:val="24"/>
          <w:szCs w:val="24"/>
        </w:rPr>
        <w:t xml:space="preserve">References </w:t>
      </w:r>
    </w:p>
    <w:p w14:paraId="15749874" w14:textId="77777777"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Batabyal. (2018). Managing Sustainable Tourism Resources. IGI Global.  </w:t>
      </w:r>
    </w:p>
    <w:p w14:paraId="7B1494E8" w14:textId="12667D9C"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Cooper, C. (2021) Essentials of tourism. Third edition. London: SAGE.</w:t>
      </w:r>
    </w:p>
    <w:p w14:paraId="193225EC" w14:textId="1CA48BB1"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 xml:space="preserve">Costa, &amp; Costa, C. (2022). Sustainability and competitiveness in the hospitality industry (Costa &amp; C. Costa, Eds.). Business Science Reference.  </w:t>
      </w:r>
    </w:p>
    <w:p w14:paraId="538FC3A8" w14:textId="0DDBD9AE"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Damiasih, D., 2025. Innovative Marketing Strategies for Sustainable Tourism Development: A Literature Review. Golden Ratio of Marketing and Applied Psychology of Business, 5(1), pp.246-25</w:t>
      </w:r>
    </w:p>
    <w:p w14:paraId="2A9B221B" w14:textId="541A712C"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Edgell. (2020). Managing sustainable tourism : a legacy for the future (Third edition). Routledge. </w:t>
      </w:r>
    </w:p>
    <w:p w14:paraId="533FDA1F" w14:textId="5D3FB11C"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Gardetti, M.A. and Torres, A.L. eds., 2017. Sustainability in Hospitality: How innovative hotels are transforming the industry. Routledge.</w:t>
      </w:r>
    </w:p>
    <w:p w14:paraId="301CC18C" w14:textId="5A39D8AC"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 xml:space="preserve">Haski-Leventhal, D. (2018) Strategic corporate social responsibility : tools &amp; theories for responsible management. London: SAGE. </w:t>
      </w:r>
    </w:p>
    <w:p w14:paraId="27329FA4" w14:textId="50783F2F"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Inkson, C. and Minnaert, L. (2018) Tourism management : an introduction. 2nd ed. London: SAGE.</w:t>
      </w:r>
    </w:p>
    <w:p w14:paraId="18CF0A48" w14:textId="77777777"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 xml:space="preserve">Jauhari, V (2021)  ‘Managing Sustainability in the Hospitality and Tourism Industry: Paradigms and Directions for the Future’ </w:t>
      </w:r>
    </w:p>
    <w:p w14:paraId="3079DCE7" w14:textId="59CA2553"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9th edn.Oakville: Apple Academic Press. Inc</w:t>
      </w:r>
    </w:p>
    <w:p w14:paraId="687351EF" w14:textId="076F290E"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Korstanje, George, B., &amp; Nedelea, A. (2020). Strategies for promoting sustainable hospitality and tourism services. IGI Global.</w:t>
      </w:r>
    </w:p>
    <w:p w14:paraId="1798820E" w14:textId="599AAFBD"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Management Association. (2018). Sustainable Tourism. IGI Global.</w:t>
      </w:r>
    </w:p>
    <w:p w14:paraId="2A9F10C1" w14:textId="0CB69C52"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lastRenderedPageBreak/>
        <w:t>Marriott (n.d.). www.marriott.com. (n.d.). </w:t>
      </w:r>
      <w:r w:rsidRPr="00A322EF">
        <w:rPr>
          <w:rFonts w:ascii="Arial" w:hAnsi="Arial" w:cs="Arial"/>
          <w:i/>
          <w:iCs/>
          <w:sz w:val="24"/>
          <w:szCs w:val="24"/>
        </w:rPr>
        <w:t>Sustainability | Marriott Bonvoy - Home page</w:t>
      </w:r>
      <w:r w:rsidRPr="00A322EF">
        <w:rPr>
          <w:rFonts w:ascii="Arial" w:hAnsi="Arial" w:cs="Arial"/>
          <w:sz w:val="24"/>
          <w:szCs w:val="24"/>
        </w:rPr>
        <w:t xml:space="preserve">. [online] Available at: </w:t>
      </w:r>
      <w:hyperlink r:id="rId6" w:history="1">
        <w:r w:rsidRPr="00A322EF">
          <w:rPr>
            <w:rStyle w:val="Hyperlink"/>
            <w:rFonts w:ascii="Arial" w:hAnsi="Arial" w:cs="Arial"/>
            <w:sz w:val="24"/>
            <w:szCs w:val="24"/>
          </w:rPr>
          <w:t>https://www.marriott.com/en-gb/hotels/lhrhr-london-heathrow-marriott-hotel/overview/sustainability/</w:t>
        </w:r>
      </w:hyperlink>
      <w:r w:rsidRPr="00A322EF">
        <w:rPr>
          <w:rFonts w:ascii="Arial" w:hAnsi="Arial" w:cs="Arial"/>
          <w:sz w:val="24"/>
          <w:szCs w:val="24"/>
        </w:rPr>
        <w:t>.</w:t>
      </w:r>
    </w:p>
    <w:p w14:paraId="2AB3BF18" w14:textId="7179928D"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Nath, A., 2014. Profitability and sustainability from waste management practices in hotels and its impact on environment. Unpublished doctoral dissertation). Jaypee Institute of Information Technology, Noida, Uttar Pradesh, India.</w:t>
      </w:r>
    </w:p>
    <w:p w14:paraId="48705FB1" w14:textId="0A061030"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Nestoroska, I. and Petrovska, I., 2014, May. Staff training in hospitality sector as benefit for improved service quality. In Tourism and Hospitality Industry 2014–CONGRESS PROCEEDINGS (pp. 437-448)</w:t>
      </w:r>
    </w:p>
    <w:p w14:paraId="1E8C8489" w14:textId="70999F23" w:rsidR="00B54A94" w:rsidRPr="00A322EF" w:rsidRDefault="00B54A94" w:rsidP="00A322EF">
      <w:pPr>
        <w:spacing w:line="360" w:lineRule="auto"/>
        <w:jc w:val="both"/>
        <w:rPr>
          <w:rFonts w:ascii="Arial" w:hAnsi="Arial" w:cs="Arial"/>
          <w:sz w:val="24"/>
          <w:szCs w:val="24"/>
        </w:rPr>
      </w:pPr>
      <w:r w:rsidRPr="00A322EF">
        <w:rPr>
          <w:rFonts w:ascii="Arial" w:hAnsi="Arial" w:cs="Arial"/>
          <w:sz w:val="24"/>
          <w:szCs w:val="24"/>
        </w:rPr>
        <w:t>New governance and management in touristic destinations. (2022). IGI Global.</w:t>
      </w:r>
    </w:p>
    <w:p w14:paraId="7A2D39A6" w14:textId="2C381AB5"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Sustainable tourism : breakthroughs in research and practice. (2019). IGI Global.</w:t>
      </w:r>
    </w:p>
    <w:p w14:paraId="38708F1A" w14:textId="1C1B8731" w:rsidR="00A322EF" w:rsidRPr="00A322EF" w:rsidRDefault="00A322EF" w:rsidP="00A322EF">
      <w:pPr>
        <w:spacing w:line="360" w:lineRule="auto"/>
        <w:jc w:val="both"/>
        <w:rPr>
          <w:rFonts w:ascii="Arial" w:hAnsi="Arial" w:cs="Arial"/>
          <w:sz w:val="24"/>
          <w:szCs w:val="24"/>
        </w:rPr>
      </w:pPr>
      <w:r w:rsidRPr="00A322EF">
        <w:rPr>
          <w:rFonts w:ascii="Arial" w:hAnsi="Arial" w:cs="Arial"/>
          <w:sz w:val="24"/>
          <w:szCs w:val="24"/>
        </w:rPr>
        <w:t xml:space="preserve">Wickham, Donnelly, T., &amp; French, L. (2021). Strategic Sustainability Management in the Event Sector. Event Management, 25(3), 279–296.  </w:t>
      </w:r>
    </w:p>
    <w:p w14:paraId="335293C8" w14:textId="77777777" w:rsidR="00B54A94" w:rsidRPr="00B54A94" w:rsidRDefault="00B54A94" w:rsidP="00A322EF">
      <w:pPr>
        <w:spacing w:line="360" w:lineRule="auto"/>
        <w:jc w:val="both"/>
        <w:rPr>
          <w:rFonts w:ascii="Arial" w:hAnsi="Arial" w:cs="Arial"/>
          <w:sz w:val="24"/>
          <w:szCs w:val="24"/>
        </w:rPr>
      </w:pPr>
      <w:r w:rsidRPr="00B54A94">
        <w:rPr>
          <w:rFonts w:ascii="Arial" w:hAnsi="Arial" w:cs="Arial"/>
          <w:sz w:val="24"/>
          <w:szCs w:val="24"/>
        </w:rPr>
        <w:t>‌</w:t>
      </w:r>
    </w:p>
    <w:p w14:paraId="4A3234E5" w14:textId="01FC2711" w:rsidR="00B54A94" w:rsidRPr="00B54A94" w:rsidRDefault="00B54A94" w:rsidP="00B54A94">
      <w:pPr>
        <w:spacing w:line="360" w:lineRule="auto"/>
        <w:jc w:val="both"/>
        <w:rPr>
          <w:rFonts w:ascii="Arial" w:hAnsi="Arial" w:cs="Arial"/>
          <w:sz w:val="24"/>
          <w:szCs w:val="24"/>
        </w:rPr>
      </w:pPr>
    </w:p>
    <w:p w14:paraId="0B2B2F8F" w14:textId="77777777" w:rsidR="002105D5" w:rsidRPr="00B54A94" w:rsidRDefault="002105D5" w:rsidP="00B54A94">
      <w:pPr>
        <w:spacing w:line="360" w:lineRule="auto"/>
        <w:jc w:val="both"/>
        <w:rPr>
          <w:rFonts w:ascii="Arial" w:hAnsi="Arial" w:cs="Arial"/>
          <w:sz w:val="24"/>
          <w:szCs w:val="24"/>
        </w:rPr>
      </w:pPr>
    </w:p>
    <w:p w14:paraId="3CBF6565" w14:textId="77777777" w:rsidR="002105D5" w:rsidRDefault="002105D5" w:rsidP="002105D5">
      <w:pPr>
        <w:spacing w:line="360" w:lineRule="auto"/>
        <w:jc w:val="center"/>
        <w:rPr>
          <w:rFonts w:ascii="Arial" w:hAnsi="Arial" w:cs="Arial"/>
          <w:b/>
          <w:bCs/>
          <w:sz w:val="32"/>
          <w:szCs w:val="32"/>
        </w:rPr>
      </w:pPr>
    </w:p>
    <w:p w14:paraId="74BF20C4" w14:textId="77777777" w:rsidR="002105D5" w:rsidRDefault="002105D5" w:rsidP="002105D5">
      <w:pPr>
        <w:spacing w:line="360" w:lineRule="auto"/>
        <w:jc w:val="center"/>
        <w:rPr>
          <w:rFonts w:ascii="Arial" w:hAnsi="Arial" w:cs="Arial"/>
          <w:b/>
          <w:bCs/>
          <w:sz w:val="32"/>
          <w:szCs w:val="32"/>
        </w:rPr>
      </w:pPr>
    </w:p>
    <w:p w14:paraId="694DBEE3" w14:textId="77777777" w:rsidR="002105D5" w:rsidRDefault="002105D5" w:rsidP="002105D5">
      <w:pPr>
        <w:spacing w:line="360" w:lineRule="auto"/>
        <w:jc w:val="center"/>
        <w:rPr>
          <w:rFonts w:ascii="Arial" w:hAnsi="Arial" w:cs="Arial"/>
          <w:b/>
          <w:bCs/>
          <w:sz w:val="32"/>
          <w:szCs w:val="32"/>
        </w:rPr>
      </w:pPr>
    </w:p>
    <w:p w14:paraId="484614C5" w14:textId="77777777" w:rsidR="002105D5" w:rsidRDefault="002105D5" w:rsidP="002105D5">
      <w:pPr>
        <w:spacing w:line="360" w:lineRule="auto"/>
        <w:jc w:val="center"/>
        <w:rPr>
          <w:rFonts w:ascii="Arial" w:hAnsi="Arial" w:cs="Arial"/>
          <w:b/>
          <w:bCs/>
          <w:sz w:val="32"/>
          <w:szCs w:val="32"/>
        </w:rPr>
      </w:pPr>
    </w:p>
    <w:p w14:paraId="2D95253C" w14:textId="77777777" w:rsidR="002105D5" w:rsidRDefault="002105D5" w:rsidP="002105D5">
      <w:pPr>
        <w:spacing w:line="360" w:lineRule="auto"/>
        <w:jc w:val="center"/>
        <w:rPr>
          <w:rFonts w:ascii="Arial" w:hAnsi="Arial" w:cs="Arial"/>
          <w:b/>
          <w:bCs/>
          <w:sz w:val="32"/>
          <w:szCs w:val="32"/>
        </w:rPr>
      </w:pPr>
    </w:p>
    <w:p w14:paraId="31A5C42C" w14:textId="77777777" w:rsidR="002105D5" w:rsidRDefault="002105D5" w:rsidP="002105D5">
      <w:pPr>
        <w:spacing w:line="360" w:lineRule="auto"/>
        <w:jc w:val="center"/>
        <w:rPr>
          <w:rFonts w:ascii="Arial" w:hAnsi="Arial" w:cs="Arial"/>
          <w:b/>
          <w:bCs/>
          <w:sz w:val="32"/>
          <w:szCs w:val="32"/>
        </w:rPr>
      </w:pPr>
    </w:p>
    <w:p w14:paraId="6B53930A" w14:textId="77777777" w:rsidR="002105D5" w:rsidRDefault="002105D5" w:rsidP="002105D5">
      <w:pPr>
        <w:spacing w:line="360" w:lineRule="auto"/>
        <w:jc w:val="center"/>
        <w:rPr>
          <w:rFonts w:ascii="Arial" w:hAnsi="Arial" w:cs="Arial"/>
          <w:b/>
          <w:bCs/>
          <w:sz w:val="32"/>
          <w:szCs w:val="32"/>
        </w:rPr>
      </w:pPr>
    </w:p>
    <w:p w14:paraId="39BE64F1" w14:textId="77777777" w:rsidR="002105D5" w:rsidRDefault="002105D5" w:rsidP="002105D5">
      <w:pPr>
        <w:spacing w:line="360" w:lineRule="auto"/>
        <w:jc w:val="center"/>
        <w:rPr>
          <w:rFonts w:ascii="Arial" w:hAnsi="Arial" w:cs="Arial"/>
          <w:b/>
          <w:bCs/>
          <w:sz w:val="32"/>
          <w:szCs w:val="32"/>
        </w:rPr>
      </w:pPr>
    </w:p>
    <w:p w14:paraId="0D8DAE6C" w14:textId="77777777" w:rsidR="002105D5" w:rsidRPr="002105D5" w:rsidRDefault="002105D5" w:rsidP="002105D5">
      <w:pPr>
        <w:spacing w:line="360" w:lineRule="auto"/>
        <w:jc w:val="center"/>
        <w:rPr>
          <w:rFonts w:ascii="Arial" w:hAnsi="Arial" w:cs="Arial"/>
          <w:b/>
          <w:bCs/>
          <w:sz w:val="32"/>
          <w:szCs w:val="32"/>
        </w:rPr>
      </w:pPr>
    </w:p>
    <w:p w14:paraId="364F8821" w14:textId="77777777" w:rsidR="002105D5" w:rsidRDefault="002105D5" w:rsidP="002105D5"/>
    <w:p w14:paraId="38600511" w14:textId="77777777" w:rsidR="00B151A8" w:rsidRDefault="00B151A8"/>
    <w:sectPr w:rsidR="00B151A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9FEBD" w14:textId="77777777" w:rsidR="00C911BB" w:rsidRDefault="00C911BB" w:rsidP="002105D5">
      <w:pPr>
        <w:spacing w:after="0" w:line="240" w:lineRule="auto"/>
      </w:pPr>
      <w:r>
        <w:separator/>
      </w:r>
    </w:p>
  </w:endnote>
  <w:endnote w:type="continuationSeparator" w:id="0">
    <w:p w14:paraId="09D5BAFD" w14:textId="77777777" w:rsidR="00C911BB" w:rsidRDefault="00C911BB" w:rsidP="00210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20463"/>
      <w:docPartObj>
        <w:docPartGallery w:val="Page Numbers (Bottom of Page)"/>
        <w:docPartUnique/>
      </w:docPartObj>
    </w:sdtPr>
    <w:sdtEndPr>
      <w:rPr>
        <w:noProof/>
      </w:rPr>
    </w:sdtEndPr>
    <w:sdtContent>
      <w:p w14:paraId="0C16B7CA" w14:textId="24C744E6" w:rsidR="002105D5" w:rsidRDefault="002105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0090F8" w14:textId="77777777" w:rsidR="002105D5" w:rsidRDefault="00210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3357A" w14:textId="77777777" w:rsidR="00C911BB" w:rsidRDefault="00C911BB" w:rsidP="002105D5">
      <w:pPr>
        <w:spacing w:after="0" w:line="240" w:lineRule="auto"/>
      </w:pPr>
      <w:r>
        <w:separator/>
      </w:r>
    </w:p>
  </w:footnote>
  <w:footnote w:type="continuationSeparator" w:id="0">
    <w:p w14:paraId="5751D08A" w14:textId="77777777" w:rsidR="00C911BB" w:rsidRDefault="00C911BB" w:rsidP="002105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5D5"/>
    <w:rsid w:val="002105D5"/>
    <w:rsid w:val="00485AD1"/>
    <w:rsid w:val="004F2CA4"/>
    <w:rsid w:val="007B0CC3"/>
    <w:rsid w:val="008B3EFB"/>
    <w:rsid w:val="00A322EF"/>
    <w:rsid w:val="00B151A8"/>
    <w:rsid w:val="00B54A94"/>
    <w:rsid w:val="00C82D1F"/>
    <w:rsid w:val="00C911BB"/>
    <w:rsid w:val="00CD5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2F96"/>
  <w15:chartTrackingRefBased/>
  <w15:docId w15:val="{74B34A62-2E60-47ED-ACB4-DD327A84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210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210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5D5"/>
    <w:rPr>
      <w:rFonts w:eastAsiaTheme="majorEastAsia" w:cstheme="majorBidi"/>
      <w:color w:val="272727" w:themeColor="text1" w:themeTint="D8"/>
    </w:rPr>
  </w:style>
  <w:style w:type="paragraph" w:styleId="Title">
    <w:name w:val="Title"/>
    <w:basedOn w:val="Normal"/>
    <w:next w:val="Normal"/>
    <w:link w:val="TitleChar"/>
    <w:uiPriority w:val="10"/>
    <w:qFormat/>
    <w:rsid w:val="00210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5D5"/>
    <w:pPr>
      <w:spacing w:before="160"/>
      <w:jc w:val="center"/>
    </w:pPr>
    <w:rPr>
      <w:i/>
      <w:iCs/>
      <w:color w:val="404040" w:themeColor="text1" w:themeTint="BF"/>
    </w:rPr>
  </w:style>
  <w:style w:type="character" w:customStyle="1" w:styleId="QuoteChar">
    <w:name w:val="Quote Char"/>
    <w:basedOn w:val="DefaultParagraphFont"/>
    <w:link w:val="Quote"/>
    <w:uiPriority w:val="29"/>
    <w:rsid w:val="002105D5"/>
    <w:rPr>
      <w:i/>
      <w:iCs/>
      <w:color w:val="404040" w:themeColor="text1" w:themeTint="BF"/>
    </w:rPr>
  </w:style>
  <w:style w:type="paragraph" w:styleId="ListParagraph">
    <w:name w:val="List Paragraph"/>
    <w:basedOn w:val="Normal"/>
    <w:uiPriority w:val="34"/>
    <w:qFormat/>
    <w:rsid w:val="002105D5"/>
    <w:pPr>
      <w:ind w:left="720"/>
      <w:contextualSpacing/>
    </w:pPr>
  </w:style>
  <w:style w:type="character" w:styleId="IntenseEmphasis">
    <w:name w:val="Intense Emphasis"/>
    <w:basedOn w:val="DefaultParagraphFont"/>
    <w:uiPriority w:val="21"/>
    <w:qFormat/>
    <w:rsid w:val="002105D5"/>
    <w:rPr>
      <w:i/>
      <w:iCs/>
      <w:color w:val="0F4761" w:themeColor="accent1" w:themeShade="BF"/>
    </w:rPr>
  </w:style>
  <w:style w:type="paragraph" w:styleId="IntenseQuote">
    <w:name w:val="Intense Quote"/>
    <w:basedOn w:val="Normal"/>
    <w:next w:val="Normal"/>
    <w:link w:val="IntenseQuoteChar"/>
    <w:uiPriority w:val="30"/>
    <w:qFormat/>
    <w:rsid w:val="00210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5D5"/>
    <w:rPr>
      <w:i/>
      <w:iCs/>
      <w:color w:val="0F4761" w:themeColor="accent1" w:themeShade="BF"/>
    </w:rPr>
  </w:style>
  <w:style w:type="character" w:styleId="IntenseReference">
    <w:name w:val="Intense Reference"/>
    <w:basedOn w:val="DefaultParagraphFont"/>
    <w:uiPriority w:val="32"/>
    <w:qFormat/>
    <w:rsid w:val="002105D5"/>
    <w:rPr>
      <w:b/>
      <w:bCs/>
      <w:smallCaps/>
      <w:color w:val="0F4761" w:themeColor="accent1" w:themeShade="BF"/>
      <w:spacing w:val="5"/>
    </w:rPr>
  </w:style>
  <w:style w:type="paragraph" w:styleId="Header">
    <w:name w:val="header"/>
    <w:basedOn w:val="Normal"/>
    <w:link w:val="HeaderChar"/>
    <w:uiPriority w:val="99"/>
    <w:unhideWhenUsed/>
    <w:rsid w:val="00210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5D5"/>
  </w:style>
  <w:style w:type="paragraph" w:styleId="Footer">
    <w:name w:val="footer"/>
    <w:basedOn w:val="Normal"/>
    <w:link w:val="FooterChar"/>
    <w:uiPriority w:val="99"/>
    <w:unhideWhenUsed/>
    <w:rsid w:val="00210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5D5"/>
  </w:style>
  <w:style w:type="paragraph" w:styleId="NormalWeb">
    <w:name w:val="Normal (Web)"/>
    <w:basedOn w:val="Normal"/>
    <w:uiPriority w:val="99"/>
    <w:semiHidden/>
    <w:unhideWhenUsed/>
    <w:rsid w:val="00B54A94"/>
    <w:rPr>
      <w:rFonts w:ascii="Times New Roman" w:hAnsi="Times New Roman" w:cs="Times New Roman"/>
      <w:sz w:val="24"/>
      <w:szCs w:val="24"/>
    </w:rPr>
  </w:style>
  <w:style w:type="character" w:styleId="Hyperlink">
    <w:name w:val="Hyperlink"/>
    <w:basedOn w:val="DefaultParagraphFont"/>
    <w:uiPriority w:val="99"/>
    <w:unhideWhenUsed/>
    <w:rsid w:val="00B54A94"/>
    <w:rPr>
      <w:color w:val="467886" w:themeColor="hyperlink"/>
      <w:u w:val="single"/>
    </w:rPr>
  </w:style>
  <w:style w:type="character" w:styleId="UnresolvedMention">
    <w:name w:val="Unresolved Mention"/>
    <w:basedOn w:val="DefaultParagraphFont"/>
    <w:uiPriority w:val="99"/>
    <w:semiHidden/>
    <w:unhideWhenUsed/>
    <w:rsid w:val="00B54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40612">
      <w:bodyDiv w:val="1"/>
      <w:marLeft w:val="0"/>
      <w:marRight w:val="0"/>
      <w:marTop w:val="0"/>
      <w:marBottom w:val="0"/>
      <w:divBdr>
        <w:top w:val="none" w:sz="0" w:space="0" w:color="auto"/>
        <w:left w:val="none" w:sz="0" w:space="0" w:color="auto"/>
        <w:bottom w:val="none" w:sz="0" w:space="0" w:color="auto"/>
        <w:right w:val="none" w:sz="0" w:space="0" w:color="auto"/>
      </w:divBdr>
    </w:div>
    <w:div w:id="722021786">
      <w:bodyDiv w:val="1"/>
      <w:marLeft w:val="0"/>
      <w:marRight w:val="0"/>
      <w:marTop w:val="0"/>
      <w:marBottom w:val="0"/>
      <w:divBdr>
        <w:top w:val="none" w:sz="0" w:space="0" w:color="auto"/>
        <w:left w:val="none" w:sz="0" w:space="0" w:color="auto"/>
        <w:bottom w:val="none" w:sz="0" w:space="0" w:color="auto"/>
        <w:right w:val="none" w:sz="0" w:space="0" w:color="auto"/>
      </w:divBdr>
    </w:div>
    <w:div w:id="933441081">
      <w:bodyDiv w:val="1"/>
      <w:marLeft w:val="0"/>
      <w:marRight w:val="0"/>
      <w:marTop w:val="0"/>
      <w:marBottom w:val="0"/>
      <w:divBdr>
        <w:top w:val="none" w:sz="0" w:space="0" w:color="auto"/>
        <w:left w:val="none" w:sz="0" w:space="0" w:color="auto"/>
        <w:bottom w:val="none" w:sz="0" w:space="0" w:color="auto"/>
        <w:right w:val="none" w:sz="0" w:space="0" w:color="auto"/>
      </w:divBdr>
    </w:div>
    <w:div w:id="210491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riott.com/en-gb/hotels/lhrhr-london-heathrow-marriott-hotel/overview/sustainabilit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Buture</cp:lastModifiedBy>
  <cp:revision>2</cp:revision>
  <dcterms:created xsi:type="dcterms:W3CDTF">2025-03-07T21:48:00Z</dcterms:created>
  <dcterms:modified xsi:type="dcterms:W3CDTF">2025-03-07T23:05:00Z</dcterms:modified>
</cp:coreProperties>
</file>