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BD8501" wp14:paraId="3B483EC2" wp14:textId="5E838FA0">
      <w:pPr>
        <w:pStyle w:val="Heading3"/>
        <w:spacing w:before="140" w:beforeAutospacing="off" w:after="140" w:afterAutospacing="off"/>
        <w:jc w:val="center"/>
        <w:rPr>
          <w:rFonts w:ascii="Calibri" w:hAnsi="Calibri" w:eastAsia="Calibri" w:cs="Calibri"/>
          <w:b w:val="1"/>
          <w:bCs w:val="1"/>
          <w:noProof w:val="0"/>
          <w:color w:val="000000" w:themeColor="text1" w:themeTint="FF" w:themeShade="FF"/>
          <w:sz w:val="24"/>
          <w:szCs w:val="24"/>
          <w:lang w:val="en-GB"/>
        </w:rPr>
      </w:pPr>
      <w:r w:rsidRPr="26BD8501" w:rsidR="08A8E029">
        <w:rPr>
          <w:rFonts w:ascii="Calibri" w:hAnsi="Calibri" w:eastAsia="Calibri" w:cs="Calibri"/>
          <w:b w:val="1"/>
          <w:bCs w:val="1"/>
          <w:noProof w:val="0"/>
          <w:color w:val="000000" w:themeColor="text1" w:themeTint="FF" w:themeShade="FF"/>
          <w:sz w:val="24"/>
          <w:szCs w:val="24"/>
          <w:lang w:val="en-GB"/>
        </w:rPr>
        <w:t>Managing and Leading Sport Organisations</w:t>
      </w:r>
    </w:p>
    <w:p xmlns:wp14="http://schemas.microsoft.com/office/word/2010/wordml" w:rsidP="26BD8501" wp14:paraId="07CCA040" wp14:textId="3425BEC1">
      <w:pPr>
        <w:pStyle w:val="Heading3"/>
        <w:spacing w:before="140" w:beforeAutospacing="off" w:after="140" w:afterAutospacing="off"/>
        <w:jc w:val="center"/>
        <w:rPr>
          <w:rFonts w:ascii="Calibri" w:hAnsi="Calibri" w:eastAsia="Calibri" w:cs="Calibri"/>
          <w:b w:val="1"/>
          <w:bCs w:val="1"/>
          <w:noProof w:val="0"/>
          <w:color w:val="000000" w:themeColor="text1" w:themeTint="FF" w:themeShade="FF"/>
          <w:sz w:val="24"/>
          <w:szCs w:val="24"/>
          <w:lang w:val="en-GB"/>
        </w:rPr>
      </w:pPr>
      <w:r w:rsidRPr="26BD8501" w:rsidR="08A8E029">
        <w:rPr>
          <w:rFonts w:ascii="Calibri" w:hAnsi="Calibri" w:eastAsia="Calibri" w:cs="Calibri"/>
          <w:b w:val="1"/>
          <w:bCs w:val="1"/>
          <w:noProof w:val="0"/>
          <w:color w:val="000000" w:themeColor="text1" w:themeTint="FF" w:themeShade="FF"/>
          <w:sz w:val="24"/>
          <w:szCs w:val="24"/>
          <w:lang w:val="en-GB"/>
        </w:rPr>
        <w:t>Report – Case Study</w:t>
      </w:r>
    </w:p>
    <w:p xmlns:wp14="http://schemas.microsoft.com/office/word/2010/wordml" w:rsidP="26BD8501" wp14:paraId="75309751" wp14:textId="570683E4">
      <w:pPr>
        <w:pStyle w:val="Heading3"/>
        <w:suppressLineNumbers w:val="0"/>
        <w:bidi w:val="0"/>
        <w:spacing w:before="140" w:beforeAutospacing="off" w:after="140" w:afterAutospacing="off" w:line="279" w:lineRule="auto"/>
        <w:ind w:left="0" w:right="0"/>
        <w:jc w:val="left"/>
        <w:rPr>
          <w:rFonts w:ascii="Calibri" w:hAnsi="Calibri" w:eastAsia="Calibri" w:cs="Calibri"/>
          <w:b w:val="1"/>
          <w:bCs w:val="1"/>
          <w:noProof w:val="0"/>
          <w:color w:val="000000" w:themeColor="text1" w:themeTint="FF" w:themeShade="FF"/>
          <w:sz w:val="24"/>
          <w:szCs w:val="24"/>
          <w:lang w:val="en-GB"/>
        </w:rPr>
      </w:pPr>
    </w:p>
    <w:p xmlns:wp14="http://schemas.microsoft.com/office/word/2010/wordml" w:rsidP="26BD8501" wp14:paraId="54F7A951" wp14:textId="25654CA9">
      <w:pPr>
        <w:pStyle w:val="Heading3"/>
        <w:suppressLineNumbers w:val="0"/>
        <w:bidi w:val="0"/>
        <w:spacing w:before="140" w:beforeAutospacing="off" w:after="140" w:afterAutospacing="off" w:line="279" w:lineRule="auto"/>
        <w:ind w:left="0" w:right="0"/>
        <w:jc w:val="left"/>
        <w:rPr>
          <w:rFonts w:ascii="Calibri" w:hAnsi="Calibri" w:eastAsia="Calibri" w:cs="Calibri"/>
          <w:b w:val="1"/>
          <w:bCs w:val="1"/>
          <w:noProof w:val="0"/>
          <w:color w:val="000000" w:themeColor="text1" w:themeTint="FF" w:themeShade="FF"/>
          <w:sz w:val="24"/>
          <w:szCs w:val="24"/>
          <w:lang w:val="en-GB"/>
        </w:rPr>
      </w:pPr>
      <w:r w:rsidRPr="26BD8501" w:rsidR="08A8E029">
        <w:rPr>
          <w:rFonts w:ascii="Calibri" w:hAnsi="Calibri" w:eastAsia="Calibri" w:cs="Calibri"/>
          <w:b w:val="1"/>
          <w:bCs w:val="1"/>
          <w:noProof w:val="0"/>
          <w:color w:val="000000" w:themeColor="text1" w:themeTint="FF" w:themeShade="FF"/>
          <w:sz w:val="24"/>
          <w:szCs w:val="24"/>
          <w:lang w:val="en-GB"/>
        </w:rPr>
        <w:t>The Key Theory Surrounding Strategic Management.</w:t>
      </w:r>
    </w:p>
    <w:p xmlns:wp14="http://schemas.microsoft.com/office/word/2010/wordml" w:rsidP="26BD8501" wp14:paraId="1B67E366" wp14:textId="7724B0B9">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This report examines strategic management within sport organisations, using the Football Association of Wales (FAW) and its 2021 to 2026 ‘Strategic Plan’ as a case study (The Football Association of Wales, 2021). The strategic plan outlines how the FAW aims to develop, grow, and manage football in Wales, with a focus on creating a more inclusive and accessible environment from grassroots to elite level. The report is divided into two key sections. Firstly, it explores the key theoretical concepts of strategic management, including internal and external analysis, strategic direction, strategy implementation, and management of organisational change. Secondly, these concepts are then applied to the FAW case </w:t>
      </w:r>
      <w:r w:rsidRPr="26BD8501" w:rsidR="08A8E029">
        <w:rPr>
          <w:rFonts w:ascii="Calibri" w:hAnsi="Calibri" w:eastAsia="Calibri" w:cs="Calibri"/>
          <w:noProof w:val="0"/>
          <w:color w:val="000000" w:themeColor="text1" w:themeTint="FF" w:themeShade="FF"/>
          <w:sz w:val="24"/>
          <w:szCs w:val="24"/>
          <w:lang w:val="en-GB"/>
        </w:rPr>
        <w:t>study,</w:t>
      </w:r>
      <w:r w:rsidRPr="26BD8501" w:rsidR="08A8E029">
        <w:rPr>
          <w:rFonts w:ascii="Calibri" w:hAnsi="Calibri" w:eastAsia="Calibri" w:cs="Calibri"/>
          <w:noProof w:val="0"/>
          <w:color w:val="000000" w:themeColor="text1" w:themeTint="FF" w:themeShade="FF"/>
          <w:sz w:val="24"/>
          <w:szCs w:val="24"/>
          <w:lang w:val="en-GB"/>
        </w:rPr>
        <w:t xml:space="preserve"> providing a critical evaluation of the organisation’s strategic approach and future action plan. Overall, this report aims to assess the effectiveness of the FAW strategy and its alignment with key theoretical concepts in the rapidly changing landscape of sports and physical activity.</w:t>
      </w:r>
    </w:p>
    <w:p xmlns:wp14="http://schemas.microsoft.com/office/word/2010/wordml" w:rsidP="26BD8501" wp14:paraId="01CF4C49" wp14:textId="63993170">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Johnson et al. (2020) defined strategic management as the process by which businesses and organisations determine their long-term direction. By analysing the capabilities of the organisation and the external environment in which it operates, businesses can make informed decisions around planning and effective resource allocation. Within sports organisations, strategic management plays a particularly important role given the complex and dynamic nature of the sporting industry (Smith &amp; Stewart, 2010), which typically involves multiple stakeholders influencing major decisions (Slack and Parent, 2015). For sport organisations to operate in an environment that is characterised by competition, change, and performance pressures, it is essential for organisations to adopt a structured and strategic approach, and as such, the analysis of internal and external factors is vital for effective strategy development (Slack, Byers and Thurston, 2020)</w:t>
      </w:r>
    </w:p>
    <w:p xmlns:wp14="http://schemas.microsoft.com/office/word/2010/wordml" w:rsidP="26BD8501" wp14:paraId="333A3D23" wp14:textId="49C25115">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External analysis enables organisations to understand the environment in which they operate, which opportunities exist, and which threats are beyond their control. PESTLE is one of the most widely used frameworks, examining political, social, technological, legal and environmental influences (Johnson et al., 2020). Political factors are often related to government policies and strategies, which can significantly shape the development of sport (Hoye, 2018), while economic conditions might influence sponsorships, investment, and sport consumer spending. Socially, changing demographics and social movements can shape the environment surrounding an organisation, and technological advancements can impact how consumers access sports and the methods of commercialisation. These five factors all shape the environment, which is dynamic and constantly changing. </w:t>
      </w:r>
    </w:p>
    <w:p xmlns:wp14="http://schemas.microsoft.com/office/word/2010/wordml" w:rsidP="26BD8501" wp14:paraId="51D113A2" wp14:textId="7F51359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While PESTLE is a useful tool for providing an overview of the environment, it does not represent the competitive dynamics of the sporting industry. For this reason, Porter’s Five Forces can be applied to competition (Porter, 2008). The Five Forces apply to the threat of substitution, the threat of new entry, buyer and supplier powers, and competitive rivalries, all of which are key factors influencing the decisions of sport organisations. Stakeholder theory highlights the importance of key external groups, including fans, national governing bodies (NGBs), and commercial partners, all of which shape strategic priority (Freeman, 1984). However, external analysis models are commonly criticised for oversimplifying complex environments when used independently (Ferkins and Shilbury, 2015; Grundy, 2006), implying that organisations should move to adopt a flexible and mixed-use method of analysing internal and external factors.</w:t>
      </w:r>
    </w:p>
    <w:p xmlns:wp14="http://schemas.microsoft.com/office/word/2010/wordml" w:rsidP="26BD8501" wp14:paraId="399D07A0" wp14:textId="65D2F12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A strong example of an </w:t>
      </w:r>
      <w:r w:rsidRPr="26BD8501" w:rsidR="08A8E029">
        <w:rPr>
          <w:rFonts w:ascii="Calibri" w:hAnsi="Calibri" w:eastAsia="Calibri" w:cs="Calibri"/>
          <w:noProof w:val="0"/>
          <w:color w:val="000000" w:themeColor="text1" w:themeTint="FF" w:themeShade="FF"/>
          <w:sz w:val="24"/>
          <w:szCs w:val="24"/>
          <w:lang w:val="en-GB"/>
        </w:rPr>
        <w:t>additional</w:t>
      </w:r>
      <w:r w:rsidRPr="26BD8501" w:rsidR="08A8E029">
        <w:rPr>
          <w:rFonts w:ascii="Calibri" w:hAnsi="Calibri" w:eastAsia="Calibri" w:cs="Calibri"/>
          <w:noProof w:val="0"/>
          <w:color w:val="000000" w:themeColor="text1" w:themeTint="FF" w:themeShade="FF"/>
          <w:sz w:val="24"/>
          <w:szCs w:val="24"/>
          <w:lang w:val="en-GB"/>
        </w:rPr>
        <w:t xml:space="preserve"> model that can be used to assess environments is the SWOT analysis. SWOT analysis allows organisations to assess their internal capabilities compared to external threats (Gürel and Tat, 2017) through </w:t>
      </w:r>
      <w:r w:rsidRPr="26BD8501" w:rsidR="08A8E029">
        <w:rPr>
          <w:rFonts w:ascii="Calibri" w:hAnsi="Calibri" w:eastAsia="Calibri" w:cs="Calibri"/>
          <w:noProof w:val="0"/>
          <w:color w:val="000000" w:themeColor="text1" w:themeTint="FF" w:themeShade="FF"/>
          <w:sz w:val="24"/>
          <w:szCs w:val="24"/>
          <w:lang w:val="en-GB"/>
        </w:rPr>
        <w:t>identifying</w:t>
      </w:r>
      <w:r w:rsidRPr="26BD8501" w:rsidR="08A8E029">
        <w:rPr>
          <w:rFonts w:ascii="Calibri" w:hAnsi="Calibri" w:eastAsia="Calibri" w:cs="Calibri"/>
          <w:noProof w:val="0"/>
          <w:color w:val="000000" w:themeColor="text1" w:themeTint="FF" w:themeShade="FF"/>
          <w:sz w:val="24"/>
          <w:szCs w:val="24"/>
          <w:lang w:val="en-GB"/>
        </w:rPr>
        <w:t xml:space="preserve"> and evaluating their organisational strengths and weaknesses, as well as potential opportunities and threats from the surrounding environment. For a sport organisation, a strength might include brand identity or leadership strategy, while a weakness may reflect limited financial resources </w:t>
      </w:r>
      <w:r w:rsidRPr="26BD8501" w:rsidR="08A8E029">
        <w:rPr>
          <w:rFonts w:ascii="Calibri" w:hAnsi="Calibri" w:eastAsia="Calibri" w:cs="Calibri"/>
          <w:noProof w:val="0"/>
          <w:color w:val="000000" w:themeColor="text1" w:themeTint="FF" w:themeShade="FF"/>
          <w:sz w:val="24"/>
          <w:szCs w:val="24"/>
          <w:lang w:val="en-GB"/>
        </w:rPr>
        <w:t>or improper</w:t>
      </w:r>
      <w:r w:rsidRPr="26BD8501" w:rsidR="08A8E029">
        <w:rPr>
          <w:rFonts w:ascii="Calibri" w:hAnsi="Calibri" w:eastAsia="Calibri" w:cs="Calibri"/>
          <w:noProof w:val="0"/>
          <w:color w:val="000000" w:themeColor="text1" w:themeTint="FF" w:themeShade="FF"/>
          <w:sz w:val="24"/>
          <w:szCs w:val="24"/>
          <w:lang w:val="en-GB"/>
        </w:rPr>
        <w:t xml:space="preserve"> management structure, but the benefit that a SWOT analysis provides is the comparison to external threats and opportunities that already exist. SWOT has, however, been </w:t>
      </w:r>
      <w:r w:rsidRPr="26BD8501" w:rsidR="08A8E029">
        <w:rPr>
          <w:rFonts w:ascii="Calibri" w:hAnsi="Calibri" w:eastAsia="Calibri" w:cs="Calibri"/>
          <w:noProof w:val="0"/>
          <w:color w:val="000000" w:themeColor="text1" w:themeTint="FF" w:themeShade="FF"/>
          <w:sz w:val="24"/>
          <w:szCs w:val="24"/>
          <w:lang w:val="en-GB"/>
        </w:rPr>
        <w:t>identified</w:t>
      </w:r>
      <w:r w:rsidRPr="26BD8501" w:rsidR="08A8E029">
        <w:rPr>
          <w:rFonts w:ascii="Calibri" w:hAnsi="Calibri" w:eastAsia="Calibri" w:cs="Calibri"/>
          <w:noProof w:val="0"/>
          <w:color w:val="000000" w:themeColor="text1" w:themeTint="FF" w:themeShade="FF"/>
          <w:sz w:val="24"/>
          <w:szCs w:val="24"/>
          <w:lang w:val="en-GB"/>
        </w:rPr>
        <w:t xml:space="preserve"> by critics as being overly simplistic (Hill and Westbrook, 1997) and does not account for future threats or weaknesses. Other models, such as the ‘resource-based view</w:t>
      </w:r>
      <w:r w:rsidRPr="26BD8501" w:rsidR="08A8E029">
        <w:rPr>
          <w:rFonts w:ascii="Calibri" w:hAnsi="Calibri" w:eastAsia="Calibri" w:cs="Calibri"/>
          <w:noProof w:val="0"/>
          <w:color w:val="000000" w:themeColor="text1" w:themeTint="FF" w:themeShade="FF"/>
          <w:sz w:val="24"/>
          <w:szCs w:val="24"/>
          <w:lang w:val="en-GB"/>
        </w:rPr>
        <w:t>’,</w:t>
      </w:r>
      <w:r w:rsidRPr="26BD8501" w:rsidR="08A8E029">
        <w:rPr>
          <w:rFonts w:ascii="Calibri" w:hAnsi="Calibri" w:eastAsia="Calibri" w:cs="Calibri"/>
          <w:noProof w:val="0"/>
          <w:color w:val="000000" w:themeColor="text1" w:themeTint="FF" w:themeShade="FF"/>
          <w:sz w:val="24"/>
          <w:szCs w:val="24"/>
          <w:lang w:val="en-GB"/>
        </w:rPr>
        <w:t xml:space="preserve"> have become popular due to this critique, and according to Barney (1991), by focusing on resources that are rare and non-substitutable, organisations can generate a sustainable competitive advantage by focusing on their competitive edge. In a sporting context, organisational resources include quality coaches, organisational structure, and public opinion, and organisations should </w:t>
      </w:r>
      <w:r w:rsidRPr="26BD8501" w:rsidR="08A8E029">
        <w:rPr>
          <w:rFonts w:ascii="Calibri" w:hAnsi="Calibri" w:eastAsia="Calibri" w:cs="Calibri"/>
          <w:noProof w:val="0"/>
          <w:color w:val="000000" w:themeColor="text1" w:themeTint="FF" w:themeShade="FF"/>
          <w:sz w:val="24"/>
          <w:szCs w:val="24"/>
          <w:lang w:val="en-GB"/>
        </w:rPr>
        <w:t>leverage</w:t>
      </w:r>
      <w:r w:rsidRPr="26BD8501" w:rsidR="08A8E029">
        <w:rPr>
          <w:rFonts w:ascii="Calibri" w:hAnsi="Calibri" w:eastAsia="Calibri" w:cs="Calibri"/>
          <w:noProof w:val="0"/>
          <w:color w:val="000000" w:themeColor="text1" w:themeTint="FF" w:themeShade="FF"/>
          <w:sz w:val="24"/>
          <w:szCs w:val="24"/>
          <w:lang w:val="en-GB"/>
        </w:rPr>
        <w:t xml:space="preserve"> these resources to define their competitive position in the market (</w:t>
      </w:r>
      <w:r w:rsidRPr="26BD8501" w:rsidR="08A8E029">
        <w:rPr>
          <w:rFonts w:ascii="Calibri" w:hAnsi="Calibri" w:eastAsia="Calibri" w:cs="Calibri"/>
          <w:noProof w:val="0"/>
          <w:color w:val="000000" w:themeColor="text1" w:themeTint="FF" w:themeShade="FF"/>
          <w:sz w:val="24"/>
          <w:szCs w:val="24"/>
          <w:lang w:val="en-GB"/>
        </w:rPr>
        <w:t>Shilbury</w:t>
      </w:r>
      <w:r w:rsidRPr="26BD8501" w:rsidR="08A8E029">
        <w:rPr>
          <w:rFonts w:ascii="Calibri" w:hAnsi="Calibri" w:eastAsia="Calibri" w:cs="Calibri"/>
          <w:noProof w:val="0"/>
          <w:color w:val="000000" w:themeColor="text1" w:themeTint="FF" w:themeShade="FF"/>
          <w:sz w:val="24"/>
          <w:szCs w:val="24"/>
          <w:lang w:val="en-GB"/>
        </w:rPr>
        <w:t xml:space="preserve"> et al., 2020).</w:t>
      </w:r>
    </w:p>
    <w:p xmlns:wp14="http://schemas.microsoft.com/office/word/2010/wordml" w:rsidP="26BD8501" wp14:paraId="524686B7" wp14:textId="067EAA5C">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Beyond internal and external analysis models, strategic management is guided by an organisation’s strategic direction, typically defined by a vision and mission statement (Johnson et al., 2020; David and David, 2017). A vision’s purpose is to highlight the desired future of the organisation, while the mission is the organisation’s core purpose (Johnson et al., 2017). These elements are crucial to decision-making strategies, aligning stakeholders, and communicating organisational values. Shilbury and Ferkins (2020) emphasise that due to the diverse range of stakeholders involved with sport organisations, a clear and shared direction is essential for consistency in strategic action. SMART objectives are a simple yet effective way for organisations to establish clear objectives that shape the future brand and image of an organisation. SMART objectives, which are specific, measurable, achievable, relevant and time-bound, ensure clarity and consistency among visions for the future of an organisation, and are a widely used set of prompts when creating targets for performance (Doran, 1981). While structured goal setting supports performance monitoring, organisations must then balance short-term targets and long-term vision, which highlights the need for flexibility and adaptability (Hoye et al., 2015).  </w:t>
      </w:r>
    </w:p>
    <w:p xmlns:wp14="http://schemas.microsoft.com/office/word/2010/wordml" w:rsidP="26BD8501" wp14:paraId="19A5996C" wp14:textId="35A7B06C">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Organisational success, while requiring structured and effective strategy formulation, ultimately relies on effective implementation (Hrebiniak, 2006). This requires the alignment of organisational resources, structures, and processes, anchoring around a singular strategic objective (Kaplan &amp; Norton, 2008). Within sport organisations, examples of areas in need of implementation include investment in facilities, coaching development, and stakeholder coordination. As such, leadership is crucial in seeing that strategy is effectively communicated and understood, aligning individuals with strategic goals (Hoye et al., 2015). However, despite its importance, strategy implementation is one of the most complicated and challenging aspects of strategic management (Rumelt, 2011; Mintzberg, Ahlstrand, and Lampel, 2009). Barriers such as limited resources, poor communication, and resistance to change all hinder successful implementation, and these challenges are amplified by the complexity and uncertainty of the industry. This highlights the importance of aligning organisations with their strategic objectives and maintaining adaptability in response to challenges (Shilbury et al., 2020).  </w:t>
      </w:r>
    </w:p>
    <w:p xmlns:wp14="http://schemas.microsoft.com/office/word/2010/wordml" w:rsidP="26BD8501" wp14:paraId="56FF53BE" wp14:textId="54147898">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Organisational change is critical to strategic management, and organisations must adapt to evolving environments. Change can be driven by developments, trends, and reforms. Lewin’s (1947) 3-step model outlines the practice of unfreezing, changing, and refreezing organisational procedures and processes. Similarly, Kotter’s (1996) model emphasises leadership in creating urgency and embedding change within organisational culture. However, resistance from stakeholders, uncertainty, and the dynamic nature of the sporting environment can limit the success and effectiveness of structured models. Some critics argue that traditional models oversimplify the change process and do not reflect real-world occurrences (Burnes, 2004), and as a result, sport organisations must adopt flexible and continuous methods to ensure strategies remain responsive to current conditions (Cunningham, 2019). </w:t>
      </w:r>
    </w:p>
    <w:p xmlns:wp14="http://schemas.microsoft.com/office/word/2010/wordml" w:rsidP="26BD8501" wp14:paraId="5923BB99" wp14:textId="01C99BB6">
      <w:pPr>
        <w:pStyle w:val="Heading3"/>
        <w:spacing w:before="281" w:beforeAutospacing="off" w:after="140" w:afterAutospacing="off"/>
        <w:rPr>
          <w:rFonts w:ascii="Calibri" w:hAnsi="Calibri" w:eastAsia="Calibri" w:cs="Calibri"/>
          <w:b w:val="1"/>
          <w:bCs w:val="1"/>
          <w:noProof w:val="0"/>
          <w:color w:val="000000" w:themeColor="text1" w:themeTint="FF" w:themeShade="FF"/>
          <w:sz w:val="24"/>
          <w:szCs w:val="24"/>
          <w:lang w:val="en-GB"/>
        </w:rPr>
      </w:pPr>
    </w:p>
    <w:p xmlns:wp14="http://schemas.microsoft.com/office/word/2010/wordml" w:rsidP="26BD8501" wp14:paraId="56D1D6EA" wp14:textId="7C349590">
      <w:pPr>
        <w:rPr>
          <w:rFonts w:ascii="Calibri" w:hAnsi="Calibri" w:eastAsia="Calibri" w:cs="Calibri"/>
          <w:sz w:val="24"/>
          <w:szCs w:val="24"/>
        </w:rPr>
      </w:pPr>
      <w:r w:rsidRPr="26BD8501">
        <w:rPr>
          <w:rFonts w:ascii="Calibri" w:hAnsi="Calibri" w:eastAsia="Calibri" w:cs="Calibri"/>
          <w:sz w:val="24"/>
          <w:szCs w:val="24"/>
        </w:rPr>
        <w:br w:type="page"/>
      </w:r>
    </w:p>
    <w:p xmlns:wp14="http://schemas.microsoft.com/office/word/2010/wordml" w:rsidP="26BD8501" wp14:paraId="7FD1A0CF" wp14:textId="056CF9B5">
      <w:pPr>
        <w:pStyle w:val="Heading3"/>
        <w:spacing w:before="281" w:beforeAutospacing="off" w:after="140" w:afterAutospacing="off"/>
        <w:rPr>
          <w:rFonts w:ascii="Calibri" w:hAnsi="Calibri" w:eastAsia="Calibri" w:cs="Calibri"/>
          <w:b w:val="1"/>
          <w:bCs w:val="1"/>
          <w:noProof w:val="0"/>
          <w:color w:val="000000" w:themeColor="text1" w:themeTint="FF" w:themeShade="FF"/>
          <w:sz w:val="24"/>
          <w:szCs w:val="24"/>
          <w:lang w:val="en-GB"/>
        </w:rPr>
      </w:pPr>
      <w:r w:rsidRPr="26BD8501" w:rsidR="08A8E029">
        <w:rPr>
          <w:rFonts w:ascii="Calibri" w:hAnsi="Calibri" w:eastAsia="Calibri" w:cs="Calibri"/>
          <w:b w:val="1"/>
          <w:bCs w:val="1"/>
          <w:noProof w:val="0"/>
          <w:color w:val="000000" w:themeColor="text1" w:themeTint="FF" w:themeShade="FF"/>
          <w:sz w:val="24"/>
          <w:szCs w:val="24"/>
          <w:lang w:val="en-GB"/>
        </w:rPr>
        <w:t>Task 2</w:t>
      </w:r>
    </w:p>
    <w:p xmlns:wp14="http://schemas.microsoft.com/office/word/2010/wordml" w:rsidP="26BD8501" wp14:paraId="4E5FDF86" wp14:textId="3B0571F4">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This section will apply the theoretical concepts of strategic management (Shilbury, 2012; Johnson et al., 2017) to the Football Association of Wales (FAW) and its 2021 to 2026 strategic plan (The Football Association of Wales, 2021). The long-term vision of developing and growing football in Wales, which involves increasing participation, performance, and inclusivity, is clearly highlighted throughout the plan (Football Association of Wales, 2021). This section will then critically evaluate the organisation’s approach to internal and external analysis, establishment of a strategic direction, the way in which they implement strategy, and the management of change. By applying the relevant theoretical models, the analysis will identify and assess the methods used and their effectiveness in the FAW’s strategic approach. The current football climate in Wales, according to the 2021 to 2026 strategic plan, is heavily influenced by the disruption of COVID, the growth of women’s football (UEFA, 2022), pressure on inclusivity, and changes in media consumption, which are some of the key reasons behind the need for a planned strategy and direction (Football Association of Wales, 2021). The effectiveness of strategic planning is particularly relevant in relation to sport organisations, as strong strategies can enable sustainable growth, improved performance, and stakeholder alignment, while poorly developed strategies may cause inefficiencies, unclear direction, and limited organisational impact (Johnson et al., 2017; Mintzberg, 1994). </w:t>
      </w:r>
    </w:p>
    <w:p xmlns:wp14="http://schemas.microsoft.com/office/word/2010/wordml" w:rsidP="26BD8501" wp14:paraId="44278B95" wp14:textId="1ADC3CD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From the 2021 to 2026 strategic plan, </w:t>
      </w:r>
      <w:r w:rsidRPr="26BD8501" w:rsidR="08A8E029">
        <w:rPr>
          <w:rFonts w:ascii="Calibri" w:hAnsi="Calibri" w:eastAsia="Calibri" w:cs="Calibri"/>
          <w:noProof w:val="0"/>
          <w:color w:val="000000" w:themeColor="text1" w:themeTint="FF" w:themeShade="FF"/>
          <w:sz w:val="24"/>
          <w:szCs w:val="24"/>
          <w:lang w:val="en-GB"/>
        </w:rPr>
        <w:t>it is clear that the</w:t>
      </w:r>
      <w:r w:rsidRPr="26BD8501" w:rsidR="08A8E029">
        <w:rPr>
          <w:rFonts w:ascii="Calibri" w:hAnsi="Calibri" w:eastAsia="Calibri" w:cs="Calibri"/>
          <w:noProof w:val="0"/>
          <w:color w:val="000000" w:themeColor="text1" w:themeTint="FF" w:themeShade="FF"/>
          <w:sz w:val="24"/>
          <w:szCs w:val="24"/>
          <w:lang w:val="en-GB"/>
        </w:rPr>
        <w:t xml:space="preserve"> FAW has awareness of the environment in which it </w:t>
      </w:r>
      <w:r w:rsidRPr="26BD8501" w:rsidR="08A8E029">
        <w:rPr>
          <w:rFonts w:ascii="Calibri" w:hAnsi="Calibri" w:eastAsia="Calibri" w:cs="Calibri"/>
          <w:noProof w:val="0"/>
          <w:color w:val="000000" w:themeColor="text1" w:themeTint="FF" w:themeShade="FF"/>
          <w:sz w:val="24"/>
          <w:szCs w:val="24"/>
          <w:lang w:val="en-GB"/>
        </w:rPr>
        <w:t>operates</w:t>
      </w:r>
      <w:r w:rsidRPr="26BD8501" w:rsidR="08A8E029">
        <w:rPr>
          <w:rFonts w:ascii="Calibri" w:hAnsi="Calibri" w:eastAsia="Calibri" w:cs="Calibri"/>
          <w:noProof w:val="0"/>
          <w:color w:val="000000" w:themeColor="text1" w:themeTint="FF" w:themeShade="FF"/>
          <w:sz w:val="24"/>
          <w:szCs w:val="24"/>
          <w:lang w:val="en-GB"/>
        </w:rPr>
        <w:t xml:space="preserve">, demonstrating several key elements of theoretical models like the PESTLE analysis (Johnson et al., 2017; Aguilar, 1967). There is a range of external influences highlighted in the plan, including Covid-19, Black Lives Matter, and changes to media consumption habits, all of which can be categorised as either political, social, or technological; key elements of the PESTLE model (Yüksel, 2012). This acknowledgement of the external pressures that shape the sporting landscape suggests that the organisation has recognised both opportunities to develop as an </w:t>
      </w:r>
      <w:r w:rsidRPr="26BD8501" w:rsidR="08A8E029">
        <w:rPr>
          <w:rFonts w:ascii="Calibri" w:hAnsi="Calibri" w:eastAsia="Calibri" w:cs="Calibri"/>
          <w:noProof w:val="0"/>
          <w:color w:val="000000" w:themeColor="text1" w:themeTint="FF" w:themeShade="FF"/>
          <w:sz w:val="24"/>
          <w:szCs w:val="24"/>
          <w:lang w:val="en-GB"/>
        </w:rPr>
        <w:t>organisation but</w:t>
      </w:r>
      <w:r w:rsidRPr="26BD8501" w:rsidR="08A8E029">
        <w:rPr>
          <w:rFonts w:ascii="Calibri" w:hAnsi="Calibri" w:eastAsia="Calibri" w:cs="Calibri"/>
          <w:noProof w:val="0"/>
          <w:color w:val="000000" w:themeColor="text1" w:themeTint="FF" w:themeShade="FF"/>
          <w:sz w:val="24"/>
          <w:szCs w:val="24"/>
          <w:lang w:val="en-GB"/>
        </w:rPr>
        <w:t xml:space="preserve"> also threats from the surrounding environment that may </w:t>
      </w:r>
      <w:r w:rsidRPr="26BD8501" w:rsidR="08A8E029">
        <w:rPr>
          <w:rFonts w:ascii="Calibri" w:hAnsi="Calibri" w:eastAsia="Calibri" w:cs="Calibri"/>
          <w:noProof w:val="0"/>
          <w:color w:val="000000" w:themeColor="text1" w:themeTint="FF" w:themeShade="FF"/>
          <w:sz w:val="24"/>
          <w:szCs w:val="24"/>
          <w:lang w:val="en-GB"/>
        </w:rPr>
        <w:t>impact</w:t>
      </w:r>
      <w:r w:rsidRPr="26BD8501" w:rsidR="08A8E029">
        <w:rPr>
          <w:rFonts w:ascii="Calibri" w:hAnsi="Calibri" w:eastAsia="Calibri" w:cs="Calibri"/>
          <w:noProof w:val="0"/>
          <w:color w:val="000000" w:themeColor="text1" w:themeTint="FF" w:themeShade="FF"/>
          <w:sz w:val="24"/>
          <w:szCs w:val="24"/>
          <w:lang w:val="en-GB"/>
        </w:rPr>
        <w:t xml:space="preserve"> its success and sustainability. However, while the plan covers some aspects of PESTLE, there are some areas, including economic, </w:t>
      </w:r>
      <w:r w:rsidRPr="26BD8501" w:rsidR="08A8E029">
        <w:rPr>
          <w:rFonts w:ascii="Calibri" w:hAnsi="Calibri" w:eastAsia="Calibri" w:cs="Calibri"/>
          <w:noProof w:val="0"/>
          <w:color w:val="000000" w:themeColor="text1" w:themeTint="FF" w:themeShade="FF"/>
          <w:sz w:val="24"/>
          <w:szCs w:val="24"/>
          <w:lang w:val="en-GB"/>
        </w:rPr>
        <w:t>legal</w:t>
      </w:r>
      <w:r w:rsidRPr="26BD8501" w:rsidR="08A8E029">
        <w:rPr>
          <w:rFonts w:ascii="Calibri" w:hAnsi="Calibri" w:eastAsia="Calibri" w:cs="Calibri"/>
          <w:noProof w:val="0"/>
          <w:color w:val="000000" w:themeColor="text1" w:themeTint="FF" w:themeShade="FF"/>
          <w:sz w:val="24"/>
          <w:szCs w:val="24"/>
          <w:lang w:val="en-GB"/>
        </w:rPr>
        <w:t xml:space="preserve"> and environmental, that have been discarded, suggesting that while the PESTLE model may have been used, it was not strictly followed. This is a common criticism of PESTLE, where organisations may adopt a surface-level approach without analysing every dimension (Gupta, 2013). </w:t>
      </w:r>
    </w:p>
    <w:p xmlns:wp14="http://schemas.microsoft.com/office/word/2010/wordml" w:rsidP="26BD8501" wp14:paraId="37F953E0" wp14:textId="67417D50">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Furthermore, beyond the analysis of macro-environments, there is limited evidence of detailed industry and competitor analysis, such as Porter’s Five Forces Model (Porter, 1980). In the context of sport, competition is not limited only to rival football organisations, but also other sports and leisure activities that compete for participation and commercial investment (Porter, 1980; Beech and Chadwick, 2013). For example, the rise of digital entertainment and its effect on consumer behaviour may reduce engagement levels with traditional forms of sport, thus increasing the need for organisations like the FAW to adapt their strategic approach (Ratten, 2020). Without this level of analysis, the organisation's ability to fully identify and comprehend the competitive pressure of the sporting industry, paired with its ability to effectively position itself in a highly saturated market, can be limited. </w:t>
      </w:r>
    </w:p>
    <w:p xmlns:wp14="http://schemas.microsoft.com/office/word/2010/wordml" w:rsidP="26BD8501" wp14:paraId="6B746BA1" wp14:textId="1042A0F7">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In addition, while the FAW identifies several external influences, there is limited prioritisation of these factors, which may create challenges in determining which issues require the most strategic focus. Effective external analysis not only involves identifying environmental factors but also evaluating their relative impact on organisational performance (Johnson et al., 2017; Grant, 2019). Without clear prioritisation, there is a risk that resources may not be allocated efficiently, potentially reducing the overall effectiveness of the strategy. Therefore, although the FAW demonstrates an awareness of its external environment, the lack of depth, structure, and prioritisation within its analysis may constrain its ability to make fully informed strategic decisions. </w:t>
      </w:r>
    </w:p>
    <w:p xmlns:wp14="http://schemas.microsoft.com/office/word/2010/wordml" w:rsidP="26BD8501" wp14:paraId="0880401E" wp14:textId="45847EF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In addition to the FAW’s external considerations, the strategic plan also highlights some key strengths and areas of development within the organisation. Using a SWOT analysis, the organisation demonstrates several strengths, including a strong brand identity, national pride, international success, and a commitment to inclusivity (Johnson et al., 2017; Pickton and Wright, 1998). Continuing, the clear emphasis on collaborating with stakeholders, investment in facilities, and development of coaching and education programmes further emphasises the well-established structure of the FAW, and their strong resource base (Football Association of Wales, 2021). However, the plan does acknowledge that there are some weaknesses internally, from inconsistencies in facility quality, poor governance at local levels, and the need for a stronger, more diverse workforce. These factors are key indicators of the use of SWOT as a tool for analysis, but the FAW’s strategic plan does not explicitly address that this framework was used and applied to the organisation, and as a result, there is limited depth in the evaluation of how the FAW’s internal resources can be used to generate a sustainable competitive advantage (Barney, 1991). </w:t>
      </w:r>
    </w:p>
    <w:p xmlns:wp14="http://schemas.microsoft.com/office/word/2010/wordml" w:rsidP="26BD8501" wp14:paraId="4CEAE219" wp14:textId="469ED43E">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Following the FAW's analysis of its operating environment, the FAW establishes its strategic direction through a clearly defined vision, set of values, and strategic objectives. The FAW’s vision is structured around a global local Wales, and it reflects a commitment and aspiration to be inclusive, increase participation, and gain international success, using the vision as a long-term directional guide (Johnson et al., 2017). The vision is effective at providing a unified identity across stakeholders, particularly alignment between grassroots and elite performance environments, where pathways are developed. However, while the vision appears compelling, it is broad and aspirational, limiting its effectiveness as a decision-making tool, as it lacks clear, measurable outcomes. The FAW outlines an extensive range of strategic objectives in their plan, spanning participation growth, facility development and governance improvements, which were all highlighted as weaknesses within the organisation. While this demonstrates an ambitious approach to development, the number and variety of objectives may create challenges with regard to prioritisation and strategic focus. Linking to the theory, effective strategies should be specific, measurable, and aligned with organisational capabilities, allowing for clear performance and accountability. (Johnson et al., 2017; Kaplan and Norton, 1996). The FAW do not explicitly outline how these objectives will be prioritised; their emphasis on collaboration with key stakeholders highlights their understanding of the complex environment in which they operate and intend to introduce change (Freeman, 1984). However, this reliance on partnerships may also introduce various challenges in coordination, so as a result, while the FAW presents a strategically coherent direction, the concern of prioritisation and stakeholder complexity may limit the organisation’s ability to fully translate its vision into an effective and measurable outcome. </w:t>
      </w:r>
    </w:p>
    <w:p xmlns:wp14="http://schemas.microsoft.com/office/word/2010/wordml" w:rsidP="26BD8501" wp14:paraId="440DE82D" wp14:textId="587518C1">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The effectiveness of the FAW strategy is dependent on how well it is implemented in practice, as it will require structure, resources and processes that align with the vision, while also remaining achievable (Shilbury, 2012). The plan indicates a clear commitment to implementation using targeted resource allocation, stakeholder collaboration, and the establishment of performance measures. The inclusion of measurable targets demonstrates awareness of the role of key performance indicators (KPIs) and how they can be utilised to monitor progress and ensure accountability within implementation processes (Kaplan and Norton, 1996). The planned investment in facilities and grassroots development indicates alignment between priorities and actions, reflecting the importance of resource allocation when supporting strategic directions. The FAW's partnerships with key stakeholders, including government bodies and international organisations, outline the need for coordinated action across multiple areas to effectively deliver strategic outcomes. </w:t>
      </w:r>
    </w:p>
    <w:p xmlns:wp14="http://schemas.microsoft.com/office/word/2010/wordml" w:rsidP="26BD8501" wp14:paraId="3D5B899F" wp14:textId="79D92DF7">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However, despite these strengths, there is a lack of clarity surrounding the depth of the implementation approach. While the strategy outlines what the FAW aims to achieve, there is less detail regarding how these initiatives are to be operationalised at different levels of the organisation, particularly in relation to roles, responsibilities, and governance structures (Hrebiniak, 2006). This explicit detail is what could prevent challenges in ensuring consistent delivery across regions and stakeholders, decreasing the risk of variation in implementation strategies and quality at local levels. Furthermore, the reliance on external partnerships undoubtedly provides a benefit to resource access and collaboration; however, it may also introduce complexities in coordination and reduce the FAW’s control over varying aspects of delivery. From a theoretical perspective, effective strategy implementation should have alignment between organisational structure, processes and culture, which would ensure a cohesive movement towards strategic objectives (Johnson et al., 2017). Although the FAW demonstrates a structured approach to implementation, the lack of operational clarity around accountability may constrain the organisation’s ability to fully realise its strategic ambitions. </w:t>
      </w:r>
    </w:p>
    <w:p xmlns:wp14="http://schemas.microsoft.com/office/word/2010/wordml" w:rsidP="26BD8501" wp14:paraId="6DFE0EE2" wp14:textId="4535E8ED">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Through acknowledging external pressures like the impact of Covid-19, the FAW demonstrates awareness of the need for change, increasing the demands for inclusivity, and the evolving modern sporting landscape. This aligns with the importance of creating a sense of urgency as outlined in John Kotter’s (1996) eight-step model. The FAW emphasises collaboration with stakeholders throughout the strategic plan, which is critical in driving large-scale organisational change. This clear vision-centred stance on inclusivity and growth further supports the communication of change, aligning stakeholders and providing a shared direction. </w:t>
      </w:r>
    </w:p>
    <w:p xmlns:wp14="http://schemas.microsoft.com/office/word/2010/wordml" w:rsidP="26BD8501" wp14:paraId="0343BBAD" wp14:textId="24C3083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However, there is limited explicit evidence of the later stages of Kotter’s model being utilised to its full extent, with a lack of clarity surrounding the generation of short-term wins and the mechanisms used to sustain momentum over time, both of which help to maintain engagement and prevent resistance to change. Without visible short-term success, stakeholders might struggle to recognise and acknowledge progress, leading to reduced commitment to long-term strategy. Furthermore, the strategic plan provides limited insight into how change currently is, and can be embedded within the organisational culture, which would act as a critical factor in ensuring new behaviours and practices become a fundamental part of the institution, rather than a temporary initiative. Using theory, successful change management requires more than just structural adjustments, but also cultural alignment and continuous reinforcement (Kotter, 1996; Lewin, 1947). The FAW’s strategy demonstrates strong intent for change and awareness of its needs; however, it does not fully articulate how these elements of change will be achieved. Therefore, although the organisation does show clear recognition of transformational needs, there are limitations in the depth and transparency of its change management approach, and this may restrict its ability to fully embed strategic change long-term. </w:t>
      </w:r>
    </w:p>
    <w:p xmlns:wp14="http://schemas.microsoft.com/office/word/2010/wordml" w:rsidP="26BD8501" wp14:paraId="2F049CD7" wp14:textId="6CFABF3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In conclusion, the Football Association of Wales (FAW) demonstrates a well-intentioned and strategically coherent approach to development through the 2021 to 2026 plan. It shows clear awareness of its internal and external environment, paired with an ambitious and inclusive strategic direction. There are some evident strengths, particularly around stakeholder engagement, commitment to growth and use of performance indicators to support implementation. However, despite the positives listed, there are several limitations, including repetitive lack of depth and prioritisation within environmental analysis, and limited clarity surrounding implementation. While the FAW may acknowledge the need for organisational change, they do not provide the detail required to embed and sustain the transformation long-term. Therefore, despite the strong strategic foundation, greater emphasis on prioritisation and the alignment between strategy and execution is essential to maximise effectiveness and long-term impact. To improve future strategic plans, the FAW should strive to utilise the full capabilities of the models discussed in part one, particularly the SWOT analysis and PESTLE model, as these could be used to provide a deeper insight into the factors surrounding the internal and external environments of the FAW as an organisation.</w:t>
      </w:r>
    </w:p>
    <w:p xmlns:wp14="http://schemas.microsoft.com/office/word/2010/wordml" w:rsidP="26BD8501" wp14:paraId="78EA3878" wp14:textId="6DF37132">
      <w:pPr>
        <w:spacing w:before="120" w:beforeAutospacing="off" w:after="120" w:afterAutospacing="off"/>
        <w:rPr>
          <w:rFonts w:ascii="Calibri" w:hAnsi="Calibri" w:eastAsia="Calibri" w:cs="Calibri"/>
          <w:b w:val="1"/>
          <w:bCs w:val="1"/>
          <w:noProof w:val="0"/>
          <w:color w:val="000000" w:themeColor="text1" w:themeTint="FF" w:themeShade="FF"/>
          <w:sz w:val="24"/>
          <w:szCs w:val="24"/>
          <w:lang w:val="en-GB"/>
        </w:rPr>
      </w:pPr>
    </w:p>
    <w:p xmlns:wp14="http://schemas.microsoft.com/office/word/2010/wordml" wp14:paraId="17C1DEDC" wp14:textId="71B41313">
      <w:r>
        <w:br w:type="page"/>
      </w:r>
    </w:p>
    <w:p xmlns:wp14="http://schemas.microsoft.com/office/word/2010/wordml" w:rsidP="26BD8501" wp14:paraId="4F023C56" wp14:textId="5FAAC3CD">
      <w:pPr>
        <w:pStyle w:val="Normal"/>
        <w:spacing w:before="120" w:beforeAutospacing="off" w:after="120" w:afterAutospacing="off"/>
        <w:rPr>
          <w:rFonts w:ascii="Calibri" w:hAnsi="Calibri" w:eastAsia="Calibri" w:cs="Calibri"/>
          <w:b w:val="1"/>
          <w:bCs w:val="1"/>
          <w:noProof w:val="0"/>
          <w:color w:val="000000" w:themeColor="text1" w:themeTint="FF" w:themeShade="FF"/>
          <w:sz w:val="24"/>
          <w:szCs w:val="24"/>
          <w:lang w:val="en-GB"/>
        </w:rPr>
      </w:pPr>
      <w:r w:rsidRPr="26BD8501" w:rsidR="08A8E029">
        <w:rPr>
          <w:rFonts w:ascii="Calibri" w:hAnsi="Calibri" w:eastAsia="Calibri" w:cs="Calibri"/>
          <w:b w:val="1"/>
          <w:bCs w:val="1"/>
          <w:noProof w:val="0"/>
          <w:color w:val="000000" w:themeColor="text1" w:themeTint="FF" w:themeShade="FF"/>
          <w:sz w:val="24"/>
          <w:szCs w:val="24"/>
          <w:lang w:val="en-GB"/>
        </w:rPr>
        <w:t>References</w:t>
      </w:r>
    </w:p>
    <w:p xmlns:wp14="http://schemas.microsoft.com/office/word/2010/wordml" w:rsidP="26BD8501" wp14:paraId="203426CB" wp14:textId="148C0EF6">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Aguilar, F.J. (1967) </w:t>
      </w:r>
      <w:r w:rsidRPr="26BD8501" w:rsidR="08A8E029">
        <w:rPr>
          <w:rFonts w:ascii="Calibri" w:hAnsi="Calibri" w:eastAsia="Calibri" w:cs="Calibri"/>
          <w:i w:val="1"/>
          <w:iCs w:val="1"/>
          <w:noProof w:val="0"/>
          <w:color w:val="000000" w:themeColor="text1" w:themeTint="FF" w:themeShade="FF"/>
          <w:sz w:val="24"/>
          <w:szCs w:val="24"/>
          <w:lang w:val="en-GB"/>
        </w:rPr>
        <w:t>Scanning the business environment</w:t>
      </w:r>
      <w:r w:rsidRPr="26BD8501" w:rsidR="08A8E029">
        <w:rPr>
          <w:rFonts w:ascii="Calibri" w:hAnsi="Calibri" w:eastAsia="Calibri" w:cs="Calibri"/>
          <w:noProof w:val="0"/>
          <w:color w:val="000000" w:themeColor="text1" w:themeTint="FF" w:themeShade="FF"/>
          <w:sz w:val="24"/>
          <w:szCs w:val="24"/>
          <w:lang w:val="en-GB"/>
        </w:rPr>
        <w:t>. New York: Macmillan.</w:t>
      </w:r>
    </w:p>
    <w:p xmlns:wp14="http://schemas.microsoft.com/office/word/2010/wordml" w:rsidP="26BD8501" wp14:paraId="278ED16C" wp14:textId="4F451F69">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Barney, J. (1991) ‘Firm resources and sustained competitive advantage’, </w:t>
      </w:r>
      <w:r w:rsidRPr="26BD8501" w:rsidR="08A8E029">
        <w:rPr>
          <w:rFonts w:ascii="Calibri" w:hAnsi="Calibri" w:eastAsia="Calibri" w:cs="Calibri"/>
          <w:i w:val="1"/>
          <w:iCs w:val="1"/>
          <w:noProof w:val="0"/>
          <w:color w:val="000000" w:themeColor="text1" w:themeTint="FF" w:themeShade="FF"/>
          <w:sz w:val="24"/>
          <w:szCs w:val="24"/>
          <w:lang w:val="en-GB"/>
        </w:rPr>
        <w:t>Journal of Management</w:t>
      </w:r>
      <w:r w:rsidRPr="26BD8501" w:rsidR="08A8E029">
        <w:rPr>
          <w:rFonts w:ascii="Calibri" w:hAnsi="Calibri" w:eastAsia="Calibri" w:cs="Calibri"/>
          <w:noProof w:val="0"/>
          <w:color w:val="000000" w:themeColor="text1" w:themeTint="FF" w:themeShade="FF"/>
          <w:sz w:val="24"/>
          <w:szCs w:val="24"/>
          <w:lang w:val="en-GB"/>
        </w:rPr>
        <w:t>, 17(1), pp. 99–120.</w:t>
      </w:r>
    </w:p>
    <w:p xmlns:wp14="http://schemas.microsoft.com/office/word/2010/wordml" w:rsidP="26BD8501" wp14:paraId="17398E5E" wp14:textId="5D129BE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Beech, J. and Chadwick, S. (2013) </w:t>
      </w:r>
      <w:r w:rsidRPr="26BD8501" w:rsidR="08A8E029">
        <w:rPr>
          <w:rFonts w:ascii="Calibri" w:hAnsi="Calibri" w:eastAsia="Calibri" w:cs="Calibri"/>
          <w:i w:val="1"/>
          <w:iCs w:val="1"/>
          <w:noProof w:val="0"/>
          <w:color w:val="000000" w:themeColor="text1" w:themeTint="FF" w:themeShade="FF"/>
          <w:sz w:val="24"/>
          <w:szCs w:val="24"/>
          <w:lang w:val="en-GB"/>
        </w:rPr>
        <w:t>The business of sport management</w:t>
      </w:r>
      <w:r w:rsidRPr="26BD8501" w:rsidR="08A8E029">
        <w:rPr>
          <w:rFonts w:ascii="Calibri" w:hAnsi="Calibri" w:eastAsia="Calibri" w:cs="Calibri"/>
          <w:noProof w:val="0"/>
          <w:color w:val="000000" w:themeColor="text1" w:themeTint="FF" w:themeShade="FF"/>
          <w:sz w:val="24"/>
          <w:szCs w:val="24"/>
          <w:lang w:val="en-GB"/>
        </w:rPr>
        <w:t>. Harlow: Pearson.</w:t>
      </w:r>
    </w:p>
    <w:p xmlns:wp14="http://schemas.microsoft.com/office/word/2010/wordml" w:rsidP="26BD8501" wp14:paraId="62B45A2A" wp14:textId="2F76374F">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Burnes, B. (2004) ‘Kurt Lewin and the planned approach to change: A re-appraisal’, </w:t>
      </w:r>
      <w:r w:rsidRPr="26BD8501" w:rsidR="08A8E029">
        <w:rPr>
          <w:rFonts w:ascii="Calibri" w:hAnsi="Calibri" w:eastAsia="Calibri" w:cs="Calibri"/>
          <w:i w:val="1"/>
          <w:iCs w:val="1"/>
          <w:noProof w:val="0"/>
          <w:color w:val="000000" w:themeColor="text1" w:themeTint="FF" w:themeShade="FF"/>
          <w:sz w:val="24"/>
          <w:szCs w:val="24"/>
          <w:lang w:val="en-GB"/>
        </w:rPr>
        <w:t>Journal of Management Studies</w:t>
      </w:r>
      <w:r w:rsidRPr="26BD8501" w:rsidR="08A8E029">
        <w:rPr>
          <w:rFonts w:ascii="Calibri" w:hAnsi="Calibri" w:eastAsia="Calibri" w:cs="Calibri"/>
          <w:noProof w:val="0"/>
          <w:color w:val="000000" w:themeColor="text1" w:themeTint="FF" w:themeShade="FF"/>
          <w:sz w:val="24"/>
          <w:szCs w:val="24"/>
          <w:lang w:val="en-GB"/>
        </w:rPr>
        <w:t>, 41(6), pp. 977–1002.</w:t>
      </w:r>
    </w:p>
    <w:p xmlns:wp14="http://schemas.microsoft.com/office/word/2010/wordml" w:rsidP="26BD8501" wp14:paraId="788C446B" wp14:textId="7F643B9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Cunningham, G.B. (2019) </w:t>
      </w:r>
      <w:r w:rsidRPr="26BD8501" w:rsidR="08A8E029">
        <w:rPr>
          <w:rFonts w:ascii="Calibri" w:hAnsi="Calibri" w:eastAsia="Calibri" w:cs="Calibri"/>
          <w:i w:val="1"/>
          <w:iCs w:val="1"/>
          <w:noProof w:val="0"/>
          <w:color w:val="000000" w:themeColor="text1" w:themeTint="FF" w:themeShade="FF"/>
          <w:sz w:val="24"/>
          <w:szCs w:val="24"/>
          <w:lang w:val="en-GB"/>
        </w:rPr>
        <w:t>Diversity and inclusion in sport organizations: A multilevel perspective</w:t>
      </w:r>
      <w:r w:rsidRPr="26BD8501" w:rsidR="08A8E029">
        <w:rPr>
          <w:rFonts w:ascii="Calibri" w:hAnsi="Calibri" w:eastAsia="Calibri" w:cs="Calibri"/>
          <w:noProof w:val="0"/>
          <w:color w:val="000000" w:themeColor="text1" w:themeTint="FF" w:themeShade="FF"/>
          <w:sz w:val="24"/>
          <w:szCs w:val="24"/>
          <w:lang w:val="en-GB"/>
        </w:rPr>
        <w:t>. New York: Routledge.</w:t>
      </w:r>
    </w:p>
    <w:p xmlns:wp14="http://schemas.microsoft.com/office/word/2010/wordml" w:rsidP="26BD8501" wp14:paraId="4EA3E477" wp14:textId="308F235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David, F.R. and David, F.R. (2017) </w:t>
      </w:r>
      <w:r w:rsidRPr="26BD8501" w:rsidR="08A8E029">
        <w:rPr>
          <w:rFonts w:ascii="Calibri" w:hAnsi="Calibri" w:eastAsia="Calibri" w:cs="Calibri"/>
          <w:i w:val="1"/>
          <w:iCs w:val="1"/>
          <w:noProof w:val="0"/>
          <w:color w:val="000000" w:themeColor="text1" w:themeTint="FF" w:themeShade="FF"/>
          <w:sz w:val="24"/>
          <w:szCs w:val="24"/>
          <w:lang w:val="en-GB"/>
        </w:rPr>
        <w:t>Strategic management: Concepts and cases: A competitive advantage approach</w:t>
      </w:r>
      <w:r w:rsidRPr="26BD8501" w:rsidR="08A8E029">
        <w:rPr>
          <w:rFonts w:ascii="Calibri" w:hAnsi="Calibri" w:eastAsia="Calibri" w:cs="Calibri"/>
          <w:noProof w:val="0"/>
          <w:color w:val="000000" w:themeColor="text1" w:themeTint="FF" w:themeShade="FF"/>
          <w:sz w:val="24"/>
          <w:szCs w:val="24"/>
          <w:lang w:val="en-GB"/>
        </w:rPr>
        <w:t>. Harlow: Pearson.</w:t>
      </w:r>
    </w:p>
    <w:p xmlns:wp14="http://schemas.microsoft.com/office/word/2010/wordml" w:rsidP="26BD8501" wp14:paraId="22384EF9" wp14:textId="245C3820">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Doran, G.T. (1981) ‘There’s a S.M.A.R.T. way to write management’s goals and objectives’, </w:t>
      </w:r>
      <w:r w:rsidRPr="26BD8501" w:rsidR="08A8E029">
        <w:rPr>
          <w:rFonts w:ascii="Calibri" w:hAnsi="Calibri" w:eastAsia="Calibri" w:cs="Calibri"/>
          <w:i w:val="1"/>
          <w:iCs w:val="1"/>
          <w:noProof w:val="0"/>
          <w:color w:val="000000" w:themeColor="text1" w:themeTint="FF" w:themeShade="FF"/>
          <w:sz w:val="24"/>
          <w:szCs w:val="24"/>
          <w:lang w:val="en-GB"/>
        </w:rPr>
        <w:t>Management Review</w:t>
      </w:r>
      <w:r w:rsidRPr="26BD8501" w:rsidR="08A8E029">
        <w:rPr>
          <w:rFonts w:ascii="Calibri" w:hAnsi="Calibri" w:eastAsia="Calibri" w:cs="Calibri"/>
          <w:noProof w:val="0"/>
          <w:color w:val="000000" w:themeColor="text1" w:themeTint="FF" w:themeShade="FF"/>
          <w:sz w:val="24"/>
          <w:szCs w:val="24"/>
          <w:lang w:val="en-GB"/>
        </w:rPr>
        <w:t>, 70(11), pp. 35–36.</w:t>
      </w:r>
    </w:p>
    <w:p xmlns:wp14="http://schemas.microsoft.com/office/word/2010/wordml" w:rsidP="26BD8501" wp14:paraId="50C74684" wp14:textId="3F97D7A8">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Ferkins, L. and Shilbury, D. (2015) ‘The stakeholder dilemma in sport governance: Toward the notion of “stakeowner”’, </w:t>
      </w:r>
      <w:r w:rsidRPr="26BD8501" w:rsidR="08A8E029">
        <w:rPr>
          <w:rFonts w:ascii="Calibri" w:hAnsi="Calibri" w:eastAsia="Calibri" w:cs="Calibri"/>
          <w:i w:val="1"/>
          <w:iCs w:val="1"/>
          <w:noProof w:val="0"/>
          <w:color w:val="000000" w:themeColor="text1" w:themeTint="FF" w:themeShade="FF"/>
          <w:sz w:val="24"/>
          <w:szCs w:val="24"/>
          <w:lang w:val="en-GB"/>
        </w:rPr>
        <w:t>Journal of Sport Management</w:t>
      </w:r>
      <w:r w:rsidRPr="26BD8501" w:rsidR="08A8E029">
        <w:rPr>
          <w:rFonts w:ascii="Calibri" w:hAnsi="Calibri" w:eastAsia="Calibri" w:cs="Calibri"/>
          <w:noProof w:val="0"/>
          <w:color w:val="000000" w:themeColor="text1" w:themeTint="FF" w:themeShade="FF"/>
          <w:sz w:val="24"/>
          <w:szCs w:val="24"/>
          <w:lang w:val="en-GB"/>
        </w:rPr>
        <w:t>, 29(1), pp. 93–108.</w:t>
      </w:r>
    </w:p>
    <w:p xmlns:wp14="http://schemas.microsoft.com/office/word/2010/wordml" w:rsidP="26BD8501" wp14:paraId="3DFAEC95" wp14:textId="6212DD7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Football Association of Wales (2021) </w:t>
      </w:r>
      <w:r w:rsidRPr="26BD8501" w:rsidR="08A8E029">
        <w:rPr>
          <w:rFonts w:ascii="Calibri" w:hAnsi="Calibri" w:eastAsia="Calibri" w:cs="Calibri"/>
          <w:i w:val="1"/>
          <w:iCs w:val="1"/>
          <w:noProof w:val="0"/>
          <w:color w:val="000000" w:themeColor="text1" w:themeTint="FF" w:themeShade="FF"/>
          <w:sz w:val="24"/>
          <w:szCs w:val="24"/>
          <w:lang w:val="en-GB"/>
        </w:rPr>
        <w:t>Our Wales: FAW strategy 2021–2026</w:t>
      </w:r>
      <w:r w:rsidRPr="26BD8501" w:rsidR="08A8E029">
        <w:rPr>
          <w:rFonts w:ascii="Calibri" w:hAnsi="Calibri" w:eastAsia="Calibri" w:cs="Calibri"/>
          <w:noProof w:val="0"/>
          <w:color w:val="000000" w:themeColor="text1" w:themeTint="FF" w:themeShade="FF"/>
          <w:sz w:val="24"/>
          <w:szCs w:val="24"/>
          <w:lang w:val="en-GB"/>
        </w:rPr>
        <w:t xml:space="preserve">. Available at: </w:t>
      </w:r>
      <w:hyperlink r:id="R935057d0b4044154">
        <w:r w:rsidRPr="26BD8501" w:rsidR="08A8E029">
          <w:rPr>
            <w:rStyle w:val="Hyperlink"/>
            <w:rFonts w:ascii="Calibri" w:hAnsi="Calibri" w:eastAsia="Calibri" w:cs="Calibri"/>
            <w:noProof w:val="0"/>
            <w:color w:val="000000" w:themeColor="text1" w:themeTint="FF" w:themeShade="FF"/>
            <w:sz w:val="24"/>
            <w:szCs w:val="24"/>
            <w:lang w:val="en-GB"/>
          </w:rPr>
          <w:t>https://faw.cymru</w:t>
        </w:r>
      </w:hyperlink>
      <w:r w:rsidRPr="26BD8501" w:rsidR="08A8E029">
        <w:rPr>
          <w:rFonts w:ascii="Calibri" w:hAnsi="Calibri" w:eastAsia="Calibri" w:cs="Calibri"/>
          <w:noProof w:val="0"/>
          <w:color w:val="000000" w:themeColor="text1" w:themeTint="FF" w:themeShade="FF"/>
          <w:sz w:val="24"/>
          <w:szCs w:val="24"/>
          <w:lang w:val="en-GB"/>
        </w:rPr>
        <w:t xml:space="preserve"> (Accessed: 24/4/26).</w:t>
      </w:r>
    </w:p>
    <w:p xmlns:wp14="http://schemas.microsoft.com/office/word/2010/wordml" w:rsidP="26BD8501" wp14:paraId="71D46BD2" wp14:textId="3D3F160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Freeman, R.E. (1984) </w:t>
      </w:r>
      <w:r w:rsidRPr="26BD8501" w:rsidR="08A8E029">
        <w:rPr>
          <w:rFonts w:ascii="Calibri" w:hAnsi="Calibri" w:eastAsia="Calibri" w:cs="Calibri"/>
          <w:i w:val="1"/>
          <w:iCs w:val="1"/>
          <w:noProof w:val="0"/>
          <w:color w:val="000000" w:themeColor="text1" w:themeTint="FF" w:themeShade="FF"/>
          <w:sz w:val="24"/>
          <w:szCs w:val="24"/>
          <w:lang w:val="en-GB"/>
        </w:rPr>
        <w:t>Strategic management: A stakeholder approach</w:t>
      </w:r>
      <w:r w:rsidRPr="26BD8501" w:rsidR="08A8E029">
        <w:rPr>
          <w:rFonts w:ascii="Calibri" w:hAnsi="Calibri" w:eastAsia="Calibri" w:cs="Calibri"/>
          <w:noProof w:val="0"/>
          <w:color w:val="000000" w:themeColor="text1" w:themeTint="FF" w:themeShade="FF"/>
          <w:sz w:val="24"/>
          <w:szCs w:val="24"/>
          <w:lang w:val="en-GB"/>
        </w:rPr>
        <w:t>. Boston: Pitman.</w:t>
      </w:r>
    </w:p>
    <w:p xmlns:wp14="http://schemas.microsoft.com/office/word/2010/wordml" w:rsidP="26BD8501" wp14:paraId="51DF1014" wp14:textId="151E854F">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Grant, R.M. (2019) </w:t>
      </w:r>
      <w:r w:rsidRPr="26BD8501" w:rsidR="08A8E029">
        <w:rPr>
          <w:rFonts w:ascii="Calibri" w:hAnsi="Calibri" w:eastAsia="Calibri" w:cs="Calibri"/>
          <w:i w:val="1"/>
          <w:iCs w:val="1"/>
          <w:noProof w:val="0"/>
          <w:color w:val="000000" w:themeColor="text1" w:themeTint="FF" w:themeShade="FF"/>
          <w:sz w:val="24"/>
          <w:szCs w:val="24"/>
          <w:lang w:val="en-GB"/>
        </w:rPr>
        <w:t>Contemporary strategy analysis</w:t>
      </w:r>
      <w:r w:rsidRPr="26BD8501" w:rsidR="08A8E029">
        <w:rPr>
          <w:rFonts w:ascii="Calibri" w:hAnsi="Calibri" w:eastAsia="Calibri" w:cs="Calibri"/>
          <w:noProof w:val="0"/>
          <w:color w:val="000000" w:themeColor="text1" w:themeTint="FF" w:themeShade="FF"/>
          <w:sz w:val="24"/>
          <w:szCs w:val="24"/>
          <w:lang w:val="en-GB"/>
        </w:rPr>
        <w:t>. Chichester: Wiley.</w:t>
      </w:r>
    </w:p>
    <w:p xmlns:wp14="http://schemas.microsoft.com/office/word/2010/wordml" w:rsidP="26BD8501" wp14:paraId="679DA18A" wp14:textId="79EEBB8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Grundy, T. (2006) ‘Rethinking and reinventing Michael Porter’s five forces model’, </w:t>
      </w:r>
      <w:r w:rsidRPr="26BD8501" w:rsidR="08A8E029">
        <w:rPr>
          <w:rFonts w:ascii="Calibri" w:hAnsi="Calibri" w:eastAsia="Calibri" w:cs="Calibri"/>
          <w:i w:val="1"/>
          <w:iCs w:val="1"/>
          <w:noProof w:val="0"/>
          <w:color w:val="000000" w:themeColor="text1" w:themeTint="FF" w:themeShade="FF"/>
          <w:sz w:val="24"/>
          <w:szCs w:val="24"/>
          <w:lang w:val="en-GB"/>
        </w:rPr>
        <w:t>Strategic Change</w:t>
      </w:r>
      <w:r w:rsidRPr="26BD8501" w:rsidR="08A8E029">
        <w:rPr>
          <w:rFonts w:ascii="Calibri" w:hAnsi="Calibri" w:eastAsia="Calibri" w:cs="Calibri"/>
          <w:noProof w:val="0"/>
          <w:color w:val="000000" w:themeColor="text1" w:themeTint="FF" w:themeShade="FF"/>
          <w:sz w:val="24"/>
          <w:szCs w:val="24"/>
          <w:lang w:val="en-GB"/>
        </w:rPr>
        <w:t>, 15(5), pp. 213–229.</w:t>
      </w:r>
    </w:p>
    <w:p xmlns:wp14="http://schemas.microsoft.com/office/word/2010/wordml" w:rsidP="26BD8501" wp14:paraId="742A7C21" wp14:textId="62885D34">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Gürel, E. and Tat, M. (2017) ‘SWOT analysis: A theoretical review’, </w:t>
      </w:r>
      <w:r w:rsidRPr="26BD8501" w:rsidR="08A8E029">
        <w:rPr>
          <w:rFonts w:ascii="Calibri" w:hAnsi="Calibri" w:eastAsia="Calibri" w:cs="Calibri"/>
          <w:i w:val="1"/>
          <w:iCs w:val="1"/>
          <w:noProof w:val="0"/>
          <w:color w:val="000000" w:themeColor="text1" w:themeTint="FF" w:themeShade="FF"/>
          <w:sz w:val="24"/>
          <w:szCs w:val="24"/>
          <w:lang w:val="en-GB"/>
        </w:rPr>
        <w:t>Journal of International Social Research</w:t>
      </w:r>
      <w:r w:rsidRPr="26BD8501" w:rsidR="08A8E029">
        <w:rPr>
          <w:rFonts w:ascii="Calibri" w:hAnsi="Calibri" w:eastAsia="Calibri" w:cs="Calibri"/>
          <w:noProof w:val="0"/>
          <w:color w:val="000000" w:themeColor="text1" w:themeTint="FF" w:themeShade="FF"/>
          <w:sz w:val="24"/>
          <w:szCs w:val="24"/>
          <w:lang w:val="en-GB"/>
        </w:rPr>
        <w:t>, 10(51), pp. 994–1006.</w:t>
      </w:r>
    </w:p>
    <w:p xmlns:wp14="http://schemas.microsoft.com/office/word/2010/wordml" w:rsidP="26BD8501" wp14:paraId="1F881D2B" wp14:textId="44BD705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Gupta, A. (2013) ‘Environment &amp; PEST analysis: An approach to the external business environment’, </w:t>
      </w:r>
      <w:r w:rsidRPr="26BD8501" w:rsidR="08A8E029">
        <w:rPr>
          <w:rFonts w:ascii="Calibri" w:hAnsi="Calibri" w:eastAsia="Calibri" w:cs="Calibri"/>
          <w:i w:val="1"/>
          <w:iCs w:val="1"/>
          <w:noProof w:val="0"/>
          <w:color w:val="000000" w:themeColor="text1" w:themeTint="FF" w:themeShade="FF"/>
          <w:sz w:val="24"/>
          <w:szCs w:val="24"/>
          <w:lang w:val="en-GB"/>
        </w:rPr>
        <w:t>International Journal of Modern Social Sciences</w:t>
      </w:r>
      <w:r w:rsidRPr="26BD8501" w:rsidR="08A8E029">
        <w:rPr>
          <w:rFonts w:ascii="Calibri" w:hAnsi="Calibri" w:eastAsia="Calibri" w:cs="Calibri"/>
          <w:noProof w:val="0"/>
          <w:color w:val="000000" w:themeColor="text1" w:themeTint="FF" w:themeShade="FF"/>
          <w:sz w:val="24"/>
          <w:szCs w:val="24"/>
          <w:lang w:val="en-GB"/>
        </w:rPr>
        <w:t>, 2(1), pp. 34–43.</w:t>
      </w:r>
    </w:p>
    <w:p xmlns:wp14="http://schemas.microsoft.com/office/word/2010/wordml" w:rsidP="26BD8501" wp14:paraId="07727B12" wp14:textId="67F2916D">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Hill, T. and Westbrook, R. (1997) ‘SWOT analysis: It’s time for a product recall’, </w:t>
      </w:r>
      <w:r w:rsidRPr="26BD8501" w:rsidR="08A8E029">
        <w:rPr>
          <w:rFonts w:ascii="Calibri" w:hAnsi="Calibri" w:eastAsia="Calibri" w:cs="Calibri"/>
          <w:i w:val="1"/>
          <w:iCs w:val="1"/>
          <w:noProof w:val="0"/>
          <w:color w:val="000000" w:themeColor="text1" w:themeTint="FF" w:themeShade="FF"/>
          <w:sz w:val="24"/>
          <w:szCs w:val="24"/>
          <w:lang w:val="en-GB"/>
        </w:rPr>
        <w:t>Long Range Planning</w:t>
      </w:r>
      <w:r w:rsidRPr="26BD8501" w:rsidR="08A8E029">
        <w:rPr>
          <w:rFonts w:ascii="Calibri" w:hAnsi="Calibri" w:eastAsia="Calibri" w:cs="Calibri"/>
          <w:noProof w:val="0"/>
          <w:color w:val="000000" w:themeColor="text1" w:themeTint="FF" w:themeShade="FF"/>
          <w:sz w:val="24"/>
          <w:szCs w:val="24"/>
          <w:lang w:val="en-GB"/>
        </w:rPr>
        <w:t>, 30(1), pp. 46–52.</w:t>
      </w:r>
    </w:p>
    <w:p xmlns:wp14="http://schemas.microsoft.com/office/word/2010/wordml" w:rsidP="26BD8501" wp14:paraId="1FB54992" wp14:textId="1DCEC815">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Hoye, R. (2018) </w:t>
      </w:r>
      <w:r w:rsidRPr="26BD8501" w:rsidR="08A8E029">
        <w:rPr>
          <w:rFonts w:ascii="Calibri" w:hAnsi="Calibri" w:eastAsia="Calibri" w:cs="Calibri"/>
          <w:i w:val="1"/>
          <w:iCs w:val="1"/>
          <w:noProof w:val="0"/>
          <w:color w:val="000000" w:themeColor="text1" w:themeTint="FF" w:themeShade="FF"/>
          <w:sz w:val="24"/>
          <w:szCs w:val="24"/>
          <w:lang w:val="en-GB"/>
        </w:rPr>
        <w:t>Sport management: Principles and applications</w:t>
      </w:r>
      <w:r w:rsidRPr="26BD8501" w:rsidR="08A8E029">
        <w:rPr>
          <w:rFonts w:ascii="Calibri" w:hAnsi="Calibri" w:eastAsia="Calibri" w:cs="Calibri"/>
          <w:noProof w:val="0"/>
          <w:color w:val="000000" w:themeColor="text1" w:themeTint="FF" w:themeShade="FF"/>
          <w:sz w:val="24"/>
          <w:szCs w:val="24"/>
          <w:lang w:val="en-GB"/>
        </w:rPr>
        <w:t>. London: Routledge.</w:t>
      </w:r>
    </w:p>
    <w:p xmlns:wp14="http://schemas.microsoft.com/office/word/2010/wordml" w:rsidP="26BD8501" wp14:paraId="22ECD5BD" wp14:textId="2C6E705C">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Hoye, R., Smith, A., Nicholson, M. and Stewart, B. (2015) </w:t>
      </w:r>
      <w:r w:rsidRPr="26BD8501" w:rsidR="08A8E029">
        <w:rPr>
          <w:rFonts w:ascii="Calibri" w:hAnsi="Calibri" w:eastAsia="Calibri" w:cs="Calibri"/>
          <w:i w:val="1"/>
          <w:iCs w:val="1"/>
          <w:noProof w:val="0"/>
          <w:color w:val="000000" w:themeColor="text1" w:themeTint="FF" w:themeShade="FF"/>
          <w:sz w:val="24"/>
          <w:szCs w:val="24"/>
          <w:lang w:val="en-GB"/>
        </w:rPr>
        <w:t>Sport management: Principles and applications</w:t>
      </w:r>
      <w:r w:rsidRPr="26BD8501" w:rsidR="08A8E029">
        <w:rPr>
          <w:rFonts w:ascii="Calibri" w:hAnsi="Calibri" w:eastAsia="Calibri" w:cs="Calibri"/>
          <w:noProof w:val="0"/>
          <w:color w:val="000000" w:themeColor="text1" w:themeTint="FF" w:themeShade="FF"/>
          <w:sz w:val="24"/>
          <w:szCs w:val="24"/>
          <w:lang w:val="en-GB"/>
        </w:rPr>
        <w:t>. London: Routledge.</w:t>
      </w:r>
    </w:p>
    <w:p xmlns:wp14="http://schemas.microsoft.com/office/word/2010/wordml" w:rsidP="26BD8501" wp14:paraId="4CA7AB98" wp14:textId="030F21C7">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Hrebiniak, L.G. (2006) </w:t>
      </w:r>
      <w:r w:rsidRPr="26BD8501" w:rsidR="08A8E029">
        <w:rPr>
          <w:rFonts w:ascii="Calibri" w:hAnsi="Calibri" w:eastAsia="Calibri" w:cs="Calibri"/>
          <w:i w:val="1"/>
          <w:iCs w:val="1"/>
          <w:noProof w:val="0"/>
          <w:color w:val="000000" w:themeColor="text1" w:themeTint="FF" w:themeShade="FF"/>
          <w:sz w:val="24"/>
          <w:szCs w:val="24"/>
          <w:lang w:val="en-GB"/>
        </w:rPr>
        <w:t>Making strategy work: Leading effective execution and change</w:t>
      </w:r>
      <w:r w:rsidRPr="26BD8501" w:rsidR="08A8E029">
        <w:rPr>
          <w:rFonts w:ascii="Calibri" w:hAnsi="Calibri" w:eastAsia="Calibri" w:cs="Calibri"/>
          <w:noProof w:val="0"/>
          <w:color w:val="000000" w:themeColor="text1" w:themeTint="FF" w:themeShade="FF"/>
          <w:sz w:val="24"/>
          <w:szCs w:val="24"/>
          <w:lang w:val="en-GB"/>
        </w:rPr>
        <w:t>. Upper Saddle River: Wharton School Publishing.</w:t>
      </w:r>
    </w:p>
    <w:p xmlns:wp14="http://schemas.microsoft.com/office/word/2010/wordml" w:rsidP="26BD8501" wp14:paraId="1699A7A6" wp14:textId="08F7A837">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Johnson, G., Whittington, R., Scholes, K., Angwin, D. and Regnér, P. (2020) </w:t>
      </w:r>
      <w:r w:rsidRPr="26BD8501" w:rsidR="08A8E029">
        <w:rPr>
          <w:rFonts w:ascii="Calibri" w:hAnsi="Calibri" w:eastAsia="Calibri" w:cs="Calibri"/>
          <w:i w:val="1"/>
          <w:iCs w:val="1"/>
          <w:noProof w:val="0"/>
          <w:color w:val="000000" w:themeColor="text1" w:themeTint="FF" w:themeShade="FF"/>
          <w:sz w:val="24"/>
          <w:szCs w:val="24"/>
          <w:lang w:val="en-GB"/>
        </w:rPr>
        <w:t>Exploring strategy</w:t>
      </w:r>
      <w:r w:rsidRPr="26BD8501" w:rsidR="08A8E029">
        <w:rPr>
          <w:rFonts w:ascii="Calibri" w:hAnsi="Calibri" w:eastAsia="Calibri" w:cs="Calibri"/>
          <w:noProof w:val="0"/>
          <w:color w:val="000000" w:themeColor="text1" w:themeTint="FF" w:themeShade="FF"/>
          <w:sz w:val="24"/>
          <w:szCs w:val="24"/>
          <w:lang w:val="en-GB"/>
        </w:rPr>
        <w:t>. Harlow: Pearson.</w:t>
      </w:r>
    </w:p>
    <w:p xmlns:wp14="http://schemas.microsoft.com/office/word/2010/wordml" w:rsidP="26BD8501" wp14:paraId="7A9513D5" wp14:textId="72416C88">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Johnson, G., Scholes, K. and Whittington, R. (2017) </w:t>
      </w:r>
      <w:r w:rsidRPr="26BD8501" w:rsidR="08A8E029">
        <w:rPr>
          <w:rFonts w:ascii="Calibri" w:hAnsi="Calibri" w:eastAsia="Calibri" w:cs="Calibri"/>
          <w:i w:val="1"/>
          <w:iCs w:val="1"/>
          <w:noProof w:val="0"/>
          <w:color w:val="000000" w:themeColor="text1" w:themeTint="FF" w:themeShade="FF"/>
          <w:sz w:val="24"/>
          <w:szCs w:val="24"/>
          <w:lang w:val="en-GB"/>
        </w:rPr>
        <w:t>Exploring corporate strategy</w:t>
      </w:r>
      <w:r w:rsidRPr="26BD8501" w:rsidR="08A8E029">
        <w:rPr>
          <w:rFonts w:ascii="Calibri" w:hAnsi="Calibri" w:eastAsia="Calibri" w:cs="Calibri"/>
          <w:noProof w:val="0"/>
          <w:color w:val="000000" w:themeColor="text1" w:themeTint="FF" w:themeShade="FF"/>
          <w:sz w:val="24"/>
          <w:szCs w:val="24"/>
          <w:lang w:val="en-GB"/>
        </w:rPr>
        <w:t>. Harlow: Pearson.</w:t>
      </w:r>
    </w:p>
    <w:p xmlns:wp14="http://schemas.microsoft.com/office/word/2010/wordml" w:rsidP="26BD8501" wp14:paraId="4492BCFC" wp14:textId="631D20D8">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Kaplan, R.S. and Norton, D.P. (1996) ‘Using the balanced scorecard as a strategic management system’, </w:t>
      </w:r>
      <w:r w:rsidRPr="26BD8501" w:rsidR="08A8E029">
        <w:rPr>
          <w:rFonts w:ascii="Calibri" w:hAnsi="Calibri" w:eastAsia="Calibri" w:cs="Calibri"/>
          <w:i w:val="1"/>
          <w:iCs w:val="1"/>
          <w:noProof w:val="0"/>
          <w:color w:val="000000" w:themeColor="text1" w:themeTint="FF" w:themeShade="FF"/>
          <w:sz w:val="24"/>
          <w:szCs w:val="24"/>
          <w:lang w:val="en-GB"/>
        </w:rPr>
        <w:t>Harvard Business Review</w:t>
      </w:r>
      <w:r w:rsidRPr="26BD8501" w:rsidR="08A8E029">
        <w:rPr>
          <w:rFonts w:ascii="Calibri" w:hAnsi="Calibri" w:eastAsia="Calibri" w:cs="Calibri"/>
          <w:noProof w:val="0"/>
          <w:color w:val="000000" w:themeColor="text1" w:themeTint="FF" w:themeShade="FF"/>
          <w:sz w:val="24"/>
          <w:szCs w:val="24"/>
          <w:lang w:val="en-GB"/>
        </w:rPr>
        <w:t>, 74(1), pp. 75–85.</w:t>
      </w:r>
    </w:p>
    <w:p xmlns:wp14="http://schemas.microsoft.com/office/word/2010/wordml" w:rsidP="26BD8501" wp14:paraId="4820659D" wp14:textId="5EC1FD6F">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Kaplan, R.S. and Norton, D.P. (2008) </w:t>
      </w:r>
      <w:r w:rsidRPr="26BD8501" w:rsidR="08A8E029">
        <w:rPr>
          <w:rFonts w:ascii="Calibri" w:hAnsi="Calibri" w:eastAsia="Calibri" w:cs="Calibri"/>
          <w:i w:val="1"/>
          <w:iCs w:val="1"/>
          <w:noProof w:val="0"/>
          <w:color w:val="000000" w:themeColor="text1" w:themeTint="FF" w:themeShade="FF"/>
          <w:sz w:val="24"/>
          <w:szCs w:val="24"/>
          <w:lang w:val="en-GB"/>
        </w:rPr>
        <w:t>The execution premium</w:t>
      </w:r>
      <w:r w:rsidRPr="26BD8501" w:rsidR="08A8E029">
        <w:rPr>
          <w:rFonts w:ascii="Calibri" w:hAnsi="Calibri" w:eastAsia="Calibri" w:cs="Calibri"/>
          <w:noProof w:val="0"/>
          <w:color w:val="000000" w:themeColor="text1" w:themeTint="FF" w:themeShade="FF"/>
          <w:sz w:val="24"/>
          <w:szCs w:val="24"/>
          <w:lang w:val="en-GB"/>
        </w:rPr>
        <w:t>. Boston: Harvard Business School Press.</w:t>
      </w:r>
    </w:p>
    <w:p xmlns:wp14="http://schemas.microsoft.com/office/word/2010/wordml" w:rsidP="26BD8501" wp14:paraId="68656283" wp14:textId="2370949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Kotter, J.P. (1996) </w:t>
      </w:r>
      <w:r w:rsidRPr="26BD8501" w:rsidR="08A8E029">
        <w:rPr>
          <w:rFonts w:ascii="Calibri" w:hAnsi="Calibri" w:eastAsia="Calibri" w:cs="Calibri"/>
          <w:i w:val="1"/>
          <w:iCs w:val="1"/>
          <w:noProof w:val="0"/>
          <w:color w:val="000000" w:themeColor="text1" w:themeTint="FF" w:themeShade="FF"/>
          <w:sz w:val="24"/>
          <w:szCs w:val="24"/>
          <w:lang w:val="en-GB"/>
        </w:rPr>
        <w:t>Leading change</w:t>
      </w:r>
      <w:r w:rsidRPr="26BD8501" w:rsidR="08A8E029">
        <w:rPr>
          <w:rFonts w:ascii="Calibri" w:hAnsi="Calibri" w:eastAsia="Calibri" w:cs="Calibri"/>
          <w:noProof w:val="0"/>
          <w:color w:val="000000" w:themeColor="text1" w:themeTint="FF" w:themeShade="FF"/>
          <w:sz w:val="24"/>
          <w:szCs w:val="24"/>
          <w:lang w:val="en-GB"/>
        </w:rPr>
        <w:t>. Boston: Harvard Business School Press.</w:t>
      </w:r>
    </w:p>
    <w:p xmlns:wp14="http://schemas.microsoft.com/office/word/2010/wordml" w:rsidP="26BD8501" wp14:paraId="2D9B2D6A" wp14:textId="5CC9472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Lewin, K. (1947) ‘Frontiers in group dynamics’, </w:t>
      </w:r>
      <w:r w:rsidRPr="26BD8501" w:rsidR="08A8E029">
        <w:rPr>
          <w:rFonts w:ascii="Calibri" w:hAnsi="Calibri" w:eastAsia="Calibri" w:cs="Calibri"/>
          <w:i w:val="1"/>
          <w:iCs w:val="1"/>
          <w:noProof w:val="0"/>
          <w:color w:val="000000" w:themeColor="text1" w:themeTint="FF" w:themeShade="FF"/>
          <w:sz w:val="24"/>
          <w:szCs w:val="24"/>
          <w:lang w:val="en-GB"/>
        </w:rPr>
        <w:t>Human Relations</w:t>
      </w:r>
      <w:r w:rsidRPr="26BD8501" w:rsidR="08A8E029">
        <w:rPr>
          <w:rFonts w:ascii="Calibri" w:hAnsi="Calibri" w:eastAsia="Calibri" w:cs="Calibri"/>
          <w:noProof w:val="0"/>
          <w:color w:val="000000" w:themeColor="text1" w:themeTint="FF" w:themeShade="FF"/>
          <w:sz w:val="24"/>
          <w:szCs w:val="24"/>
          <w:lang w:val="en-GB"/>
        </w:rPr>
        <w:t>, 1(2), pp. 143–153.</w:t>
      </w:r>
    </w:p>
    <w:p xmlns:wp14="http://schemas.microsoft.com/office/word/2010/wordml" w:rsidP="26BD8501" wp14:paraId="3606AF2E" wp14:textId="15AE2C0B">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Mintzberg, H. (1994) </w:t>
      </w:r>
      <w:r w:rsidRPr="26BD8501" w:rsidR="08A8E029">
        <w:rPr>
          <w:rFonts w:ascii="Calibri" w:hAnsi="Calibri" w:eastAsia="Calibri" w:cs="Calibri"/>
          <w:i w:val="1"/>
          <w:iCs w:val="1"/>
          <w:noProof w:val="0"/>
          <w:color w:val="000000" w:themeColor="text1" w:themeTint="FF" w:themeShade="FF"/>
          <w:sz w:val="24"/>
          <w:szCs w:val="24"/>
          <w:lang w:val="en-GB"/>
        </w:rPr>
        <w:t>The rise and fall of strategic planning</w:t>
      </w:r>
      <w:r w:rsidRPr="26BD8501" w:rsidR="08A8E029">
        <w:rPr>
          <w:rFonts w:ascii="Calibri" w:hAnsi="Calibri" w:eastAsia="Calibri" w:cs="Calibri"/>
          <w:noProof w:val="0"/>
          <w:color w:val="000000" w:themeColor="text1" w:themeTint="FF" w:themeShade="FF"/>
          <w:sz w:val="24"/>
          <w:szCs w:val="24"/>
          <w:lang w:val="en-GB"/>
        </w:rPr>
        <w:t>. New York: Free Press.</w:t>
      </w:r>
    </w:p>
    <w:p xmlns:wp14="http://schemas.microsoft.com/office/word/2010/wordml" w:rsidP="26BD8501" wp14:paraId="6C832649" wp14:textId="4045F01F">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Mintzberg, H., Ahlstrand, B. and Lampel, J. (2009) </w:t>
      </w:r>
      <w:r w:rsidRPr="26BD8501" w:rsidR="08A8E029">
        <w:rPr>
          <w:rFonts w:ascii="Calibri" w:hAnsi="Calibri" w:eastAsia="Calibri" w:cs="Calibri"/>
          <w:i w:val="1"/>
          <w:iCs w:val="1"/>
          <w:noProof w:val="0"/>
          <w:color w:val="000000" w:themeColor="text1" w:themeTint="FF" w:themeShade="FF"/>
          <w:sz w:val="24"/>
          <w:szCs w:val="24"/>
          <w:lang w:val="en-GB"/>
        </w:rPr>
        <w:t>Strategy safari</w:t>
      </w:r>
      <w:r w:rsidRPr="26BD8501" w:rsidR="08A8E029">
        <w:rPr>
          <w:rFonts w:ascii="Calibri" w:hAnsi="Calibri" w:eastAsia="Calibri" w:cs="Calibri"/>
          <w:noProof w:val="0"/>
          <w:color w:val="000000" w:themeColor="text1" w:themeTint="FF" w:themeShade="FF"/>
          <w:sz w:val="24"/>
          <w:szCs w:val="24"/>
          <w:lang w:val="en-GB"/>
        </w:rPr>
        <w:t>. Harlow: Pearson.</w:t>
      </w:r>
    </w:p>
    <w:p xmlns:wp14="http://schemas.microsoft.com/office/word/2010/wordml" w:rsidP="26BD8501" wp14:paraId="34A8AF54" wp14:textId="06EC6111">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Pickton, D.W. and Wright, S. (1998) ‘What’s SWOT in strategic analysis?’, </w:t>
      </w:r>
      <w:r w:rsidRPr="26BD8501" w:rsidR="08A8E029">
        <w:rPr>
          <w:rFonts w:ascii="Calibri" w:hAnsi="Calibri" w:eastAsia="Calibri" w:cs="Calibri"/>
          <w:i w:val="1"/>
          <w:iCs w:val="1"/>
          <w:noProof w:val="0"/>
          <w:color w:val="000000" w:themeColor="text1" w:themeTint="FF" w:themeShade="FF"/>
          <w:sz w:val="24"/>
          <w:szCs w:val="24"/>
          <w:lang w:val="en-GB"/>
        </w:rPr>
        <w:t>Strategic Change</w:t>
      </w:r>
      <w:r w:rsidRPr="26BD8501" w:rsidR="08A8E029">
        <w:rPr>
          <w:rFonts w:ascii="Calibri" w:hAnsi="Calibri" w:eastAsia="Calibri" w:cs="Calibri"/>
          <w:noProof w:val="0"/>
          <w:color w:val="000000" w:themeColor="text1" w:themeTint="FF" w:themeShade="FF"/>
          <w:sz w:val="24"/>
          <w:szCs w:val="24"/>
          <w:lang w:val="en-GB"/>
        </w:rPr>
        <w:t>, 7(2), pp. 101–109.</w:t>
      </w:r>
    </w:p>
    <w:p xmlns:wp14="http://schemas.microsoft.com/office/word/2010/wordml" w:rsidP="26BD8501" wp14:paraId="254051DD" wp14:textId="2FEBFECA">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Porter, M.E. (1980) </w:t>
      </w:r>
      <w:r w:rsidRPr="26BD8501" w:rsidR="08A8E029">
        <w:rPr>
          <w:rFonts w:ascii="Calibri" w:hAnsi="Calibri" w:eastAsia="Calibri" w:cs="Calibri"/>
          <w:i w:val="1"/>
          <w:iCs w:val="1"/>
          <w:noProof w:val="0"/>
          <w:color w:val="000000" w:themeColor="text1" w:themeTint="FF" w:themeShade="FF"/>
          <w:sz w:val="24"/>
          <w:szCs w:val="24"/>
          <w:lang w:val="en-GB"/>
        </w:rPr>
        <w:t>Competitive strategy</w:t>
      </w:r>
      <w:r w:rsidRPr="26BD8501" w:rsidR="08A8E029">
        <w:rPr>
          <w:rFonts w:ascii="Calibri" w:hAnsi="Calibri" w:eastAsia="Calibri" w:cs="Calibri"/>
          <w:noProof w:val="0"/>
          <w:color w:val="000000" w:themeColor="text1" w:themeTint="FF" w:themeShade="FF"/>
          <w:sz w:val="24"/>
          <w:szCs w:val="24"/>
          <w:lang w:val="en-GB"/>
        </w:rPr>
        <w:t>. New York: Free Press.</w:t>
      </w:r>
    </w:p>
    <w:p xmlns:wp14="http://schemas.microsoft.com/office/word/2010/wordml" w:rsidP="26BD8501" wp14:paraId="2A3C3C86" wp14:textId="69EA4DF6">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Porter, M.E. (2008) ‘The five competitive forces that shape strategy’, </w:t>
      </w:r>
      <w:r w:rsidRPr="26BD8501" w:rsidR="08A8E029">
        <w:rPr>
          <w:rFonts w:ascii="Calibri" w:hAnsi="Calibri" w:eastAsia="Calibri" w:cs="Calibri"/>
          <w:i w:val="1"/>
          <w:iCs w:val="1"/>
          <w:noProof w:val="0"/>
          <w:color w:val="000000" w:themeColor="text1" w:themeTint="FF" w:themeShade="FF"/>
          <w:sz w:val="24"/>
          <w:szCs w:val="24"/>
          <w:lang w:val="en-GB"/>
        </w:rPr>
        <w:t>Harvard Business Review</w:t>
      </w:r>
      <w:r w:rsidRPr="26BD8501" w:rsidR="08A8E029">
        <w:rPr>
          <w:rFonts w:ascii="Calibri" w:hAnsi="Calibri" w:eastAsia="Calibri" w:cs="Calibri"/>
          <w:noProof w:val="0"/>
          <w:color w:val="000000" w:themeColor="text1" w:themeTint="FF" w:themeShade="FF"/>
          <w:sz w:val="24"/>
          <w:szCs w:val="24"/>
          <w:lang w:val="en-GB"/>
        </w:rPr>
        <w:t>, 86(1), pp. 78–93.</w:t>
      </w:r>
    </w:p>
    <w:p xmlns:wp14="http://schemas.microsoft.com/office/word/2010/wordml" w:rsidP="26BD8501" wp14:paraId="36899E52" wp14:textId="20584CA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Ratten, V. (2020) </w:t>
      </w:r>
      <w:r w:rsidRPr="26BD8501" w:rsidR="08A8E029">
        <w:rPr>
          <w:rFonts w:ascii="Calibri" w:hAnsi="Calibri" w:eastAsia="Calibri" w:cs="Calibri"/>
          <w:i w:val="1"/>
          <w:iCs w:val="1"/>
          <w:noProof w:val="0"/>
          <w:color w:val="000000" w:themeColor="text1" w:themeTint="FF" w:themeShade="FF"/>
          <w:sz w:val="24"/>
          <w:szCs w:val="24"/>
          <w:lang w:val="en-GB"/>
        </w:rPr>
        <w:t>Sport entrepreneurship and innovation</w:t>
      </w:r>
      <w:r w:rsidRPr="26BD8501" w:rsidR="08A8E029">
        <w:rPr>
          <w:rFonts w:ascii="Calibri" w:hAnsi="Calibri" w:eastAsia="Calibri" w:cs="Calibri"/>
          <w:noProof w:val="0"/>
          <w:color w:val="000000" w:themeColor="text1" w:themeTint="FF" w:themeShade="FF"/>
          <w:sz w:val="24"/>
          <w:szCs w:val="24"/>
          <w:lang w:val="en-GB"/>
        </w:rPr>
        <w:t>. London: Routledge.</w:t>
      </w:r>
    </w:p>
    <w:p xmlns:wp14="http://schemas.microsoft.com/office/word/2010/wordml" w:rsidP="26BD8501" wp14:paraId="1343602B" wp14:textId="5255B6C6">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Rumelt, R.P. (2011) </w:t>
      </w:r>
      <w:r w:rsidRPr="26BD8501" w:rsidR="08A8E029">
        <w:rPr>
          <w:rFonts w:ascii="Calibri" w:hAnsi="Calibri" w:eastAsia="Calibri" w:cs="Calibri"/>
          <w:i w:val="1"/>
          <w:iCs w:val="1"/>
          <w:noProof w:val="0"/>
          <w:color w:val="000000" w:themeColor="text1" w:themeTint="FF" w:themeShade="FF"/>
          <w:sz w:val="24"/>
          <w:szCs w:val="24"/>
          <w:lang w:val="en-GB"/>
        </w:rPr>
        <w:t>Good strategy/bad strategy</w:t>
      </w:r>
      <w:r w:rsidRPr="26BD8501" w:rsidR="08A8E029">
        <w:rPr>
          <w:rFonts w:ascii="Calibri" w:hAnsi="Calibri" w:eastAsia="Calibri" w:cs="Calibri"/>
          <w:noProof w:val="0"/>
          <w:color w:val="000000" w:themeColor="text1" w:themeTint="FF" w:themeShade="FF"/>
          <w:sz w:val="24"/>
          <w:szCs w:val="24"/>
          <w:lang w:val="en-GB"/>
        </w:rPr>
        <w:t>. London: Profile Books.</w:t>
      </w:r>
    </w:p>
    <w:p xmlns:wp14="http://schemas.microsoft.com/office/word/2010/wordml" w:rsidP="26BD8501" wp14:paraId="1AC7CBB2" wp14:textId="647EA91F">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Shilbury, D. (2012) </w:t>
      </w:r>
      <w:r w:rsidRPr="26BD8501" w:rsidR="08A8E029">
        <w:rPr>
          <w:rFonts w:ascii="Calibri" w:hAnsi="Calibri" w:eastAsia="Calibri" w:cs="Calibri"/>
          <w:i w:val="1"/>
          <w:iCs w:val="1"/>
          <w:noProof w:val="0"/>
          <w:color w:val="000000" w:themeColor="text1" w:themeTint="FF" w:themeShade="FF"/>
          <w:sz w:val="24"/>
          <w:szCs w:val="24"/>
          <w:lang w:val="en-GB"/>
        </w:rPr>
        <w:t>Strategic sport marketing</w:t>
      </w:r>
      <w:r w:rsidRPr="26BD8501" w:rsidR="08A8E029">
        <w:rPr>
          <w:rFonts w:ascii="Calibri" w:hAnsi="Calibri" w:eastAsia="Calibri" w:cs="Calibri"/>
          <w:noProof w:val="0"/>
          <w:color w:val="000000" w:themeColor="text1" w:themeTint="FF" w:themeShade="FF"/>
          <w:sz w:val="24"/>
          <w:szCs w:val="24"/>
          <w:lang w:val="en-GB"/>
        </w:rPr>
        <w:t>. Crows Nest: Allen &amp; Unwin.</w:t>
      </w:r>
    </w:p>
    <w:p xmlns:wp14="http://schemas.microsoft.com/office/word/2010/wordml" w:rsidP="26BD8501" wp14:paraId="1FFFF2A9" wp14:textId="72BD02A0">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Shilbury, D. and Ferkins, L. (2020) ‘Sport governance: Issues and challenges’, in </w:t>
      </w:r>
      <w:r w:rsidRPr="26BD8501" w:rsidR="08A8E029">
        <w:rPr>
          <w:rFonts w:ascii="Calibri" w:hAnsi="Calibri" w:eastAsia="Calibri" w:cs="Calibri"/>
          <w:i w:val="1"/>
          <w:iCs w:val="1"/>
          <w:noProof w:val="0"/>
          <w:color w:val="000000" w:themeColor="text1" w:themeTint="FF" w:themeShade="FF"/>
          <w:sz w:val="24"/>
          <w:szCs w:val="24"/>
          <w:lang w:val="en-GB"/>
        </w:rPr>
        <w:t>Sport management</w:t>
      </w:r>
      <w:r w:rsidRPr="26BD8501" w:rsidR="08A8E029">
        <w:rPr>
          <w:rFonts w:ascii="Calibri" w:hAnsi="Calibri" w:eastAsia="Calibri" w:cs="Calibri"/>
          <w:noProof w:val="0"/>
          <w:color w:val="000000" w:themeColor="text1" w:themeTint="FF" w:themeShade="FF"/>
          <w:sz w:val="24"/>
          <w:szCs w:val="24"/>
          <w:lang w:val="en-GB"/>
        </w:rPr>
        <w:t>. Crows Nest: Allen &amp; Unwin.</w:t>
      </w:r>
    </w:p>
    <w:p xmlns:wp14="http://schemas.microsoft.com/office/word/2010/wordml" w:rsidP="26BD8501" wp14:paraId="391227ED" wp14:textId="00F375FC">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Shilbury, D. et al. (2020) </w:t>
      </w:r>
      <w:r w:rsidRPr="26BD8501" w:rsidR="08A8E029">
        <w:rPr>
          <w:rFonts w:ascii="Calibri" w:hAnsi="Calibri" w:eastAsia="Calibri" w:cs="Calibri"/>
          <w:i w:val="1"/>
          <w:iCs w:val="1"/>
          <w:noProof w:val="0"/>
          <w:color w:val="000000" w:themeColor="text1" w:themeTint="FF" w:themeShade="FF"/>
          <w:sz w:val="24"/>
          <w:szCs w:val="24"/>
          <w:lang w:val="en-GB"/>
        </w:rPr>
        <w:t>Sport management</w:t>
      </w:r>
      <w:r w:rsidRPr="26BD8501" w:rsidR="08A8E029">
        <w:rPr>
          <w:rFonts w:ascii="Calibri" w:hAnsi="Calibri" w:eastAsia="Calibri" w:cs="Calibri"/>
          <w:noProof w:val="0"/>
          <w:color w:val="000000" w:themeColor="text1" w:themeTint="FF" w:themeShade="FF"/>
          <w:sz w:val="24"/>
          <w:szCs w:val="24"/>
          <w:lang w:val="en-GB"/>
        </w:rPr>
        <w:t>. Crows Nest: Allen &amp; Unwin.</w:t>
      </w:r>
    </w:p>
    <w:p xmlns:wp14="http://schemas.microsoft.com/office/word/2010/wordml" w:rsidP="26BD8501" wp14:paraId="37FB59FD" wp14:textId="5A0D531C">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Slack, T. and Parent, M.M. (2015) </w:t>
      </w:r>
      <w:r w:rsidRPr="26BD8501" w:rsidR="08A8E029">
        <w:rPr>
          <w:rFonts w:ascii="Calibri" w:hAnsi="Calibri" w:eastAsia="Calibri" w:cs="Calibri"/>
          <w:i w:val="1"/>
          <w:iCs w:val="1"/>
          <w:noProof w:val="0"/>
          <w:color w:val="000000" w:themeColor="text1" w:themeTint="FF" w:themeShade="FF"/>
          <w:sz w:val="24"/>
          <w:szCs w:val="24"/>
          <w:lang w:val="en-GB"/>
        </w:rPr>
        <w:t>Understanding sport organizations</w:t>
      </w:r>
      <w:r w:rsidRPr="26BD8501" w:rsidR="08A8E029">
        <w:rPr>
          <w:rFonts w:ascii="Calibri" w:hAnsi="Calibri" w:eastAsia="Calibri" w:cs="Calibri"/>
          <w:noProof w:val="0"/>
          <w:color w:val="000000" w:themeColor="text1" w:themeTint="FF" w:themeShade="FF"/>
          <w:sz w:val="24"/>
          <w:szCs w:val="24"/>
          <w:lang w:val="en-GB"/>
        </w:rPr>
        <w:t>. Champaign: Human Kinetics.</w:t>
      </w:r>
    </w:p>
    <w:p xmlns:wp14="http://schemas.microsoft.com/office/word/2010/wordml" w:rsidP="26BD8501" wp14:paraId="3AA4B3A9" wp14:textId="65661F5E">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Slack, T., Byers, T. and Thurston, N. (2020) </w:t>
      </w:r>
      <w:r w:rsidRPr="26BD8501" w:rsidR="08A8E029">
        <w:rPr>
          <w:rFonts w:ascii="Calibri" w:hAnsi="Calibri" w:eastAsia="Calibri" w:cs="Calibri"/>
          <w:i w:val="1"/>
          <w:iCs w:val="1"/>
          <w:noProof w:val="0"/>
          <w:color w:val="000000" w:themeColor="text1" w:themeTint="FF" w:themeShade="FF"/>
          <w:sz w:val="24"/>
          <w:szCs w:val="24"/>
          <w:lang w:val="en-GB"/>
        </w:rPr>
        <w:t>Understanding sport organizations</w:t>
      </w:r>
      <w:r w:rsidRPr="26BD8501" w:rsidR="08A8E029">
        <w:rPr>
          <w:rFonts w:ascii="Calibri" w:hAnsi="Calibri" w:eastAsia="Calibri" w:cs="Calibri"/>
          <w:noProof w:val="0"/>
          <w:color w:val="000000" w:themeColor="text1" w:themeTint="FF" w:themeShade="FF"/>
          <w:sz w:val="24"/>
          <w:szCs w:val="24"/>
          <w:lang w:val="en-GB"/>
        </w:rPr>
        <w:t>. Champaign: Human Kinetics.</w:t>
      </w:r>
    </w:p>
    <w:p xmlns:wp14="http://schemas.microsoft.com/office/word/2010/wordml" w:rsidP="26BD8501" wp14:paraId="72F8D965" wp14:textId="03EFDA98">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Smith, A.C.T. and Stewart, B. (2010) ‘The special features of sport’, </w:t>
      </w:r>
      <w:r w:rsidRPr="26BD8501" w:rsidR="08A8E029">
        <w:rPr>
          <w:rFonts w:ascii="Calibri" w:hAnsi="Calibri" w:eastAsia="Calibri" w:cs="Calibri"/>
          <w:i w:val="1"/>
          <w:iCs w:val="1"/>
          <w:noProof w:val="0"/>
          <w:color w:val="000000" w:themeColor="text1" w:themeTint="FF" w:themeShade="FF"/>
          <w:sz w:val="24"/>
          <w:szCs w:val="24"/>
          <w:lang w:val="en-GB"/>
        </w:rPr>
        <w:t>Sport Management Review</w:t>
      </w:r>
      <w:r w:rsidRPr="26BD8501" w:rsidR="08A8E029">
        <w:rPr>
          <w:rFonts w:ascii="Calibri" w:hAnsi="Calibri" w:eastAsia="Calibri" w:cs="Calibri"/>
          <w:noProof w:val="0"/>
          <w:color w:val="000000" w:themeColor="text1" w:themeTint="FF" w:themeShade="FF"/>
          <w:sz w:val="24"/>
          <w:szCs w:val="24"/>
          <w:lang w:val="en-GB"/>
        </w:rPr>
        <w:t>, 13(1), pp. 1–13.</w:t>
      </w:r>
    </w:p>
    <w:p xmlns:wp14="http://schemas.microsoft.com/office/word/2010/wordml" w:rsidP="26BD8501" wp14:paraId="0C2AF507" wp14:textId="25888905">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UEFA (2022) </w:t>
      </w:r>
      <w:r w:rsidRPr="26BD8501" w:rsidR="08A8E029">
        <w:rPr>
          <w:rFonts w:ascii="Calibri" w:hAnsi="Calibri" w:eastAsia="Calibri" w:cs="Calibri"/>
          <w:i w:val="1"/>
          <w:iCs w:val="1"/>
          <w:noProof w:val="0"/>
          <w:color w:val="000000" w:themeColor="text1" w:themeTint="FF" w:themeShade="FF"/>
          <w:sz w:val="24"/>
          <w:szCs w:val="24"/>
          <w:lang w:val="en-GB"/>
        </w:rPr>
        <w:t>The growth of women’s football across Europe</w:t>
      </w:r>
      <w:r w:rsidRPr="26BD8501" w:rsidR="08A8E029">
        <w:rPr>
          <w:rFonts w:ascii="Calibri" w:hAnsi="Calibri" w:eastAsia="Calibri" w:cs="Calibri"/>
          <w:noProof w:val="0"/>
          <w:color w:val="000000" w:themeColor="text1" w:themeTint="FF" w:themeShade="FF"/>
          <w:sz w:val="24"/>
          <w:szCs w:val="24"/>
          <w:lang w:val="en-GB"/>
        </w:rPr>
        <w:t xml:space="preserve">. Available at: </w:t>
      </w:r>
      <w:hyperlink r:id="R5fb507ba156a433c">
        <w:r w:rsidRPr="26BD8501" w:rsidR="08A8E029">
          <w:rPr>
            <w:rStyle w:val="Hyperlink"/>
            <w:rFonts w:ascii="Calibri" w:hAnsi="Calibri" w:eastAsia="Calibri" w:cs="Calibri"/>
            <w:noProof w:val="0"/>
            <w:color w:val="000000" w:themeColor="text1" w:themeTint="FF" w:themeShade="FF"/>
            <w:sz w:val="24"/>
            <w:szCs w:val="24"/>
            <w:lang w:val="en-GB"/>
          </w:rPr>
          <w:t>https://www.uefa.com</w:t>
        </w:r>
      </w:hyperlink>
      <w:r w:rsidRPr="26BD8501" w:rsidR="08A8E029">
        <w:rPr>
          <w:rFonts w:ascii="Calibri" w:hAnsi="Calibri" w:eastAsia="Calibri" w:cs="Calibri"/>
          <w:noProof w:val="0"/>
          <w:color w:val="000000" w:themeColor="text1" w:themeTint="FF" w:themeShade="FF"/>
          <w:sz w:val="24"/>
          <w:szCs w:val="24"/>
          <w:lang w:val="en-GB"/>
        </w:rPr>
        <w:t xml:space="preserve"> (Accessed: 24/4/26).</w:t>
      </w:r>
    </w:p>
    <w:p xmlns:wp14="http://schemas.microsoft.com/office/word/2010/wordml" w:rsidP="26BD8501" wp14:paraId="669C8B80" wp14:textId="03539312">
      <w:pPr>
        <w:spacing w:before="120" w:beforeAutospacing="off" w:after="120" w:afterAutospacing="off"/>
        <w:rPr>
          <w:rFonts w:ascii="Calibri" w:hAnsi="Calibri" w:eastAsia="Calibri" w:cs="Calibri"/>
          <w:noProof w:val="0"/>
          <w:color w:val="000000" w:themeColor="text1" w:themeTint="FF" w:themeShade="FF"/>
          <w:sz w:val="24"/>
          <w:szCs w:val="24"/>
          <w:lang w:val="en-GB"/>
        </w:rPr>
      </w:pPr>
      <w:r w:rsidRPr="26BD8501" w:rsidR="08A8E029">
        <w:rPr>
          <w:rFonts w:ascii="Calibri" w:hAnsi="Calibri" w:eastAsia="Calibri" w:cs="Calibri"/>
          <w:noProof w:val="0"/>
          <w:color w:val="000000" w:themeColor="text1" w:themeTint="FF" w:themeShade="FF"/>
          <w:sz w:val="24"/>
          <w:szCs w:val="24"/>
          <w:lang w:val="en-GB"/>
        </w:rPr>
        <w:t xml:space="preserve">Yüksel, İ. (2012) ‘Developing a multi-criteria decision making model for PESTEL analysis’, </w:t>
      </w:r>
      <w:r w:rsidRPr="26BD8501" w:rsidR="08A8E029">
        <w:rPr>
          <w:rFonts w:ascii="Calibri" w:hAnsi="Calibri" w:eastAsia="Calibri" w:cs="Calibri"/>
          <w:i w:val="1"/>
          <w:iCs w:val="1"/>
          <w:noProof w:val="0"/>
          <w:color w:val="000000" w:themeColor="text1" w:themeTint="FF" w:themeShade="FF"/>
          <w:sz w:val="24"/>
          <w:szCs w:val="24"/>
          <w:lang w:val="en-GB"/>
        </w:rPr>
        <w:t>International Journal of Business and Management</w:t>
      </w:r>
      <w:r w:rsidRPr="26BD8501" w:rsidR="08A8E029">
        <w:rPr>
          <w:rFonts w:ascii="Calibri" w:hAnsi="Calibri" w:eastAsia="Calibri" w:cs="Calibri"/>
          <w:noProof w:val="0"/>
          <w:color w:val="000000" w:themeColor="text1" w:themeTint="FF" w:themeShade="FF"/>
          <w:sz w:val="24"/>
          <w:szCs w:val="24"/>
          <w:lang w:val="en-GB"/>
        </w:rPr>
        <w:t>, 7(24), pp. 52–66.</w:t>
      </w:r>
    </w:p>
    <w:p xmlns:wp14="http://schemas.microsoft.com/office/word/2010/wordml" w:rsidP="26BD8501" wp14:paraId="5E5787A5" wp14:textId="7C60B6C4">
      <w:pPr>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5AEFC2"/>
    <w:rsid w:val="046A0056"/>
    <w:rsid w:val="08A8E029"/>
    <w:rsid w:val="26BD8501"/>
    <w:rsid w:val="79D64ED6"/>
    <w:rsid w:val="7E5AE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8427B"/>
  <w15:chartTrackingRefBased/>
  <w15:docId w15:val="{DCF8FDA7-7B73-4F0D-9D23-9C71060685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6BD850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6BD85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aw.cymru/" TargetMode="External" Id="R935057d0b4044154" /><Relationship Type="http://schemas.openxmlformats.org/officeDocument/2006/relationships/hyperlink" Target="https://www.uefa.com/" TargetMode="External" Id="R5fb507ba156a43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Darley (2314546)</dc:creator>
  <keywords/>
  <dc:description/>
  <lastModifiedBy>Cole Darley (2314546)</lastModifiedBy>
  <revision>2</revision>
  <dcterms:created xsi:type="dcterms:W3CDTF">2026-05-01T17:02:03.2891927Z</dcterms:created>
  <dcterms:modified xsi:type="dcterms:W3CDTF">2026-05-01T17:04:13.7637519Z</dcterms:modified>
</coreProperties>
</file>