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32983" w14:textId="77777777" w:rsidR="0082498E" w:rsidRDefault="0082498E" w:rsidP="0082498E">
      <w:pPr>
        <w:jc w:val="center"/>
        <w:rPr>
          <w:rFonts w:ascii="Arial" w:hAnsi="Arial" w:cs="Arial"/>
          <w:b/>
          <w:bCs/>
          <w:sz w:val="24"/>
          <w:szCs w:val="24"/>
        </w:rPr>
      </w:pPr>
    </w:p>
    <w:p w14:paraId="520C76FB" w14:textId="77777777" w:rsidR="0082498E" w:rsidRDefault="0082498E" w:rsidP="0082498E">
      <w:pPr>
        <w:jc w:val="center"/>
        <w:rPr>
          <w:rFonts w:ascii="Arial" w:hAnsi="Arial" w:cs="Arial"/>
          <w:b/>
          <w:bCs/>
          <w:sz w:val="24"/>
          <w:szCs w:val="24"/>
        </w:rPr>
      </w:pPr>
    </w:p>
    <w:p w14:paraId="433D66B5" w14:textId="77777777" w:rsidR="0082498E" w:rsidRDefault="0082498E" w:rsidP="0082498E">
      <w:pPr>
        <w:jc w:val="center"/>
        <w:rPr>
          <w:rFonts w:ascii="Arial" w:hAnsi="Arial" w:cs="Arial"/>
          <w:b/>
          <w:bCs/>
          <w:sz w:val="24"/>
          <w:szCs w:val="24"/>
        </w:rPr>
      </w:pPr>
    </w:p>
    <w:p w14:paraId="2599FA55" w14:textId="77777777" w:rsidR="0082498E" w:rsidRDefault="0082498E" w:rsidP="0082498E">
      <w:pPr>
        <w:jc w:val="center"/>
        <w:rPr>
          <w:rFonts w:ascii="Arial" w:hAnsi="Arial" w:cs="Arial"/>
          <w:b/>
          <w:bCs/>
          <w:sz w:val="24"/>
          <w:szCs w:val="24"/>
        </w:rPr>
      </w:pPr>
    </w:p>
    <w:p w14:paraId="1F255AC9" w14:textId="77777777" w:rsidR="0082498E" w:rsidRDefault="0082498E" w:rsidP="0082498E">
      <w:pPr>
        <w:jc w:val="center"/>
        <w:rPr>
          <w:rFonts w:ascii="Arial" w:hAnsi="Arial" w:cs="Arial"/>
          <w:b/>
          <w:bCs/>
          <w:sz w:val="24"/>
          <w:szCs w:val="24"/>
        </w:rPr>
      </w:pPr>
      <w:r w:rsidRPr="009309D2">
        <w:rPr>
          <w:rFonts w:ascii="Arial" w:hAnsi="Arial" w:cs="Arial"/>
          <w:b/>
          <w:bCs/>
          <w:sz w:val="24"/>
          <w:szCs w:val="24"/>
        </w:rPr>
        <w:t>5CO02 Evidence-Based Practice</w:t>
      </w:r>
      <w:r w:rsidRPr="009309D2">
        <w:rPr>
          <w:rFonts w:ascii="Arial" w:hAnsi="Arial" w:cs="Arial"/>
          <w:b/>
          <w:bCs/>
          <w:sz w:val="24"/>
          <w:szCs w:val="24"/>
        </w:rPr>
        <w:br/>
        <w:t>by Keera Crabb</w:t>
      </w:r>
    </w:p>
    <w:p w14:paraId="77188491" w14:textId="64F92BDA" w:rsidR="0082498E" w:rsidRPr="0049462C" w:rsidRDefault="00A036DB" w:rsidP="0082498E">
      <w:pPr>
        <w:jc w:val="center"/>
        <w:rPr>
          <w:rFonts w:ascii="Arial" w:hAnsi="Arial" w:cs="Arial"/>
          <w:sz w:val="24"/>
          <w:szCs w:val="24"/>
        </w:rPr>
      </w:pPr>
      <w:r>
        <w:rPr>
          <w:rFonts w:ascii="Arial" w:hAnsi="Arial" w:cs="Arial"/>
          <w:sz w:val="24"/>
          <w:szCs w:val="24"/>
        </w:rPr>
        <w:t xml:space="preserve">Word count: </w:t>
      </w:r>
      <w:r w:rsidRPr="0049462C">
        <w:rPr>
          <w:rFonts w:ascii="Arial" w:hAnsi="Arial" w:cs="Arial"/>
          <w:strike/>
          <w:sz w:val="24"/>
          <w:szCs w:val="24"/>
        </w:rPr>
        <w:t>3</w:t>
      </w:r>
      <w:r w:rsidR="00C76842" w:rsidRPr="0049462C">
        <w:rPr>
          <w:rFonts w:ascii="Arial" w:hAnsi="Arial" w:cs="Arial"/>
          <w:strike/>
          <w:sz w:val="24"/>
          <w:szCs w:val="24"/>
        </w:rPr>
        <w:t>556</w:t>
      </w:r>
      <w:r w:rsidR="0049462C">
        <w:rPr>
          <w:rFonts w:ascii="Arial" w:hAnsi="Arial" w:cs="Arial"/>
          <w:strike/>
          <w:sz w:val="24"/>
          <w:szCs w:val="24"/>
        </w:rPr>
        <w:t xml:space="preserve"> </w:t>
      </w:r>
      <w:r w:rsidR="0049462C">
        <w:rPr>
          <w:rFonts w:ascii="Arial" w:hAnsi="Arial" w:cs="Arial"/>
          <w:sz w:val="24"/>
          <w:szCs w:val="24"/>
        </w:rPr>
        <w:t>4102</w:t>
      </w:r>
    </w:p>
    <w:p w14:paraId="02A2ADAF" w14:textId="77777777" w:rsidR="0082498E" w:rsidRDefault="0082498E" w:rsidP="0082498E">
      <w:pPr>
        <w:rPr>
          <w:rFonts w:ascii="Arial" w:hAnsi="Arial" w:cs="Arial"/>
          <w:sz w:val="24"/>
          <w:szCs w:val="24"/>
        </w:rPr>
      </w:pPr>
    </w:p>
    <w:p w14:paraId="35EDC18E" w14:textId="77777777" w:rsidR="0082498E" w:rsidRDefault="0082498E" w:rsidP="0082498E">
      <w:pPr>
        <w:rPr>
          <w:rFonts w:ascii="Arial" w:hAnsi="Arial" w:cs="Arial"/>
          <w:sz w:val="24"/>
          <w:szCs w:val="24"/>
        </w:rPr>
      </w:pPr>
    </w:p>
    <w:p w14:paraId="7D273A27" w14:textId="77777777" w:rsidR="0082498E" w:rsidRDefault="0082498E" w:rsidP="0082498E">
      <w:pPr>
        <w:rPr>
          <w:rFonts w:ascii="Arial" w:hAnsi="Arial" w:cs="Arial"/>
          <w:sz w:val="24"/>
          <w:szCs w:val="24"/>
        </w:rPr>
      </w:pPr>
    </w:p>
    <w:p w14:paraId="64EEEBA4" w14:textId="77777777" w:rsidR="0082498E" w:rsidRDefault="0082498E" w:rsidP="0082498E">
      <w:pPr>
        <w:rPr>
          <w:rFonts w:ascii="Arial" w:hAnsi="Arial" w:cs="Arial"/>
          <w:sz w:val="24"/>
          <w:szCs w:val="24"/>
        </w:rPr>
      </w:pPr>
    </w:p>
    <w:p w14:paraId="3CD2EDFC" w14:textId="77777777" w:rsidR="0082498E" w:rsidRDefault="0082498E" w:rsidP="0082498E">
      <w:pPr>
        <w:rPr>
          <w:rFonts w:ascii="Arial" w:hAnsi="Arial" w:cs="Arial"/>
          <w:sz w:val="24"/>
          <w:szCs w:val="24"/>
        </w:rPr>
      </w:pPr>
    </w:p>
    <w:p w14:paraId="0300BC9C" w14:textId="77777777" w:rsidR="0082498E" w:rsidRDefault="0082498E" w:rsidP="0082498E">
      <w:pPr>
        <w:rPr>
          <w:rFonts w:ascii="Arial" w:hAnsi="Arial" w:cs="Arial"/>
          <w:sz w:val="24"/>
          <w:szCs w:val="24"/>
        </w:rPr>
      </w:pPr>
    </w:p>
    <w:p w14:paraId="4E505AE7" w14:textId="77777777" w:rsidR="0082498E" w:rsidRDefault="0082498E" w:rsidP="0082498E">
      <w:pPr>
        <w:rPr>
          <w:rFonts w:ascii="Arial" w:hAnsi="Arial" w:cs="Arial"/>
          <w:sz w:val="24"/>
          <w:szCs w:val="24"/>
        </w:rPr>
      </w:pPr>
    </w:p>
    <w:p w14:paraId="7BBC2C87" w14:textId="77777777" w:rsidR="0082498E" w:rsidRDefault="0082498E" w:rsidP="0082498E">
      <w:pPr>
        <w:rPr>
          <w:rFonts w:ascii="Arial" w:hAnsi="Arial" w:cs="Arial"/>
          <w:sz w:val="24"/>
          <w:szCs w:val="24"/>
        </w:rPr>
      </w:pPr>
    </w:p>
    <w:p w14:paraId="7D053B5D" w14:textId="77777777" w:rsidR="0082498E" w:rsidRDefault="0082498E" w:rsidP="0082498E">
      <w:pPr>
        <w:rPr>
          <w:rFonts w:ascii="Arial" w:hAnsi="Arial" w:cs="Arial"/>
          <w:sz w:val="24"/>
          <w:szCs w:val="24"/>
        </w:rPr>
      </w:pPr>
    </w:p>
    <w:p w14:paraId="4CC35698" w14:textId="77777777" w:rsidR="0082498E" w:rsidRDefault="0082498E" w:rsidP="0082498E">
      <w:pPr>
        <w:rPr>
          <w:rFonts w:ascii="Arial" w:hAnsi="Arial" w:cs="Arial"/>
          <w:sz w:val="24"/>
          <w:szCs w:val="24"/>
        </w:rPr>
      </w:pPr>
    </w:p>
    <w:p w14:paraId="7CDDF023" w14:textId="77777777" w:rsidR="0082498E" w:rsidRDefault="0082498E" w:rsidP="0082498E">
      <w:pPr>
        <w:rPr>
          <w:rFonts w:ascii="Arial" w:hAnsi="Arial" w:cs="Arial"/>
          <w:sz w:val="24"/>
          <w:szCs w:val="24"/>
        </w:rPr>
      </w:pPr>
    </w:p>
    <w:p w14:paraId="695276A2" w14:textId="77777777" w:rsidR="0082498E" w:rsidRDefault="0082498E" w:rsidP="0082498E">
      <w:pPr>
        <w:rPr>
          <w:rFonts w:ascii="Arial" w:hAnsi="Arial" w:cs="Arial"/>
          <w:sz w:val="24"/>
          <w:szCs w:val="24"/>
        </w:rPr>
      </w:pPr>
    </w:p>
    <w:p w14:paraId="1B9E11E0" w14:textId="77777777" w:rsidR="0082498E" w:rsidRDefault="0082498E" w:rsidP="0082498E">
      <w:pPr>
        <w:rPr>
          <w:rFonts w:ascii="Arial" w:hAnsi="Arial" w:cs="Arial"/>
          <w:sz w:val="24"/>
          <w:szCs w:val="24"/>
        </w:rPr>
      </w:pPr>
    </w:p>
    <w:p w14:paraId="1A207CDE" w14:textId="77777777" w:rsidR="0082498E" w:rsidRDefault="0082498E" w:rsidP="0082498E">
      <w:pPr>
        <w:rPr>
          <w:rFonts w:ascii="Arial" w:hAnsi="Arial" w:cs="Arial"/>
          <w:sz w:val="24"/>
          <w:szCs w:val="24"/>
        </w:rPr>
      </w:pPr>
    </w:p>
    <w:p w14:paraId="6B6316DB" w14:textId="77777777" w:rsidR="0082498E" w:rsidRDefault="0082498E" w:rsidP="0082498E">
      <w:pPr>
        <w:rPr>
          <w:rFonts w:ascii="Arial" w:hAnsi="Arial" w:cs="Arial"/>
          <w:sz w:val="24"/>
          <w:szCs w:val="24"/>
        </w:rPr>
      </w:pPr>
    </w:p>
    <w:p w14:paraId="5370B0F7" w14:textId="77777777" w:rsidR="0082498E" w:rsidRDefault="0082498E" w:rsidP="0082498E">
      <w:pPr>
        <w:rPr>
          <w:rFonts w:ascii="Arial" w:hAnsi="Arial" w:cs="Arial"/>
          <w:sz w:val="24"/>
          <w:szCs w:val="24"/>
        </w:rPr>
      </w:pPr>
    </w:p>
    <w:p w14:paraId="2541D2AB" w14:textId="77777777" w:rsidR="0082498E" w:rsidRDefault="0082498E" w:rsidP="0082498E">
      <w:pPr>
        <w:rPr>
          <w:rFonts w:ascii="Arial" w:hAnsi="Arial" w:cs="Arial"/>
          <w:sz w:val="24"/>
          <w:szCs w:val="24"/>
        </w:rPr>
      </w:pPr>
    </w:p>
    <w:p w14:paraId="693BA2EA" w14:textId="77777777" w:rsidR="0082498E" w:rsidRDefault="0082498E" w:rsidP="0082498E">
      <w:pPr>
        <w:rPr>
          <w:rFonts w:ascii="Arial" w:hAnsi="Arial" w:cs="Arial"/>
          <w:sz w:val="24"/>
          <w:szCs w:val="24"/>
        </w:rPr>
      </w:pPr>
    </w:p>
    <w:p w14:paraId="2FE5DF13" w14:textId="77777777" w:rsidR="0082498E" w:rsidRDefault="0082498E" w:rsidP="0082498E">
      <w:pPr>
        <w:rPr>
          <w:rFonts w:ascii="Arial" w:hAnsi="Arial" w:cs="Arial"/>
          <w:sz w:val="24"/>
          <w:szCs w:val="24"/>
        </w:rPr>
      </w:pPr>
    </w:p>
    <w:p w14:paraId="20AB9D3E" w14:textId="77777777" w:rsidR="0082498E" w:rsidRDefault="0082498E" w:rsidP="0082498E">
      <w:pPr>
        <w:rPr>
          <w:rFonts w:ascii="Arial" w:hAnsi="Arial" w:cs="Arial"/>
          <w:sz w:val="24"/>
          <w:szCs w:val="24"/>
        </w:rPr>
      </w:pPr>
    </w:p>
    <w:p w14:paraId="72BC15FB" w14:textId="77777777" w:rsidR="0082498E" w:rsidRDefault="0082498E" w:rsidP="0082498E">
      <w:pPr>
        <w:rPr>
          <w:rFonts w:ascii="Arial" w:hAnsi="Arial" w:cs="Arial"/>
          <w:sz w:val="24"/>
          <w:szCs w:val="24"/>
        </w:rPr>
      </w:pPr>
    </w:p>
    <w:p w14:paraId="34A442CF" w14:textId="77777777" w:rsidR="0082498E" w:rsidRDefault="0082498E" w:rsidP="0082498E">
      <w:pPr>
        <w:rPr>
          <w:rFonts w:ascii="Arial" w:hAnsi="Arial" w:cs="Arial"/>
          <w:sz w:val="24"/>
          <w:szCs w:val="24"/>
        </w:rPr>
      </w:pPr>
    </w:p>
    <w:p w14:paraId="1CA3C629" w14:textId="77777777" w:rsidR="0082498E" w:rsidRDefault="0082498E" w:rsidP="0082498E">
      <w:pPr>
        <w:rPr>
          <w:rFonts w:ascii="Arial" w:hAnsi="Arial" w:cs="Arial"/>
          <w:sz w:val="24"/>
          <w:szCs w:val="24"/>
        </w:rPr>
      </w:pPr>
    </w:p>
    <w:p w14:paraId="3B067DBD" w14:textId="77777777" w:rsidR="00C76842" w:rsidRDefault="00C76842" w:rsidP="0082498E">
      <w:pPr>
        <w:rPr>
          <w:rFonts w:ascii="Arial" w:hAnsi="Arial" w:cs="Arial"/>
          <w:b/>
          <w:bCs/>
          <w:sz w:val="24"/>
          <w:szCs w:val="24"/>
        </w:rPr>
      </w:pPr>
    </w:p>
    <w:p w14:paraId="51F5C6E5" w14:textId="04DD5B5C" w:rsidR="0082498E" w:rsidRPr="005E063F" w:rsidRDefault="0082498E" w:rsidP="0082498E">
      <w:pPr>
        <w:rPr>
          <w:rFonts w:ascii="Arial" w:hAnsi="Arial" w:cs="Arial"/>
          <w:b/>
          <w:bCs/>
          <w:sz w:val="24"/>
          <w:szCs w:val="24"/>
        </w:rPr>
      </w:pPr>
      <w:r w:rsidRPr="005E063F">
        <w:rPr>
          <w:rFonts w:ascii="Arial" w:hAnsi="Arial" w:cs="Arial"/>
          <w:b/>
          <w:bCs/>
          <w:sz w:val="24"/>
          <w:szCs w:val="24"/>
        </w:rPr>
        <w:lastRenderedPageBreak/>
        <w:t>Introduction</w:t>
      </w:r>
    </w:p>
    <w:p w14:paraId="5CDC1B47" w14:textId="77777777" w:rsidR="0082498E" w:rsidRPr="005E063F" w:rsidRDefault="0082498E" w:rsidP="0082498E">
      <w:pPr>
        <w:rPr>
          <w:rFonts w:ascii="Arial" w:hAnsi="Arial" w:cs="Arial"/>
          <w:sz w:val="24"/>
          <w:szCs w:val="24"/>
        </w:rPr>
      </w:pPr>
      <w:r w:rsidRPr="005E063F">
        <w:rPr>
          <w:rFonts w:ascii="Arial" w:hAnsi="Arial" w:cs="Arial"/>
          <w:sz w:val="24"/>
          <w:szCs w:val="24"/>
        </w:rPr>
        <w:t>This briefing paper is designed to provide people practice graduates with a critical insight into the concept of evidence-based practice and its relevance to people professionals. The purpose is to explore how EBP supports informed decision-making in HR, enhancing the quality of outcomes while addressing organi</w:t>
      </w:r>
      <w:r>
        <w:rPr>
          <w:rFonts w:ascii="Arial" w:hAnsi="Arial" w:cs="Arial"/>
          <w:sz w:val="24"/>
          <w:szCs w:val="24"/>
        </w:rPr>
        <w:t>s</w:t>
      </w:r>
      <w:r w:rsidRPr="005E063F">
        <w:rPr>
          <w:rFonts w:ascii="Arial" w:hAnsi="Arial" w:cs="Arial"/>
          <w:sz w:val="24"/>
          <w:szCs w:val="24"/>
        </w:rPr>
        <w:t>ational challenges.</w:t>
      </w:r>
    </w:p>
    <w:p w14:paraId="030F55B4" w14:textId="77777777" w:rsidR="0082498E" w:rsidRDefault="0082498E" w:rsidP="0082498E">
      <w:pPr>
        <w:rPr>
          <w:rFonts w:ascii="Arial" w:hAnsi="Arial" w:cs="Arial"/>
          <w:b/>
          <w:bCs/>
          <w:sz w:val="24"/>
          <w:szCs w:val="24"/>
        </w:rPr>
      </w:pPr>
      <w:r>
        <w:rPr>
          <w:rFonts w:ascii="Arial" w:hAnsi="Arial" w:cs="Arial"/>
          <w:b/>
          <w:bCs/>
          <w:sz w:val="24"/>
          <w:szCs w:val="24"/>
        </w:rPr>
        <w:t>Content</w:t>
      </w:r>
    </w:p>
    <w:p w14:paraId="7E5784DF" w14:textId="77777777" w:rsidR="0082498E" w:rsidRDefault="0082498E" w:rsidP="0082498E">
      <w:pPr>
        <w:rPr>
          <w:rFonts w:ascii="Arial" w:hAnsi="Arial" w:cs="Arial"/>
          <w:sz w:val="24"/>
          <w:szCs w:val="24"/>
        </w:rPr>
      </w:pPr>
      <w:r w:rsidRPr="005E063F">
        <w:rPr>
          <w:rFonts w:ascii="Arial" w:hAnsi="Arial" w:cs="Arial"/>
          <w:sz w:val="24"/>
          <w:szCs w:val="24"/>
        </w:rPr>
        <w:t xml:space="preserve">AC 1.1. Evidence-based practice </w:t>
      </w:r>
      <w:r>
        <w:rPr>
          <w:rFonts w:ascii="Arial" w:hAnsi="Arial" w:cs="Arial"/>
          <w:sz w:val="24"/>
          <w:szCs w:val="24"/>
        </w:rPr>
        <w:br/>
      </w:r>
      <w:r w:rsidRPr="005E063F">
        <w:rPr>
          <w:rFonts w:ascii="Arial" w:hAnsi="Arial" w:cs="Arial"/>
          <w:sz w:val="24"/>
          <w:szCs w:val="24"/>
        </w:rPr>
        <w:t xml:space="preserve">AC 1.2. Analysis tools and methods </w:t>
      </w:r>
      <w:r>
        <w:rPr>
          <w:rFonts w:ascii="Arial" w:hAnsi="Arial" w:cs="Arial"/>
          <w:sz w:val="24"/>
          <w:szCs w:val="24"/>
        </w:rPr>
        <w:br/>
      </w:r>
      <w:r w:rsidRPr="005E063F">
        <w:rPr>
          <w:rFonts w:ascii="Arial" w:hAnsi="Arial" w:cs="Arial"/>
          <w:sz w:val="24"/>
          <w:szCs w:val="24"/>
        </w:rPr>
        <w:t>AC 1.3</w:t>
      </w:r>
      <w:r>
        <w:rPr>
          <w:rFonts w:ascii="Arial" w:hAnsi="Arial" w:cs="Arial"/>
          <w:sz w:val="24"/>
          <w:szCs w:val="24"/>
        </w:rPr>
        <w:t xml:space="preserve"> and 1.4 Critical thinking and decision-making</w:t>
      </w:r>
      <w:r>
        <w:rPr>
          <w:rFonts w:ascii="Arial" w:hAnsi="Arial" w:cs="Arial"/>
          <w:sz w:val="24"/>
          <w:szCs w:val="24"/>
        </w:rPr>
        <w:br/>
      </w:r>
      <w:r w:rsidRPr="005E063F">
        <w:rPr>
          <w:rFonts w:ascii="Arial" w:hAnsi="Arial" w:cs="Arial"/>
          <w:sz w:val="24"/>
          <w:szCs w:val="24"/>
        </w:rPr>
        <w:t xml:space="preserve">AC 1.5. Ethical perspectives </w:t>
      </w:r>
      <w:r>
        <w:rPr>
          <w:rFonts w:ascii="Arial" w:hAnsi="Arial" w:cs="Arial"/>
          <w:sz w:val="24"/>
          <w:szCs w:val="24"/>
        </w:rPr>
        <w:br/>
      </w:r>
      <w:r w:rsidRPr="005E063F">
        <w:rPr>
          <w:rFonts w:ascii="Arial" w:hAnsi="Arial" w:cs="Arial"/>
          <w:sz w:val="24"/>
          <w:szCs w:val="24"/>
        </w:rPr>
        <w:t xml:space="preserve">AC 3.1. Performance measures </w:t>
      </w:r>
      <w:r>
        <w:rPr>
          <w:rFonts w:ascii="Arial" w:hAnsi="Arial" w:cs="Arial"/>
          <w:sz w:val="24"/>
          <w:szCs w:val="24"/>
        </w:rPr>
        <w:br/>
      </w:r>
      <w:r w:rsidRPr="005E063F">
        <w:rPr>
          <w:rFonts w:ascii="Arial" w:hAnsi="Arial" w:cs="Arial"/>
          <w:sz w:val="24"/>
          <w:szCs w:val="24"/>
        </w:rPr>
        <w:t xml:space="preserve">AC 3.2. People practices </w:t>
      </w:r>
      <w:r>
        <w:rPr>
          <w:rFonts w:ascii="Arial" w:hAnsi="Arial" w:cs="Arial"/>
          <w:sz w:val="24"/>
          <w:szCs w:val="24"/>
        </w:rPr>
        <w:br/>
        <w:t>___________________________________________________________________</w:t>
      </w:r>
      <w:r>
        <w:rPr>
          <w:rFonts w:ascii="Arial" w:hAnsi="Arial" w:cs="Arial"/>
          <w:sz w:val="24"/>
          <w:szCs w:val="24"/>
        </w:rPr>
        <w:br/>
      </w:r>
      <w:r>
        <w:rPr>
          <w:rFonts w:ascii="Arial" w:hAnsi="Arial" w:cs="Arial"/>
          <w:sz w:val="24"/>
          <w:szCs w:val="24"/>
        </w:rPr>
        <w:br/>
      </w:r>
      <w:r w:rsidRPr="005E063F">
        <w:rPr>
          <w:rFonts w:ascii="Arial" w:hAnsi="Arial" w:cs="Arial"/>
          <w:sz w:val="24"/>
          <w:szCs w:val="24"/>
        </w:rPr>
        <w:t>AC 2.1</w:t>
      </w:r>
      <w:r>
        <w:rPr>
          <w:rFonts w:ascii="Arial" w:hAnsi="Arial" w:cs="Arial"/>
          <w:sz w:val="24"/>
          <w:szCs w:val="24"/>
        </w:rPr>
        <w:t xml:space="preserve"> &amp; </w:t>
      </w:r>
      <w:r w:rsidRPr="005E063F">
        <w:rPr>
          <w:rFonts w:ascii="Arial" w:hAnsi="Arial" w:cs="Arial"/>
          <w:sz w:val="24"/>
          <w:szCs w:val="24"/>
        </w:rPr>
        <w:t xml:space="preserve">AC 2.2. Analysis and key findings </w:t>
      </w:r>
      <w:r>
        <w:rPr>
          <w:rFonts w:ascii="Arial" w:hAnsi="Arial" w:cs="Arial"/>
          <w:sz w:val="24"/>
          <w:szCs w:val="24"/>
        </w:rPr>
        <w:br/>
      </w:r>
      <w:r w:rsidRPr="005E063F">
        <w:rPr>
          <w:rFonts w:ascii="Arial" w:hAnsi="Arial" w:cs="Arial"/>
          <w:sz w:val="24"/>
          <w:szCs w:val="24"/>
        </w:rPr>
        <w:t xml:space="preserve">AC 2.3. Recommendations </w:t>
      </w:r>
    </w:p>
    <w:p w14:paraId="7E915ED7" w14:textId="77777777" w:rsidR="0082498E" w:rsidRDefault="0082498E" w:rsidP="0082498E">
      <w:pPr>
        <w:rPr>
          <w:rFonts w:ascii="Arial" w:hAnsi="Arial" w:cs="Arial"/>
          <w:sz w:val="24"/>
          <w:szCs w:val="24"/>
        </w:rPr>
      </w:pPr>
      <w:r>
        <w:rPr>
          <w:rFonts w:ascii="Arial" w:hAnsi="Arial" w:cs="Arial"/>
          <w:sz w:val="24"/>
          <w:szCs w:val="24"/>
        </w:rPr>
        <w:t>___________________________________________________________________</w:t>
      </w:r>
    </w:p>
    <w:p w14:paraId="29F04A61" w14:textId="77777777" w:rsidR="0082498E" w:rsidRPr="005E063F" w:rsidRDefault="0082498E" w:rsidP="0082498E">
      <w:pPr>
        <w:rPr>
          <w:rFonts w:ascii="Arial" w:hAnsi="Arial" w:cs="Arial"/>
          <w:sz w:val="24"/>
          <w:szCs w:val="24"/>
        </w:rPr>
      </w:pPr>
      <w:r>
        <w:rPr>
          <w:rFonts w:ascii="Arial" w:hAnsi="Arial" w:cs="Arial"/>
          <w:sz w:val="24"/>
          <w:szCs w:val="24"/>
        </w:rPr>
        <w:t>Bibliography</w:t>
      </w:r>
    </w:p>
    <w:p w14:paraId="026230DA" w14:textId="77777777" w:rsidR="0082498E" w:rsidRDefault="0082498E" w:rsidP="0082498E">
      <w:pPr>
        <w:jc w:val="center"/>
        <w:rPr>
          <w:rFonts w:ascii="Arial" w:hAnsi="Arial" w:cs="Arial"/>
          <w:sz w:val="24"/>
          <w:szCs w:val="24"/>
        </w:rPr>
      </w:pPr>
    </w:p>
    <w:p w14:paraId="0BF8C4DC" w14:textId="77777777" w:rsidR="0082498E" w:rsidRDefault="0082498E" w:rsidP="0082498E">
      <w:pPr>
        <w:jc w:val="center"/>
        <w:rPr>
          <w:rFonts w:ascii="Arial" w:hAnsi="Arial" w:cs="Arial"/>
          <w:sz w:val="24"/>
          <w:szCs w:val="24"/>
        </w:rPr>
      </w:pPr>
    </w:p>
    <w:p w14:paraId="61A4DF19" w14:textId="77777777" w:rsidR="0082498E" w:rsidRDefault="0082498E" w:rsidP="0082498E">
      <w:pPr>
        <w:rPr>
          <w:rFonts w:ascii="Arial" w:hAnsi="Arial" w:cs="Arial"/>
          <w:sz w:val="24"/>
          <w:szCs w:val="24"/>
        </w:rPr>
      </w:pPr>
    </w:p>
    <w:p w14:paraId="0D0FB53E" w14:textId="77777777" w:rsidR="0082498E" w:rsidRDefault="0082498E" w:rsidP="0082498E">
      <w:pPr>
        <w:rPr>
          <w:rFonts w:ascii="Arial" w:hAnsi="Arial" w:cs="Arial"/>
          <w:sz w:val="24"/>
          <w:szCs w:val="24"/>
        </w:rPr>
      </w:pPr>
    </w:p>
    <w:p w14:paraId="2EA8B6AF" w14:textId="77777777" w:rsidR="0082498E" w:rsidRDefault="0082498E" w:rsidP="0082498E">
      <w:pPr>
        <w:rPr>
          <w:rFonts w:ascii="Arial" w:hAnsi="Arial" w:cs="Arial"/>
          <w:sz w:val="24"/>
          <w:szCs w:val="24"/>
        </w:rPr>
      </w:pPr>
    </w:p>
    <w:p w14:paraId="19752308" w14:textId="77777777" w:rsidR="0082498E" w:rsidRDefault="0082498E" w:rsidP="0082498E">
      <w:pPr>
        <w:rPr>
          <w:rFonts w:ascii="Arial" w:hAnsi="Arial" w:cs="Arial"/>
          <w:sz w:val="24"/>
          <w:szCs w:val="24"/>
        </w:rPr>
      </w:pPr>
    </w:p>
    <w:p w14:paraId="3DCD9A03" w14:textId="77777777" w:rsidR="0082498E" w:rsidRDefault="0082498E" w:rsidP="0082498E">
      <w:pPr>
        <w:rPr>
          <w:rFonts w:ascii="Arial" w:hAnsi="Arial" w:cs="Arial"/>
          <w:sz w:val="24"/>
          <w:szCs w:val="24"/>
        </w:rPr>
      </w:pPr>
    </w:p>
    <w:p w14:paraId="139A3019" w14:textId="77777777" w:rsidR="0082498E" w:rsidRDefault="0082498E" w:rsidP="0082498E">
      <w:pPr>
        <w:rPr>
          <w:rFonts w:ascii="Arial" w:hAnsi="Arial" w:cs="Arial"/>
          <w:sz w:val="24"/>
          <w:szCs w:val="24"/>
        </w:rPr>
      </w:pPr>
    </w:p>
    <w:p w14:paraId="1D33DBBE" w14:textId="77777777" w:rsidR="0082498E" w:rsidRDefault="0082498E" w:rsidP="0082498E">
      <w:pPr>
        <w:rPr>
          <w:rFonts w:ascii="Arial" w:hAnsi="Arial" w:cs="Arial"/>
          <w:sz w:val="24"/>
          <w:szCs w:val="24"/>
        </w:rPr>
      </w:pPr>
    </w:p>
    <w:p w14:paraId="6981C563" w14:textId="77777777" w:rsidR="0082498E" w:rsidRDefault="0082498E" w:rsidP="0082498E">
      <w:pPr>
        <w:rPr>
          <w:rFonts w:ascii="Arial" w:hAnsi="Arial" w:cs="Arial"/>
          <w:sz w:val="24"/>
          <w:szCs w:val="24"/>
        </w:rPr>
      </w:pPr>
    </w:p>
    <w:p w14:paraId="327E5E1A" w14:textId="77777777" w:rsidR="0082498E" w:rsidRDefault="0082498E" w:rsidP="0082498E">
      <w:pPr>
        <w:rPr>
          <w:rFonts w:ascii="Arial" w:hAnsi="Arial" w:cs="Arial"/>
          <w:sz w:val="24"/>
          <w:szCs w:val="24"/>
        </w:rPr>
      </w:pPr>
    </w:p>
    <w:p w14:paraId="34ECDDF1" w14:textId="77777777" w:rsidR="0082498E" w:rsidRDefault="0082498E" w:rsidP="0082498E">
      <w:pPr>
        <w:rPr>
          <w:rFonts w:ascii="Arial" w:hAnsi="Arial" w:cs="Arial"/>
          <w:sz w:val="24"/>
          <w:szCs w:val="24"/>
        </w:rPr>
      </w:pPr>
    </w:p>
    <w:p w14:paraId="7E0B3FDD" w14:textId="77777777" w:rsidR="0082498E" w:rsidRDefault="0082498E" w:rsidP="0082498E">
      <w:pPr>
        <w:rPr>
          <w:rFonts w:ascii="Arial" w:hAnsi="Arial" w:cs="Arial"/>
          <w:sz w:val="24"/>
          <w:szCs w:val="24"/>
        </w:rPr>
      </w:pPr>
    </w:p>
    <w:p w14:paraId="109DEEE9" w14:textId="77777777" w:rsidR="0082498E" w:rsidRDefault="0082498E" w:rsidP="0082498E">
      <w:pPr>
        <w:rPr>
          <w:rFonts w:ascii="Arial" w:hAnsi="Arial" w:cs="Arial"/>
          <w:sz w:val="24"/>
          <w:szCs w:val="24"/>
        </w:rPr>
      </w:pPr>
    </w:p>
    <w:p w14:paraId="15E30A3C" w14:textId="77777777" w:rsidR="0082498E" w:rsidRDefault="0082498E" w:rsidP="0082498E">
      <w:pPr>
        <w:rPr>
          <w:rFonts w:ascii="Arial" w:hAnsi="Arial" w:cs="Arial"/>
          <w:sz w:val="24"/>
          <w:szCs w:val="24"/>
        </w:rPr>
      </w:pPr>
    </w:p>
    <w:p w14:paraId="420C4C01" w14:textId="77777777" w:rsidR="0082498E" w:rsidRDefault="0082498E" w:rsidP="0082498E">
      <w:pPr>
        <w:rPr>
          <w:rFonts w:ascii="Arial" w:hAnsi="Arial" w:cs="Arial"/>
          <w:sz w:val="24"/>
          <w:szCs w:val="24"/>
        </w:rPr>
      </w:pPr>
      <w:r w:rsidRPr="006A3623">
        <w:rPr>
          <w:rFonts w:ascii="Arial" w:hAnsi="Arial" w:cs="Arial"/>
          <w:b/>
          <w:bCs/>
          <w:sz w:val="24"/>
          <w:szCs w:val="24"/>
        </w:rPr>
        <w:lastRenderedPageBreak/>
        <w:t>1.1</w:t>
      </w:r>
      <w:r w:rsidRPr="00623489">
        <w:rPr>
          <w:rFonts w:ascii="Arial" w:hAnsi="Arial" w:cs="Arial"/>
          <w:sz w:val="24"/>
          <w:szCs w:val="24"/>
        </w:rPr>
        <w:t xml:space="preserve"> Evidence-based practice</w:t>
      </w:r>
      <w:r>
        <w:rPr>
          <w:rFonts w:ascii="Arial" w:hAnsi="Arial" w:cs="Arial"/>
          <w:sz w:val="24"/>
          <w:szCs w:val="24"/>
        </w:rPr>
        <w:t xml:space="preserve"> is a concept officially defined as ‘making decisions through the conscientious, explicit and judicious use of the best available evidence’ (Barons, 2019, 0:38-1:14). </w:t>
      </w:r>
      <w:r w:rsidRPr="00F973B2">
        <w:rPr>
          <w:rFonts w:ascii="Arial" w:hAnsi="Arial" w:cs="Arial"/>
          <w:sz w:val="24"/>
          <w:szCs w:val="24"/>
        </w:rPr>
        <w:t>For HR professionals, this means using</w:t>
      </w:r>
      <w:r>
        <w:rPr>
          <w:rFonts w:ascii="Arial" w:hAnsi="Arial" w:cs="Arial"/>
          <w:sz w:val="24"/>
          <w:szCs w:val="24"/>
        </w:rPr>
        <w:t xml:space="preserve"> a critical mindset to ensure</w:t>
      </w:r>
      <w:r w:rsidRPr="00F973B2">
        <w:rPr>
          <w:rFonts w:ascii="Arial" w:hAnsi="Arial" w:cs="Arial"/>
          <w:sz w:val="24"/>
          <w:szCs w:val="24"/>
        </w:rPr>
        <w:t xml:space="preserve"> conclusions are reached and decisions are made through the </w:t>
      </w:r>
      <w:r>
        <w:rPr>
          <w:rFonts w:ascii="Arial" w:hAnsi="Arial" w:cs="Arial"/>
          <w:sz w:val="24"/>
          <w:szCs w:val="24"/>
        </w:rPr>
        <w:t xml:space="preserve">thoughtful </w:t>
      </w:r>
      <w:r w:rsidRPr="00F973B2">
        <w:rPr>
          <w:rFonts w:ascii="Arial" w:hAnsi="Arial" w:cs="Arial"/>
          <w:sz w:val="24"/>
          <w:szCs w:val="24"/>
        </w:rPr>
        <w:t>evaluation of information from multiple</w:t>
      </w:r>
      <w:r>
        <w:rPr>
          <w:rFonts w:ascii="Arial" w:hAnsi="Arial" w:cs="Arial"/>
          <w:sz w:val="24"/>
          <w:szCs w:val="24"/>
        </w:rPr>
        <w:t xml:space="preserve"> reliable</w:t>
      </w:r>
      <w:r w:rsidRPr="00F973B2">
        <w:rPr>
          <w:rFonts w:ascii="Arial" w:hAnsi="Arial" w:cs="Arial"/>
          <w:sz w:val="24"/>
          <w:szCs w:val="24"/>
        </w:rPr>
        <w:t xml:space="preserve"> sources.</w:t>
      </w:r>
      <w:r>
        <w:rPr>
          <w:rFonts w:ascii="Arial" w:hAnsi="Arial" w:cs="Arial"/>
          <w:sz w:val="24"/>
          <w:szCs w:val="24"/>
        </w:rPr>
        <w:t xml:space="preserve"> This will allow individuals to make more informed, high-quality decisions with greater validity and reduced bias in their practice (Armstrong and Taylor, 2023, p. 110).</w:t>
      </w:r>
    </w:p>
    <w:p w14:paraId="6CCCA2A5" w14:textId="77777777" w:rsidR="0082498E" w:rsidRDefault="0082498E" w:rsidP="0082498E">
      <w:pPr>
        <w:rPr>
          <w:rFonts w:ascii="Arial" w:hAnsi="Arial" w:cs="Arial"/>
          <w:sz w:val="24"/>
          <w:szCs w:val="24"/>
        </w:rPr>
      </w:pPr>
      <w:r w:rsidRPr="00F8448F">
        <w:rPr>
          <w:rFonts w:ascii="Arial" w:hAnsi="Arial" w:cs="Arial"/>
          <w:sz w:val="24"/>
          <w:szCs w:val="24"/>
        </w:rPr>
        <w:t xml:space="preserve">When </w:t>
      </w:r>
      <w:r>
        <w:rPr>
          <w:rFonts w:ascii="Arial" w:hAnsi="Arial" w:cs="Arial"/>
          <w:sz w:val="24"/>
          <w:szCs w:val="24"/>
        </w:rPr>
        <w:t>referring</w:t>
      </w:r>
      <w:r w:rsidRPr="00F8448F">
        <w:rPr>
          <w:rFonts w:ascii="Arial" w:hAnsi="Arial" w:cs="Arial"/>
          <w:sz w:val="24"/>
          <w:szCs w:val="24"/>
        </w:rPr>
        <w:t xml:space="preserve"> to 'multiple reliable sources', this means drawing upon four main sources of evidence: scientific research, organisational data, professional experience and expertise, </w:t>
      </w:r>
      <w:r>
        <w:rPr>
          <w:rFonts w:ascii="Arial" w:hAnsi="Arial" w:cs="Arial"/>
          <w:sz w:val="24"/>
          <w:szCs w:val="24"/>
        </w:rPr>
        <w:t>stakeholder perspectives</w:t>
      </w:r>
      <w:r w:rsidRPr="00F8448F">
        <w:rPr>
          <w:rFonts w:ascii="Arial" w:hAnsi="Arial" w:cs="Arial"/>
          <w:sz w:val="24"/>
          <w:szCs w:val="24"/>
        </w:rPr>
        <w:t xml:space="preserve">. </w:t>
      </w:r>
      <w:r>
        <w:rPr>
          <w:rFonts w:ascii="Arial" w:hAnsi="Arial" w:cs="Arial"/>
          <w:sz w:val="24"/>
          <w:szCs w:val="24"/>
        </w:rPr>
        <w:t>Barons warns</w:t>
      </w:r>
      <w:r w:rsidRPr="00F8448F">
        <w:rPr>
          <w:rFonts w:ascii="Arial" w:hAnsi="Arial" w:cs="Arial"/>
          <w:sz w:val="24"/>
          <w:szCs w:val="24"/>
        </w:rPr>
        <w:t xml:space="preserve"> that relying on a single source can lead to cognitive biases, as the brain naturally jumps to conclusions when identifying pattern</w:t>
      </w:r>
      <w:r>
        <w:rPr>
          <w:rFonts w:ascii="Arial" w:hAnsi="Arial" w:cs="Arial"/>
          <w:sz w:val="24"/>
          <w:szCs w:val="24"/>
        </w:rPr>
        <w:t xml:space="preserve">s (CIPD, 2017). </w:t>
      </w:r>
      <w:r w:rsidRPr="00F8448F">
        <w:rPr>
          <w:rFonts w:ascii="Arial" w:hAnsi="Arial" w:cs="Arial"/>
          <w:sz w:val="24"/>
          <w:szCs w:val="24"/>
        </w:rPr>
        <w:t xml:space="preserve">Literature provides a foundation of reliability, organisational data sheds light on internal trends, professional expertise adds practical understanding and </w:t>
      </w:r>
      <w:r>
        <w:rPr>
          <w:rFonts w:ascii="Arial" w:hAnsi="Arial" w:cs="Arial"/>
          <w:sz w:val="24"/>
          <w:szCs w:val="24"/>
        </w:rPr>
        <w:t xml:space="preserve">proven </w:t>
      </w:r>
      <w:r w:rsidRPr="00F8448F">
        <w:rPr>
          <w:rFonts w:ascii="Arial" w:hAnsi="Arial" w:cs="Arial"/>
          <w:sz w:val="24"/>
          <w:szCs w:val="24"/>
        </w:rPr>
        <w:t xml:space="preserve">practice, and finally, </w:t>
      </w:r>
      <w:r>
        <w:rPr>
          <w:rFonts w:ascii="Arial" w:hAnsi="Arial" w:cs="Arial"/>
          <w:sz w:val="24"/>
          <w:szCs w:val="24"/>
        </w:rPr>
        <w:t>stakeholder</w:t>
      </w:r>
      <w:r w:rsidRPr="00F8448F">
        <w:rPr>
          <w:rFonts w:ascii="Arial" w:hAnsi="Arial" w:cs="Arial"/>
          <w:sz w:val="24"/>
          <w:szCs w:val="24"/>
        </w:rPr>
        <w:t xml:space="preserve"> perspectives help align decisions with the needs and expectations of employees and the organisation, fostering balanced and well-informed outcomes</w:t>
      </w:r>
      <w:r>
        <w:rPr>
          <w:rFonts w:ascii="Arial" w:hAnsi="Arial" w:cs="Arial"/>
          <w:sz w:val="24"/>
          <w:szCs w:val="24"/>
        </w:rPr>
        <w:t xml:space="preserve"> (Young, 2024).</w:t>
      </w:r>
    </w:p>
    <w:p w14:paraId="01887D72" w14:textId="77777777" w:rsidR="0082498E" w:rsidRPr="00A2556F" w:rsidRDefault="0082498E" w:rsidP="0082498E">
      <w:pPr>
        <w:rPr>
          <w:rFonts w:ascii="Arial" w:hAnsi="Arial" w:cs="Arial"/>
          <w:sz w:val="24"/>
          <w:szCs w:val="24"/>
        </w:rPr>
      </w:pPr>
      <w:r w:rsidRPr="00A2556F">
        <w:rPr>
          <w:rFonts w:ascii="Arial" w:hAnsi="Arial" w:cs="Arial"/>
          <w:sz w:val="24"/>
          <w:szCs w:val="24"/>
        </w:rPr>
        <w:t>HR professionals can demonstrate a critical mindset by applying the CIPD’s ‘Six As’: asking, acquiring, appraising, aggregating, applying, and assessing. This systematic process ensures that evidence is thoroughly gathered, critically evaluated, and effectively applied to inform sound decision-making</w:t>
      </w:r>
      <w:r>
        <w:rPr>
          <w:rFonts w:ascii="Arial" w:hAnsi="Arial" w:cs="Arial"/>
          <w:sz w:val="24"/>
          <w:szCs w:val="24"/>
        </w:rPr>
        <w:t xml:space="preserve"> (Young, 2024)</w:t>
      </w:r>
      <w:r w:rsidRPr="00A2556F">
        <w:rPr>
          <w:rFonts w:ascii="Arial" w:hAnsi="Arial" w:cs="Arial"/>
          <w:sz w:val="24"/>
          <w:szCs w:val="24"/>
        </w:rPr>
        <w:t>.</w:t>
      </w:r>
    </w:p>
    <w:p w14:paraId="6C41284C" w14:textId="77777777" w:rsidR="0082498E" w:rsidRDefault="0082498E" w:rsidP="0082498E">
      <w:pPr>
        <w:rPr>
          <w:rFonts w:ascii="Arial" w:hAnsi="Arial" w:cs="Arial"/>
          <w:sz w:val="24"/>
          <w:szCs w:val="24"/>
        </w:rPr>
      </w:pPr>
      <w:r w:rsidRPr="00A2556F">
        <w:rPr>
          <w:rFonts w:ascii="Arial" w:hAnsi="Arial" w:cs="Arial"/>
          <w:sz w:val="24"/>
          <w:szCs w:val="24"/>
        </w:rPr>
        <w:t>For example, I was tasked by management to investigate a potential correlation between sickness and compassionate leave. I identified that some managers were not granting employees their full entitlement of 5- or 10-days compassionate leave</w:t>
      </w:r>
      <w:r>
        <w:rPr>
          <w:rFonts w:ascii="Arial" w:hAnsi="Arial" w:cs="Arial"/>
          <w:sz w:val="24"/>
          <w:szCs w:val="24"/>
        </w:rPr>
        <w:t xml:space="preserve"> and several</w:t>
      </w:r>
      <w:r w:rsidRPr="00A2556F">
        <w:rPr>
          <w:rFonts w:ascii="Arial" w:hAnsi="Arial" w:cs="Arial"/>
          <w:sz w:val="24"/>
          <w:szCs w:val="24"/>
        </w:rPr>
        <w:t xml:space="preserve"> employees subsequently took sickness leave</w:t>
      </w:r>
      <w:r>
        <w:rPr>
          <w:rFonts w:ascii="Arial" w:hAnsi="Arial" w:cs="Arial"/>
          <w:sz w:val="24"/>
          <w:szCs w:val="24"/>
        </w:rPr>
        <w:t xml:space="preserve"> citing mental health difficulties</w:t>
      </w:r>
      <w:r w:rsidRPr="00A2556F">
        <w:rPr>
          <w:rFonts w:ascii="Arial" w:hAnsi="Arial" w:cs="Arial"/>
          <w:sz w:val="24"/>
          <w:szCs w:val="24"/>
        </w:rPr>
        <w:t xml:space="preserve">. At first glance, the </w:t>
      </w:r>
      <w:r>
        <w:rPr>
          <w:rFonts w:ascii="Arial" w:hAnsi="Arial" w:cs="Arial"/>
          <w:sz w:val="24"/>
          <w:szCs w:val="24"/>
        </w:rPr>
        <w:t>evidence</w:t>
      </w:r>
      <w:r w:rsidRPr="00A2556F">
        <w:rPr>
          <w:rFonts w:ascii="Arial" w:hAnsi="Arial" w:cs="Arial"/>
          <w:sz w:val="24"/>
          <w:szCs w:val="24"/>
        </w:rPr>
        <w:t xml:space="preserve"> might suggest a need to increase the number of compassionate leave days, as employees appeared to require more time to process grief.</w:t>
      </w:r>
      <w:r>
        <w:rPr>
          <w:rFonts w:ascii="Arial" w:hAnsi="Arial" w:cs="Arial"/>
          <w:sz w:val="24"/>
          <w:szCs w:val="24"/>
        </w:rPr>
        <w:t xml:space="preserve"> </w:t>
      </w:r>
      <w:r w:rsidRPr="00A2556F">
        <w:rPr>
          <w:rFonts w:ascii="Arial" w:hAnsi="Arial" w:cs="Arial"/>
          <w:sz w:val="24"/>
          <w:szCs w:val="24"/>
        </w:rPr>
        <w:t>However, grief is not a linear process, and further analysis using the Six As provided deeper insights</w:t>
      </w:r>
      <w:r>
        <w:rPr>
          <w:rFonts w:ascii="Arial" w:hAnsi="Arial" w:cs="Arial"/>
          <w:sz w:val="24"/>
          <w:szCs w:val="24"/>
        </w:rPr>
        <w:t xml:space="preserve"> (Cruse, 2024). </w:t>
      </w:r>
      <w:r w:rsidRPr="00A2556F">
        <w:rPr>
          <w:rFonts w:ascii="Arial" w:hAnsi="Arial" w:cs="Arial"/>
          <w:sz w:val="24"/>
          <w:szCs w:val="24"/>
        </w:rPr>
        <w:t>The</w:t>
      </w:r>
      <w:r>
        <w:rPr>
          <w:rFonts w:ascii="Arial" w:hAnsi="Arial" w:cs="Arial"/>
          <w:sz w:val="24"/>
          <w:szCs w:val="24"/>
        </w:rPr>
        <w:t xml:space="preserve">refore, the evidence-based practice could be </w:t>
      </w:r>
      <w:r w:rsidRPr="00A2556F">
        <w:rPr>
          <w:rFonts w:ascii="Arial" w:hAnsi="Arial" w:cs="Arial"/>
          <w:sz w:val="24"/>
          <w:szCs w:val="24"/>
        </w:rPr>
        <w:t xml:space="preserve">empowering managers to confidently handle </w:t>
      </w:r>
      <w:r>
        <w:rPr>
          <w:rFonts w:ascii="Arial" w:hAnsi="Arial" w:cs="Arial"/>
          <w:sz w:val="24"/>
          <w:szCs w:val="24"/>
        </w:rPr>
        <w:t>difficult</w:t>
      </w:r>
      <w:r w:rsidRPr="00A2556F">
        <w:rPr>
          <w:rFonts w:ascii="Arial" w:hAnsi="Arial" w:cs="Arial"/>
          <w:sz w:val="24"/>
          <w:szCs w:val="24"/>
        </w:rPr>
        <w:t xml:space="preserve"> conversations and use discretion effectively. </w:t>
      </w:r>
      <w:r>
        <w:rPr>
          <w:rFonts w:ascii="Arial" w:hAnsi="Arial" w:cs="Arial"/>
          <w:sz w:val="24"/>
          <w:szCs w:val="24"/>
        </w:rPr>
        <w:t>If</w:t>
      </w:r>
      <w:r w:rsidRPr="00A2556F">
        <w:rPr>
          <w:rFonts w:ascii="Arial" w:hAnsi="Arial" w:cs="Arial"/>
          <w:sz w:val="24"/>
          <w:szCs w:val="24"/>
        </w:rPr>
        <w:t xml:space="preserve"> managers can assess an employee’s needs and grant a few extra days of compassionate leave, when necessary, this could prevent additional </w:t>
      </w:r>
      <w:r>
        <w:rPr>
          <w:rFonts w:ascii="Arial" w:hAnsi="Arial" w:cs="Arial"/>
          <w:sz w:val="24"/>
          <w:szCs w:val="24"/>
        </w:rPr>
        <w:t>mental-health related absence</w:t>
      </w:r>
      <w:r w:rsidRPr="00A2556F">
        <w:rPr>
          <w:rFonts w:ascii="Arial" w:hAnsi="Arial" w:cs="Arial"/>
          <w:sz w:val="24"/>
          <w:szCs w:val="24"/>
        </w:rPr>
        <w:t xml:space="preserve"> and reduce the likelihood of impacting organisational data.</w:t>
      </w:r>
      <w:r>
        <w:rPr>
          <w:rFonts w:ascii="Arial" w:hAnsi="Arial" w:cs="Arial"/>
          <w:sz w:val="24"/>
          <w:szCs w:val="24"/>
        </w:rPr>
        <w:t xml:space="preserve"> </w:t>
      </w:r>
    </w:p>
    <w:p w14:paraId="1AB3DA0F" w14:textId="77777777" w:rsidR="0082498E" w:rsidRPr="0091180C" w:rsidRDefault="0082498E" w:rsidP="0082498E">
      <w:pPr>
        <w:rPr>
          <w:rFonts w:ascii="Arial" w:hAnsi="Arial" w:cs="Arial"/>
          <w:sz w:val="24"/>
          <w:szCs w:val="24"/>
        </w:rPr>
      </w:pPr>
      <w:r w:rsidRPr="009309D2">
        <w:rPr>
          <w:rFonts w:ascii="Arial" w:hAnsi="Arial" w:cs="Arial"/>
          <w:sz w:val="24"/>
          <w:szCs w:val="24"/>
        </w:rPr>
        <w:t>In addition to the CIPD’s ‘Six As,’ John Adair (2010) outlines a rational decision-making model, which includes defining objectives, collecting relevant information, generating options, making decisions based on criteria, and evaluating outcomes. While evidence-based practice offers benefits like improved decision quality and reduced bias, challenges such as bounded rationality, where limited time and data restrict analysis, and heuristics, which rely on mental shortcuts, can hinder decision-making (Armstrong and Taylor, 2023). Group dynamics, including groupthink, where consensus suppresses critical reasoning, and group polarization, leading to extreme decisions, further complicate the process. However, even imperfect evidence, when critically appraised, can drive sound and effective decisions (Adair, 2010).</w:t>
      </w:r>
    </w:p>
    <w:p w14:paraId="00C1266D" w14:textId="77777777" w:rsidR="0082498E" w:rsidRDefault="0082498E" w:rsidP="0082498E">
      <w:pPr>
        <w:rPr>
          <w:rFonts w:ascii="Arial" w:hAnsi="Arial" w:cs="Arial"/>
          <w:sz w:val="24"/>
          <w:szCs w:val="24"/>
        </w:rPr>
      </w:pPr>
      <w:r>
        <w:rPr>
          <w:rFonts w:ascii="Arial" w:hAnsi="Arial" w:cs="Arial"/>
          <w:b/>
          <w:bCs/>
          <w:sz w:val="24"/>
          <w:szCs w:val="24"/>
        </w:rPr>
        <w:lastRenderedPageBreak/>
        <w:t xml:space="preserve">1.2 </w:t>
      </w:r>
      <w:r w:rsidRPr="005E063F">
        <w:rPr>
          <w:rFonts w:ascii="Arial" w:hAnsi="Arial" w:cs="Arial"/>
          <w:sz w:val="24"/>
          <w:szCs w:val="24"/>
        </w:rPr>
        <w:t>For organisations to recognise and diagnose issues, challenges, and opportunities</w:t>
      </w:r>
      <w:r>
        <w:rPr>
          <w:rFonts w:ascii="Arial" w:hAnsi="Arial" w:cs="Arial"/>
          <w:sz w:val="24"/>
          <w:szCs w:val="24"/>
        </w:rPr>
        <w:t xml:space="preserve">, they require effective tools and methods to look at both internal and external factors. A PESTLE analysis is a </w:t>
      </w:r>
      <w:r w:rsidRPr="00404BAE">
        <w:rPr>
          <w:rFonts w:ascii="Arial" w:hAnsi="Arial" w:cs="Arial"/>
          <w:sz w:val="24"/>
          <w:szCs w:val="24"/>
        </w:rPr>
        <w:t>management framework and diagnostic too</w:t>
      </w:r>
      <w:r>
        <w:rPr>
          <w:rFonts w:ascii="Arial" w:hAnsi="Arial" w:cs="Arial"/>
          <w:sz w:val="24"/>
          <w:szCs w:val="24"/>
        </w:rPr>
        <w:t>l:</w:t>
      </w:r>
    </w:p>
    <w:p w14:paraId="0CEBE730" w14:textId="77777777" w:rsidR="0082498E" w:rsidRPr="00404BAE" w:rsidRDefault="0082498E" w:rsidP="0082498E">
      <w:pPr>
        <w:rPr>
          <w:rFonts w:ascii="Arial" w:hAnsi="Arial" w:cs="Arial"/>
          <w:sz w:val="24"/>
          <w:szCs w:val="24"/>
        </w:rPr>
      </w:pPr>
      <w:r w:rsidRPr="00404BAE">
        <w:rPr>
          <w:rFonts w:ascii="Arial" w:hAnsi="Arial" w:cs="Arial"/>
          <w:b/>
          <w:bCs/>
          <w:sz w:val="24"/>
          <w:szCs w:val="24"/>
        </w:rPr>
        <w:t>P</w:t>
      </w:r>
      <w:r w:rsidRPr="00404BAE">
        <w:rPr>
          <w:rFonts w:ascii="Arial" w:hAnsi="Arial" w:cs="Arial"/>
          <w:sz w:val="24"/>
          <w:szCs w:val="24"/>
        </w:rPr>
        <w:t>olitical</w:t>
      </w:r>
      <w:r>
        <w:rPr>
          <w:rFonts w:ascii="Arial" w:hAnsi="Arial" w:cs="Arial"/>
          <w:sz w:val="24"/>
          <w:szCs w:val="24"/>
        </w:rPr>
        <w:br/>
      </w:r>
      <w:r w:rsidRPr="00404BAE">
        <w:rPr>
          <w:rFonts w:ascii="Arial" w:hAnsi="Arial" w:cs="Arial"/>
          <w:b/>
          <w:bCs/>
          <w:sz w:val="24"/>
          <w:szCs w:val="24"/>
        </w:rPr>
        <w:t>E</w:t>
      </w:r>
      <w:r w:rsidRPr="00404BAE">
        <w:rPr>
          <w:rFonts w:ascii="Arial" w:hAnsi="Arial" w:cs="Arial"/>
          <w:sz w:val="24"/>
          <w:szCs w:val="24"/>
        </w:rPr>
        <w:t>conomic</w:t>
      </w:r>
      <w:r>
        <w:rPr>
          <w:rFonts w:ascii="Arial" w:hAnsi="Arial" w:cs="Arial"/>
          <w:sz w:val="24"/>
          <w:szCs w:val="24"/>
        </w:rPr>
        <w:br/>
      </w:r>
      <w:r w:rsidRPr="00404BAE">
        <w:rPr>
          <w:rFonts w:ascii="Arial" w:hAnsi="Arial" w:cs="Arial"/>
          <w:b/>
          <w:bCs/>
          <w:sz w:val="24"/>
          <w:szCs w:val="24"/>
        </w:rPr>
        <w:t>S</w:t>
      </w:r>
      <w:r w:rsidRPr="00404BAE">
        <w:rPr>
          <w:rFonts w:ascii="Arial" w:hAnsi="Arial" w:cs="Arial"/>
          <w:sz w:val="24"/>
          <w:szCs w:val="24"/>
        </w:rPr>
        <w:t>ocial</w:t>
      </w:r>
      <w:r>
        <w:rPr>
          <w:rFonts w:ascii="Arial" w:hAnsi="Arial" w:cs="Arial"/>
          <w:sz w:val="24"/>
          <w:szCs w:val="24"/>
        </w:rPr>
        <w:br/>
      </w:r>
      <w:r w:rsidRPr="00404BAE">
        <w:rPr>
          <w:rFonts w:ascii="Arial" w:hAnsi="Arial" w:cs="Arial"/>
          <w:b/>
          <w:bCs/>
          <w:sz w:val="24"/>
          <w:szCs w:val="24"/>
        </w:rPr>
        <w:t>T</w:t>
      </w:r>
      <w:r w:rsidRPr="00404BAE">
        <w:rPr>
          <w:rFonts w:ascii="Arial" w:hAnsi="Arial" w:cs="Arial"/>
          <w:sz w:val="24"/>
          <w:szCs w:val="24"/>
        </w:rPr>
        <w:t>echnology</w:t>
      </w:r>
      <w:r>
        <w:rPr>
          <w:rFonts w:ascii="Arial" w:hAnsi="Arial" w:cs="Arial"/>
          <w:sz w:val="24"/>
          <w:szCs w:val="24"/>
        </w:rPr>
        <w:br/>
      </w:r>
      <w:r w:rsidRPr="00404BAE">
        <w:rPr>
          <w:rFonts w:ascii="Arial" w:hAnsi="Arial" w:cs="Arial"/>
          <w:b/>
          <w:bCs/>
          <w:sz w:val="24"/>
          <w:szCs w:val="24"/>
        </w:rPr>
        <w:t>L</w:t>
      </w:r>
      <w:r w:rsidRPr="00404BAE">
        <w:rPr>
          <w:rFonts w:ascii="Arial" w:hAnsi="Arial" w:cs="Arial"/>
          <w:sz w:val="24"/>
          <w:szCs w:val="24"/>
        </w:rPr>
        <w:t>egal</w:t>
      </w:r>
      <w:r>
        <w:rPr>
          <w:rFonts w:ascii="Arial" w:hAnsi="Arial" w:cs="Arial"/>
          <w:sz w:val="24"/>
          <w:szCs w:val="24"/>
        </w:rPr>
        <w:br/>
      </w:r>
      <w:r w:rsidRPr="00404BAE">
        <w:rPr>
          <w:rFonts w:ascii="Arial" w:hAnsi="Arial" w:cs="Arial"/>
          <w:b/>
          <w:bCs/>
          <w:sz w:val="24"/>
          <w:szCs w:val="24"/>
        </w:rPr>
        <w:t>E</w:t>
      </w:r>
      <w:r w:rsidRPr="00404BAE">
        <w:rPr>
          <w:rFonts w:ascii="Arial" w:hAnsi="Arial" w:cs="Arial"/>
          <w:sz w:val="24"/>
          <w:szCs w:val="24"/>
        </w:rPr>
        <w:t>nvironment</w:t>
      </w:r>
    </w:p>
    <w:p w14:paraId="5110C9C5" w14:textId="77777777" w:rsidR="0082498E" w:rsidRPr="0009328D" w:rsidRDefault="0082498E" w:rsidP="0082498E">
      <w:pPr>
        <w:rPr>
          <w:rFonts w:ascii="Arial" w:hAnsi="Arial" w:cs="Arial"/>
          <w:sz w:val="24"/>
          <w:szCs w:val="24"/>
        </w:rPr>
      </w:pPr>
      <w:r w:rsidRPr="0009328D">
        <w:rPr>
          <w:rFonts w:ascii="Arial" w:hAnsi="Arial" w:cs="Arial"/>
          <w:sz w:val="24"/>
          <w:szCs w:val="24"/>
        </w:rPr>
        <w:t>According to the CIPD (202</w:t>
      </w:r>
      <w:r>
        <w:rPr>
          <w:rFonts w:ascii="Arial" w:hAnsi="Arial" w:cs="Arial"/>
          <w:sz w:val="24"/>
          <w:szCs w:val="24"/>
        </w:rPr>
        <w:t>4</w:t>
      </w:r>
      <w:r w:rsidRPr="0009328D">
        <w:rPr>
          <w:rFonts w:ascii="Arial" w:hAnsi="Arial" w:cs="Arial"/>
          <w:sz w:val="24"/>
          <w:szCs w:val="24"/>
        </w:rPr>
        <w:t>), PESTLE is particularly useful in "auditing the external environment to detect and understand broad, long-term trends." This tool helps organi</w:t>
      </w:r>
      <w:r>
        <w:rPr>
          <w:rFonts w:ascii="Arial" w:hAnsi="Arial" w:cs="Arial"/>
          <w:sz w:val="24"/>
          <w:szCs w:val="24"/>
        </w:rPr>
        <w:t>s</w:t>
      </w:r>
      <w:r w:rsidRPr="0009328D">
        <w:rPr>
          <w:rFonts w:ascii="Arial" w:hAnsi="Arial" w:cs="Arial"/>
          <w:sz w:val="24"/>
          <w:szCs w:val="24"/>
        </w:rPr>
        <w:t>ations identify external pressures and assess future risks</w:t>
      </w:r>
      <w:r>
        <w:rPr>
          <w:rFonts w:ascii="Arial" w:hAnsi="Arial" w:cs="Arial"/>
          <w:sz w:val="24"/>
          <w:szCs w:val="24"/>
        </w:rPr>
        <w:t>. For instance, when I was</w:t>
      </w:r>
      <w:r w:rsidRPr="00404BAE">
        <w:rPr>
          <w:rFonts w:ascii="Arial" w:hAnsi="Arial" w:cs="Arial"/>
          <w:sz w:val="24"/>
          <w:szCs w:val="24"/>
        </w:rPr>
        <w:t xml:space="preserve"> a manager for a mental health charity, understanding and responding to political factors is crucial for navigating external challenges. For example, decisions by the Welsh Labour Government to not increase the budget for the </w:t>
      </w:r>
      <w:r>
        <w:rPr>
          <w:rFonts w:ascii="Arial" w:hAnsi="Arial" w:cs="Arial"/>
          <w:sz w:val="24"/>
          <w:szCs w:val="24"/>
        </w:rPr>
        <w:t>Housing Support Grant</w:t>
      </w:r>
      <w:r w:rsidRPr="00404BAE">
        <w:rPr>
          <w:rFonts w:ascii="Arial" w:hAnsi="Arial" w:cs="Arial"/>
          <w:sz w:val="24"/>
          <w:szCs w:val="24"/>
        </w:rPr>
        <w:t xml:space="preserve"> have significant implications for charities addressing housing insecurity and mental health </w:t>
      </w:r>
      <w:r>
        <w:rPr>
          <w:rFonts w:ascii="Arial" w:hAnsi="Arial" w:cs="Arial"/>
          <w:sz w:val="24"/>
          <w:szCs w:val="24"/>
        </w:rPr>
        <w:t>issues (</w:t>
      </w:r>
      <w:r w:rsidRPr="0091180C">
        <w:rPr>
          <w:rFonts w:ascii="Arial" w:hAnsi="Arial" w:cs="Arial"/>
          <w:sz w:val="24"/>
          <w:szCs w:val="24"/>
        </w:rPr>
        <w:t>Community Housing Cymru</w:t>
      </w:r>
      <w:r>
        <w:rPr>
          <w:rFonts w:ascii="Arial" w:hAnsi="Arial" w:cs="Arial"/>
          <w:sz w:val="24"/>
          <w:szCs w:val="24"/>
        </w:rPr>
        <w:t>, 2023).</w:t>
      </w:r>
    </w:p>
    <w:p w14:paraId="0C196BCA" w14:textId="77777777" w:rsidR="0082498E" w:rsidRPr="0009328D" w:rsidRDefault="0082498E" w:rsidP="0082498E">
      <w:pPr>
        <w:rPr>
          <w:rFonts w:ascii="Arial" w:hAnsi="Arial" w:cs="Arial"/>
          <w:sz w:val="24"/>
          <w:szCs w:val="24"/>
        </w:rPr>
      </w:pPr>
      <w:r w:rsidRPr="0091180C">
        <w:rPr>
          <w:rFonts w:ascii="Arial" w:hAnsi="Arial" w:cs="Arial"/>
          <w:sz w:val="24"/>
          <w:szCs w:val="24"/>
        </w:rPr>
        <w:t>When combined with other tools, such as SWOT analysis, PESTLE becomes even more effective.</w:t>
      </w:r>
      <w:r>
        <w:rPr>
          <w:rFonts w:ascii="Arial" w:hAnsi="Arial" w:cs="Arial"/>
          <w:sz w:val="24"/>
          <w:szCs w:val="24"/>
        </w:rPr>
        <w:t xml:space="preserve"> </w:t>
      </w:r>
      <w:r w:rsidRPr="0009328D">
        <w:rPr>
          <w:rFonts w:ascii="Arial" w:hAnsi="Arial" w:cs="Arial"/>
          <w:sz w:val="24"/>
          <w:szCs w:val="24"/>
        </w:rPr>
        <w:t>For instance, while PESTLE identifies external challenges, SWOT connects these to internal organi</w:t>
      </w:r>
      <w:r>
        <w:rPr>
          <w:rFonts w:ascii="Arial" w:hAnsi="Arial" w:cs="Arial"/>
          <w:sz w:val="24"/>
          <w:szCs w:val="24"/>
        </w:rPr>
        <w:t>s</w:t>
      </w:r>
      <w:r w:rsidRPr="0009328D">
        <w:rPr>
          <w:rFonts w:ascii="Arial" w:hAnsi="Arial" w:cs="Arial"/>
          <w:sz w:val="24"/>
          <w:szCs w:val="24"/>
        </w:rPr>
        <w:t>ational strengths and weaknesses, creating a well-rounded strategic view</w:t>
      </w:r>
      <w:r>
        <w:rPr>
          <w:rFonts w:ascii="Arial" w:hAnsi="Arial" w:cs="Arial"/>
          <w:sz w:val="24"/>
          <w:szCs w:val="24"/>
        </w:rPr>
        <w:t xml:space="preserve"> (Armstrong and Taylor, 2023, p.79).</w:t>
      </w:r>
      <w:r w:rsidRPr="0091180C">
        <w:rPr>
          <w:rFonts w:ascii="Arial" w:hAnsi="Arial" w:cs="Arial"/>
          <w:sz w:val="24"/>
          <w:szCs w:val="24"/>
        </w:rPr>
        <w:t xml:space="preserve"> </w:t>
      </w:r>
      <w:r>
        <w:rPr>
          <w:rFonts w:ascii="Arial" w:hAnsi="Arial" w:cs="Arial"/>
          <w:sz w:val="24"/>
          <w:szCs w:val="24"/>
        </w:rPr>
        <w:t xml:space="preserve">In </w:t>
      </w:r>
      <w:r w:rsidRPr="0091180C">
        <w:rPr>
          <w:rFonts w:ascii="Arial" w:hAnsi="Arial" w:cs="Arial"/>
          <w:sz w:val="24"/>
          <w:szCs w:val="24"/>
        </w:rPr>
        <w:t xml:space="preserve">the context of a mental health charity, a PESTLE analysis might highlight the </w:t>
      </w:r>
      <w:r>
        <w:rPr>
          <w:rFonts w:ascii="Arial" w:hAnsi="Arial" w:cs="Arial"/>
          <w:sz w:val="24"/>
          <w:szCs w:val="24"/>
        </w:rPr>
        <w:t>p</w:t>
      </w:r>
      <w:r w:rsidRPr="0091180C">
        <w:rPr>
          <w:rFonts w:ascii="Arial" w:hAnsi="Arial" w:cs="Arial"/>
          <w:sz w:val="24"/>
          <w:szCs w:val="24"/>
        </w:rPr>
        <w:t xml:space="preserve">olitical challenge of limited government funding for mental health services, while the SWOT analysis identifies the charity’s </w:t>
      </w:r>
      <w:r>
        <w:rPr>
          <w:rFonts w:ascii="Arial" w:hAnsi="Arial" w:cs="Arial"/>
          <w:sz w:val="24"/>
          <w:szCs w:val="24"/>
        </w:rPr>
        <w:t>s</w:t>
      </w:r>
      <w:r w:rsidRPr="0091180C">
        <w:rPr>
          <w:rFonts w:ascii="Arial" w:hAnsi="Arial" w:cs="Arial"/>
          <w:sz w:val="24"/>
          <w:szCs w:val="24"/>
        </w:rPr>
        <w:t>trength in having a well-established network of partnerships</w:t>
      </w:r>
      <w:r>
        <w:rPr>
          <w:rFonts w:ascii="Arial" w:hAnsi="Arial" w:cs="Arial"/>
          <w:sz w:val="24"/>
          <w:szCs w:val="24"/>
        </w:rPr>
        <w:t xml:space="preserve"> (</w:t>
      </w:r>
      <w:r w:rsidRPr="00D57B8E">
        <w:rPr>
          <w:rFonts w:ascii="Arial" w:hAnsi="Arial" w:cs="Arial"/>
          <w:sz w:val="24"/>
          <w:szCs w:val="24"/>
        </w:rPr>
        <w:t>Investec</w:t>
      </w:r>
      <w:r>
        <w:rPr>
          <w:rFonts w:ascii="Arial" w:hAnsi="Arial" w:cs="Arial"/>
          <w:sz w:val="24"/>
          <w:szCs w:val="24"/>
        </w:rPr>
        <w:t>, 2023).</w:t>
      </w:r>
    </w:p>
    <w:p w14:paraId="4648DEAD" w14:textId="623E5B3D" w:rsidR="0082498E" w:rsidRDefault="0082498E" w:rsidP="0082498E">
      <w:pPr>
        <w:rPr>
          <w:rFonts w:ascii="Arial" w:hAnsi="Arial" w:cs="Arial"/>
          <w:sz w:val="24"/>
          <w:szCs w:val="24"/>
        </w:rPr>
      </w:pPr>
      <w:r w:rsidRPr="00D57B8E">
        <w:rPr>
          <w:rFonts w:ascii="Arial" w:hAnsi="Arial" w:cs="Arial"/>
          <w:sz w:val="24"/>
          <w:szCs w:val="24"/>
        </w:rPr>
        <w:t>Employee engagement surveys are a widely used method for gathering quantitative data on workplace satisfaction</w:t>
      </w:r>
      <w:r>
        <w:rPr>
          <w:rFonts w:ascii="Arial" w:hAnsi="Arial" w:cs="Arial"/>
          <w:sz w:val="24"/>
          <w:szCs w:val="24"/>
        </w:rPr>
        <w:t xml:space="preserve"> </w:t>
      </w:r>
      <w:r w:rsidRPr="00D57B8E">
        <w:rPr>
          <w:rFonts w:ascii="Arial" w:hAnsi="Arial" w:cs="Arial"/>
          <w:sz w:val="24"/>
          <w:szCs w:val="24"/>
        </w:rPr>
        <w:t>and organi</w:t>
      </w:r>
      <w:r>
        <w:rPr>
          <w:rFonts w:ascii="Arial" w:hAnsi="Arial" w:cs="Arial"/>
          <w:sz w:val="24"/>
          <w:szCs w:val="24"/>
        </w:rPr>
        <w:t>s</w:t>
      </w:r>
      <w:r w:rsidRPr="00D57B8E">
        <w:rPr>
          <w:rFonts w:ascii="Arial" w:hAnsi="Arial" w:cs="Arial"/>
          <w:sz w:val="24"/>
          <w:szCs w:val="24"/>
        </w:rPr>
        <w:t xml:space="preserve">ational culture. These surveys enable people professionals to identify patterns, trends, and areas of concern that may affect productivity, retention, or morale. The </w:t>
      </w:r>
      <w:r>
        <w:rPr>
          <w:rFonts w:ascii="Arial" w:hAnsi="Arial" w:cs="Arial"/>
          <w:sz w:val="24"/>
          <w:szCs w:val="24"/>
        </w:rPr>
        <w:t>main</w:t>
      </w:r>
      <w:r w:rsidRPr="00D57B8E">
        <w:rPr>
          <w:rFonts w:ascii="Arial" w:hAnsi="Arial" w:cs="Arial"/>
          <w:sz w:val="24"/>
          <w:szCs w:val="24"/>
        </w:rPr>
        <w:t xml:space="preserve"> advantage of this method </w:t>
      </w:r>
      <w:r>
        <w:rPr>
          <w:rFonts w:ascii="Arial" w:hAnsi="Arial" w:cs="Arial"/>
          <w:sz w:val="24"/>
          <w:szCs w:val="24"/>
        </w:rPr>
        <w:t>is</w:t>
      </w:r>
      <w:r w:rsidRPr="00D57B8E">
        <w:rPr>
          <w:rFonts w:ascii="Arial" w:hAnsi="Arial" w:cs="Arial"/>
          <w:sz w:val="24"/>
          <w:szCs w:val="24"/>
        </w:rPr>
        <w:t xml:space="preserve"> its ability to collect data from a broad employee, providin</w:t>
      </w:r>
      <w:r w:rsidR="00291FDF">
        <w:rPr>
          <w:rFonts w:ascii="Arial" w:hAnsi="Arial" w:cs="Arial"/>
          <w:sz w:val="24"/>
          <w:szCs w:val="24"/>
        </w:rPr>
        <w:t>g</w:t>
      </w:r>
      <w:r w:rsidRPr="00D57B8E">
        <w:rPr>
          <w:rFonts w:ascii="Arial" w:hAnsi="Arial" w:cs="Arial"/>
          <w:sz w:val="24"/>
          <w:szCs w:val="24"/>
        </w:rPr>
        <w:t xml:space="preserve"> measurable insights that can inform targeted interventions. However, this method is not without limitations. While surveys provide a clear overview of trends, they often lack the qualitative depth required to understand the reasons behind employee responses. To address this, organi</w:t>
      </w:r>
      <w:r>
        <w:rPr>
          <w:rFonts w:ascii="Arial" w:hAnsi="Arial" w:cs="Arial"/>
          <w:sz w:val="24"/>
          <w:szCs w:val="24"/>
        </w:rPr>
        <w:t>s</w:t>
      </w:r>
      <w:r w:rsidRPr="00D57B8E">
        <w:rPr>
          <w:rFonts w:ascii="Arial" w:hAnsi="Arial" w:cs="Arial"/>
          <w:sz w:val="24"/>
          <w:szCs w:val="24"/>
        </w:rPr>
        <w:t xml:space="preserve">ations can complement surveys with </w:t>
      </w:r>
      <w:r>
        <w:rPr>
          <w:rFonts w:ascii="Arial" w:hAnsi="Arial" w:cs="Arial"/>
          <w:sz w:val="24"/>
          <w:szCs w:val="24"/>
        </w:rPr>
        <w:t>exit</w:t>
      </w:r>
      <w:r w:rsidRPr="00D57B8E">
        <w:rPr>
          <w:rFonts w:ascii="Arial" w:hAnsi="Arial" w:cs="Arial"/>
          <w:sz w:val="24"/>
          <w:szCs w:val="24"/>
        </w:rPr>
        <w:t xml:space="preserve"> interviews or </w:t>
      </w:r>
      <w:r>
        <w:rPr>
          <w:rFonts w:ascii="Arial" w:hAnsi="Arial" w:cs="Arial"/>
          <w:sz w:val="24"/>
          <w:szCs w:val="24"/>
        </w:rPr>
        <w:t xml:space="preserve">task and finish groups </w:t>
      </w:r>
      <w:r w:rsidRPr="00D57B8E">
        <w:rPr>
          <w:rFonts w:ascii="Arial" w:hAnsi="Arial" w:cs="Arial"/>
          <w:sz w:val="24"/>
          <w:szCs w:val="24"/>
        </w:rPr>
        <w:t xml:space="preserve">to gain a </w:t>
      </w:r>
      <w:r>
        <w:rPr>
          <w:rFonts w:ascii="Arial" w:hAnsi="Arial" w:cs="Arial"/>
          <w:sz w:val="24"/>
          <w:szCs w:val="24"/>
        </w:rPr>
        <w:t>deeper</w:t>
      </w:r>
      <w:r w:rsidRPr="00D57B8E">
        <w:rPr>
          <w:rFonts w:ascii="Arial" w:hAnsi="Arial" w:cs="Arial"/>
          <w:sz w:val="24"/>
          <w:szCs w:val="24"/>
        </w:rPr>
        <w:t xml:space="preserve"> understanding of underlying issues. By integrating quantitative and qualitative approaches, engagement surveys become a powerful tool for diagnosing internal challenges and identifying opportunities for improvement (</w:t>
      </w:r>
      <w:r>
        <w:rPr>
          <w:rFonts w:ascii="Arial" w:hAnsi="Arial" w:cs="Arial"/>
          <w:sz w:val="24"/>
          <w:szCs w:val="24"/>
        </w:rPr>
        <w:t>Caldecott, 2022).</w:t>
      </w:r>
    </w:p>
    <w:p w14:paraId="749378D2" w14:textId="77777777" w:rsidR="0082498E" w:rsidRDefault="0082498E" w:rsidP="0082498E">
      <w:pPr>
        <w:rPr>
          <w:rFonts w:ascii="Arial" w:hAnsi="Arial" w:cs="Arial"/>
          <w:sz w:val="24"/>
          <w:szCs w:val="24"/>
        </w:rPr>
      </w:pPr>
      <w:r w:rsidRPr="006A3623">
        <w:rPr>
          <w:rFonts w:ascii="Arial" w:hAnsi="Arial" w:cs="Arial"/>
          <w:b/>
          <w:bCs/>
          <w:sz w:val="24"/>
          <w:szCs w:val="24"/>
        </w:rPr>
        <w:t>1.3 and 1.4</w:t>
      </w:r>
      <w:r>
        <w:rPr>
          <w:rFonts w:ascii="Arial" w:hAnsi="Arial" w:cs="Arial"/>
          <w:sz w:val="24"/>
          <w:szCs w:val="24"/>
        </w:rPr>
        <w:t xml:space="preserve"> </w:t>
      </w:r>
      <w:r w:rsidRPr="001C2261">
        <w:rPr>
          <w:rFonts w:ascii="Arial" w:hAnsi="Arial" w:cs="Arial"/>
          <w:sz w:val="24"/>
          <w:szCs w:val="24"/>
        </w:rPr>
        <w:t xml:space="preserve">Critical thinking and effective decision-making are vital skills for people professionals, enabling them to approach complex challenges rationally and objectively. </w:t>
      </w:r>
      <w:r>
        <w:rPr>
          <w:rFonts w:ascii="Arial" w:hAnsi="Arial" w:cs="Arial"/>
          <w:sz w:val="24"/>
          <w:szCs w:val="24"/>
        </w:rPr>
        <w:t xml:space="preserve">It </w:t>
      </w:r>
      <w:r w:rsidRPr="00C848AE">
        <w:rPr>
          <w:rFonts w:ascii="Arial" w:hAnsi="Arial" w:cs="Arial"/>
          <w:sz w:val="24"/>
          <w:szCs w:val="24"/>
        </w:rPr>
        <w:t>involves several key principles</w:t>
      </w:r>
      <w:r>
        <w:rPr>
          <w:rFonts w:ascii="Arial" w:hAnsi="Arial" w:cs="Arial"/>
          <w:sz w:val="24"/>
          <w:szCs w:val="24"/>
        </w:rPr>
        <w:t xml:space="preserve">, one being </w:t>
      </w:r>
      <w:r w:rsidRPr="00C848AE">
        <w:rPr>
          <w:rFonts w:ascii="Arial" w:hAnsi="Arial" w:cs="Arial"/>
          <w:sz w:val="24"/>
          <w:szCs w:val="24"/>
        </w:rPr>
        <w:t xml:space="preserve">objective and rational thinking, ensuring that conclusions are based on logic rather than emotion. </w:t>
      </w:r>
      <w:r w:rsidRPr="001C2261">
        <w:rPr>
          <w:rFonts w:ascii="Arial" w:hAnsi="Arial" w:cs="Arial"/>
          <w:sz w:val="24"/>
          <w:szCs w:val="24"/>
        </w:rPr>
        <w:t>The CIPD Profession Map emphasi</w:t>
      </w:r>
      <w:r>
        <w:rPr>
          <w:rFonts w:ascii="Arial" w:hAnsi="Arial" w:cs="Arial"/>
          <w:sz w:val="24"/>
          <w:szCs w:val="24"/>
        </w:rPr>
        <w:t>s</w:t>
      </w:r>
      <w:r w:rsidRPr="001C2261">
        <w:rPr>
          <w:rFonts w:ascii="Arial" w:hAnsi="Arial" w:cs="Arial"/>
          <w:sz w:val="24"/>
          <w:szCs w:val="24"/>
        </w:rPr>
        <w:t>es the importance of these by advocating evidence-</w:t>
      </w:r>
      <w:r w:rsidRPr="001C2261">
        <w:rPr>
          <w:rFonts w:ascii="Arial" w:hAnsi="Arial" w:cs="Arial"/>
          <w:sz w:val="24"/>
          <w:szCs w:val="24"/>
        </w:rPr>
        <w:lastRenderedPageBreak/>
        <w:t>based practice and encouraging HR professionals to critically evaluate information from multiple sources to support sound decision-making</w:t>
      </w:r>
      <w:r>
        <w:rPr>
          <w:rFonts w:ascii="Arial" w:hAnsi="Arial" w:cs="Arial"/>
          <w:sz w:val="24"/>
          <w:szCs w:val="24"/>
        </w:rPr>
        <w:t xml:space="preserve"> (CIPD, 2024)</w:t>
      </w:r>
      <w:r w:rsidRPr="001C2261">
        <w:rPr>
          <w:rFonts w:ascii="Arial" w:hAnsi="Arial" w:cs="Arial"/>
          <w:sz w:val="24"/>
          <w:szCs w:val="24"/>
        </w:rPr>
        <w:t>.</w:t>
      </w:r>
      <w:r>
        <w:rPr>
          <w:rFonts w:ascii="Arial" w:hAnsi="Arial" w:cs="Arial"/>
          <w:sz w:val="24"/>
          <w:szCs w:val="24"/>
        </w:rPr>
        <w:t xml:space="preserve"> </w:t>
      </w:r>
    </w:p>
    <w:p w14:paraId="588F18A8" w14:textId="77777777" w:rsidR="0082498E" w:rsidRPr="001C2261" w:rsidRDefault="0082498E" w:rsidP="0082498E">
      <w:pPr>
        <w:rPr>
          <w:rFonts w:ascii="Arial" w:hAnsi="Arial" w:cs="Arial"/>
          <w:sz w:val="24"/>
          <w:szCs w:val="24"/>
        </w:rPr>
      </w:pPr>
      <w:r w:rsidRPr="001C2261">
        <w:rPr>
          <w:rFonts w:ascii="Arial" w:hAnsi="Arial" w:cs="Arial"/>
          <w:sz w:val="24"/>
          <w:szCs w:val="24"/>
        </w:rPr>
        <w:t xml:space="preserve">Armstrong and Taylor (2017) describe </w:t>
      </w:r>
      <w:r>
        <w:rPr>
          <w:rFonts w:ascii="Arial" w:hAnsi="Arial" w:cs="Arial"/>
          <w:sz w:val="24"/>
          <w:szCs w:val="24"/>
        </w:rPr>
        <w:t>critical thinking</w:t>
      </w:r>
      <w:r w:rsidRPr="001C2261">
        <w:rPr>
          <w:rFonts w:ascii="Arial" w:hAnsi="Arial" w:cs="Arial"/>
          <w:sz w:val="24"/>
          <w:szCs w:val="24"/>
        </w:rPr>
        <w:t xml:space="preserve"> as a process of reflecting on data, interpreting findings, and drawing well-reasoned conclusions. Principles such as objectivity, rational thinking, and questioning the validity of evidence help ensure robust analysis. In today’s era of AI and fake news, the ability to distinguish fact from opinion and recogni</w:t>
      </w:r>
      <w:r>
        <w:rPr>
          <w:rFonts w:ascii="Arial" w:hAnsi="Arial" w:cs="Arial"/>
          <w:sz w:val="24"/>
          <w:szCs w:val="24"/>
        </w:rPr>
        <w:t>s</w:t>
      </w:r>
      <w:r w:rsidRPr="001C2261">
        <w:rPr>
          <w:rFonts w:ascii="Arial" w:hAnsi="Arial" w:cs="Arial"/>
          <w:sz w:val="24"/>
          <w:szCs w:val="24"/>
        </w:rPr>
        <w:t xml:space="preserve">e personal agendas is increasingly critical. </w:t>
      </w:r>
    </w:p>
    <w:p w14:paraId="04B1D55A" w14:textId="77777777" w:rsidR="0082498E" w:rsidRPr="001C2261" w:rsidRDefault="0082498E" w:rsidP="0082498E">
      <w:pPr>
        <w:rPr>
          <w:rFonts w:ascii="Arial" w:hAnsi="Arial" w:cs="Arial"/>
          <w:sz w:val="24"/>
          <w:szCs w:val="24"/>
        </w:rPr>
      </w:pPr>
      <w:r w:rsidRPr="001C2261">
        <w:rPr>
          <w:rFonts w:ascii="Arial" w:hAnsi="Arial" w:cs="Arial"/>
          <w:sz w:val="24"/>
          <w:szCs w:val="24"/>
        </w:rPr>
        <w:t>A practical application of critical thinking is De Bono’s Six Thinking Hats (1985), which provides a structured framework for analysing problems from diverse perspectives</w:t>
      </w:r>
      <w:r>
        <w:rPr>
          <w:rFonts w:ascii="Arial" w:hAnsi="Arial" w:cs="Arial"/>
          <w:sz w:val="24"/>
          <w:szCs w:val="24"/>
        </w:rPr>
        <w:t xml:space="preserve">. </w:t>
      </w:r>
      <w:r w:rsidRPr="001C2261">
        <w:rPr>
          <w:rFonts w:ascii="Arial" w:hAnsi="Arial" w:cs="Arial"/>
          <w:sz w:val="24"/>
          <w:szCs w:val="24"/>
        </w:rPr>
        <w:t>The white hat focuses on gathering factual data</w:t>
      </w:r>
      <w:r>
        <w:rPr>
          <w:rFonts w:ascii="Arial" w:hAnsi="Arial" w:cs="Arial"/>
          <w:sz w:val="24"/>
          <w:szCs w:val="24"/>
        </w:rPr>
        <w:t>, t</w:t>
      </w:r>
      <w:r w:rsidRPr="001C2261">
        <w:rPr>
          <w:rFonts w:ascii="Arial" w:hAnsi="Arial" w:cs="Arial"/>
          <w:sz w:val="24"/>
          <w:szCs w:val="24"/>
        </w:rPr>
        <w:t>he red hat considers emotional responses and instincts</w:t>
      </w:r>
      <w:r>
        <w:rPr>
          <w:rFonts w:ascii="Arial" w:hAnsi="Arial" w:cs="Arial"/>
          <w:sz w:val="24"/>
          <w:szCs w:val="24"/>
        </w:rPr>
        <w:t>, t</w:t>
      </w:r>
      <w:r w:rsidRPr="001C2261">
        <w:rPr>
          <w:rFonts w:ascii="Arial" w:hAnsi="Arial" w:cs="Arial"/>
          <w:sz w:val="24"/>
          <w:szCs w:val="24"/>
        </w:rPr>
        <w:t>he black hat highlights potential risks, while the yellow hat explores benefits</w:t>
      </w:r>
      <w:r>
        <w:rPr>
          <w:rFonts w:ascii="Arial" w:hAnsi="Arial" w:cs="Arial"/>
          <w:sz w:val="24"/>
          <w:szCs w:val="24"/>
        </w:rPr>
        <w:t xml:space="preserve">. </w:t>
      </w:r>
      <w:r w:rsidRPr="001C2261">
        <w:rPr>
          <w:rFonts w:ascii="Arial" w:hAnsi="Arial" w:cs="Arial"/>
          <w:sz w:val="24"/>
          <w:szCs w:val="24"/>
        </w:rPr>
        <w:t xml:space="preserve">The green </w:t>
      </w:r>
      <w:proofErr w:type="spellStart"/>
      <w:r w:rsidRPr="001C2261">
        <w:rPr>
          <w:rFonts w:ascii="Arial" w:hAnsi="Arial" w:cs="Arial"/>
          <w:sz w:val="24"/>
          <w:szCs w:val="24"/>
        </w:rPr>
        <w:t>hat</w:t>
      </w:r>
      <w:proofErr w:type="spellEnd"/>
      <w:r w:rsidRPr="001C2261">
        <w:rPr>
          <w:rFonts w:ascii="Arial" w:hAnsi="Arial" w:cs="Arial"/>
          <w:sz w:val="24"/>
          <w:szCs w:val="24"/>
        </w:rPr>
        <w:t xml:space="preserve"> encourages creativity, and the blue hat organi</w:t>
      </w:r>
      <w:r>
        <w:rPr>
          <w:rFonts w:ascii="Arial" w:hAnsi="Arial" w:cs="Arial"/>
          <w:sz w:val="24"/>
          <w:szCs w:val="24"/>
        </w:rPr>
        <w:t>s</w:t>
      </w:r>
      <w:r w:rsidRPr="001C2261">
        <w:rPr>
          <w:rFonts w:ascii="Arial" w:hAnsi="Arial" w:cs="Arial"/>
          <w:sz w:val="24"/>
          <w:szCs w:val="24"/>
        </w:rPr>
        <w:t>es the process and defines objectives</w:t>
      </w:r>
      <w:r>
        <w:rPr>
          <w:rFonts w:ascii="Arial" w:hAnsi="Arial" w:cs="Arial"/>
          <w:sz w:val="24"/>
          <w:szCs w:val="24"/>
        </w:rPr>
        <w:t xml:space="preserve"> (The De Bono Group, 2024)</w:t>
      </w:r>
      <w:r w:rsidRPr="001C2261">
        <w:rPr>
          <w:rFonts w:ascii="Arial" w:hAnsi="Arial" w:cs="Arial"/>
          <w:sz w:val="24"/>
          <w:szCs w:val="24"/>
        </w:rPr>
        <w:t>.</w:t>
      </w:r>
    </w:p>
    <w:p w14:paraId="35529BE3" w14:textId="77777777" w:rsidR="0082498E" w:rsidRPr="001C2261" w:rsidRDefault="0082498E" w:rsidP="0082498E">
      <w:pPr>
        <w:rPr>
          <w:rFonts w:ascii="Arial" w:hAnsi="Arial" w:cs="Arial"/>
          <w:sz w:val="24"/>
          <w:szCs w:val="24"/>
        </w:rPr>
      </w:pPr>
      <w:r w:rsidRPr="001C2261">
        <w:rPr>
          <w:rFonts w:ascii="Arial" w:hAnsi="Arial" w:cs="Arial"/>
          <w:sz w:val="24"/>
          <w:szCs w:val="24"/>
        </w:rPr>
        <w:t>For instance, in responding to a flexible working request, the white hat might gather policy data, the black hat evaluates risks (e.g., workload redistribution), and the yellow hat identifies benefits, such as improved employee satisfaction. This comprehensive approach ensures balanced and evidence-based decisions that address organi</w:t>
      </w:r>
      <w:r>
        <w:rPr>
          <w:rFonts w:ascii="Arial" w:hAnsi="Arial" w:cs="Arial"/>
          <w:sz w:val="24"/>
          <w:szCs w:val="24"/>
        </w:rPr>
        <w:t>s</w:t>
      </w:r>
      <w:r w:rsidRPr="001C2261">
        <w:rPr>
          <w:rFonts w:ascii="Arial" w:hAnsi="Arial" w:cs="Arial"/>
          <w:sz w:val="24"/>
          <w:szCs w:val="24"/>
        </w:rPr>
        <w:t>ational and employee needs.</w:t>
      </w:r>
    </w:p>
    <w:p w14:paraId="3D33242A" w14:textId="77777777" w:rsidR="0082498E" w:rsidRDefault="0082498E" w:rsidP="0082498E">
      <w:pPr>
        <w:rPr>
          <w:rFonts w:ascii="Arial" w:hAnsi="Arial" w:cs="Arial"/>
          <w:sz w:val="24"/>
          <w:szCs w:val="24"/>
        </w:rPr>
      </w:pPr>
      <w:r w:rsidRPr="001C2261">
        <w:rPr>
          <w:rFonts w:ascii="Arial" w:hAnsi="Arial" w:cs="Arial"/>
          <w:sz w:val="24"/>
          <w:szCs w:val="24"/>
        </w:rPr>
        <w:t xml:space="preserve">Another decision-making process is Kepner and Tregoe’s Model, </w:t>
      </w:r>
      <w:r>
        <w:rPr>
          <w:rFonts w:ascii="Arial" w:hAnsi="Arial" w:cs="Arial"/>
          <w:sz w:val="24"/>
          <w:szCs w:val="24"/>
        </w:rPr>
        <w:t xml:space="preserve">in </w:t>
      </w:r>
      <w:r w:rsidRPr="001C2261">
        <w:rPr>
          <w:rFonts w:ascii="Arial" w:hAnsi="Arial" w:cs="Arial"/>
          <w:sz w:val="24"/>
          <w:szCs w:val="24"/>
        </w:rPr>
        <w:t xml:space="preserve">which </w:t>
      </w:r>
      <w:r>
        <w:rPr>
          <w:rFonts w:ascii="Arial" w:hAnsi="Arial" w:cs="Arial"/>
          <w:sz w:val="24"/>
          <w:szCs w:val="24"/>
        </w:rPr>
        <w:t>‘</w:t>
      </w:r>
      <w:r w:rsidRPr="00C848AE">
        <w:rPr>
          <w:rFonts w:ascii="Arial" w:hAnsi="Arial" w:cs="Arial"/>
          <w:sz w:val="24"/>
          <w:szCs w:val="24"/>
        </w:rPr>
        <w:t>the </w:t>
      </w:r>
      <w:r w:rsidRPr="00C848AE">
        <w:rPr>
          <w:rFonts w:ascii="Arial" w:hAnsi="Arial" w:cs="Arial"/>
          <w:i/>
          <w:iCs/>
          <w:sz w:val="24"/>
          <w:szCs w:val="24"/>
        </w:rPr>
        <w:t>“problem”</w:t>
      </w:r>
      <w:r w:rsidRPr="00C848AE">
        <w:rPr>
          <w:rFonts w:ascii="Arial" w:hAnsi="Arial" w:cs="Arial"/>
          <w:sz w:val="24"/>
          <w:szCs w:val="24"/>
        </w:rPr>
        <w:t> is disconnected from the </w:t>
      </w:r>
      <w:r w:rsidRPr="00C848AE">
        <w:rPr>
          <w:rFonts w:ascii="Arial" w:hAnsi="Arial" w:cs="Arial"/>
          <w:i/>
          <w:iCs/>
          <w:sz w:val="24"/>
          <w:szCs w:val="24"/>
        </w:rPr>
        <w:t>“decision”</w:t>
      </w:r>
      <w:r>
        <w:rPr>
          <w:rFonts w:ascii="Arial" w:hAnsi="Arial" w:cs="Arial"/>
          <w:i/>
          <w:iCs/>
          <w:sz w:val="24"/>
          <w:szCs w:val="24"/>
        </w:rPr>
        <w:t xml:space="preserve">’ </w:t>
      </w:r>
      <w:r w:rsidRPr="00C848AE">
        <w:rPr>
          <w:rFonts w:ascii="Arial" w:hAnsi="Arial" w:cs="Arial"/>
          <w:sz w:val="24"/>
          <w:szCs w:val="24"/>
        </w:rPr>
        <w:t>(Mulder, 2023).</w:t>
      </w:r>
      <w:r w:rsidRPr="001C2261">
        <w:rPr>
          <w:rFonts w:ascii="Arial" w:hAnsi="Arial" w:cs="Arial"/>
          <w:sz w:val="24"/>
          <w:szCs w:val="24"/>
        </w:rPr>
        <w:t xml:space="preserve"> For example, if an organi</w:t>
      </w:r>
      <w:r>
        <w:rPr>
          <w:rFonts w:ascii="Arial" w:hAnsi="Arial" w:cs="Arial"/>
          <w:sz w:val="24"/>
          <w:szCs w:val="24"/>
        </w:rPr>
        <w:t>s</w:t>
      </w:r>
      <w:r w:rsidRPr="001C2261">
        <w:rPr>
          <w:rFonts w:ascii="Arial" w:hAnsi="Arial" w:cs="Arial"/>
          <w:sz w:val="24"/>
          <w:szCs w:val="24"/>
        </w:rPr>
        <w:t>ation experiences high turnover in specific departments, this process can isolate causes, such as poor management practices or lack of career development opportunities, leading to targeted interventions like leadership training.</w:t>
      </w:r>
    </w:p>
    <w:p w14:paraId="6DFF2AC8" w14:textId="77777777" w:rsidR="0082498E" w:rsidRPr="006A3623" w:rsidRDefault="0082498E" w:rsidP="0082498E">
      <w:pPr>
        <w:rPr>
          <w:rFonts w:ascii="Arial" w:hAnsi="Arial" w:cs="Arial"/>
          <w:sz w:val="24"/>
          <w:szCs w:val="24"/>
        </w:rPr>
      </w:pPr>
      <w:r w:rsidRPr="006A3623">
        <w:rPr>
          <w:rFonts w:ascii="Arial" w:hAnsi="Arial" w:cs="Arial"/>
          <w:b/>
          <w:bCs/>
          <w:sz w:val="24"/>
          <w:szCs w:val="24"/>
        </w:rPr>
        <w:t xml:space="preserve">1.5 </w:t>
      </w:r>
      <w:r>
        <w:rPr>
          <w:rFonts w:ascii="Arial" w:hAnsi="Arial" w:cs="Arial"/>
          <w:sz w:val="24"/>
          <w:szCs w:val="24"/>
        </w:rPr>
        <w:t>T</w:t>
      </w:r>
      <w:r w:rsidRPr="006A3623">
        <w:rPr>
          <w:rFonts w:ascii="Arial" w:hAnsi="Arial" w:cs="Arial"/>
          <w:sz w:val="24"/>
          <w:szCs w:val="24"/>
        </w:rPr>
        <w:t>wo ethical perspectives, Deontological theory and Utilitarianism, offer distinct approaches to navigating ethical dilemmas</w:t>
      </w:r>
      <w:r>
        <w:rPr>
          <w:rFonts w:ascii="Arial" w:hAnsi="Arial" w:cs="Arial"/>
          <w:sz w:val="24"/>
          <w:szCs w:val="24"/>
        </w:rPr>
        <w:t xml:space="preserve"> in the workplace</w:t>
      </w:r>
      <w:r w:rsidRPr="006A3623">
        <w:rPr>
          <w:rFonts w:ascii="Arial" w:hAnsi="Arial" w:cs="Arial"/>
          <w:sz w:val="24"/>
          <w:szCs w:val="24"/>
        </w:rPr>
        <w:t>.</w:t>
      </w:r>
    </w:p>
    <w:p w14:paraId="71193E74" w14:textId="77777777" w:rsidR="0082498E" w:rsidRPr="006A3623" w:rsidRDefault="0082498E" w:rsidP="0082498E">
      <w:pPr>
        <w:rPr>
          <w:rFonts w:ascii="Arial" w:hAnsi="Arial" w:cs="Arial"/>
          <w:sz w:val="24"/>
          <w:szCs w:val="24"/>
        </w:rPr>
      </w:pPr>
      <w:r w:rsidRPr="006A3623">
        <w:rPr>
          <w:rFonts w:ascii="Arial" w:hAnsi="Arial" w:cs="Arial"/>
          <w:sz w:val="24"/>
          <w:szCs w:val="24"/>
        </w:rPr>
        <w:t>Deontological Theory emphasi</w:t>
      </w:r>
      <w:r>
        <w:rPr>
          <w:rFonts w:ascii="Arial" w:hAnsi="Arial" w:cs="Arial"/>
          <w:sz w:val="24"/>
          <w:szCs w:val="24"/>
        </w:rPr>
        <w:t>s</w:t>
      </w:r>
      <w:r w:rsidRPr="006A3623">
        <w:rPr>
          <w:rFonts w:ascii="Arial" w:hAnsi="Arial" w:cs="Arial"/>
          <w:sz w:val="24"/>
          <w:szCs w:val="24"/>
        </w:rPr>
        <w:t xml:space="preserve">es adherence to rules and principles regardless of the outcomes. According to the CIPD (2015), deontologists focus on actions that are </w:t>
      </w:r>
      <w:r>
        <w:rPr>
          <w:rFonts w:ascii="Arial" w:hAnsi="Arial" w:cs="Arial"/>
          <w:sz w:val="24"/>
          <w:szCs w:val="24"/>
        </w:rPr>
        <w:t>‘</w:t>
      </w:r>
      <w:r w:rsidRPr="006A3623">
        <w:rPr>
          <w:rFonts w:ascii="Arial" w:hAnsi="Arial" w:cs="Arial"/>
          <w:sz w:val="24"/>
          <w:szCs w:val="24"/>
        </w:rPr>
        <w:t>permissible and obligator</w:t>
      </w:r>
      <w:r>
        <w:rPr>
          <w:rFonts w:ascii="Arial" w:hAnsi="Arial" w:cs="Arial"/>
          <w:sz w:val="24"/>
          <w:szCs w:val="24"/>
        </w:rPr>
        <w:t>y’</w:t>
      </w:r>
      <w:r w:rsidRPr="006A3623">
        <w:rPr>
          <w:rFonts w:ascii="Arial" w:hAnsi="Arial" w:cs="Arial"/>
          <w:sz w:val="24"/>
          <w:szCs w:val="24"/>
        </w:rPr>
        <w:t xml:space="preserve"> and adhere to existing policies and standards. For example, if an organi</w:t>
      </w:r>
      <w:r>
        <w:rPr>
          <w:rFonts w:ascii="Arial" w:hAnsi="Arial" w:cs="Arial"/>
          <w:sz w:val="24"/>
          <w:szCs w:val="24"/>
        </w:rPr>
        <w:t>s</w:t>
      </w:r>
      <w:r w:rsidRPr="006A3623">
        <w:rPr>
          <w:rFonts w:ascii="Arial" w:hAnsi="Arial" w:cs="Arial"/>
          <w:sz w:val="24"/>
          <w:szCs w:val="24"/>
        </w:rPr>
        <w:t xml:space="preserve">ation has a policy requiring six months of service for paid compassionate leave and an employee in their fifth month suffers a family loss, deontological ethics </w:t>
      </w:r>
      <w:proofErr w:type="gramStart"/>
      <w:r w:rsidRPr="006A3623">
        <w:rPr>
          <w:rFonts w:ascii="Arial" w:hAnsi="Arial" w:cs="Arial"/>
          <w:sz w:val="24"/>
          <w:szCs w:val="24"/>
        </w:rPr>
        <w:t>would recommend</w:t>
      </w:r>
      <w:proofErr w:type="gramEnd"/>
      <w:r w:rsidRPr="006A3623">
        <w:rPr>
          <w:rFonts w:ascii="Arial" w:hAnsi="Arial" w:cs="Arial"/>
          <w:sz w:val="24"/>
          <w:szCs w:val="24"/>
        </w:rPr>
        <w:t xml:space="preserve"> following the policy. While this ensures consistency and fairness in applying rules, the resulting decision may not align with what feels ethically right to all parties. This perspective provides clarity and avoids subjective interpretations, but it may lack the flexibility required to address individual circumstances, potentially affecting employee morale and trust.</w:t>
      </w:r>
    </w:p>
    <w:p w14:paraId="707DD575" w14:textId="77777777" w:rsidR="0082498E" w:rsidRDefault="0082498E" w:rsidP="0082498E">
      <w:pPr>
        <w:rPr>
          <w:rFonts w:ascii="Arial" w:hAnsi="Arial" w:cs="Arial"/>
          <w:sz w:val="24"/>
          <w:szCs w:val="24"/>
        </w:rPr>
      </w:pPr>
      <w:r w:rsidRPr="006A3623">
        <w:rPr>
          <w:rFonts w:ascii="Arial" w:hAnsi="Arial" w:cs="Arial"/>
          <w:sz w:val="24"/>
          <w:szCs w:val="24"/>
        </w:rPr>
        <w:t>Utilitarianism prioriti</w:t>
      </w:r>
      <w:r>
        <w:rPr>
          <w:rFonts w:ascii="Arial" w:hAnsi="Arial" w:cs="Arial"/>
          <w:sz w:val="24"/>
          <w:szCs w:val="24"/>
        </w:rPr>
        <w:t>s</w:t>
      </w:r>
      <w:r w:rsidRPr="006A3623">
        <w:rPr>
          <w:rFonts w:ascii="Arial" w:hAnsi="Arial" w:cs="Arial"/>
          <w:sz w:val="24"/>
          <w:szCs w:val="24"/>
        </w:rPr>
        <w:t>es actions that produce the greatest good for the greatest number of people</w:t>
      </w:r>
      <w:r>
        <w:rPr>
          <w:rFonts w:ascii="Arial" w:hAnsi="Arial" w:cs="Arial"/>
          <w:sz w:val="24"/>
          <w:szCs w:val="24"/>
        </w:rPr>
        <w:t xml:space="preserve"> (Driver, 2022)</w:t>
      </w:r>
      <w:r w:rsidRPr="006A3623">
        <w:rPr>
          <w:rFonts w:ascii="Arial" w:hAnsi="Arial" w:cs="Arial"/>
          <w:sz w:val="24"/>
          <w:szCs w:val="24"/>
        </w:rPr>
        <w:t xml:space="preserve">. For instance, in a local authority setting, applying behavioural standards guidance might involve addressing an employee’s inappropriate conduct through formal action to maintain </w:t>
      </w:r>
      <w:r>
        <w:rPr>
          <w:rFonts w:ascii="Arial" w:hAnsi="Arial" w:cs="Arial"/>
          <w:sz w:val="24"/>
          <w:szCs w:val="24"/>
        </w:rPr>
        <w:t xml:space="preserve">to </w:t>
      </w:r>
      <w:r w:rsidRPr="006A3623">
        <w:rPr>
          <w:rFonts w:ascii="Arial" w:hAnsi="Arial" w:cs="Arial"/>
          <w:sz w:val="24"/>
          <w:szCs w:val="24"/>
        </w:rPr>
        <w:t xml:space="preserve">ensure a respectful working environment. While this approach benefits the majority by reinforcing standards and fostering a positive workplace culture, it may overlook the individual circumstances of the employee in question, such as underlying personal issues that contribute to their behaviour. Despite this limitation, utilitarianism provides a </w:t>
      </w:r>
      <w:r w:rsidRPr="006A3623">
        <w:rPr>
          <w:rFonts w:ascii="Arial" w:hAnsi="Arial" w:cs="Arial"/>
          <w:sz w:val="24"/>
          <w:szCs w:val="24"/>
        </w:rPr>
        <w:lastRenderedPageBreak/>
        <w:t>reasonable framework for ensuring decisions align with organi</w:t>
      </w:r>
      <w:r>
        <w:rPr>
          <w:rFonts w:ascii="Arial" w:hAnsi="Arial" w:cs="Arial"/>
          <w:sz w:val="24"/>
          <w:szCs w:val="24"/>
        </w:rPr>
        <w:t>s</w:t>
      </w:r>
      <w:r w:rsidRPr="006A3623">
        <w:rPr>
          <w:rFonts w:ascii="Arial" w:hAnsi="Arial" w:cs="Arial"/>
          <w:sz w:val="24"/>
          <w:szCs w:val="24"/>
        </w:rPr>
        <w:t>ational values and promote collective well-being.</w:t>
      </w:r>
    </w:p>
    <w:p w14:paraId="2672EA4F" w14:textId="77777777" w:rsidR="0082498E" w:rsidRPr="006A3623" w:rsidRDefault="0082498E" w:rsidP="0082498E">
      <w:pPr>
        <w:rPr>
          <w:rFonts w:ascii="Arial" w:hAnsi="Arial" w:cs="Arial"/>
          <w:sz w:val="24"/>
          <w:szCs w:val="24"/>
        </w:rPr>
      </w:pPr>
      <w:r w:rsidRPr="006A3623">
        <w:rPr>
          <w:rFonts w:ascii="Arial" w:hAnsi="Arial" w:cs="Arial"/>
          <w:sz w:val="24"/>
          <w:szCs w:val="24"/>
        </w:rPr>
        <w:t>The CIPD’s Eight Ethical Lenses further support ethical decision-making by offering diverse perspectives. The well-being lens, for instance, emphasi</w:t>
      </w:r>
      <w:r>
        <w:rPr>
          <w:rFonts w:ascii="Arial" w:hAnsi="Arial" w:cs="Arial"/>
          <w:sz w:val="24"/>
          <w:szCs w:val="24"/>
        </w:rPr>
        <w:t>s</w:t>
      </w:r>
      <w:r w:rsidRPr="006A3623">
        <w:rPr>
          <w:rFonts w:ascii="Arial" w:hAnsi="Arial" w:cs="Arial"/>
          <w:sz w:val="24"/>
          <w:szCs w:val="24"/>
        </w:rPr>
        <w:t>es creating sustainable and supportive work environments, aligning with utilitarian principles to promote positivity in the workplace. Meanwhile, the rights and duties lens complement deontological ethics by emphasi</w:t>
      </w:r>
      <w:r>
        <w:rPr>
          <w:rFonts w:ascii="Arial" w:hAnsi="Arial" w:cs="Arial"/>
          <w:sz w:val="24"/>
          <w:szCs w:val="24"/>
        </w:rPr>
        <w:t>s</w:t>
      </w:r>
      <w:r w:rsidRPr="006A3623">
        <w:rPr>
          <w:rFonts w:ascii="Arial" w:hAnsi="Arial" w:cs="Arial"/>
          <w:sz w:val="24"/>
          <w:szCs w:val="24"/>
        </w:rPr>
        <w:t>ing the importance of respecting individual rights and fulfilling moral obligations. Applying these lenses allows HR professionals to evaluate decisions from multiple viewpoints, ensuring outcomes are balanced, inclusive, and ethical</w:t>
      </w:r>
      <w:r>
        <w:rPr>
          <w:rFonts w:ascii="Arial" w:hAnsi="Arial" w:cs="Arial"/>
          <w:sz w:val="24"/>
          <w:szCs w:val="24"/>
        </w:rPr>
        <w:t xml:space="preserve"> (CIPD, 2015)</w:t>
      </w:r>
      <w:r w:rsidRPr="006A3623">
        <w:rPr>
          <w:rFonts w:ascii="Arial" w:hAnsi="Arial" w:cs="Arial"/>
          <w:sz w:val="24"/>
          <w:szCs w:val="24"/>
        </w:rPr>
        <w:t>.</w:t>
      </w:r>
    </w:p>
    <w:p w14:paraId="21939578" w14:textId="77777777" w:rsidR="0082498E" w:rsidRPr="006A3623" w:rsidRDefault="0082498E" w:rsidP="0082498E">
      <w:pPr>
        <w:rPr>
          <w:rFonts w:ascii="Arial" w:hAnsi="Arial" w:cs="Arial"/>
          <w:b/>
          <w:bCs/>
          <w:sz w:val="24"/>
          <w:szCs w:val="24"/>
        </w:rPr>
      </w:pPr>
      <w:r w:rsidRPr="006A3623">
        <w:rPr>
          <w:rFonts w:ascii="Arial" w:hAnsi="Arial" w:cs="Arial"/>
          <w:sz w:val="24"/>
          <w:szCs w:val="24"/>
        </w:rPr>
        <w:t>Ultimately, both deontological theory and utilitarianism play critical roles in guiding moral decision-making. While deontological ethics ensures consistency and adherence to principles, utilitarianism focuses on outcomes and collective benefit. By integrating these perspectives with tools like the CIPD's ethical lenses, HR professionals can make well-rounded decisions that address both organi</w:t>
      </w:r>
      <w:r>
        <w:rPr>
          <w:rFonts w:ascii="Arial" w:hAnsi="Arial" w:cs="Arial"/>
          <w:sz w:val="24"/>
          <w:szCs w:val="24"/>
        </w:rPr>
        <w:t>s</w:t>
      </w:r>
      <w:r w:rsidRPr="006A3623">
        <w:rPr>
          <w:rFonts w:ascii="Arial" w:hAnsi="Arial" w:cs="Arial"/>
          <w:sz w:val="24"/>
          <w:szCs w:val="24"/>
        </w:rPr>
        <w:t>ational and employee needs.</w:t>
      </w:r>
    </w:p>
    <w:p w14:paraId="35D9DBFC" w14:textId="77777777" w:rsidR="0082498E" w:rsidRPr="006D4B36" w:rsidRDefault="0082498E" w:rsidP="0082498E">
      <w:pPr>
        <w:rPr>
          <w:rFonts w:ascii="Arial" w:hAnsi="Arial" w:cs="Arial"/>
          <w:b/>
          <w:bCs/>
          <w:sz w:val="24"/>
          <w:szCs w:val="24"/>
        </w:rPr>
      </w:pPr>
      <w:r w:rsidRPr="006A3623">
        <w:rPr>
          <w:rFonts w:ascii="Arial" w:hAnsi="Arial" w:cs="Arial"/>
          <w:b/>
          <w:bCs/>
          <w:sz w:val="24"/>
          <w:szCs w:val="24"/>
        </w:rPr>
        <w:t>3.1</w:t>
      </w:r>
      <w:r>
        <w:rPr>
          <w:rFonts w:ascii="Arial" w:hAnsi="Arial" w:cs="Arial"/>
          <w:b/>
          <w:bCs/>
          <w:sz w:val="24"/>
          <w:szCs w:val="24"/>
        </w:rPr>
        <w:t xml:space="preserve"> </w:t>
      </w:r>
      <w:r w:rsidRPr="00CA4FE6">
        <w:rPr>
          <w:rFonts w:ascii="Arial" w:hAnsi="Arial" w:cs="Arial"/>
          <w:sz w:val="24"/>
          <w:szCs w:val="24"/>
        </w:rPr>
        <w:t>A common way to measure financial performance is through Return on Investment (ROI). This metric assesses the profitability of an investment by comparing the cost with the returns it generates</w:t>
      </w:r>
      <w:r>
        <w:rPr>
          <w:rFonts w:ascii="Arial" w:hAnsi="Arial" w:cs="Arial"/>
          <w:b/>
          <w:bCs/>
          <w:sz w:val="24"/>
          <w:szCs w:val="24"/>
        </w:rPr>
        <w:t xml:space="preserve"> </w:t>
      </w:r>
      <w:r w:rsidRPr="00CA4FE6">
        <w:rPr>
          <w:rFonts w:ascii="Arial" w:hAnsi="Arial" w:cs="Arial"/>
          <w:sz w:val="24"/>
          <w:szCs w:val="24"/>
        </w:rPr>
        <w:t>(Fernando, 2023).</w:t>
      </w:r>
      <w:r w:rsidRPr="006D4B36">
        <w:rPr>
          <w:rFonts w:ascii="Arial" w:hAnsi="Arial" w:cs="Arial"/>
          <w:b/>
          <w:bCs/>
          <w:sz w:val="24"/>
          <w:szCs w:val="24"/>
        </w:rPr>
        <w:t xml:space="preserve"> </w:t>
      </w:r>
      <w:r>
        <w:rPr>
          <w:rFonts w:ascii="Arial" w:hAnsi="Arial" w:cs="Arial"/>
          <w:sz w:val="24"/>
          <w:szCs w:val="24"/>
        </w:rPr>
        <w:t xml:space="preserve">For example, as a HR professional for a local authority, </w:t>
      </w:r>
      <w:r w:rsidRPr="00CA4FE6">
        <w:rPr>
          <w:rFonts w:ascii="Arial" w:hAnsi="Arial" w:cs="Arial"/>
          <w:sz w:val="24"/>
          <w:szCs w:val="24"/>
        </w:rPr>
        <w:t>we might assess the ROI of introducing a digital learning platform for employee development. If £80,000 is invested in the platform and it results in a £120,000 reduction in external training costs due to in-house capabilities, the ROI demonstrates the financial value of the investment while also highlighting long-term benefits like improved staff retention and enhanced skills development. This broader impact emphasi</w:t>
      </w:r>
      <w:r>
        <w:rPr>
          <w:rFonts w:ascii="Arial" w:hAnsi="Arial" w:cs="Arial"/>
          <w:sz w:val="24"/>
          <w:szCs w:val="24"/>
        </w:rPr>
        <w:t>s</w:t>
      </w:r>
      <w:r w:rsidRPr="00CA4FE6">
        <w:rPr>
          <w:rFonts w:ascii="Arial" w:hAnsi="Arial" w:cs="Arial"/>
          <w:sz w:val="24"/>
          <w:szCs w:val="24"/>
        </w:rPr>
        <w:t>es the importance of combining ROI with other performance metrics to capture both financial and non-financial outcomes.</w:t>
      </w:r>
      <w:r>
        <w:rPr>
          <w:rFonts w:ascii="Arial" w:hAnsi="Arial" w:cs="Arial"/>
          <w:sz w:val="24"/>
          <w:szCs w:val="24"/>
        </w:rPr>
        <w:t xml:space="preserve"> </w:t>
      </w:r>
    </w:p>
    <w:p w14:paraId="01D91FA7" w14:textId="77777777" w:rsidR="0082498E" w:rsidRPr="00CA4FE6" w:rsidRDefault="0082498E" w:rsidP="0082498E">
      <w:pPr>
        <w:rPr>
          <w:rFonts w:ascii="Arial" w:hAnsi="Arial" w:cs="Arial"/>
          <w:sz w:val="24"/>
          <w:szCs w:val="24"/>
        </w:rPr>
      </w:pPr>
      <w:r w:rsidRPr="00CA4FE6">
        <w:rPr>
          <w:rFonts w:ascii="Arial" w:hAnsi="Arial" w:cs="Arial"/>
          <w:sz w:val="24"/>
          <w:szCs w:val="24"/>
        </w:rPr>
        <w:t>For non-financial performance, organisations can measure stakeholder feedback using both quantitative and qualitative data collection methods.</w:t>
      </w:r>
      <w:r w:rsidRPr="006D4B36">
        <w:rPr>
          <w:rFonts w:ascii="Arial" w:hAnsi="Arial" w:cs="Arial"/>
          <w:b/>
          <w:bCs/>
          <w:sz w:val="24"/>
          <w:szCs w:val="24"/>
        </w:rPr>
        <w:t xml:space="preserve"> </w:t>
      </w:r>
      <w:r w:rsidRPr="00CA4FE6">
        <w:rPr>
          <w:rFonts w:ascii="Arial" w:hAnsi="Arial" w:cs="Arial"/>
          <w:sz w:val="24"/>
          <w:szCs w:val="24"/>
        </w:rPr>
        <w:t>During my time at a mental health charity, we conducted an annual review that incorporated case studies showcasing the impact of our support on individuals. Additionally, we distributed feedback forms to stakeholders, such as partner agencies and community organisations, to assess their satisfaction with our collaboration and services. This approach provided both measurable insights and in-depth narratives about the effectiveness of our work. By combining numerical data with qualitative accounts, the charity identified opportunities to strengthen partnerships and refine services to better meet the needs of both clients and stakeholders.</w:t>
      </w:r>
      <w:r>
        <w:rPr>
          <w:rFonts w:ascii="Arial" w:hAnsi="Arial" w:cs="Arial"/>
          <w:sz w:val="24"/>
          <w:szCs w:val="24"/>
        </w:rPr>
        <w:t xml:space="preserve"> It resulted in identifying a need for an outreach service.</w:t>
      </w:r>
    </w:p>
    <w:p w14:paraId="019FF9A0" w14:textId="77777777" w:rsidR="0082498E" w:rsidRPr="00CA4FE6" w:rsidRDefault="0082498E" w:rsidP="0082498E">
      <w:pPr>
        <w:rPr>
          <w:rFonts w:ascii="Arial" w:hAnsi="Arial" w:cs="Arial"/>
          <w:sz w:val="24"/>
          <w:szCs w:val="24"/>
        </w:rPr>
      </w:pPr>
      <w:r w:rsidRPr="00CA4FE6">
        <w:rPr>
          <w:rFonts w:ascii="Arial" w:hAnsi="Arial" w:cs="Arial"/>
          <w:sz w:val="24"/>
          <w:szCs w:val="24"/>
        </w:rPr>
        <w:t>In conclusion, while financial metrics like ROI provide critical insights into profitability, non-financial metrics such as stakeholder feedback offer valuable perspectives on organisational impact and service quality. Together, these approaches enable organisations to evaluate their overall performance comprehensively and align strategies with both financial goals and stakeholder needs.</w:t>
      </w:r>
    </w:p>
    <w:p w14:paraId="71382C31" w14:textId="77777777" w:rsidR="0082498E" w:rsidRPr="00F2355B" w:rsidRDefault="0082498E" w:rsidP="0082498E">
      <w:pPr>
        <w:rPr>
          <w:rFonts w:ascii="Arial" w:hAnsi="Arial" w:cs="Arial"/>
          <w:sz w:val="24"/>
          <w:szCs w:val="24"/>
        </w:rPr>
      </w:pPr>
      <w:r w:rsidRPr="006A3623">
        <w:rPr>
          <w:rFonts w:ascii="Arial" w:hAnsi="Arial" w:cs="Arial"/>
          <w:b/>
          <w:bCs/>
          <w:sz w:val="24"/>
          <w:szCs w:val="24"/>
        </w:rPr>
        <w:lastRenderedPageBreak/>
        <w:t>3.2</w:t>
      </w:r>
      <w:r>
        <w:rPr>
          <w:rFonts w:ascii="Arial" w:hAnsi="Arial" w:cs="Arial"/>
          <w:b/>
          <w:bCs/>
          <w:sz w:val="24"/>
          <w:szCs w:val="24"/>
        </w:rPr>
        <w:t xml:space="preserve"> </w:t>
      </w:r>
      <w:r w:rsidRPr="00F2355B">
        <w:rPr>
          <w:rFonts w:ascii="Arial" w:hAnsi="Arial" w:cs="Arial"/>
          <w:sz w:val="24"/>
          <w:szCs w:val="24"/>
        </w:rPr>
        <w:t xml:space="preserve">People practices add value in an organisation by enhancing business performance, ensuring compliance, and fostering a supportive and productive work environment. As </w:t>
      </w:r>
      <w:r>
        <w:rPr>
          <w:rFonts w:ascii="Arial" w:hAnsi="Arial" w:cs="Arial"/>
          <w:sz w:val="24"/>
          <w:szCs w:val="24"/>
        </w:rPr>
        <w:t xml:space="preserve">Armstrong and </w:t>
      </w:r>
      <w:r w:rsidRPr="00F2355B">
        <w:rPr>
          <w:rFonts w:ascii="Arial" w:hAnsi="Arial" w:cs="Arial"/>
          <w:sz w:val="24"/>
          <w:szCs w:val="24"/>
        </w:rPr>
        <w:t>Taylor (2014) identif</w:t>
      </w:r>
      <w:r>
        <w:rPr>
          <w:rFonts w:ascii="Arial" w:hAnsi="Arial" w:cs="Arial"/>
          <w:sz w:val="24"/>
          <w:szCs w:val="24"/>
        </w:rPr>
        <w:t>y,</w:t>
      </w:r>
      <w:r w:rsidRPr="00F2355B">
        <w:rPr>
          <w:rFonts w:ascii="Arial" w:hAnsi="Arial" w:cs="Arial"/>
          <w:sz w:val="24"/>
          <w:szCs w:val="24"/>
        </w:rPr>
        <w:t xml:space="preserve"> these practices include maintenance activities like contract preparation, crisis prevention through effective policy implementation, continuous improvement by addressing organisational challenges, and change management to facilitate smooth transitions during restructures. Through these contributions, HR ensures business objectives are met, provides exceptional administrative services, and champions effective people management practices, thereby supporting both employees and the organisation.</w:t>
      </w:r>
    </w:p>
    <w:p w14:paraId="13044610" w14:textId="77777777" w:rsidR="0082498E" w:rsidRPr="00F2355B" w:rsidRDefault="0082498E" w:rsidP="0082498E">
      <w:pPr>
        <w:rPr>
          <w:rFonts w:ascii="Arial" w:hAnsi="Arial" w:cs="Arial"/>
          <w:sz w:val="24"/>
          <w:szCs w:val="24"/>
        </w:rPr>
      </w:pPr>
      <w:r w:rsidRPr="00F2355B">
        <w:rPr>
          <w:rFonts w:ascii="Arial" w:hAnsi="Arial" w:cs="Arial"/>
          <w:sz w:val="24"/>
          <w:szCs w:val="24"/>
        </w:rPr>
        <w:t>One-way organisations measure the value of people practices is through employee retention rates. High retention rates typically indicate job satisfaction, effective people management, and positive workplace culture. For example, by analysing trends in retention data over time, organisations can identify specific interventions</w:t>
      </w:r>
      <w:r>
        <w:rPr>
          <w:rFonts w:ascii="Arial" w:hAnsi="Arial" w:cs="Arial"/>
          <w:sz w:val="24"/>
          <w:szCs w:val="24"/>
        </w:rPr>
        <w:t>, such</w:t>
      </w:r>
      <w:r w:rsidRPr="00F2355B">
        <w:rPr>
          <w:rFonts w:ascii="Arial" w:hAnsi="Arial" w:cs="Arial"/>
          <w:sz w:val="24"/>
          <w:szCs w:val="24"/>
        </w:rPr>
        <w:t xml:space="preserve"> as improved onboarding or flexible working policies</w:t>
      </w:r>
      <w:r>
        <w:rPr>
          <w:rFonts w:ascii="Arial" w:hAnsi="Arial" w:cs="Arial"/>
          <w:sz w:val="24"/>
          <w:szCs w:val="24"/>
        </w:rPr>
        <w:t xml:space="preserve">, </w:t>
      </w:r>
      <w:r w:rsidRPr="00F2355B">
        <w:rPr>
          <w:rFonts w:ascii="Arial" w:hAnsi="Arial" w:cs="Arial"/>
          <w:sz w:val="24"/>
          <w:szCs w:val="24"/>
        </w:rPr>
        <w:t>that have reduced turnover. This data-driven approach allows HR practitioners to demonstrate the cost-effectiveness of people-focused initiatives. High retention not only reduces recruitment costs but also ensures continuity of knowledge and team dynamics, contributing to long-term organisational success.</w:t>
      </w:r>
      <w:r>
        <w:rPr>
          <w:rFonts w:ascii="Arial" w:hAnsi="Arial" w:cs="Arial"/>
          <w:sz w:val="24"/>
          <w:szCs w:val="24"/>
        </w:rPr>
        <w:t xml:space="preserve"> This is especially important when working in a multigenerational workforce in terms of transferring knowledge when people reach retirement age (Smith, 2024).</w:t>
      </w:r>
    </w:p>
    <w:p w14:paraId="26009A9F" w14:textId="77777777" w:rsidR="0082498E" w:rsidRPr="00F2355B" w:rsidRDefault="0082498E" w:rsidP="0082498E">
      <w:pPr>
        <w:rPr>
          <w:rFonts w:ascii="Arial" w:hAnsi="Arial" w:cs="Arial"/>
          <w:sz w:val="24"/>
          <w:szCs w:val="24"/>
        </w:rPr>
      </w:pPr>
      <w:r w:rsidRPr="00F2355B">
        <w:rPr>
          <w:rFonts w:ascii="Arial" w:hAnsi="Arial" w:cs="Arial"/>
          <w:sz w:val="24"/>
          <w:szCs w:val="24"/>
        </w:rPr>
        <w:t>Another method to measure the value of people practices is productivity analysis. Organisations can track team or individual output before and after implementing HR initiatives, such as wellness program</w:t>
      </w:r>
      <w:r>
        <w:rPr>
          <w:rFonts w:ascii="Arial" w:hAnsi="Arial" w:cs="Arial"/>
          <w:sz w:val="24"/>
          <w:szCs w:val="24"/>
        </w:rPr>
        <w:t>me</w:t>
      </w:r>
      <w:r w:rsidRPr="00F2355B">
        <w:rPr>
          <w:rFonts w:ascii="Arial" w:hAnsi="Arial" w:cs="Arial"/>
          <w:sz w:val="24"/>
          <w:szCs w:val="24"/>
        </w:rPr>
        <w:t>s or improved leadership support</w:t>
      </w:r>
      <w:r>
        <w:rPr>
          <w:rFonts w:ascii="Arial" w:hAnsi="Arial" w:cs="Arial"/>
          <w:sz w:val="24"/>
          <w:szCs w:val="24"/>
        </w:rPr>
        <w:t xml:space="preserve"> (Jay, 2023). </w:t>
      </w:r>
      <w:r w:rsidRPr="00F2355B">
        <w:rPr>
          <w:rFonts w:ascii="Arial" w:hAnsi="Arial" w:cs="Arial"/>
          <w:sz w:val="24"/>
          <w:szCs w:val="24"/>
        </w:rPr>
        <w:t>For instance, in a mental health charity, tracking productivity following the introduction of peer support training for line managers could show a direct correlation between employee well-being and service delivery outcomes. This analysis can demonstrate the impact of investing in people practices on the organisation's ability to meet service demands and achieve its</w:t>
      </w:r>
      <w:r>
        <w:rPr>
          <w:rFonts w:ascii="Arial" w:hAnsi="Arial" w:cs="Arial"/>
          <w:sz w:val="24"/>
          <w:szCs w:val="24"/>
        </w:rPr>
        <w:t xml:space="preserve"> contractual obligations</w:t>
      </w:r>
      <w:r w:rsidRPr="00F2355B">
        <w:rPr>
          <w:rFonts w:ascii="Arial" w:hAnsi="Arial" w:cs="Arial"/>
          <w:sz w:val="24"/>
          <w:szCs w:val="24"/>
        </w:rPr>
        <w:t>.</w:t>
      </w:r>
    </w:p>
    <w:p w14:paraId="00389231" w14:textId="77777777" w:rsidR="0082498E" w:rsidRPr="00F2355B" w:rsidRDefault="0082498E" w:rsidP="0082498E">
      <w:pPr>
        <w:rPr>
          <w:rFonts w:ascii="Arial" w:hAnsi="Arial" w:cs="Arial"/>
          <w:sz w:val="24"/>
          <w:szCs w:val="24"/>
        </w:rPr>
      </w:pPr>
      <w:r w:rsidRPr="00F2355B">
        <w:rPr>
          <w:rFonts w:ascii="Arial" w:hAnsi="Arial" w:cs="Arial"/>
          <w:sz w:val="24"/>
          <w:szCs w:val="24"/>
        </w:rPr>
        <w:t>Both approaches highlight the concrete and intangible benefits of HR's role in aligning organisational strategies with people-focused practices. By continuously evaluating their impact, HR professionals can ensure they add value to the organisation while fostering a culture of engagement and well-being.</w:t>
      </w:r>
    </w:p>
    <w:p w14:paraId="154D1FC5" w14:textId="77777777" w:rsidR="0082498E" w:rsidRDefault="0082498E" w:rsidP="0082498E">
      <w:pPr>
        <w:rPr>
          <w:rFonts w:ascii="Arial" w:hAnsi="Arial" w:cs="Arial"/>
          <w:b/>
          <w:bCs/>
          <w:sz w:val="24"/>
          <w:szCs w:val="24"/>
        </w:rPr>
      </w:pPr>
    </w:p>
    <w:p w14:paraId="4AC8845C" w14:textId="77777777" w:rsidR="0082498E" w:rsidRDefault="0082498E" w:rsidP="0082498E">
      <w:pPr>
        <w:rPr>
          <w:rFonts w:ascii="Arial" w:hAnsi="Arial" w:cs="Arial"/>
          <w:b/>
          <w:bCs/>
          <w:sz w:val="24"/>
          <w:szCs w:val="24"/>
        </w:rPr>
      </w:pPr>
    </w:p>
    <w:p w14:paraId="098AA3AF" w14:textId="77777777" w:rsidR="0082498E" w:rsidRDefault="0082498E" w:rsidP="0082498E">
      <w:pPr>
        <w:rPr>
          <w:rFonts w:ascii="Arial" w:hAnsi="Arial" w:cs="Arial"/>
          <w:b/>
          <w:bCs/>
          <w:sz w:val="24"/>
          <w:szCs w:val="24"/>
        </w:rPr>
      </w:pPr>
    </w:p>
    <w:p w14:paraId="26B62999" w14:textId="77777777" w:rsidR="0082498E" w:rsidRDefault="0082498E" w:rsidP="0082498E">
      <w:pPr>
        <w:rPr>
          <w:rFonts w:ascii="Arial" w:hAnsi="Arial" w:cs="Arial"/>
          <w:b/>
          <w:bCs/>
          <w:sz w:val="24"/>
          <w:szCs w:val="24"/>
        </w:rPr>
      </w:pPr>
    </w:p>
    <w:p w14:paraId="35668ED3" w14:textId="77777777" w:rsidR="0082498E" w:rsidRDefault="0082498E" w:rsidP="0082498E">
      <w:pPr>
        <w:rPr>
          <w:rFonts w:ascii="Arial" w:hAnsi="Arial" w:cs="Arial"/>
          <w:b/>
          <w:bCs/>
          <w:sz w:val="24"/>
          <w:szCs w:val="24"/>
        </w:rPr>
      </w:pPr>
    </w:p>
    <w:p w14:paraId="3A820FFE" w14:textId="77777777" w:rsidR="0082498E" w:rsidRDefault="0082498E" w:rsidP="0082498E">
      <w:pPr>
        <w:rPr>
          <w:rFonts w:ascii="Arial" w:hAnsi="Arial" w:cs="Arial"/>
          <w:b/>
          <w:bCs/>
          <w:sz w:val="24"/>
          <w:szCs w:val="24"/>
        </w:rPr>
      </w:pPr>
    </w:p>
    <w:p w14:paraId="2AAC46DC" w14:textId="77777777" w:rsidR="0082498E" w:rsidRDefault="0082498E" w:rsidP="0082498E">
      <w:pPr>
        <w:rPr>
          <w:rFonts w:ascii="Arial" w:hAnsi="Arial" w:cs="Arial"/>
          <w:b/>
          <w:bCs/>
          <w:sz w:val="24"/>
          <w:szCs w:val="24"/>
        </w:rPr>
      </w:pPr>
    </w:p>
    <w:p w14:paraId="2E27399E" w14:textId="77777777" w:rsidR="0082498E" w:rsidRDefault="0082498E" w:rsidP="0082498E">
      <w:pPr>
        <w:rPr>
          <w:rFonts w:ascii="Arial" w:hAnsi="Arial" w:cs="Arial"/>
          <w:b/>
          <w:bCs/>
          <w:sz w:val="24"/>
          <w:szCs w:val="24"/>
        </w:rPr>
      </w:pPr>
    </w:p>
    <w:p w14:paraId="31DA381E" w14:textId="77777777" w:rsidR="0082498E" w:rsidRDefault="0082498E" w:rsidP="0082498E">
      <w:pPr>
        <w:rPr>
          <w:rFonts w:ascii="Arial" w:hAnsi="Arial" w:cs="Arial"/>
          <w:b/>
          <w:bCs/>
          <w:sz w:val="24"/>
          <w:szCs w:val="24"/>
        </w:rPr>
      </w:pPr>
      <w:r>
        <w:rPr>
          <w:rFonts w:ascii="Arial" w:hAnsi="Arial" w:cs="Arial"/>
          <w:b/>
          <w:bCs/>
          <w:sz w:val="24"/>
          <w:szCs w:val="24"/>
        </w:rPr>
        <w:lastRenderedPageBreak/>
        <w:t>Part</w:t>
      </w:r>
      <w:r w:rsidRPr="00626AF1">
        <w:rPr>
          <w:rFonts w:ascii="Arial" w:hAnsi="Arial" w:cs="Arial"/>
          <w:b/>
          <w:bCs/>
          <w:sz w:val="24"/>
          <w:szCs w:val="24"/>
        </w:rPr>
        <w:t xml:space="preserve"> </w:t>
      </w:r>
      <w:r>
        <w:rPr>
          <w:rFonts w:ascii="Arial" w:hAnsi="Arial" w:cs="Arial"/>
          <w:b/>
          <w:bCs/>
          <w:sz w:val="24"/>
          <w:szCs w:val="24"/>
        </w:rPr>
        <w:t>two</w:t>
      </w:r>
    </w:p>
    <w:p w14:paraId="1BA7A8F3" w14:textId="77777777" w:rsidR="0082498E" w:rsidRDefault="0082498E" w:rsidP="0082498E">
      <w:pPr>
        <w:rPr>
          <w:rFonts w:ascii="Arial" w:hAnsi="Arial" w:cs="Arial"/>
          <w:b/>
          <w:bCs/>
          <w:sz w:val="24"/>
          <w:szCs w:val="24"/>
        </w:rPr>
      </w:pPr>
      <w:r>
        <w:rPr>
          <w:noProof/>
        </w:rPr>
        <w:drawing>
          <wp:inline distT="0" distB="0" distL="0" distR="0" wp14:anchorId="540AB02B" wp14:editId="39153CBC">
            <wp:extent cx="5731510" cy="3253740"/>
            <wp:effectExtent l="0" t="0" r="2540" b="3810"/>
            <wp:docPr id="1623516356" name="Chart 1">
              <a:extLst xmlns:a="http://schemas.openxmlformats.org/drawingml/2006/main">
                <a:ext uri="{FF2B5EF4-FFF2-40B4-BE49-F238E27FC236}">
                  <a16:creationId xmlns:a16="http://schemas.microsoft.com/office/drawing/2014/main" id="{2F6A16E9-DBCD-5FAE-1E63-1299D03E2D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0A0921C9" w14:textId="77777777" w:rsidR="0082498E" w:rsidRPr="009A1A0F" w:rsidRDefault="0082498E" w:rsidP="0082498E">
      <w:pPr>
        <w:rPr>
          <w:rFonts w:ascii="Arial" w:hAnsi="Arial" w:cs="Arial"/>
          <w:sz w:val="24"/>
          <w:szCs w:val="24"/>
        </w:rPr>
      </w:pPr>
      <w:r w:rsidRPr="009A1A0F">
        <w:rPr>
          <w:rFonts w:ascii="Arial" w:hAnsi="Arial" w:cs="Arial"/>
          <w:sz w:val="24"/>
          <w:szCs w:val="24"/>
        </w:rPr>
        <w:t>The clustered column chart was used to compare performance metrics across all departments side by side for Q1 and Q2. This visual format effectively highlights changes and trends within each category, allowing for a clear analysis of departmental performance. For instance, the chart shows that the Logistics Department demonstrated improvement across multiple categories, reflecting positive progress. Meanwhile, the Sales Department maintained consistent achievement, with 100% of employees meeting KPIs in both quarters.</w:t>
      </w:r>
    </w:p>
    <w:p w14:paraId="1B61D5A4" w14:textId="77777777" w:rsidR="0082498E" w:rsidRDefault="0082498E" w:rsidP="0082498E">
      <w:pPr>
        <w:rPr>
          <w:rFonts w:ascii="Arial" w:hAnsi="Arial" w:cs="Arial"/>
          <w:b/>
          <w:bCs/>
          <w:sz w:val="24"/>
          <w:szCs w:val="24"/>
        </w:rPr>
      </w:pPr>
      <w:r>
        <w:rPr>
          <w:noProof/>
        </w:rPr>
        <w:drawing>
          <wp:inline distT="0" distB="0" distL="0" distR="0" wp14:anchorId="7EC7CD56" wp14:editId="521D62AA">
            <wp:extent cx="5731510" cy="3369945"/>
            <wp:effectExtent l="0" t="0" r="2540" b="1905"/>
            <wp:docPr id="1202496141" name="Chart 1">
              <a:extLst xmlns:a="http://schemas.openxmlformats.org/drawingml/2006/main">
                <a:ext uri="{FF2B5EF4-FFF2-40B4-BE49-F238E27FC236}">
                  <a16:creationId xmlns:a16="http://schemas.microsoft.com/office/drawing/2014/main" id="{295708DF-2D3E-2F09-04DA-66F395EAFA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34DC235" w14:textId="77777777" w:rsidR="0082498E" w:rsidRPr="007B6615" w:rsidRDefault="0082498E" w:rsidP="0082498E">
      <w:pPr>
        <w:rPr>
          <w:rFonts w:ascii="Arial" w:hAnsi="Arial" w:cs="Arial"/>
          <w:sz w:val="24"/>
          <w:szCs w:val="24"/>
        </w:rPr>
      </w:pPr>
      <w:r w:rsidRPr="007B6615">
        <w:rPr>
          <w:rFonts w:ascii="Arial" w:hAnsi="Arial" w:cs="Arial"/>
          <w:sz w:val="24"/>
          <w:szCs w:val="24"/>
        </w:rPr>
        <w:lastRenderedPageBreak/>
        <w:t>The horizontal bar chart was used to highlight clear performance comparisons across all departments and categories over Q1 and Q2. This layout makes it easy to identify differences in performance metrics across departments. For example, the chart reveals that the Administration Department consistently recorded high underperformance rates, emphasising the need for targeted interventions. On the other hand, the Research and Development Department showed significant improvement in Q2, particularly in "Outstanding" performance, indicating positive progress in this area. This visual representation effectively supports identifying trends and prioriti</w:t>
      </w:r>
      <w:r>
        <w:rPr>
          <w:rFonts w:ascii="Arial" w:hAnsi="Arial" w:cs="Arial"/>
          <w:sz w:val="24"/>
          <w:szCs w:val="24"/>
        </w:rPr>
        <w:t>s</w:t>
      </w:r>
      <w:r w:rsidRPr="007B6615">
        <w:rPr>
          <w:rFonts w:ascii="Arial" w:hAnsi="Arial" w:cs="Arial"/>
          <w:sz w:val="24"/>
          <w:szCs w:val="24"/>
        </w:rPr>
        <w:t>ing areas for improvement.</w:t>
      </w:r>
    </w:p>
    <w:p w14:paraId="292025A0" w14:textId="77777777" w:rsidR="0082498E" w:rsidRDefault="0082498E" w:rsidP="0082498E">
      <w:pPr>
        <w:rPr>
          <w:rFonts w:ascii="Arial" w:hAnsi="Arial" w:cs="Arial"/>
          <w:b/>
          <w:bCs/>
          <w:sz w:val="24"/>
          <w:szCs w:val="24"/>
        </w:rPr>
      </w:pPr>
      <w:r>
        <w:rPr>
          <w:noProof/>
        </w:rPr>
        <w:drawing>
          <wp:inline distT="0" distB="0" distL="0" distR="0" wp14:anchorId="4C5EE880" wp14:editId="700A610C">
            <wp:extent cx="5731510" cy="2877820"/>
            <wp:effectExtent l="0" t="0" r="2540" b="17780"/>
            <wp:docPr id="1321060603" name="Chart 1">
              <a:extLst xmlns:a="http://schemas.openxmlformats.org/drawingml/2006/main">
                <a:ext uri="{FF2B5EF4-FFF2-40B4-BE49-F238E27FC236}">
                  <a16:creationId xmlns:a16="http://schemas.microsoft.com/office/drawing/2014/main" id="{93C64810-045B-9F5F-E257-4910CA607A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15031B5" w14:textId="77777777" w:rsidR="0082498E" w:rsidRDefault="0082498E" w:rsidP="0082498E">
      <w:pPr>
        <w:rPr>
          <w:rFonts w:ascii="Arial" w:hAnsi="Arial" w:cs="Arial"/>
          <w:sz w:val="24"/>
          <w:szCs w:val="24"/>
        </w:rPr>
      </w:pPr>
      <w:r w:rsidRPr="00C571C9">
        <w:rPr>
          <w:rFonts w:ascii="Arial" w:hAnsi="Arial" w:cs="Arial"/>
          <w:sz w:val="24"/>
          <w:szCs w:val="24"/>
        </w:rPr>
        <w:t>The line chart was used to illustrate performance trends over time, providing a clear visual representation of changes between Q1 and Q2. This approach is particularly effective for tracking progression and identifying patterns across departments. For instance, the chart highlights that the Research and Development Department experienced the most significant improvement, especially in "Outstanding" performance ratings. Meanwhile, the Sales Department maintained steady performance, consistently achieving 100% in "Meets KPI." This visualisation helps to pinpoint areas of growth and stability, supporting data-driven decision-making.</w:t>
      </w:r>
    </w:p>
    <w:p w14:paraId="0C8FCAA4" w14:textId="77777777" w:rsidR="0082498E" w:rsidRDefault="0082498E" w:rsidP="0082498E">
      <w:pPr>
        <w:rPr>
          <w:rFonts w:ascii="Arial" w:hAnsi="Arial" w:cs="Arial"/>
          <w:sz w:val="24"/>
          <w:szCs w:val="24"/>
        </w:rPr>
      </w:pPr>
      <w:r>
        <w:rPr>
          <w:rFonts w:ascii="Arial" w:hAnsi="Arial" w:cs="Arial"/>
          <w:sz w:val="24"/>
          <w:szCs w:val="24"/>
        </w:rPr>
        <w:t>After evaluating the data, my recommendations are as follows:</w:t>
      </w:r>
    </w:p>
    <w:p w14:paraId="035DBFE9" w14:textId="77777777" w:rsidR="0082498E" w:rsidRPr="006912BF" w:rsidRDefault="0082498E" w:rsidP="0082498E">
      <w:pPr>
        <w:pStyle w:val="ListParagraph"/>
        <w:numPr>
          <w:ilvl w:val="0"/>
          <w:numId w:val="4"/>
        </w:numPr>
        <w:rPr>
          <w:rFonts w:ascii="Arial" w:hAnsi="Arial" w:cs="Arial"/>
          <w:sz w:val="24"/>
          <w:szCs w:val="24"/>
        </w:rPr>
      </w:pPr>
      <w:r w:rsidRPr="006912BF">
        <w:rPr>
          <w:rFonts w:ascii="Arial" w:hAnsi="Arial" w:cs="Arial"/>
          <w:sz w:val="24"/>
          <w:szCs w:val="24"/>
        </w:rPr>
        <w:t>Address Underperformance Systematically</w:t>
      </w:r>
    </w:p>
    <w:p w14:paraId="3E980850" w14:textId="616E7AFB" w:rsidR="0082498E" w:rsidRPr="00B54951" w:rsidRDefault="0082498E" w:rsidP="0082498E">
      <w:pPr>
        <w:rPr>
          <w:rFonts w:ascii="Arial" w:hAnsi="Arial" w:cs="Arial"/>
          <w:color w:val="FF0000"/>
          <w:sz w:val="24"/>
          <w:szCs w:val="24"/>
        </w:rPr>
      </w:pPr>
      <w:r w:rsidRPr="00CA4FE6">
        <w:rPr>
          <w:rFonts w:ascii="Arial" w:hAnsi="Arial" w:cs="Arial"/>
          <w:sz w:val="24"/>
          <w:szCs w:val="24"/>
        </w:rPr>
        <w:t xml:space="preserve">To tackle underperformance effectively, organisations should implement tailored Performance Improvement Plans (PIPs) for employees in departments with high </w:t>
      </w:r>
      <w:r>
        <w:rPr>
          <w:rFonts w:ascii="Arial" w:hAnsi="Arial" w:cs="Arial"/>
          <w:sz w:val="24"/>
          <w:szCs w:val="24"/>
        </w:rPr>
        <w:t>‘</w:t>
      </w:r>
      <w:r w:rsidRPr="00CA4FE6">
        <w:rPr>
          <w:rFonts w:ascii="Arial" w:hAnsi="Arial" w:cs="Arial"/>
          <w:sz w:val="24"/>
          <w:szCs w:val="24"/>
        </w:rPr>
        <w:t>Underperforming</w:t>
      </w:r>
      <w:r>
        <w:rPr>
          <w:rFonts w:ascii="Arial" w:hAnsi="Arial" w:cs="Arial"/>
          <w:sz w:val="24"/>
          <w:szCs w:val="24"/>
        </w:rPr>
        <w:t>’</w:t>
      </w:r>
      <w:r w:rsidRPr="00CA4FE6">
        <w:rPr>
          <w:rFonts w:ascii="Arial" w:hAnsi="Arial" w:cs="Arial"/>
          <w:sz w:val="24"/>
          <w:szCs w:val="24"/>
        </w:rPr>
        <w:t xml:space="preserve"> or </w:t>
      </w:r>
      <w:r>
        <w:rPr>
          <w:rFonts w:ascii="Arial" w:hAnsi="Arial" w:cs="Arial"/>
          <w:sz w:val="24"/>
          <w:szCs w:val="24"/>
        </w:rPr>
        <w:t>‘</w:t>
      </w:r>
      <w:r w:rsidRPr="00CA4FE6">
        <w:rPr>
          <w:rFonts w:ascii="Arial" w:hAnsi="Arial" w:cs="Arial"/>
          <w:sz w:val="24"/>
          <w:szCs w:val="24"/>
        </w:rPr>
        <w:t>Not Quite There Yet</w:t>
      </w:r>
      <w:r>
        <w:rPr>
          <w:rFonts w:ascii="Arial" w:hAnsi="Arial" w:cs="Arial"/>
          <w:sz w:val="24"/>
          <w:szCs w:val="24"/>
        </w:rPr>
        <w:t>’</w:t>
      </w:r>
      <w:r w:rsidRPr="00CA4FE6">
        <w:rPr>
          <w:rFonts w:ascii="Arial" w:hAnsi="Arial" w:cs="Arial"/>
          <w:sz w:val="24"/>
          <w:szCs w:val="24"/>
        </w:rPr>
        <w:t xml:space="preserve"> ratings, such as Administration and Logistics. Actions include conducting one-to-one meetings to identify barriers to performance, such as training gaps or workload issues. Ongoing support through coaching, mentoring, and regular progress reviews should be provided. These efforts not only improve individual performance but also align with a supportive workplace culture, ultimately enhancing overall productivity</w:t>
      </w:r>
      <w:r w:rsidR="00F87C5C">
        <w:rPr>
          <w:rFonts w:ascii="Arial" w:hAnsi="Arial" w:cs="Arial"/>
          <w:sz w:val="24"/>
          <w:szCs w:val="24"/>
        </w:rPr>
        <w:t xml:space="preserve"> </w:t>
      </w:r>
      <w:r w:rsidR="00F87C5C" w:rsidRPr="00B54951">
        <w:rPr>
          <w:rFonts w:ascii="Arial" w:hAnsi="Arial" w:cs="Arial"/>
          <w:color w:val="FF0000"/>
          <w:sz w:val="24"/>
          <w:szCs w:val="24"/>
        </w:rPr>
        <w:t xml:space="preserve">(Armstrong and Taylor, 2023). </w:t>
      </w:r>
      <w:r w:rsidR="000E7D98" w:rsidRPr="000E7D98">
        <w:rPr>
          <w:rFonts w:ascii="Arial" w:hAnsi="Arial" w:cs="Arial"/>
          <w:color w:val="FF0000"/>
          <w:sz w:val="24"/>
          <w:szCs w:val="24"/>
        </w:rPr>
        <w:t xml:space="preserve">However, there are potential risks, including resistance from employees who may </w:t>
      </w:r>
      <w:r w:rsidR="000E7D98" w:rsidRPr="000E7D98">
        <w:rPr>
          <w:rFonts w:ascii="Arial" w:hAnsi="Arial" w:cs="Arial"/>
          <w:color w:val="FF0000"/>
          <w:sz w:val="24"/>
          <w:szCs w:val="24"/>
        </w:rPr>
        <w:lastRenderedPageBreak/>
        <w:t>perceive PIPs as punitive and managers who may lack the confidence or skills to implement them effectively. The financial implications are approximately £500 per employee annually for resources, time, and training, resulting in an estimated £10,000 investment for 20 employees. Despite this, organisations can expect a significant return, as a 10% increase in productivity could lead to cost savings of up to £20,000 annually (Fernando, 2023).</w:t>
      </w:r>
    </w:p>
    <w:p w14:paraId="6983C784" w14:textId="77777777" w:rsidR="0082498E" w:rsidRPr="00CA4FE6" w:rsidRDefault="0082498E" w:rsidP="0082498E">
      <w:pPr>
        <w:rPr>
          <w:rFonts w:ascii="Arial" w:hAnsi="Arial" w:cs="Arial"/>
          <w:b/>
          <w:bCs/>
          <w:sz w:val="24"/>
          <w:szCs w:val="24"/>
        </w:rPr>
      </w:pPr>
    </w:p>
    <w:p w14:paraId="7F8A06B7" w14:textId="77777777" w:rsidR="0082498E" w:rsidRPr="00CA4FE6" w:rsidRDefault="0082498E" w:rsidP="0082498E">
      <w:pPr>
        <w:rPr>
          <w:rFonts w:ascii="Arial" w:hAnsi="Arial" w:cs="Arial"/>
          <w:sz w:val="24"/>
          <w:szCs w:val="24"/>
        </w:rPr>
      </w:pPr>
      <w:r w:rsidRPr="00CA4FE6">
        <w:rPr>
          <w:rFonts w:ascii="Arial" w:hAnsi="Arial" w:cs="Arial"/>
          <w:sz w:val="24"/>
          <w:szCs w:val="24"/>
        </w:rPr>
        <w:t>2. Foster a High-Performance Culture</w:t>
      </w:r>
    </w:p>
    <w:p w14:paraId="6D308CAB" w14:textId="2BC3EDBE" w:rsidR="0082498E" w:rsidRPr="00CA4FE6" w:rsidRDefault="0082498E" w:rsidP="0082498E">
      <w:pPr>
        <w:rPr>
          <w:rFonts w:ascii="Arial" w:hAnsi="Arial" w:cs="Arial"/>
          <w:sz w:val="24"/>
          <w:szCs w:val="24"/>
        </w:rPr>
      </w:pPr>
      <w:r w:rsidRPr="00CA4FE6">
        <w:rPr>
          <w:rFonts w:ascii="Arial" w:hAnsi="Arial" w:cs="Arial"/>
          <w:sz w:val="24"/>
          <w:szCs w:val="24"/>
        </w:rPr>
        <w:t>Recognition is key to motivating employees and fostering a culture of high performance. Organisations should introduce team and individual recognition programs to reward achievements. Actions could include publicly acknowledging outstanding performers through newsletters or awards, offering additional leave days or career development opportunities as non-monetary rewards, and creating peer-nominated awards to encourage camaraderie. Recognising achievements boosts morale, strengthens collaboration, and promotes a positive work environment</w:t>
      </w:r>
      <w:r w:rsidR="008B6F9F">
        <w:rPr>
          <w:rFonts w:ascii="Arial" w:hAnsi="Arial" w:cs="Arial"/>
          <w:sz w:val="24"/>
          <w:szCs w:val="24"/>
        </w:rPr>
        <w:t xml:space="preserve"> </w:t>
      </w:r>
      <w:r w:rsidR="008B6F9F" w:rsidRPr="008B6F9F">
        <w:rPr>
          <w:rFonts w:ascii="Arial" w:hAnsi="Arial" w:cs="Arial"/>
          <w:color w:val="FF0000"/>
          <w:sz w:val="24"/>
          <w:szCs w:val="24"/>
        </w:rPr>
        <w:t>(Brun and Dugas, 2008).</w:t>
      </w:r>
      <w:r w:rsidR="008B6F9F">
        <w:rPr>
          <w:rFonts w:ascii="Arial" w:hAnsi="Arial" w:cs="Arial"/>
          <w:color w:val="FF0000"/>
          <w:sz w:val="24"/>
          <w:szCs w:val="24"/>
        </w:rPr>
        <w:t xml:space="preserve"> </w:t>
      </w:r>
      <w:r w:rsidR="008D0553" w:rsidRPr="008D0553">
        <w:rPr>
          <w:rFonts w:ascii="Arial" w:hAnsi="Arial" w:cs="Arial"/>
          <w:color w:val="FF0000"/>
          <w:sz w:val="24"/>
          <w:szCs w:val="24"/>
        </w:rPr>
        <w:t xml:space="preserve">However, recognition programs must be carefully managed to avoid potential risks, such as perceptions of </w:t>
      </w:r>
      <w:proofErr w:type="spellStart"/>
      <w:r w:rsidR="008D0553" w:rsidRPr="008D0553">
        <w:rPr>
          <w:rFonts w:ascii="Arial" w:hAnsi="Arial" w:cs="Arial"/>
          <w:color w:val="FF0000"/>
          <w:sz w:val="24"/>
          <w:szCs w:val="24"/>
        </w:rPr>
        <w:t>favoritism</w:t>
      </w:r>
      <w:proofErr w:type="spellEnd"/>
      <w:r w:rsidR="008D0553" w:rsidRPr="008D0553">
        <w:rPr>
          <w:rFonts w:ascii="Arial" w:hAnsi="Arial" w:cs="Arial"/>
          <w:color w:val="FF0000"/>
          <w:sz w:val="24"/>
          <w:szCs w:val="24"/>
        </w:rPr>
        <w:t xml:space="preserve"> or the unintended undermining of team dynamics if criteria are unclear or inconsistent (SHRM, 2023). In the UK, organisations typically allocate between 1% and 2% of total payroll for reward and recognition programs, equating to an annual budget of approximately £300 to £600 per employee. For a team of 20 employees, this translates to a total investment of £6,000 to £12,000 annually (Employee Benefits, 2023). Despite these costs, research highlights the significant financial and cultural benefits of recognition programs, with increased engagement leading to better retention and productivity gains (Quantum Workplace, 2023).</w:t>
      </w:r>
    </w:p>
    <w:p w14:paraId="7A91756D" w14:textId="77777777" w:rsidR="0082498E" w:rsidRPr="00CA4FE6" w:rsidRDefault="0082498E" w:rsidP="0082498E">
      <w:pPr>
        <w:rPr>
          <w:rFonts w:ascii="Arial" w:hAnsi="Arial" w:cs="Arial"/>
          <w:sz w:val="24"/>
          <w:szCs w:val="24"/>
        </w:rPr>
      </w:pPr>
      <w:r w:rsidRPr="00CA4FE6">
        <w:rPr>
          <w:rFonts w:ascii="Arial" w:hAnsi="Arial" w:cs="Arial"/>
          <w:sz w:val="24"/>
          <w:szCs w:val="24"/>
        </w:rPr>
        <w:t>3. Leverage Best Practices</w:t>
      </w:r>
    </w:p>
    <w:p w14:paraId="3952D9CC" w14:textId="4423BA1C" w:rsidR="0082498E" w:rsidRPr="005C1072" w:rsidRDefault="0082498E" w:rsidP="0082498E">
      <w:pPr>
        <w:rPr>
          <w:rFonts w:ascii="Arial" w:hAnsi="Arial" w:cs="Arial"/>
          <w:color w:val="FF0000"/>
          <w:sz w:val="24"/>
          <w:szCs w:val="24"/>
        </w:rPr>
      </w:pPr>
      <w:r w:rsidRPr="00CA4FE6">
        <w:rPr>
          <w:rFonts w:ascii="Arial" w:hAnsi="Arial" w:cs="Arial"/>
          <w:sz w:val="24"/>
          <w:szCs w:val="24"/>
        </w:rPr>
        <w:t>Sharing best practices across departments can drive consistency and success. For instance, the consistently high performance of the Sales Department should be analysed and shared with other teams. Workshops and knowledge-sharing sessions can be led by Sales to demonstrate strategies for maintaining consistent KPI achievements. Interdepartmental mentoring, where high-performing employees from Sales coach those in Administration, Logistics, or Research and Development, could also be introduced. These efforts ensure that successful practices are replicated across the organisation.</w:t>
      </w:r>
      <w:r w:rsidR="005C1072">
        <w:rPr>
          <w:rFonts w:ascii="Arial" w:hAnsi="Arial" w:cs="Arial"/>
          <w:sz w:val="24"/>
          <w:szCs w:val="24"/>
        </w:rPr>
        <w:t xml:space="preserve"> </w:t>
      </w:r>
      <w:r w:rsidR="005C1072" w:rsidRPr="005C1072">
        <w:rPr>
          <w:rFonts w:ascii="Arial" w:hAnsi="Arial" w:cs="Arial"/>
          <w:color w:val="FF0000"/>
          <w:sz w:val="24"/>
          <w:szCs w:val="24"/>
        </w:rPr>
        <w:t>These initiatives not only encourage skill-sharing but also help to build stronger cross-departmental relationships, which are key to organisational resilience and adaptability (Collins and Smith, 2006). However, the success of such programs depends on careful implementation to avoid resistance from employees who may feel their existing practices are being criticised (SHRM, 2023). The financial implications are relatively modest, with workshops and mentoring programs costing approximately £5,000 annually. Despite this, the potential productivity improvements and increased consistency across teams can provide a return far exceeding the initial investment (Serrat, 2017).</w:t>
      </w:r>
    </w:p>
    <w:p w14:paraId="3A7A430C" w14:textId="77777777" w:rsidR="0082498E" w:rsidRPr="00CA4FE6" w:rsidRDefault="0082498E" w:rsidP="0082498E">
      <w:pPr>
        <w:rPr>
          <w:rFonts w:ascii="Arial" w:hAnsi="Arial" w:cs="Arial"/>
          <w:sz w:val="24"/>
          <w:szCs w:val="24"/>
        </w:rPr>
      </w:pPr>
      <w:r w:rsidRPr="00CA4FE6">
        <w:rPr>
          <w:rFonts w:ascii="Arial" w:hAnsi="Arial" w:cs="Arial"/>
          <w:sz w:val="24"/>
          <w:szCs w:val="24"/>
        </w:rPr>
        <w:t>4. Support Learning and Development</w:t>
      </w:r>
    </w:p>
    <w:p w14:paraId="7F6AF853" w14:textId="0746CCB8" w:rsidR="0082498E" w:rsidRPr="00F21347" w:rsidRDefault="0082498E" w:rsidP="0082498E">
      <w:pPr>
        <w:rPr>
          <w:rFonts w:ascii="Arial" w:hAnsi="Arial" w:cs="Arial"/>
          <w:color w:val="FF0000"/>
          <w:sz w:val="24"/>
          <w:szCs w:val="24"/>
        </w:rPr>
      </w:pPr>
      <w:r w:rsidRPr="00CA4FE6">
        <w:rPr>
          <w:rFonts w:ascii="Arial" w:hAnsi="Arial" w:cs="Arial"/>
          <w:sz w:val="24"/>
          <w:szCs w:val="24"/>
        </w:rPr>
        <w:lastRenderedPageBreak/>
        <w:t xml:space="preserve">Investing in training and development programs is essential to address skill gaps and foster employee growth. Specific actions include management and leadership training for supervisors in underperforming departments and role-specific upskilling workshops for employees rated as </w:t>
      </w:r>
      <w:r>
        <w:rPr>
          <w:rFonts w:ascii="Arial" w:hAnsi="Arial" w:cs="Arial"/>
          <w:sz w:val="24"/>
          <w:szCs w:val="24"/>
        </w:rPr>
        <w:t>‘</w:t>
      </w:r>
      <w:r w:rsidRPr="00CA4FE6">
        <w:rPr>
          <w:rFonts w:ascii="Arial" w:hAnsi="Arial" w:cs="Arial"/>
          <w:sz w:val="24"/>
          <w:szCs w:val="24"/>
        </w:rPr>
        <w:t>Not Quite There Yet.</w:t>
      </w:r>
      <w:r>
        <w:rPr>
          <w:rFonts w:ascii="Arial" w:hAnsi="Arial" w:cs="Arial"/>
          <w:sz w:val="24"/>
          <w:szCs w:val="24"/>
        </w:rPr>
        <w:t>’</w:t>
      </w:r>
      <w:r w:rsidRPr="00CA4FE6">
        <w:rPr>
          <w:rFonts w:ascii="Arial" w:hAnsi="Arial" w:cs="Arial"/>
          <w:sz w:val="24"/>
          <w:szCs w:val="24"/>
        </w:rPr>
        <w:t xml:space="preserve"> Mentoring or coaching initiatives can further provide personalized guidance. </w:t>
      </w:r>
      <w:r w:rsidR="00F21347" w:rsidRPr="00F21347">
        <w:rPr>
          <w:rFonts w:ascii="Arial" w:hAnsi="Arial" w:cs="Arial"/>
          <w:color w:val="FF0000"/>
          <w:sz w:val="24"/>
          <w:szCs w:val="24"/>
        </w:rPr>
        <w:t>These measures not only build a sustainable talent pipeline but also enhance employee engagement and capabilities, ensuring the workforce is equipped to meet future challenges (</w:t>
      </w:r>
      <w:proofErr w:type="spellStart"/>
      <w:r w:rsidR="00F21347" w:rsidRPr="00F21347">
        <w:rPr>
          <w:rFonts w:ascii="Arial" w:hAnsi="Arial" w:cs="Arial"/>
          <w:color w:val="FF0000"/>
          <w:sz w:val="24"/>
          <w:szCs w:val="24"/>
        </w:rPr>
        <w:t>Garavan</w:t>
      </w:r>
      <w:proofErr w:type="spellEnd"/>
      <w:r w:rsidR="00F21347" w:rsidRPr="00F21347">
        <w:rPr>
          <w:rFonts w:ascii="Arial" w:hAnsi="Arial" w:cs="Arial"/>
          <w:color w:val="FF0000"/>
          <w:sz w:val="24"/>
          <w:szCs w:val="24"/>
        </w:rPr>
        <w:t xml:space="preserve"> et al., 2016). However, there are risks, such as low participation rates or poor application of the skills learned, which could limit the effectiveness of these programs (Noe et al., 2021). Financially, UK businesses invest on average £1,500 per employee annually in training and development, which equates to approximately £30,000 for 20 employees (</w:t>
      </w:r>
      <w:proofErr w:type="spellStart"/>
      <w:r w:rsidR="00F21347" w:rsidRPr="00F21347">
        <w:rPr>
          <w:rFonts w:ascii="Arial" w:hAnsi="Arial" w:cs="Arial"/>
          <w:color w:val="FF0000"/>
          <w:sz w:val="24"/>
          <w:szCs w:val="24"/>
        </w:rPr>
        <w:t>CubeHR</w:t>
      </w:r>
      <w:proofErr w:type="spellEnd"/>
      <w:r w:rsidR="00F21347" w:rsidRPr="00F21347">
        <w:rPr>
          <w:rFonts w:ascii="Arial" w:hAnsi="Arial" w:cs="Arial"/>
          <w:color w:val="FF0000"/>
          <w:sz w:val="24"/>
          <w:szCs w:val="24"/>
        </w:rPr>
        <w:t>, 2023). Despite these costs, research highlights that organizations investing in employee development see significant improvements in employee performance and retention rates, offering long-term financial and cultural benefits (Bersin, 2023).</w:t>
      </w:r>
    </w:p>
    <w:p w14:paraId="45C5879B" w14:textId="77777777" w:rsidR="0082498E" w:rsidRPr="00CA4FE6" w:rsidRDefault="0082498E" w:rsidP="0082498E">
      <w:pPr>
        <w:rPr>
          <w:rFonts w:ascii="Arial" w:hAnsi="Arial" w:cs="Arial"/>
          <w:sz w:val="24"/>
          <w:szCs w:val="24"/>
        </w:rPr>
      </w:pPr>
      <w:r>
        <w:rPr>
          <w:rFonts w:ascii="Arial" w:hAnsi="Arial" w:cs="Arial"/>
          <w:sz w:val="24"/>
          <w:szCs w:val="24"/>
        </w:rPr>
        <w:t>The table below shows the employees who are set to receive a 4% bonus based on them gaining an ‘outstanding’. The total cost to the organisation is £20,770.</w:t>
      </w:r>
    </w:p>
    <w:tbl>
      <w:tblPr>
        <w:tblW w:w="8900" w:type="dxa"/>
        <w:tblLook w:val="04A0" w:firstRow="1" w:lastRow="0" w:firstColumn="1" w:lastColumn="0" w:noHBand="0" w:noVBand="1"/>
      </w:tblPr>
      <w:tblGrid>
        <w:gridCol w:w="2500"/>
        <w:gridCol w:w="1820"/>
        <w:gridCol w:w="1202"/>
        <w:gridCol w:w="1700"/>
        <w:gridCol w:w="1700"/>
      </w:tblGrid>
      <w:tr w:rsidR="0082498E" w:rsidRPr="00974847" w14:paraId="4FCACA3C" w14:textId="77777777" w:rsidTr="002156AE">
        <w:trPr>
          <w:trHeight w:val="288"/>
        </w:trPr>
        <w:tc>
          <w:tcPr>
            <w:tcW w:w="2500" w:type="dxa"/>
            <w:tcBorders>
              <w:top w:val="single" w:sz="4" w:space="0" w:color="auto"/>
              <w:left w:val="single" w:sz="4" w:space="0" w:color="auto"/>
              <w:bottom w:val="nil"/>
              <w:right w:val="nil"/>
            </w:tcBorders>
            <w:shd w:val="clear" w:color="000000" w:fill="FFFFFF"/>
            <w:noWrap/>
            <w:vAlign w:val="bottom"/>
            <w:hideMark/>
          </w:tcPr>
          <w:p w14:paraId="45F01E19"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820" w:type="dxa"/>
            <w:tcBorders>
              <w:top w:val="single" w:sz="4" w:space="0" w:color="auto"/>
              <w:left w:val="nil"/>
              <w:bottom w:val="nil"/>
              <w:right w:val="nil"/>
            </w:tcBorders>
            <w:shd w:val="clear" w:color="000000" w:fill="FFFFFF"/>
            <w:noWrap/>
            <w:vAlign w:val="bottom"/>
            <w:hideMark/>
          </w:tcPr>
          <w:p w14:paraId="27BF884A"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180" w:type="dxa"/>
            <w:tcBorders>
              <w:top w:val="single" w:sz="4" w:space="0" w:color="auto"/>
              <w:left w:val="nil"/>
              <w:bottom w:val="nil"/>
              <w:right w:val="nil"/>
            </w:tcBorders>
            <w:shd w:val="clear" w:color="000000" w:fill="FFFFFF"/>
            <w:noWrap/>
            <w:vAlign w:val="bottom"/>
            <w:hideMark/>
          </w:tcPr>
          <w:p w14:paraId="79DC453D"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700" w:type="dxa"/>
            <w:tcBorders>
              <w:top w:val="single" w:sz="4" w:space="0" w:color="auto"/>
              <w:left w:val="nil"/>
              <w:bottom w:val="nil"/>
              <w:right w:val="nil"/>
            </w:tcBorders>
            <w:shd w:val="clear" w:color="000000" w:fill="FFFFFF"/>
            <w:noWrap/>
            <w:vAlign w:val="bottom"/>
            <w:hideMark/>
          </w:tcPr>
          <w:p w14:paraId="12592482"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700" w:type="dxa"/>
            <w:tcBorders>
              <w:top w:val="single" w:sz="4" w:space="0" w:color="auto"/>
              <w:left w:val="nil"/>
              <w:bottom w:val="nil"/>
              <w:right w:val="nil"/>
            </w:tcBorders>
            <w:shd w:val="clear" w:color="000000" w:fill="FFFFFF"/>
            <w:noWrap/>
            <w:vAlign w:val="bottom"/>
            <w:hideMark/>
          </w:tcPr>
          <w:p w14:paraId="00DA3FB6"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r>
      <w:tr w:rsidR="0082498E" w:rsidRPr="00974847" w14:paraId="301AE4B4" w14:textId="77777777" w:rsidTr="002156AE">
        <w:trPr>
          <w:trHeight w:val="300"/>
        </w:trPr>
        <w:tc>
          <w:tcPr>
            <w:tcW w:w="2500" w:type="dxa"/>
            <w:tcBorders>
              <w:top w:val="single" w:sz="4" w:space="0" w:color="auto"/>
              <w:left w:val="single" w:sz="4" w:space="0" w:color="auto"/>
              <w:bottom w:val="nil"/>
              <w:right w:val="single" w:sz="4" w:space="0" w:color="auto"/>
            </w:tcBorders>
            <w:shd w:val="clear" w:color="000000" w:fill="FFFFFF"/>
            <w:noWrap/>
            <w:vAlign w:val="bottom"/>
            <w:hideMark/>
          </w:tcPr>
          <w:p w14:paraId="31BD4494"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r w:rsidRPr="00974847">
              <w:rPr>
                <w:rFonts w:ascii="Aptos Narrow" w:eastAsia="Times New Roman" w:hAnsi="Aptos Narrow" w:cs="Times New Roman"/>
                <w:b/>
                <w:bCs/>
                <w:color w:val="000000"/>
                <w:sz w:val="20"/>
                <w:szCs w:val="20"/>
                <w:lang w:eastAsia="en-GB"/>
              </w:rPr>
              <w:t>Team</w:t>
            </w:r>
          </w:p>
        </w:tc>
        <w:tc>
          <w:tcPr>
            <w:tcW w:w="1820" w:type="dxa"/>
            <w:tcBorders>
              <w:top w:val="single" w:sz="4" w:space="0" w:color="auto"/>
              <w:left w:val="nil"/>
              <w:bottom w:val="nil"/>
              <w:right w:val="nil"/>
            </w:tcBorders>
            <w:shd w:val="clear" w:color="000000" w:fill="FFFFFF"/>
            <w:noWrap/>
            <w:vAlign w:val="bottom"/>
            <w:hideMark/>
          </w:tcPr>
          <w:p w14:paraId="44FCAC78"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r w:rsidRPr="00974847">
              <w:rPr>
                <w:rFonts w:ascii="Aptos Narrow" w:eastAsia="Times New Roman" w:hAnsi="Aptos Narrow" w:cs="Times New Roman"/>
                <w:b/>
                <w:bCs/>
                <w:color w:val="000000"/>
                <w:sz w:val="20"/>
                <w:szCs w:val="20"/>
                <w:lang w:eastAsia="en-GB"/>
              </w:rPr>
              <w:t>Employee Name</w:t>
            </w:r>
          </w:p>
        </w:tc>
        <w:tc>
          <w:tcPr>
            <w:tcW w:w="1180" w:type="dxa"/>
            <w:tcBorders>
              <w:top w:val="single" w:sz="4" w:space="0" w:color="auto"/>
              <w:left w:val="single" w:sz="4" w:space="0" w:color="auto"/>
              <w:bottom w:val="nil"/>
              <w:right w:val="single" w:sz="4" w:space="0" w:color="auto"/>
            </w:tcBorders>
            <w:shd w:val="clear" w:color="000000" w:fill="FFFFFF"/>
            <w:noWrap/>
            <w:vAlign w:val="bottom"/>
            <w:hideMark/>
          </w:tcPr>
          <w:p w14:paraId="2C71551B"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r w:rsidRPr="00974847">
              <w:rPr>
                <w:rFonts w:ascii="Aptos Narrow" w:eastAsia="Times New Roman" w:hAnsi="Aptos Narrow" w:cs="Times New Roman"/>
                <w:b/>
                <w:bCs/>
                <w:color w:val="000000"/>
                <w:sz w:val="20"/>
                <w:szCs w:val="20"/>
                <w:lang w:eastAsia="en-GB"/>
              </w:rPr>
              <w:t xml:space="preserve">Salary </w:t>
            </w:r>
          </w:p>
        </w:tc>
        <w:tc>
          <w:tcPr>
            <w:tcW w:w="1700" w:type="dxa"/>
            <w:tcBorders>
              <w:top w:val="single" w:sz="4" w:space="0" w:color="auto"/>
              <w:left w:val="nil"/>
              <w:bottom w:val="nil"/>
              <w:right w:val="nil"/>
            </w:tcBorders>
            <w:shd w:val="clear" w:color="000000" w:fill="FFFFFF"/>
            <w:noWrap/>
            <w:vAlign w:val="bottom"/>
            <w:hideMark/>
          </w:tcPr>
          <w:p w14:paraId="12DABAAA"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r w:rsidRPr="00974847">
              <w:rPr>
                <w:rFonts w:ascii="Aptos Narrow" w:eastAsia="Times New Roman" w:hAnsi="Aptos Narrow" w:cs="Times New Roman"/>
                <w:b/>
                <w:bCs/>
                <w:color w:val="000000"/>
                <w:sz w:val="20"/>
                <w:szCs w:val="20"/>
                <w:lang w:eastAsia="en-GB"/>
              </w:rPr>
              <w:t>Bonus payment Q1</w:t>
            </w:r>
          </w:p>
        </w:tc>
        <w:tc>
          <w:tcPr>
            <w:tcW w:w="1700" w:type="dxa"/>
            <w:tcBorders>
              <w:top w:val="single" w:sz="4" w:space="0" w:color="auto"/>
              <w:left w:val="nil"/>
              <w:bottom w:val="nil"/>
              <w:right w:val="nil"/>
            </w:tcBorders>
            <w:shd w:val="clear" w:color="000000" w:fill="FFFFFF"/>
            <w:noWrap/>
            <w:vAlign w:val="bottom"/>
            <w:hideMark/>
          </w:tcPr>
          <w:p w14:paraId="6C37B4AB"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r w:rsidRPr="00974847">
              <w:rPr>
                <w:rFonts w:ascii="Aptos Narrow" w:eastAsia="Times New Roman" w:hAnsi="Aptos Narrow" w:cs="Times New Roman"/>
                <w:b/>
                <w:bCs/>
                <w:color w:val="000000"/>
                <w:sz w:val="20"/>
                <w:szCs w:val="20"/>
                <w:lang w:eastAsia="en-GB"/>
              </w:rPr>
              <w:t>Bonus payment Q2</w:t>
            </w:r>
          </w:p>
        </w:tc>
      </w:tr>
      <w:tr w:rsidR="0082498E" w:rsidRPr="00974847" w14:paraId="194A6614" w14:textId="77777777" w:rsidTr="002156AE">
        <w:trPr>
          <w:trHeight w:val="300"/>
        </w:trPr>
        <w:tc>
          <w:tcPr>
            <w:tcW w:w="2500"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12C4AC7A" w14:textId="77777777" w:rsidR="0082498E" w:rsidRPr="00974847" w:rsidRDefault="0082498E" w:rsidP="002156AE">
            <w:pPr>
              <w:spacing w:after="0" w:line="240" w:lineRule="auto"/>
              <w:jc w:val="center"/>
              <w:rPr>
                <w:rFonts w:ascii="Aptos Narrow" w:eastAsia="Times New Roman" w:hAnsi="Aptos Narrow" w:cs="Times New Roman"/>
                <w:b/>
                <w:bCs/>
                <w:color w:val="000000"/>
                <w:sz w:val="20"/>
                <w:szCs w:val="20"/>
                <w:lang w:eastAsia="en-GB"/>
              </w:rPr>
            </w:pPr>
            <w:r w:rsidRPr="00974847">
              <w:rPr>
                <w:rFonts w:ascii="Aptos Narrow" w:eastAsia="Times New Roman" w:hAnsi="Aptos Narrow" w:cs="Times New Roman"/>
                <w:b/>
                <w:bCs/>
                <w:color w:val="000000"/>
                <w:sz w:val="20"/>
                <w:szCs w:val="20"/>
                <w:lang w:eastAsia="en-GB"/>
              </w:rPr>
              <w:t xml:space="preserve">Administration Department </w:t>
            </w:r>
          </w:p>
        </w:tc>
        <w:tc>
          <w:tcPr>
            <w:tcW w:w="1820" w:type="dxa"/>
            <w:tcBorders>
              <w:top w:val="single" w:sz="8" w:space="0" w:color="auto"/>
              <w:left w:val="nil"/>
              <w:bottom w:val="single" w:sz="4" w:space="0" w:color="auto"/>
              <w:right w:val="single" w:sz="4" w:space="0" w:color="auto"/>
            </w:tcBorders>
            <w:shd w:val="clear" w:color="000000" w:fill="FFFFFF"/>
            <w:noWrap/>
            <w:vAlign w:val="bottom"/>
            <w:hideMark/>
          </w:tcPr>
          <w:p w14:paraId="1E198B0E"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Harry Hunter</w:t>
            </w:r>
          </w:p>
        </w:tc>
        <w:tc>
          <w:tcPr>
            <w:tcW w:w="1180" w:type="dxa"/>
            <w:tcBorders>
              <w:top w:val="single" w:sz="8" w:space="0" w:color="auto"/>
              <w:left w:val="nil"/>
              <w:bottom w:val="single" w:sz="4" w:space="0" w:color="auto"/>
              <w:right w:val="single" w:sz="4" w:space="0" w:color="auto"/>
            </w:tcBorders>
            <w:shd w:val="clear" w:color="000000" w:fill="FFFFFF"/>
            <w:noWrap/>
            <w:vAlign w:val="bottom"/>
            <w:hideMark/>
          </w:tcPr>
          <w:p w14:paraId="54F85D8B"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£40,500.00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572985F2"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F0476B1"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31786C17"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563AD7D1"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2A7662DD"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Sumira </w:t>
            </w:r>
            <w:proofErr w:type="spellStart"/>
            <w:r w:rsidRPr="00974847">
              <w:rPr>
                <w:rFonts w:ascii="Trebuchet MS" w:eastAsia="Times New Roman" w:hAnsi="Trebuchet MS" w:cs="Times New Roman"/>
                <w:color w:val="000000"/>
                <w:sz w:val="20"/>
                <w:szCs w:val="20"/>
                <w:lang w:eastAsia="en-GB"/>
              </w:rPr>
              <w:t>Kiiki</w:t>
            </w:r>
            <w:proofErr w:type="spellEnd"/>
          </w:p>
        </w:tc>
        <w:tc>
          <w:tcPr>
            <w:tcW w:w="1180" w:type="dxa"/>
            <w:tcBorders>
              <w:top w:val="nil"/>
              <w:left w:val="nil"/>
              <w:bottom w:val="single" w:sz="4" w:space="0" w:color="auto"/>
              <w:right w:val="single" w:sz="4" w:space="0" w:color="auto"/>
            </w:tcBorders>
            <w:shd w:val="clear" w:color="000000" w:fill="FFFFFF"/>
            <w:noWrap/>
            <w:vAlign w:val="bottom"/>
            <w:hideMark/>
          </w:tcPr>
          <w:p w14:paraId="1ABB8E61"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£25,690.00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851EDC4"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A1B3977"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18E9BE9C"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73D76A5F"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2A18AB4F"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Lexi Masterson </w:t>
            </w:r>
          </w:p>
        </w:tc>
        <w:tc>
          <w:tcPr>
            <w:tcW w:w="1180" w:type="dxa"/>
            <w:tcBorders>
              <w:top w:val="nil"/>
              <w:left w:val="nil"/>
              <w:bottom w:val="single" w:sz="4" w:space="0" w:color="auto"/>
              <w:right w:val="single" w:sz="4" w:space="0" w:color="auto"/>
            </w:tcBorders>
            <w:shd w:val="clear" w:color="000000" w:fill="FFFFFF"/>
            <w:noWrap/>
            <w:vAlign w:val="bottom"/>
            <w:hideMark/>
          </w:tcPr>
          <w:p w14:paraId="0F70C5A7"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£25,690.00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745B43DF"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C47C8A8"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46012F5E"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5A421799"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349039E0"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Robin Bird</w:t>
            </w:r>
          </w:p>
        </w:tc>
        <w:tc>
          <w:tcPr>
            <w:tcW w:w="1180" w:type="dxa"/>
            <w:tcBorders>
              <w:top w:val="nil"/>
              <w:left w:val="nil"/>
              <w:bottom w:val="single" w:sz="4" w:space="0" w:color="auto"/>
              <w:right w:val="single" w:sz="4" w:space="0" w:color="auto"/>
            </w:tcBorders>
            <w:shd w:val="clear" w:color="000000" w:fill="FFFFFF"/>
            <w:noWrap/>
            <w:vAlign w:val="bottom"/>
            <w:hideMark/>
          </w:tcPr>
          <w:p w14:paraId="1C09126E"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£31,500.00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314C773"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£1,260.00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F34572C"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4E55C021"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3682F0B5"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58591523"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Becky Heron </w:t>
            </w:r>
          </w:p>
        </w:tc>
        <w:tc>
          <w:tcPr>
            <w:tcW w:w="1180" w:type="dxa"/>
            <w:tcBorders>
              <w:top w:val="nil"/>
              <w:left w:val="nil"/>
              <w:bottom w:val="single" w:sz="4" w:space="0" w:color="auto"/>
              <w:right w:val="single" w:sz="4" w:space="0" w:color="auto"/>
            </w:tcBorders>
            <w:shd w:val="clear" w:color="000000" w:fill="FFFFFF"/>
            <w:noWrap/>
            <w:vAlign w:val="bottom"/>
            <w:hideMark/>
          </w:tcPr>
          <w:p w14:paraId="6C8CC132"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£31,500.00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EDC8110"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1C504437"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434377A8"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4AB89D23"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277117D1"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Wade Duck</w:t>
            </w:r>
          </w:p>
        </w:tc>
        <w:tc>
          <w:tcPr>
            <w:tcW w:w="1180" w:type="dxa"/>
            <w:tcBorders>
              <w:top w:val="nil"/>
              <w:left w:val="nil"/>
              <w:bottom w:val="single" w:sz="4" w:space="0" w:color="auto"/>
              <w:right w:val="single" w:sz="4" w:space="0" w:color="auto"/>
            </w:tcBorders>
            <w:shd w:val="clear" w:color="000000" w:fill="FFFFFF"/>
            <w:noWrap/>
            <w:vAlign w:val="bottom"/>
            <w:hideMark/>
          </w:tcPr>
          <w:p w14:paraId="38AB6712"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£35,000.00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29DF595"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0E31904"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7320A547"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0E5253A2"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075F1B0A"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Saffron Finch </w:t>
            </w:r>
          </w:p>
        </w:tc>
        <w:tc>
          <w:tcPr>
            <w:tcW w:w="1180" w:type="dxa"/>
            <w:tcBorders>
              <w:top w:val="nil"/>
              <w:left w:val="nil"/>
              <w:bottom w:val="single" w:sz="4" w:space="0" w:color="auto"/>
              <w:right w:val="single" w:sz="4" w:space="0" w:color="auto"/>
            </w:tcBorders>
            <w:shd w:val="clear" w:color="000000" w:fill="FFFFFF"/>
            <w:noWrap/>
            <w:vAlign w:val="bottom"/>
            <w:hideMark/>
          </w:tcPr>
          <w:p w14:paraId="669CF00C"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£24,000.00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DB1FD03"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£960.00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0443136"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£960.00 </w:t>
            </w:r>
          </w:p>
        </w:tc>
      </w:tr>
      <w:tr w:rsidR="0082498E" w:rsidRPr="00974847" w14:paraId="35932C83"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46718BA1"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0D067CA1"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Steve Swift</w:t>
            </w:r>
          </w:p>
        </w:tc>
        <w:tc>
          <w:tcPr>
            <w:tcW w:w="1180" w:type="dxa"/>
            <w:tcBorders>
              <w:top w:val="nil"/>
              <w:left w:val="nil"/>
              <w:bottom w:val="single" w:sz="4" w:space="0" w:color="auto"/>
              <w:right w:val="single" w:sz="4" w:space="0" w:color="auto"/>
            </w:tcBorders>
            <w:shd w:val="clear" w:color="000000" w:fill="FFFFFF"/>
            <w:noWrap/>
            <w:vAlign w:val="bottom"/>
            <w:hideMark/>
          </w:tcPr>
          <w:p w14:paraId="4CE7D77F"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£24,000.00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75430703"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771032A"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2C2BF66F"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6A1F77A7"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543E283E"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Myna Wren </w:t>
            </w:r>
          </w:p>
        </w:tc>
        <w:tc>
          <w:tcPr>
            <w:tcW w:w="1180" w:type="dxa"/>
            <w:tcBorders>
              <w:top w:val="nil"/>
              <w:left w:val="nil"/>
              <w:bottom w:val="single" w:sz="4" w:space="0" w:color="auto"/>
              <w:right w:val="single" w:sz="4" w:space="0" w:color="auto"/>
            </w:tcBorders>
            <w:shd w:val="clear" w:color="000000" w:fill="FFFFFF"/>
            <w:noWrap/>
            <w:vAlign w:val="bottom"/>
            <w:hideMark/>
          </w:tcPr>
          <w:p w14:paraId="6F9AC5E9"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£24,000.00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1FA7715C"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75B497AE"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73A4B0D3"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2D99BC7E"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7DE10224"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Sally Starling</w:t>
            </w:r>
          </w:p>
        </w:tc>
        <w:tc>
          <w:tcPr>
            <w:tcW w:w="1180" w:type="dxa"/>
            <w:tcBorders>
              <w:top w:val="nil"/>
              <w:left w:val="nil"/>
              <w:bottom w:val="single" w:sz="4" w:space="0" w:color="auto"/>
              <w:right w:val="single" w:sz="4" w:space="0" w:color="auto"/>
            </w:tcBorders>
            <w:shd w:val="clear" w:color="000000" w:fill="FFFFFF"/>
            <w:noWrap/>
            <w:vAlign w:val="bottom"/>
            <w:hideMark/>
          </w:tcPr>
          <w:p w14:paraId="3C1C0D26"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£20,000.00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1B313E34"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B2C0ABC"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505E8430"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10208963"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8" w:space="0" w:color="auto"/>
              <w:right w:val="single" w:sz="4" w:space="0" w:color="auto"/>
            </w:tcBorders>
            <w:shd w:val="clear" w:color="000000" w:fill="FFFFFF"/>
            <w:noWrap/>
            <w:vAlign w:val="bottom"/>
            <w:hideMark/>
          </w:tcPr>
          <w:p w14:paraId="4B4362D2"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Petra Gull</w:t>
            </w:r>
          </w:p>
        </w:tc>
        <w:tc>
          <w:tcPr>
            <w:tcW w:w="1180" w:type="dxa"/>
            <w:tcBorders>
              <w:top w:val="nil"/>
              <w:left w:val="nil"/>
              <w:bottom w:val="single" w:sz="8" w:space="0" w:color="auto"/>
              <w:right w:val="single" w:sz="4" w:space="0" w:color="auto"/>
            </w:tcBorders>
            <w:shd w:val="clear" w:color="000000" w:fill="FFFFFF"/>
            <w:noWrap/>
            <w:vAlign w:val="bottom"/>
            <w:hideMark/>
          </w:tcPr>
          <w:p w14:paraId="7332F38B"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£20,000.00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4B612DC"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57FE4309"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6A69F8C7" w14:textId="77777777" w:rsidTr="002156AE">
        <w:trPr>
          <w:trHeight w:val="300"/>
        </w:trPr>
        <w:tc>
          <w:tcPr>
            <w:tcW w:w="2500" w:type="dxa"/>
            <w:tcBorders>
              <w:top w:val="nil"/>
              <w:left w:val="single" w:sz="8" w:space="0" w:color="auto"/>
              <w:bottom w:val="nil"/>
              <w:right w:val="single" w:sz="4" w:space="0" w:color="auto"/>
            </w:tcBorders>
            <w:shd w:val="clear" w:color="000000" w:fill="FFFFFF"/>
            <w:vAlign w:val="center"/>
            <w:hideMark/>
          </w:tcPr>
          <w:p w14:paraId="5502100F" w14:textId="77777777" w:rsidR="0082498E" w:rsidRPr="00974847" w:rsidRDefault="0082498E" w:rsidP="002156AE">
            <w:pPr>
              <w:spacing w:after="0" w:line="240" w:lineRule="auto"/>
              <w:jc w:val="center"/>
              <w:rPr>
                <w:rFonts w:ascii="Aptos Narrow" w:eastAsia="Times New Roman" w:hAnsi="Aptos Narrow" w:cs="Times New Roman"/>
                <w:b/>
                <w:bCs/>
                <w:color w:val="000000"/>
                <w:sz w:val="20"/>
                <w:szCs w:val="20"/>
                <w:lang w:eastAsia="en-GB"/>
              </w:rPr>
            </w:pPr>
            <w:r w:rsidRPr="00974847">
              <w:rPr>
                <w:rFonts w:ascii="Aptos Narrow" w:eastAsia="Times New Roman" w:hAnsi="Aptos Narrow" w:cs="Times New Roman"/>
                <w:b/>
                <w:bCs/>
                <w:color w:val="000000"/>
                <w:sz w:val="20"/>
                <w:szCs w:val="20"/>
                <w:lang w:eastAsia="en-GB"/>
              </w:rPr>
              <w:t> </w:t>
            </w:r>
          </w:p>
        </w:tc>
        <w:tc>
          <w:tcPr>
            <w:tcW w:w="1820" w:type="dxa"/>
            <w:tcBorders>
              <w:top w:val="nil"/>
              <w:left w:val="nil"/>
              <w:bottom w:val="nil"/>
              <w:right w:val="single" w:sz="4" w:space="0" w:color="auto"/>
            </w:tcBorders>
            <w:shd w:val="clear" w:color="000000" w:fill="FFFFFF"/>
            <w:noWrap/>
            <w:vAlign w:val="bottom"/>
            <w:hideMark/>
          </w:tcPr>
          <w:p w14:paraId="4B2EFB7F"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180" w:type="dxa"/>
            <w:tcBorders>
              <w:top w:val="nil"/>
              <w:left w:val="nil"/>
              <w:bottom w:val="nil"/>
              <w:right w:val="single" w:sz="4" w:space="0" w:color="auto"/>
            </w:tcBorders>
            <w:shd w:val="clear" w:color="000000" w:fill="FFFFFF"/>
            <w:noWrap/>
            <w:vAlign w:val="bottom"/>
            <w:hideMark/>
          </w:tcPr>
          <w:p w14:paraId="64730E20"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CF1DD68"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55C7BB51"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59FFB4C1" w14:textId="77777777" w:rsidTr="002156AE">
        <w:trPr>
          <w:trHeight w:val="300"/>
        </w:trPr>
        <w:tc>
          <w:tcPr>
            <w:tcW w:w="2500" w:type="dxa"/>
            <w:tcBorders>
              <w:top w:val="nil"/>
              <w:left w:val="single" w:sz="8" w:space="0" w:color="auto"/>
              <w:bottom w:val="nil"/>
              <w:right w:val="single" w:sz="4" w:space="0" w:color="auto"/>
            </w:tcBorders>
            <w:shd w:val="clear" w:color="000000" w:fill="FFFFFF"/>
            <w:vAlign w:val="center"/>
            <w:hideMark/>
          </w:tcPr>
          <w:p w14:paraId="7E79C8C6" w14:textId="77777777" w:rsidR="0082498E" w:rsidRPr="00974847" w:rsidRDefault="0082498E" w:rsidP="002156AE">
            <w:pPr>
              <w:spacing w:after="0" w:line="240" w:lineRule="auto"/>
              <w:jc w:val="center"/>
              <w:rPr>
                <w:rFonts w:ascii="Aptos Narrow" w:eastAsia="Times New Roman" w:hAnsi="Aptos Narrow" w:cs="Times New Roman"/>
                <w:b/>
                <w:bCs/>
                <w:color w:val="000000"/>
                <w:sz w:val="20"/>
                <w:szCs w:val="20"/>
                <w:lang w:eastAsia="en-GB"/>
              </w:rPr>
            </w:pPr>
            <w:r w:rsidRPr="00974847">
              <w:rPr>
                <w:rFonts w:ascii="Aptos Narrow" w:eastAsia="Times New Roman" w:hAnsi="Aptos Narrow" w:cs="Times New Roman"/>
                <w:b/>
                <w:bCs/>
                <w:color w:val="000000"/>
                <w:sz w:val="20"/>
                <w:szCs w:val="20"/>
                <w:lang w:eastAsia="en-GB"/>
              </w:rPr>
              <w:t> </w:t>
            </w:r>
          </w:p>
        </w:tc>
        <w:tc>
          <w:tcPr>
            <w:tcW w:w="1820" w:type="dxa"/>
            <w:tcBorders>
              <w:top w:val="nil"/>
              <w:left w:val="nil"/>
              <w:bottom w:val="nil"/>
              <w:right w:val="single" w:sz="4" w:space="0" w:color="auto"/>
            </w:tcBorders>
            <w:shd w:val="clear" w:color="000000" w:fill="FFFFFF"/>
            <w:noWrap/>
            <w:vAlign w:val="bottom"/>
            <w:hideMark/>
          </w:tcPr>
          <w:p w14:paraId="21185602"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180" w:type="dxa"/>
            <w:tcBorders>
              <w:top w:val="nil"/>
              <w:left w:val="nil"/>
              <w:bottom w:val="nil"/>
              <w:right w:val="single" w:sz="4" w:space="0" w:color="auto"/>
            </w:tcBorders>
            <w:shd w:val="clear" w:color="000000" w:fill="FFFFFF"/>
            <w:noWrap/>
            <w:vAlign w:val="bottom"/>
            <w:hideMark/>
          </w:tcPr>
          <w:p w14:paraId="3DA84ACA"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7C4A0CD5"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3FDB4555"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755237BD" w14:textId="77777777" w:rsidTr="002156AE">
        <w:trPr>
          <w:trHeight w:val="300"/>
        </w:trPr>
        <w:tc>
          <w:tcPr>
            <w:tcW w:w="2500"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41C63903" w14:textId="77777777" w:rsidR="0082498E" w:rsidRPr="00974847" w:rsidRDefault="0082498E" w:rsidP="002156AE">
            <w:pPr>
              <w:spacing w:after="0" w:line="240" w:lineRule="auto"/>
              <w:jc w:val="center"/>
              <w:rPr>
                <w:rFonts w:ascii="Aptos Narrow" w:eastAsia="Times New Roman" w:hAnsi="Aptos Narrow" w:cs="Times New Roman"/>
                <w:b/>
                <w:bCs/>
                <w:color w:val="000000"/>
                <w:sz w:val="20"/>
                <w:szCs w:val="20"/>
                <w:lang w:eastAsia="en-GB"/>
              </w:rPr>
            </w:pPr>
            <w:r w:rsidRPr="00974847">
              <w:rPr>
                <w:rFonts w:ascii="Aptos Narrow" w:eastAsia="Times New Roman" w:hAnsi="Aptos Narrow" w:cs="Times New Roman"/>
                <w:b/>
                <w:bCs/>
                <w:color w:val="000000"/>
                <w:sz w:val="20"/>
                <w:szCs w:val="20"/>
                <w:lang w:eastAsia="en-GB"/>
              </w:rPr>
              <w:t xml:space="preserve">Sales Department </w:t>
            </w:r>
          </w:p>
        </w:tc>
        <w:tc>
          <w:tcPr>
            <w:tcW w:w="1820" w:type="dxa"/>
            <w:tcBorders>
              <w:top w:val="single" w:sz="8" w:space="0" w:color="auto"/>
              <w:left w:val="nil"/>
              <w:bottom w:val="single" w:sz="4" w:space="0" w:color="auto"/>
              <w:right w:val="single" w:sz="4" w:space="0" w:color="auto"/>
            </w:tcBorders>
            <w:shd w:val="clear" w:color="000000" w:fill="FFFFFF"/>
            <w:noWrap/>
            <w:vAlign w:val="bottom"/>
            <w:hideMark/>
          </w:tcPr>
          <w:p w14:paraId="6C860D51"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Bill Heraclitus</w:t>
            </w:r>
          </w:p>
        </w:tc>
        <w:tc>
          <w:tcPr>
            <w:tcW w:w="1180" w:type="dxa"/>
            <w:tcBorders>
              <w:top w:val="single" w:sz="8" w:space="0" w:color="auto"/>
              <w:left w:val="nil"/>
              <w:bottom w:val="single" w:sz="4" w:space="0" w:color="auto"/>
              <w:right w:val="single" w:sz="4" w:space="0" w:color="auto"/>
            </w:tcBorders>
            <w:shd w:val="clear" w:color="000000" w:fill="FFFFFF"/>
            <w:noWrap/>
            <w:vAlign w:val="bottom"/>
            <w:hideMark/>
          </w:tcPr>
          <w:p w14:paraId="6DB9C579"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£48,500.00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AD9A646"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5ACC93E2"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1538E25F"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6E314A6A"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7400AEFA"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Richard Descartes</w:t>
            </w:r>
          </w:p>
        </w:tc>
        <w:tc>
          <w:tcPr>
            <w:tcW w:w="1180" w:type="dxa"/>
            <w:tcBorders>
              <w:top w:val="nil"/>
              <w:left w:val="nil"/>
              <w:bottom w:val="single" w:sz="4" w:space="0" w:color="auto"/>
              <w:right w:val="single" w:sz="4" w:space="0" w:color="auto"/>
            </w:tcBorders>
            <w:shd w:val="clear" w:color="000000" w:fill="FFFFFF"/>
            <w:noWrap/>
            <w:vAlign w:val="bottom"/>
            <w:hideMark/>
          </w:tcPr>
          <w:p w14:paraId="5945B15E"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£32,000.00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1B2496C"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FB7B21E"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65CA99FA"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42511633"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3BCD8B81"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Craig Berkely</w:t>
            </w:r>
          </w:p>
        </w:tc>
        <w:tc>
          <w:tcPr>
            <w:tcW w:w="1180" w:type="dxa"/>
            <w:tcBorders>
              <w:top w:val="nil"/>
              <w:left w:val="nil"/>
              <w:bottom w:val="single" w:sz="4" w:space="0" w:color="auto"/>
              <w:right w:val="single" w:sz="4" w:space="0" w:color="auto"/>
            </w:tcBorders>
            <w:shd w:val="clear" w:color="000000" w:fill="FFFFFF"/>
            <w:noWrap/>
            <w:vAlign w:val="bottom"/>
            <w:hideMark/>
          </w:tcPr>
          <w:p w14:paraId="576D99B2"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2AE2698"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E0B6266"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694CC2A1"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2881EB21"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1B262CA1"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Gordon Nietzsche </w:t>
            </w:r>
          </w:p>
        </w:tc>
        <w:tc>
          <w:tcPr>
            <w:tcW w:w="1180" w:type="dxa"/>
            <w:tcBorders>
              <w:top w:val="nil"/>
              <w:left w:val="nil"/>
              <w:bottom w:val="single" w:sz="4" w:space="0" w:color="auto"/>
              <w:right w:val="single" w:sz="4" w:space="0" w:color="auto"/>
            </w:tcBorders>
            <w:shd w:val="clear" w:color="000000" w:fill="FFFFFF"/>
            <w:noWrap/>
            <w:vAlign w:val="bottom"/>
            <w:hideMark/>
          </w:tcPr>
          <w:p w14:paraId="228AD596"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3309EB4"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3B45369C"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60A26FEF"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40D39106"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0F6F7AA9"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Nicola Bergson</w:t>
            </w:r>
          </w:p>
        </w:tc>
        <w:tc>
          <w:tcPr>
            <w:tcW w:w="1180" w:type="dxa"/>
            <w:tcBorders>
              <w:top w:val="nil"/>
              <w:left w:val="nil"/>
              <w:bottom w:val="single" w:sz="4" w:space="0" w:color="auto"/>
              <w:right w:val="single" w:sz="4" w:space="0" w:color="auto"/>
            </w:tcBorders>
            <w:shd w:val="clear" w:color="000000" w:fill="FFFFFF"/>
            <w:noWrap/>
            <w:vAlign w:val="bottom"/>
            <w:hideMark/>
          </w:tcPr>
          <w:p w14:paraId="42C152F3"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D981EE7"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1FE6499B"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224C0802"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52AD1F9B"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56A259D8"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Karen Dewey</w:t>
            </w:r>
          </w:p>
        </w:tc>
        <w:tc>
          <w:tcPr>
            <w:tcW w:w="1180" w:type="dxa"/>
            <w:tcBorders>
              <w:top w:val="nil"/>
              <w:left w:val="nil"/>
              <w:bottom w:val="single" w:sz="4" w:space="0" w:color="auto"/>
              <w:right w:val="single" w:sz="4" w:space="0" w:color="auto"/>
            </w:tcBorders>
            <w:shd w:val="clear" w:color="000000" w:fill="FFFFFF"/>
            <w:noWrap/>
            <w:vAlign w:val="bottom"/>
            <w:hideMark/>
          </w:tcPr>
          <w:p w14:paraId="2D5D99D2"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£22,500.00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7AE2EBC5"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E7BE6A4"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3220E28D"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59DBF3E4"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66285063"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Toni Luther</w:t>
            </w:r>
          </w:p>
        </w:tc>
        <w:tc>
          <w:tcPr>
            <w:tcW w:w="1180" w:type="dxa"/>
            <w:tcBorders>
              <w:top w:val="nil"/>
              <w:left w:val="nil"/>
              <w:bottom w:val="single" w:sz="4" w:space="0" w:color="auto"/>
              <w:right w:val="single" w:sz="4" w:space="0" w:color="auto"/>
            </w:tcBorders>
            <w:shd w:val="clear" w:color="000000" w:fill="FFFFFF"/>
            <w:noWrap/>
            <w:vAlign w:val="bottom"/>
            <w:hideMark/>
          </w:tcPr>
          <w:p w14:paraId="33A0C8A5"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£22,500.00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3A3E443F"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1CD0AB8"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460AD2A4"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32A00D6C"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412FBCAE"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Lee Foxton</w:t>
            </w:r>
          </w:p>
        </w:tc>
        <w:tc>
          <w:tcPr>
            <w:tcW w:w="1180" w:type="dxa"/>
            <w:tcBorders>
              <w:top w:val="nil"/>
              <w:left w:val="nil"/>
              <w:bottom w:val="single" w:sz="4" w:space="0" w:color="auto"/>
              <w:right w:val="single" w:sz="4" w:space="0" w:color="auto"/>
            </w:tcBorders>
            <w:shd w:val="clear" w:color="000000" w:fill="FFFFFF"/>
            <w:noWrap/>
            <w:vAlign w:val="bottom"/>
            <w:hideMark/>
          </w:tcPr>
          <w:p w14:paraId="5F662DE2"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£22,500.00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DFB2CA9"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57ED4F5F"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3848E530"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283FC355"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313560FB"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Steve Platt</w:t>
            </w:r>
          </w:p>
        </w:tc>
        <w:tc>
          <w:tcPr>
            <w:tcW w:w="1180" w:type="dxa"/>
            <w:tcBorders>
              <w:top w:val="nil"/>
              <w:left w:val="nil"/>
              <w:bottom w:val="single" w:sz="4" w:space="0" w:color="auto"/>
              <w:right w:val="single" w:sz="4" w:space="0" w:color="auto"/>
            </w:tcBorders>
            <w:shd w:val="clear" w:color="000000" w:fill="FFFFFF"/>
            <w:noWrap/>
            <w:vAlign w:val="bottom"/>
            <w:hideMark/>
          </w:tcPr>
          <w:p w14:paraId="67D65380"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£22,500.00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44E38EF"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7EADDB9"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67D9D842"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5F8D3A40"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4800A4F5"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Liz Hickson</w:t>
            </w:r>
          </w:p>
        </w:tc>
        <w:tc>
          <w:tcPr>
            <w:tcW w:w="1180" w:type="dxa"/>
            <w:tcBorders>
              <w:top w:val="nil"/>
              <w:left w:val="nil"/>
              <w:bottom w:val="single" w:sz="4" w:space="0" w:color="auto"/>
              <w:right w:val="single" w:sz="4" w:space="0" w:color="auto"/>
            </w:tcBorders>
            <w:shd w:val="clear" w:color="000000" w:fill="FFFFFF"/>
            <w:noWrap/>
            <w:vAlign w:val="bottom"/>
            <w:hideMark/>
          </w:tcPr>
          <w:p w14:paraId="5BC52092"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£24,500.00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347F6B83"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174C5EB4"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5E990B0B"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2B4A5703"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5DF8CB4E"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Dave Nicholas</w:t>
            </w:r>
          </w:p>
        </w:tc>
        <w:tc>
          <w:tcPr>
            <w:tcW w:w="1180" w:type="dxa"/>
            <w:tcBorders>
              <w:top w:val="nil"/>
              <w:left w:val="nil"/>
              <w:bottom w:val="single" w:sz="4" w:space="0" w:color="auto"/>
              <w:right w:val="single" w:sz="4" w:space="0" w:color="auto"/>
            </w:tcBorders>
            <w:shd w:val="clear" w:color="000000" w:fill="FFFFFF"/>
            <w:noWrap/>
            <w:vAlign w:val="bottom"/>
            <w:hideMark/>
          </w:tcPr>
          <w:p w14:paraId="2C9C5889"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£24,500.00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4FD5A83"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68605CC"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049564FB"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30499E15"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1342537D"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Jamie Smith</w:t>
            </w:r>
          </w:p>
        </w:tc>
        <w:tc>
          <w:tcPr>
            <w:tcW w:w="1180" w:type="dxa"/>
            <w:tcBorders>
              <w:top w:val="nil"/>
              <w:left w:val="nil"/>
              <w:bottom w:val="single" w:sz="4" w:space="0" w:color="auto"/>
              <w:right w:val="single" w:sz="4" w:space="0" w:color="auto"/>
            </w:tcBorders>
            <w:shd w:val="clear" w:color="000000" w:fill="FFFFFF"/>
            <w:noWrap/>
            <w:vAlign w:val="bottom"/>
            <w:hideMark/>
          </w:tcPr>
          <w:p w14:paraId="72899D4D"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£20,000.00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4648A56"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01BC65B"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503B16CD"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724FB571"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8" w:space="0" w:color="auto"/>
              <w:right w:val="single" w:sz="4" w:space="0" w:color="auto"/>
            </w:tcBorders>
            <w:shd w:val="clear" w:color="000000" w:fill="FFFFFF"/>
            <w:noWrap/>
            <w:vAlign w:val="bottom"/>
            <w:hideMark/>
          </w:tcPr>
          <w:p w14:paraId="76F09C18"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Joanne </w:t>
            </w:r>
            <w:proofErr w:type="spellStart"/>
            <w:r w:rsidRPr="00974847">
              <w:rPr>
                <w:rFonts w:ascii="Trebuchet MS" w:eastAsia="Times New Roman" w:hAnsi="Trebuchet MS" w:cs="Times New Roman"/>
                <w:color w:val="000000"/>
                <w:sz w:val="20"/>
                <w:szCs w:val="20"/>
                <w:lang w:eastAsia="en-GB"/>
              </w:rPr>
              <w:t>Mansworth</w:t>
            </w:r>
            <w:proofErr w:type="spellEnd"/>
          </w:p>
        </w:tc>
        <w:tc>
          <w:tcPr>
            <w:tcW w:w="1180" w:type="dxa"/>
            <w:tcBorders>
              <w:top w:val="nil"/>
              <w:left w:val="nil"/>
              <w:bottom w:val="single" w:sz="8" w:space="0" w:color="auto"/>
              <w:right w:val="single" w:sz="4" w:space="0" w:color="auto"/>
            </w:tcBorders>
            <w:shd w:val="clear" w:color="000000" w:fill="FFFFFF"/>
            <w:noWrap/>
            <w:vAlign w:val="bottom"/>
            <w:hideMark/>
          </w:tcPr>
          <w:p w14:paraId="07A1423A"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£20,000.00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50766823"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985E1FA"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45EE1486" w14:textId="77777777" w:rsidTr="002156AE">
        <w:trPr>
          <w:trHeight w:val="300"/>
        </w:trPr>
        <w:tc>
          <w:tcPr>
            <w:tcW w:w="2500" w:type="dxa"/>
            <w:tcBorders>
              <w:top w:val="nil"/>
              <w:left w:val="single" w:sz="8" w:space="0" w:color="auto"/>
              <w:bottom w:val="nil"/>
              <w:right w:val="single" w:sz="4" w:space="0" w:color="auto"/>
            </w:tcBorders>
            <w:shd w:val="clear" w:color="000000" w:fill="FFFFFF"/>
            <w:vAlign w:val="center"/>
            <w:hideMark/>
          </w:tcPr>
          <w:p w14:paraId="05E68E4B" w14:textId="77777777" w:rsidR="0082498E" w:rsidRPr="00974847" w:rsidRDefault="0082498E" w:rsidP="002156AE">
            <w:pPr>
              <w:spacing w:after="0" w:line="240" w:lineRule="auto"/>
              <w:jc w:val="center"/>
              <w:rPr>
                <w:rFonts w:ascii="Aptos Narrow" w:eastAsia="Times New Roman" w:hAnsi="Aptos Narrow" w:cs="Times New Roman"/>
                <w:b/>
                <w:bCs/>
                <w:color w:val="000000"/>
                <w:sz w:val="20"/>
                <w:szCs w:val="20"/>
                <w:lang w:eastAsia="en-GB"/>
              </w:rPr>
            </w:pPr>
            <w:r w:rsidRPr="00974847">
              <w:rPr>
                <w:rFonts w:ascii="Aptos Narrow" w:eastAsia="Times New Roman" w:hAnsi="Aptos Narrow" w:cs="Times New Roman"/>
                <w:b/>
                <w:bCs/>
                <w:color w:val="000000"/>
                <w:sz w:val="20"/>
                <w:szCs w:val="20"/>
                <w:lang w:eastAsia="en-GB"/>
              </w:rPr>
              <w:t> </w:t>
            </w:r>
          </w:p>
        </w:tc>
        <w:tc>
          <w:tcPr>
            <w:tcW w:w="1820" w:type="dxa"/>
            <w:tcBorders>
              <w:top w:val="nil"/>
              <w:left w:val="nil"/>
              <w:bottom w:val="nil"/>
              <w:right w:val="single" w:sz="4" w:space="0" w:color="auto"/>
            </w:tcBorders>
            <w:shd w:val="clear" w:color="000000" w:fill="FFFFFF"/>
            <w:noWrap/>
            <w:vAlign w:val="bottom"/>
            <w:hideMark/>
          </w:tcPr>
          <w:p w14:paraId="78ED8239"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180" w:type="dxa"/>
            <w:tcBorders>
              <w:top w:val="nil"/>
              <w:left w:val="nil"/>
              <w:bottom w:val="nil"/>
              <w:right w:val="single" w:sz="4" w:space="0" w:color="auto"/>
            </w:tcBorders>
            <w:shd w:val="clear" w:color="000000" w:fill="FFFFFF"/>
            <w:noWrap/>
            <w:vAlign w:val="bottom"/>
            <w:hideMark/>
          </w:tcPr>
          <w:p w14:paraId="4AA9C0A3"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D5017D6"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34AF58CA"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20A39767" w14:textId="77777777" w:rsidTr="002156AE">
        <w:trPr>
          <w:trHeight w:val="300"/>
        </w:trPr>
        <w:tc>
          <w:tcPr>
            <w:tcW w:w="2500" w:type="dxa"/>
            <w:tcBorders>
              <w:top w:val="nil"/>
              <w:left w:val="single" w:sz="8" w:space="0" w:color="auto"/>
              <w:bottom w:val="nil"/>
              <w:right w:val="single" w:sz="4" w:space="0" w:color="auto"/>
            </w:tcBorders>
            <w:shd w:val="clear" w:color="000000" w:fill="FFFFFF"/>
            <w:vAlign w:val="center"/>
            <w:hideMark/>
          </w:tcPr>
          <w:p w14:paraId="59963C09" w14:textId="77777777" w:rsidR="0082498E" w:rsidRPr="00974847" w:rsidRDefault="0082498E" w:rsidP="002156AE">
            <w:pPr>
              <w:spacing w:after="0" w:line="240" w:lineRule="auto"/>
              <w:jc w:val="center"/>
              <w:rPr>
                <w:rFonts w:ascii="Aptos Narrow" w:eastAsia="Times New Roman" w:hAnsi="Aptos Narrow" w:cs="Times New Roman"/>
                <w:b/>
                <w:bCs/>
                <w:color w:val="000000"/>
                <w:sz w:val="20"/>
                <w:szCs w:val="20"/>
                <w:lang w:eastAsia="en-GB"/>
              </w:rPr>
            </w:pPr>
            <w:r w:rsidRPr="00974847">
              <w:rPr>
                <w:rFonts w:ascii="Aptos Narrow" w:eastAsia="Times New Roman" w:hAnsi="Aptos Narrow" w:cs="Times New Roman"/>
                <w:b/>
                <w:bCs/>
                <w:color w:val="000000"/>
                <w:sz w:val="20"/>
                <w:szCs w:val="20"/>
                <w:lang w:eastAsia="en-GB"/>
              </w:rPr>
              <w:t> </w:t>
            </w:r>
          </w:p>
        </w:tc>
        <w:tc>
          <w:tcPr>
            <w:tcW w:w="1820" w:type="dxa"/>
            <w:tcBorders>
              <w:top w:val="nil"/>
              <w:left w:val="nil"/>
              <w:bottom w:val="nil"/>
              <w:right w:val="single" w:sz="4" w:space="0" w:color="auto"/>
            </w:tcBorders>
            <w:shd w:val="clear" w:color="000000" w:fill="FFFFFF"/>
            <w:noWrap/>
            <w:vAlign w:val="bottom"/>
            <w:hideMark/>
          </w:tcPr>
          <w:p w14:paraId="7389F990"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180" w:type="dxa"/>
            <w:tcBorders>
              <w:top w:val="nil"/>
              <w:left w:val="nil"/>
              <w:bottom w:val="nil"/>
              <w:right w:val="single" w:sz="4" w:space="0" w:color="auto"/>
            </w:tcBorders>
            <w:shd w:val="clear" w:color="000000" w:fill="FFFFFF"/>
            <w:noWrap/>
            <w:vAlign w:val="bottom"/>
            <w:hideMark/>
          </w:tcPr>
          <w:p w14:paraId="0F37F06B"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700EE9F2"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731E825"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5B56472D" w14:textId="77777777" w:rsidTr="002156AE">
        <w:trPr>
          <w:trHeight w:val="300"/>
        </w:trPr>
        <w:tc>
          <w:tcPr>
            <w:tcW w:w="2500"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3EF41A97" w14:textId="77777777" w:rsidR="0082498E" w:rsidRPr="00974847" w:rsidRDefault="0082498E" w:rsidP="002156AE">
            <w:pPr>
              <w:spacing w:after="0" w:line="240" w:lineRule="auto"/>
              <w:jc w:val="center"/>
              <w:rPr>
                <w:rFonts w:ascii="Aptos Narrow" w:eastAsia="Times New Roman" w:hAnsi="Aptos Narrow" w:cs="Times New Roman"/>
                <w:b/>
                <w:bCs/>
                <w:color w:val="000000"/>
                <w:sz w:val="20"/>
                <w:szCs w:val="20"/>
                <w:lang w:eastAsia="en-GB"/>
              </w:rPr>
            </w:pPr>
            <w:r w:rsidRPr="00974847">
              <w:rPr>
                <w:rFonts w:ascii="Aptos Narrow" w:eastAsia="Times New Roman" w:hAnsi="Aptos Narrow" w:cs="Times New Roman"/>
                <w:b/>
                <w:bCs/>
                <w:color w:val="000000"/>
                <w:sz w:val="20"/>
                <w:szCs w:val="20"/>
                <w:lang w:eastAsia="en-GB"/>
              </w:rPr>
              <w:t xml:space="preserve">Logistics Department </w:t>
            </w:r>
          </w:p>
        </w:tc>
        <w:tc>
          <w:tcPr>
            <w:tcW w:w="1820" w:type="dxa"/>
            <w:tcBorders>
              <w:top w:val="single" w:sz="8" w:space="0" w:color="auto"/>
              <w:left w:val="nil"/>
              <w:bottom w:val="single" w:sz="4" w:space="0" w:color="auto"/>
              <w:right w:val="single" w:sz="4" w:space="0" w:color="auto"/>
            </w:tcBorders>
            <w:shd w:val="clear" w:color="000000" w:fill="FFFFFF"/>
            <w:noWrap/>
            <w:vAlign w:val="bottom"/>
            <w:hideMark/>
          </w:tcPr>
          <w:p w14:paraId="35ACFA55"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Izzy Granger</w:t>
            </w:r>
          </w:p>
        </w:tc>
        <w:tc>
          <w:tcPr>
            <w:tcW w:w="1180" w:type="dxa"/>
            <w:tcBorders>
              <w:top w:val="single" w:sz="8" w:space="0" w:color="auto"/>
              <w:left w:val="nil"/>
              <w:bottom w:val="single" w:sz="4" w:space="0" w:color="auto"/>
              <w:right w:val="single" w:sz="4" w:space="0" w:color="auto"/>
            </w:tcBorders>
            <w:shd w:val="clear" w:color="000000" w:fill="FFFFFF"/>
            <w:noWrap/>
            <w:vAlign w:val="bottom"/>
            <w:hideMark/>
          </w:tcPr>
          <w:p w14:paraId="480C62CC"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£41,000.00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1E3716BC"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26FEFFB"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2B6E9CF7"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17F55EC5"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3B4161BD"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Ruth Sixsmith</w:t>
            </w:r>
          </w:p>
        </w:tc>
        <w:tc>
          <w:tcPr>
            <w:tcW w:w="1180" w:type="dxa"/>
            <w:tcBorders>
              <w:top w:val="nil"/>
              <w:left w:val="nil"/>
              <w:bottom w:val="single" w:sz="4" w:space="0" w:color="auto"/>
              <w:right w:val="single" w:sz="4" w:space="0" w:color="auto"/>
            </w:tcBorders>
            <w:shd w:val="clear" w:color="000000" w:fill="FFFFFF"/>
            <w:noWrap/>
            <w:vAlign w:val="bottom"/>
            <w:hideMark/>
          </w:tcPr>
          <w:p w14:paraId="564F7603"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£23,750.00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16F2F93"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180F61D"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£950.00 </w:t>
            </w:r>
          </w:p>
        </w:tc>
      </w:tr>
      <w:tr w:rsidR="0082498E" w:rsidRPr="00974847" w14:paraId="066B3B93"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4D886ED2"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061045E2"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Wendy Boot</w:t>
            </w:r>
          </w:p>
        </w:tc>
        <w:tc>
          <w:tcPr>
            <w:tcW w:w="1180" w:type="dxa"/>
            <w:tcBorders>
              <w:top w:val="nil"/>
              <w:left w:val="nil"/>
              <w:bottom w:val="single" w:sz="4" w:space="0" w:color="auto"/>
              <w:right w:val="single" w:sz="4" w:space="0" w:color="auto"/>
            </w:tcBorders>
            <w:shd w:val="clear" w:color="000000" w:fill="FFFFFF"/>
            <w:noWrap/>
            <w:vAlign w:val="bottom"/>
            <w:hideMark/>
          </w:tcPr>
          <w:p w14:paraId="3955AF8A"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£23,750.00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73C2311"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91A0629"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£950.00 </w:t>
            </w:r>
          </w:p>
        </w:tc>
      </w:tr>
      <w:tr w:rsidR="0082498E" w:rsidRPr="00974847" w14:paraId="205EA50F"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5AD9205C"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56BB5ED5"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Sally Rigbye</w:t>
            </w:r>
          </w:p>
        </w:tc>
        <w:tc>
          <w:tcPr>
            <w:tcW w:w="1180" w:type="dxa"/>
            <w:tcBorders>
              <w:top w:val="nil"/>
              <w:left w:val="nil"/>
              <w:bottom w:val="single" w:sz="4" w:space="0" w:color="auto"/>
              <w:right w:val="single" w:sz="4" w:space="0" w:color="auto"/>
            </w:tcBorders>
            <w:shd w:val="clear" w:color="000000" w:fill="FFFFFF"/>
            <w:noWrap/>
            <w:vAlign w:val="bottom"/>
            <w:hideMark/>
          </w:tcPr>
          <w:p w14:paraId="6D32036B"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£23,750.00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32BA0B3F"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£950.00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64E2E9B"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29F21980"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69EF057E"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11B292D6"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Ian Charnock</w:t>
            </w:r>
          </w:p>
        </w:tc>
        <w:tc>
          <w:tcPr>
            <w:tcW w:w="1180" w:type="dxa"/>
            <w:tcBorders>
              <w:top w:val="nil"/>
              <w:left w:val="nil"/>
              <w:bottom w:val="single" w:sz="4" w:space="0" w:color="auto"/>
              <w:right w:val="single" w:sz="4" w:space="0" w:color="auto"/>
            </w:tcBorders>
            <w:shd w:val="clear" w:color="000000" w:fill="FFFFFF"/>
            <w:noWrap/>
            <w:vAlign w:val="bottom"/>
            <w:hideMark/>
          </w:tcPr>
          <w:p w14:paraId="0AB7C9FA"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£24,000.00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7CC3211"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7FA9A37E"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19025F8E"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47C91FBD"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09D36024"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Chris Walley</w:t>
            </w:r>
          </w:p>
        </w:tc>
        <w:tc>
          <w:tcPr>
            <w:tcW w:w="1180" w:type="dxa"/>
            <w:tcBorders>
              <w:top w:val="nil"/>
              <w:left w:val="nil"/>
              <w:bottom w:val="single" w:sz="4" w:space="0" w:color="auto"/>
              <w:right w:val="single" w:sz="4" w:space="0" w:color="auto"/>
            </w:tcBorders>
            <w:shd w:val="clear" w:color="000000" w:fill="FFFFFF"/>
            <w:noWrap/>
            <w:vAlign w:val="bottom"/>
            <w:hideMark/>
          </w:tcPr>
          <w:p w14:paraId="0D1C0DB0"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£24,000.00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845CCCB"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78CE2F88"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77E0C5E3"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0B189AD6"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49F8CBD3"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Liz Parry</w:t>
            </w:r>
          </w:p>
        </w:tc>
        <w:tc>
          <w:tcPr>
            <w:tcW w:w="1180" w:type="dxa"/>
            <w:tcBorders>
              <w:top w:val="nil"/>
              <w:left w:val="nil"/>
              <w:bottom w:val="single" w:sz="4" w:space="0" w:color="auto"/>
              <w:right w:val="single" w:sz="4" w:space="0" w:color="auto"/>
            </w:tcBorders>
            <w:shd w:val="clear" w:color="000000" w:fill="FFFFFF"/>
            <w:noWrap/>
            <w:vAlign w:val="bottom"/>
            <w:hideMark/>
          </w:tcPr>
          <w:p w14:paraId="68B02D73"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£26,000.00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9CC7FC6"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54EB774"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3F51D914"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05149320"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015CD745"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Suzanne Wells</w:t>
            </w:r>
          </w:p>
        </w:tc>
        <w:tc>
          <w:tcPr>
            <w:tcW w:w="1180" w:type="dxa"/>
            <w:tcBorders>
              <w:top w:val="nil"/>
              <w:left w:val="nil"/>
              <w:bottom w:val="single" w:sz="4" w:space="0" w:color="auto"/>
              <w:right w:val="single" w:sz="4" w:space="0" w:color="auto"/>
            </w:tcBorders>
            <w:shd w:val="clear" w:color="000000" w:fill="FFFFFF"/>
            <w:noWrap/>
            <w:vAlign w:val="bottom"/>
            <w:hideMark/>
          </w:tcPr>
          <w:p w14:paraId="61BB1EB9"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£26,000.00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29682F0"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32A0D6D"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5A3FDB85"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42019CDF"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52EBF139"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Neil </w:t>
            </w:r>
            <w:proofErr w:type="spellStart"/>
            <w:r w:rsidRPr="00974847">
              <w:rPr>
                <w:rFonts w:ascii="Trebuchet MS" w:eastAsia="Times New Roman" w:hAnsi="Trebuchet MS" w:cs="Times New Roman"/>
                <w:color w:val="000000"/>
                <w:sz w:val="20"/>
                <w:szCs w:val="20"/>
                <w:lang w:eastAsia="en-GB"/>
              </w:rPr>
              <w:t>Mansley</w:t>
            </w:r>
            <w:proofErr w:type="spellEnd"/>
          </w:p>
        </w:tc>
        <w:tc>
          <w:tcPr>
            <w:tcW w:w="1180" w:type="dxa"/>
            <w:tcBorders>
              <w:top w:val="nil"/>
              <w:left w:val="nil"/>
              <w:bottom w:val="single" w:sz="4" w:space="0" w:color="auto"/>
              <w:right w:val="single" w:sz="4" w:space="0" w:color="auto"/>
            </w:tcBorders>
            <w:shd w:val="clear" w:color="000000" w:fill="FFFFFF"/>
            <w:noWrap/>
            <w:vAlign w:val="bottom"/>
            <w:hideMark/>
          </w:tcPr>
          <w:p w14:paraId="40920C39"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£26,000.00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3DEBAB7E"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151ED0E0"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7078BF47"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5ED5555B"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39386E4F"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Jean Livesey</w:t>
            </w:r>
          </w:p>
        </w:tc>
        <w:tc>
          <w:tcPr>
            <w:tcW w:w="1180" w:type="dxa"/>
            <w:tcBorders>
              <w:top w:val="nil"/>
              <w:left w:val="nil"/>
              <w:bottom w:val="single" w:sz="4" w:space="0" w:color="auto"/>
              <w:right w:val="single" w:sz="4" w:space="0" w:color="auto"/>
            </w:tcBorders>
            <w:shd w:val="clear" w:color="000000" w:fill="FFFFFF"/>
            <w:noWrap/>
            <w:vAlign w:val="bottom"/>
            <w:hideMark/>
          </w:tcPr>
          <w:p w14:paraId="44EC95E7"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£26,000.00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33FAA84"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7C7D5D7F"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£1,040.00 </w:t>
            </w:r>
          </w:p>
        </w:tc>
      </w:tr>
      <w:tr w:rsidR="0082498E" w:rsidRPr="00974847" w14:paraId="20CDA1B4"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634F0798"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69E33559"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Lucy Abercrombie</w:t>
            </w:r>
          </w:p>
        </w:tc>
        <w:tc>
          <w:tcPr>
            <w:tcW w:w="1180" w:type="dxa"/>
            <w:tcBorders>
              <w:top w:val="nil"/>
              <w:left w:val="nil"/>
              <w:bottom w:val="single" w:sz="4" w:space="0" w:color="auto"/>
              <w:right w:val="single" w:sz="4" w:space="0" w:color="auto"/>
            </w:tcBorders>
            <w:shd w:val="clear" w:color="000000" w:fill="FFFFFF"/>
            <w:noWrap/>
            <w:vAlign w:val="bottom"/>
            <w:hideMark/>
          </w:tcPr>
          <w:p w14:paraId="4C827D16"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£26,000.00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5058218"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7F5CA908"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14CFF9A9"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0BC12B5E"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0CA978BD"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Siobhan Wilson</w:t>
            </w:r>
          </w:p>
        </w:tc>
        <w:tc>
          <w:tcPr>
            <w:tcW w:w="1180" w:type="dxa"/>
            <w:tcBorders>
              <w:top w:val="nil"/>
              <w:left w:val="nil"/>
              <w:bottom w:val="single" w:sz="4" w:space="0" w:color="auto"/>
              <w:right w:val="single" w:sz="4" w:space="0" w:color="auto"/>
            </w:tcBorders>
            <w:shd w:val="clear" w:color="000000" w:fill="FFFFFF"/>
            <w:noWrap/>
            <w:vAlign w:val="bottom"/>
            <w:hideMark/>
          </w:tcPr>
          <w:p w14:paraId="5C8997FE"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598C0FE"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7030A251"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585B7199"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09A9822B"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46F360D2"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Julie Chisnall</w:t>
            </w:r>
          </w:p>
        </w:tc>
        <w:tc>
          <w:tcPr>
            <w:tcW w:w="1180" w:type="dxa"/>
            <w:tcBorders>
              <w:top w:val="nil"/>
              <w:left w:val="nil"/>
              <w:bottom w:val="single" w:sz="4" w:space="0" w:color="auto"/>
              <w:right w:val="single" w:sz="4" w:space="0" w:color="auto"/>
            </w:tcBorders>
            <w:shd w:val="clear" w:color="000000" w:fill="FFFFFF"/>
            <w:noWrap/>
            <w:vAlign w:val="bottom"/>
            <w:hideMark/>
          </w:tcPr>
          <w:p w14:paraId="01D630C9"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111A2FFE"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£780.00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34AFD3C1"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£780.00 </w:t>
            </w:r>
          </w:p>
        </w:tc>
      </w:tr>
      <w:tr w:rsidR="0082498E" w:rsidRPr="00974847" w14:paraId="4B9E496E"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4721D64B"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7826E1AC"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Rick Lovall</w:t>
            </w:r>
          </w:p>
        </w:tc>
        <w:tc>
          <w:tcPr>
            <w:tcW w:w="1180" w:type="dxa"/>
            <w:tcBorders>
              <w:top w:val="nil"/>
              <w:left w:val="nil"/>
              <w:bottom w:val="single" w:sz="4" w:space="0" w:color="auto"/>
              <w:right w:val="single" w:sz="4" w:space="0" w:color="auto"/>
            </w:tcBorders>
            <w:shd w:val="clear" w:color="000000" w:fill="FFFFFF"/>
            <w:noWrap/>
            <w:vAlign w:val="bottom"/>
            <w:hideMark/>
          </w:tcPr>
          <w:p w14:paraId="06AC68F1"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1F4296EE"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£780.00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58A4F6D6"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2A50C77D"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1273EB10"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040D8016"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Pam Harrison</w:t>
            </w:r>
          </w:p>
        </w:tc>
        <w:tc>
          <w:tcPr>
            <w:tcW w:w="1180" w:type="dxa"/>
            <w:tcBorders>
              <w:top w:val="nil"/>
              <w:left w:val="nil"/>
              <w:bottom w:val="single" w:sz="4" w:space="0" w:color="auto"/>
              <w:right w:val="single" w:sz="4" w:space="0" w:color="auto"/>
            </w:tcBorders>
            <w:shd w:val="clear" w:color="000000" w:fill="FFFFFF"/>
            <w:noWrap/>
            <w:vAlign w:val="bottom"/>
            <w:hideMark/>
          </w:tcPr>
          <w:p w14:paraId="14F7731C"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7407A59A"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468FA22"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7FB6C1EB"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7801D7C7"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79BFF788"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Max Eagle</w:t>
            </w:r>
          </w:p>
        </w:tc>
        <w:tc>
          <w:tcPr>
            <w:tcW w:w="1180" w:type="dxa"/>
            <w:tcBorders>
              <w:top w:val="nil"/>
              <w:left w:val="nil"/>
              <w:bottom w:val="single" w:sz="4" w:space="0" w:color="auto"/>
              <w:right w:val="single" w:sz="4" w:space="0" w:color="auto"/>
            </w:tcBorders>
            <w:shd w:val="clear" w:color="000000" w:fill="FFFFFF"/>
            <w:noWrap/>
            <w:vAlign w:val="bottom"/>
            <w:hideMark/>
          </w:tcPr>
          <w:p w14:paraId="5488218E"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57C15E3"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4605C04"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158E38C3"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213A449E"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536718C5"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Gill Jamieson</w:t>
            </w:r>
          </w:p>
        </w:tc>
        <w:tc>
          <w:tcPr>
            <w:tcW w:w="1180" w:type="dxa"/>
            <w:tcBorders>
              <w:top w:val="nil"/>
              <w:left w:val="nil"/>
              <w:bottom w:val="single" w:sz="4" w:space="0" w:color="auto"/>
              <w:right w:val="single" w:sz="4" w:space="0" w:color="auto"/>
            </w:tcBorders>
            <w:shd w:val="clear" w:color="000000" w:fill="FFFFFF"/>
            <w:noWrap/>
            <w:vAlign w:val="bottom"/>
            <w:hideMark/>
          </w:tcPr>
          <w:p w14:paraId="352E2053"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59AD310"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£780.00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5F9FEE84"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£780.00 </w:t>
            </w:r>
          </w:p>
        </w:tc>
      </w:tr>
      <w:tr w:rsidR="0082498E" w:rsidRPr="00974847" w14:paraId="66298F07"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0C245F85"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6A711A26"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Rowina Draper</w:t>
            </w:r>
          </w:p>
        </w:tc>
        <w:tc>
          <w:tcPr>
            <w:tcW w:w="1180" w:type="dxa"/>
            <w:tcBorders>
              <w:top w:val="nil"/>
              <w:left w:val="nil"/>
              <w:bottom w:val="single" w:sz="4" w:space="0" w:color="auto"/>
              <w:right w:val="single" w:sz="4" w:space="0" w:color="auto"/>
            </w:tcBorders>
            <w:shd w:val="clear" w:color="000000" w:fill="FFFFFF"/>
            <w:noWrap/>
            <w:vAlign w:val="bottom"/>
            <w:hideMark/>
          </w:tcPr>
          <w:p w14:paraId="100523C9"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303A92CA"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521E0EC5"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2204B43A"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6360FC39"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1AB8FA24"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Will Draper</w:t>
            </w:r>
          </w:p>
        </w:tc>
        <w:tc>
          <w:tcPr>
            <w:tcW w:w="1180" w:type="dxa"/>
            <w:tcBorders>
              <w:top w:val="nil"/>
              <w:left w:val="nil"/>
              <w:bottom w:val="single" w:sz="4" w:space="0" w:color="auto"/>
              <w:right w:val="single" w:sz="4" w:space="0" w:color="auto"/>
            </w:tcBorders>
            <w:shd w:val="clear" w:color="000000" w:fill="FFFFFF"/>
            <w:noWrap/>
            <w:vAlign w:val="bottom"/>
            <w:hideMark/>
          </w:tcPr>
          <w:p w14:paraId="4560EBFA"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3249B8CD"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5143684A"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5F9F590B"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2982EAA4"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8" w:space="0" w:color="auto"/>
              <w:right w:val="single" w:sz="4" w:space="0" w:color="auto"/>
            </w:tcBorders>
            <w:shd w:val="clear" w:color="000000" w:fill="FFFFFF"/>
            <w:noWrap/>
            <w:vAlign w:val="bottom"/>
            <w:hideMark/>
          </w:tcPr>
          <w:p w14:paraId="1E7059B1"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Jamie Penny</w:t>
            </w:r>
          </w:p>
        </w:tc>
        <w:tc>
          <w:tcPr>
            <w:tcW w:w="1180" w:type="dxa"/>
            <w:tcBorders>
              <w:top w:val="nil"/>
              <w:left w:val="nil"/>
              <w:bottom w:val="single" w:sz="8" w:space="0" w:color="auto"/>
              <w:right w:val="single" w:sz="4" w:space="0" w:color="auto"/>
            </w:tcBorders>
            <w:shd w:val="clear" w:color="000000" w:fill="FFFFFF"/>
            <w:noWrap/>
            <w:vAlign w:val="bottom"/>
            <w:hideMark/>
          </w:tcPr>
          <w:p w14:paraId="572D930C"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A6F1299"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22925E3"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522D0B25" w14:textId="77777777" w:rsidTr="002156AE">
        <w:trPr>
          <w:trHeight w:val="300"/>
        </w:trPr>
        <w:tc>
          <w:tcPr>
            <w:tcW w:w="2500" w:type="dxa"/>
            <w:tcBorders>
              <w:top w:val="nil"/>
              <w:left w:val="single" w:sz="8" w:space="0" w:color="auto"/>
              <w:bottom w:val="nil"/>
              <w:right w:val="single" w:sz="4" w:space="0" w:color="auto"/>
            </w:tcBorders>
            <w:shd w:val="clear" w:color="000000" w:fill="FFFFFF"/>
            <w:vAlign w:val="center"/>
            <w:hideMark/>
          </w:tcPr>
          <w:p w14:paraId="7F27E431" w14:textId="77777777" w:rsidR="0082498E" w:rsidRPr="00974847" w:rsidRDefault="0082498E" w:rsidP="002156AE">
            <w:pPr>
              <w:spacing w:after="0" w:line="240" w:lineRule="auto"/>
              <w:jc w:val="center"/>
              <w:rPr>
                <w:rFonts w:ascii="Aptos Narrow" w:eastAsia="Times New Roman" w:hAnsi="Aptos Narrow" w:cs="Times New Roman"/>
                <w:b/>
                <w:bCs/>
                <w:color w:val="000000"/>
                <w:sz w:val="20"/>
                <w:szCs w:val="20"/>
                <w:lang w:eastAsia="en-GB"/>
              </w:rPr>
            </w:pPr>
            <w:r w:rsidRPr="00974847">
              <w:rPr>
                <w:rFonts w:ascii="Aptos Narrow" w:eastAsia="Times New Roman" w:hAnsi="Aptos Narrow" w:cs="Times New Roman"/>
                <w:b/>
                <w:bCs/>
                <w:color w:val="000000"/>
                <w:sz w:val="20"/>
                <w:szCs w:val="20"/>
                <w:lang w:eastAsia="en-GB"/>
              </w:rPr>
              <w:t> </w:t>
            </w:r>
          </w:p>
        </w:tc>
        <w:tc>
          <w:tcPr>
            <w:tcW w:w="1820" w:type="dxa"/>
            <w:tcBorders>
              <w:top w:val="nil"/>
              <w:left w:val="nil"/>
              <w:bottom w:val="nil"/>
              <w:right w:val="single" w:sz="4" w:space="0" w:color="auto"/>
            </w:tcBorders>
            <w:shd w:val="clear" w:color="000000" w:fill="FFFFFF"/>
            <w:noWrap/>
            <w:vAlign w:val="bottom"/>
            <w:hideMark/>
          </w:tcPr>
          <w:p w14:paraId="386A2CE7"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180" w:type="dxa"/>
            <w:tcBorders>
              <w:top w:val="nil"/>
              <w:left w:val="nil"/>
              <w:bottom w:val="nil"/>
              <w:right w:val="single" w:sz="4" w:space="0" w:color="auto"/>
            </w:tcBorders>
            <w:shd w:val="clear" w:color="000000" w:fill="FFFFFF"/>
            <w:noWrap/>
            <w:vAlign w:val="bottom"/>
            <w:hideMark/>
          </w:tcPr>
          <w:p w14:paraId="5C49728F"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8BCAD39"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94E0BF1"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19D042CC" w14:textId="77777777" w:rsidTr="002156AE">
        <w:trPr>
          <w:trHeight w:val="300"/>
        </w:trPr>
        <w:tc>
          <w:tcPr>
            <w:tcW w:w="2500" w:type="dxa"/>
            <w:tcBorders>
              <w:top w:val="nil"/>
              <w:left w:val="single" w:sz="8" w:space="0" w:color="auto"/>
              <w:bottom w:val="nil"/>
              <w:right w:val="single" w:sz="4" w:space="0" w:color="auto"/>
            </w:tcBorders>
            <w:shd w:val="clear" w:color="000000" w:fill="FFFFFF"/>
            <w:vAlign w:val="center"/>
            <w:hideMark/>
          </w:tcPr>
          <w:p w14:paraId="2511682E" w14:textId="77777777" w:rsidR="0082498E" w:rsidRPr="00974847" w:rsidRDefault="0082498E" w:rsidP="002156AE">
            <w:pPr>
              <w:spacing w:after="0" w:line="240" w:lineRule="auto"/>
              <w:jc w:val="center"/>
              <w:rPr>
                <w:rFonts w:ascii="Aptos Narrow" w:eastAsia="Times New Roman" w:hAnsi="Aptos Narrow" w:cs="Times New Roman"/>
                <w:b/>
                <w:bCs/>
                <w:color w:val="000000"/>
                <w:sz w:val="20"/>
                <w:szCs w:val="20"/>
                <w:lang w:eastAsia="en-GB"/>
              </w:rPr>
            </w:pPr>
            <w:r w:rsidRPr="00974847">
              <w:rPr>
                <w:rFonts w:ascii="Aptos Narrow" w:eastAsia="Times New Roman" w:hAnsi="Aptos Narrow" w:cs="Times New Roman"/>
                <w:b/>
                <w:bCs/>
                <w:color w:val="000000"/>
                <w:sz w:val="20"/>
                <w:szCs w:val="20"/>
                <w:lang w:eastAsia="en-GB"/>
              </w:rPr>
              <w:t> </w:t>
            </w:r>
          </w:p>
        </w:tc>
        <w:tc>
          <w:tcPr>
            <w:tcW w:w="1820" w:type="dxa"/>
            <w:tcBorders>
              <w:top w:val="nil"/>
              <w:left w:val="nil"/>
              <w:bottom w:val="nil"/>
              <w:right w:val="single" w:sz="4" w:space="0" w:color="auto"/>
            </w:tcBorders>
            <w:shd w:val="clear" w:color="000000" w:fill="FFFFFF"/>
            <w:noWrap/>
            <w:vAlign w:val="bottom"/>
            <w:hideMark/>
          </w:tcPr>
          <w:p w14:paraId="27D6691B"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180" w:type="dxa"/>
            <w:tcBorders>
              <w:top w:val="nil"/>
              <w:left w:val="nil"/>
              <w:bottom w:val="nil"/>
              <w:right w:val="single" w:sz="4" w:space="0" w:color="auto"/>
            </w:tcBorders>
            <w:shd w:val="clear" w:color="000000" w:fill="FFFFFF"/>
            <w:noWrap/>
            <w:vAlign w:val="bottom"/>
            <w:hideMark/>
          </w:tcPr>
          <w:p w14:paraId="678AF3B8"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58B4BB8D"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88BE4AB"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56426E12" w14:textId="77777777" w:rsidTr="002156AE">
        <w:trPr>
          <w:trHeight w:val="300"/>
        </w:trPr>
        <w:tc>
          <w:tcPr>
            <w:tcW w:w="2500"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659F5B4E" w14:textId="77777777" w:rsidR="0082498E" w:rsidRPr="00974847" w:rsidRDefault="0082498E" w:rsidP="002156AE">
            <w:pPr>
              <w:spacing w:after="0" w:line="240" w:lineRule="auto"/>
              <w:jc w:val="center"/>
              <w:rPr>
                <w:rFonts w:ascii="Aptos Narrow" w:eastAsia="Times New Roman" w:hAnsi="Aptos Narrow" w:cs="Times New Roman"/>
                <w:b/>
                <w:bCs/>
                <w:color w:val="000000"/>
                <w:sz w:val="20"/>
                <w:szCs w:val="20"/>
                <w:lang w:eastAsia="en-GB"/>
              </w:rPr>
            </w:pPr>
            <w:r w:rsidRPr="00974847">
              <w:rPr>
                <w:rFonts w:ascii="Aptos Narrow" w:eastAsia="Times New Roman" w:hAnsi="Aptos Narrow" w:cs="Times New Roman"/>
                <w:b/>
                <w:bCs/>
                <w:color w:val="000000"/>
                <w:sz w:val="20"/>
                <w:szCs w:val="20"/>
                <w:lang w:eastAsia="en-GB"/>
              </w:rPr>
              <w:t xml:space="preserve">Research and Development  </w:t>
            </w:r>
          </w:p>
        </w:tc>
        <w:tc>
          <w:tcPr>
            <w:tcW w:w="1820" w:type="dxa"/>
            <w:tcBorders>
              <w:top w:val="single" w:sz="8" w:space="0" w:color="auto"/>
              <w:left w:val="nil"/>
              <w:bottom w:val="single" w:sz="4" w:space="0" w:color="auto"/>
              <w:right w:val="single" w:sz="4" w:space="0" w:color="auto"/>
            </w:tcBorders>
            <w:shd w:val="clear" w:color="000000" w:fill="FFFFFF"/>
            <w:noWrap/>
            <w:vAlign w:val="bottom"/>
            <w:hideMark/>
          </w:tcPr>
          <w:p w14:paraId="2D7EBF51"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Ethan Brar</w:t>
            </w:r>
          </w:p>
        </w:tc>
        <w:tc>
          <w:tcPr>
            <w:tcW w:w="1180" w:type="dxa"/>
            <w:tcBorders>
              <w:top w:val="single" w:sz="8" w:space="0" w:color="auto"/>
              <w:left w:val="nil"/>
              <w:bottom w:val="single" w:sz="4" w:space="0" w:color="auto"/>
              <w:right w:val="single" w:sz="4" w:space="0" w:color="auto"/>
            </w:tcBorders>
            <w:shd w:val="clear" w:color="000000" w:fill="FFFFFF"/>
            <w:noWrap/>
            <w:vAlign w:val="bottom"/>
            <w:hideMark/>
          </w:tcPr>
          <w:p w14:paraId="727E4331"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£32,500.00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70E4948D"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£1,300.00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C23D8D7"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£1,300.00 </w:t>
            </w:r>
          </w:p>
        </w:tc>
      </w:tr>
      <w:tr w:rsidR="0082498E" w:rsidRPr="00974847" w14:paraId="50F9E76B"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4D858AB2"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1726A68F"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Harrison Briggs</w:t>
            </w:r>
          </w:p>
        </w:tc>
        <w:tc>
          <w:tcPr>
            <w:tcW w:w="1180" w:type="dxa"/>
            <w:tcBorders>
              <w:top w:val="nil"/>
              <w:left w:val="nil"/>
              <w:bottom w:val="single" w:sz="4" w:space="0" w:color="auto"/>
              <w:right w:val="single" w:sz="4" w:space="0" w:color="auto"/>
            </w:tcBorders>
            <w:shd w:val="clear" w:color="000000" w:fill="FFFFFF"/>
            <w:noWrap/>
            <w:vAlign w:val="bottom"/>
            <w:hideMark/>
          </w:tcPr>
          <w:p w14:paraId="40D071E6"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£32,500.00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17AE5601"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162628DA"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£1,300.00 </w:t>
            </w:r>
          </w:p>
        </w:tc>
      </w:tr>
      <w:tr w:rsidR="0082498E" w:rsidRPr="00974847" w14:paraId="55D4B075"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1E2FE4DE"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2E6BC8D4"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Steve Owens</w:t>
            </w:r>
          </w:p>
        </w:tc>
        <w:tc>
          <w:tcPr>
            <w:tcW w:w="1180" w:type="dxa"/>
            <w:tcBorders>
              <w:top w:val="nil"/>
              <w:left w:val="nil"/>
              <w:bottom w:val="single" w:sz="4" w:space="0" w:color="auto"/>
              <w:right w:val="single" w:sz="4" w:space="0" w:color="auto"/>
            </w:tcBorders>
            <w:shd w:val="clear" w:color="000000" w:fill="FFFFFF"/>
            <w:noWrap/>
            <w:vAlign w:val="bottom"/>
            <w:hideMark/>
          </w:tcPr>
          <w:p w14:paraId="78043EFC"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55F13ECF"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3036F61"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£1,180.00 </w:t>
            </w:r>
          </w:p>
        </w:tc>
      </w:tr>
      <w:tr w:rsidR="0082498E" w:rsidRPr="00974847" w14:paraId="5AD8C49D"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5B8258A3"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328F40C7"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Karen Hancock</w:t>
            </w:r>
          </w:p>
        </w:tc>
        <w:tc>
          <w:tcPr>
            <w:tcW w:w="1180" w:type="dxa"/>
            <w:tcBorders>
              <w:top w:val="nil"/>
              <w:left w:val="nil"/>
              <w:bottom w:val="single" w:sz="4" w:space="0" w:color="auto"/>
              <w:right w:val="single" w:sz="4" w:space="0" w:color="auto"/>
            </w:tcBorders>
            <w:shd w:val="clear" w:color="000000" w:fill="FFFFFF"/>
            <w:noWrap/>
            <w:vAlign w:val="bottom"/>
            <w:hideMark/>
          </w:tcPr>
          <w:p w14:paraId="3CB4EAC9"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39FE85B"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8A19B8A"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7871DA9C"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48FB9FD0"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782ED42A"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Annabelle Hayes</w:t>
            </w:r>
          </w:p>
        </w:tc>
        <w:tc>
          <w:tcPr>
            <w:tcW w:w="1180" w:type="dxa"/>
            <w:tcBorders>
              <w:top w:val="nil"/>
              <w:left w:val="nil"/>
              <w:bottom w:val="single" w:sz="4" w:space="0" w:color="auto"/>
              <w:right w:val="single" w:sz="4" w:space="0" w:color="auto"/>
            </w:tcBorders>
            <w:shd w:val="clear" w:color="000000" w:fill="FFFFFF"/>
            <w:noWrap/>
            <w:vAlign w:val="bottom"/>
            <w:hideMark/>
          </w:tcPr>
          <w:p w14:paraId="378E34C9"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58BE1A7"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25CAD51"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510FBDD8"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42DC78E0"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1F15F9ED"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Ruby Gardner</w:t>
            </w:r>
          </w:p>
        </w:tc>
        <w:tc>
          <w:tcPr>
            <w:tcW w:w="1180" w:type="dxa"/>
            <w:tcBorders>
              <w:top w:val="nil"/>
              <w:left w:val="nil"/>
              <w:bottom w:val="single" w:sz="4" w:space="0" w:color="auto"/>
              <w:right w:val="single" w:sz="4" w:space="0" w:color="auto"/>
            </w:tcBorders>
            <w:shd w:val="clear" w:color="000000" w:fill="FFFFFF"/>
            <w:noWrap/>
            <w:vAlign w:val="bottom"/>
            <w:hideMark/>
          </w:tcPr>
          <w:p w14:paraId="2921B6B1"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D6A639E"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57C6A88"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3E80B4A2"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63F2EA86"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791BF576"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Ellie Riding</w:t>
            </w:r>
          </w:p>
        </w:tc>
        <w:tc>
          <w:tcPr>
            <w:tcW w:w="1180" w:type="dxa"/>
            <w:tcBorders>
              <w:top w:val="nil"/>
              <w:left w:val="nil"/>
              <w:bottom w:val="single" w:sz="4" w:space="0" w:color="auto"/>
              <w:right w:val="single" w:sz="4" w:space="0" w:color="auto"/>
            </w:tcBorders>
            <w:shd w:val="clear" w:color="000000" w:fill="FFFFFF"/>
            <w:noWrap/>
            <w:vAlign w:val="bottom"/>
            <w:hideMark/>
          </w:tcPr>
          <w:p w14:paraId="40A4A774"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£34,500.00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07B8E316"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5AEC8394"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0B9C22CC"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6A9E8BF5"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5F6C1F6D"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Laura Jones</w:t>
            </w:r>
          </w:p>
        </w:tc>
        <w:tc>
          <w:tcPr>
            <w:tcW w:w="1180" w:type="dxa"/>
            <w:tcBorders>
              <w:top w:val="nil"/>
              <w:left w:val="nil"/>
              <w:bottom w:val="single" w:sz="4" w:space="0" w:color="auto"/>
              <w:right w:val="single" w:sz="4" w:space="0" w:color="auto"/>
            </w:tcBorders>
            <w:shd w:val="clear" w:color="000000" w:fill="FFFFFF"/>
            <w:noWrap/>
            <w:vAlign w:val="bottom"/>
            <w:hideMark/>
          </w:tcPr>
          <w:p w14:paraId="51FE883D"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2CBD7EBA"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7CB374FE"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£0.00 </w:t>
            </w:r>
          </w:p>
        </w:tc>
      </w:tr>
      <w:tr w:rsidR="0082498E" w:rsidRPr="00974847" w14:paraId="0BFCC6C4"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7FEF9C96"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4" w:space="0" w:color="auto"/>
              <w:right w:val="single" w:sz="4" w:space="0" w:color="auto"/>
            </w:tcBorders>
            <w:shd w:val="clear" w:color="000000" w:fill="FFFFFF"/>
            <w:noWrap/>
            <w:vAlign w:val="bottom"/>
            <w:hideMark/>
          </w:tcPr>
          <w:p w14:paraId="26571457"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Tasha Graham</w:t>
            </w:r>
          </w:p>
        </w:tc>
        <w:tc>
          <w:tcPr>
            <w:tcW w:w="1180" w:type="dxa"/>
            <w:tcBorders>
              <w:top w:val="nil"/>
              <w:left w:val="nil"/>
              <w:bottom w:val="single" w:sz="4" w:space="0" w:color="auto"/>
              <w:right w:val="single" w:sz="4" w:space="0" w:color="auto"/>
            </w:tcBorders>
            <w:shd w:val="clear" w:color="000000" w:fill="FFFFFF"/>
            <w:noWrap/>
            <w:vAlign w:val="bottom"/>
            <w:hideMark/>
          </w:tcPr>
          <w:p w14:paraId="75B40C2B"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1743C12A"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£1,180.00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1D561F55"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£1,180.00 </w:t>
            </w:r>
          </w:p>
        </w:tc>
      </w:tr>
      <w:tr w:rsidR="0082498E" w:rsidRPr="00974847" w14:paraId="4FC92DF9" w14:textId="77777777" w:rsidTr="002156AE">
        <w:trPr>
          <w:trHeight w:val="300"/>
        </w:trPr>
        <w:tc>
          <w:tcPr>
            <w:tcW w:w="2500" w:type="dxa"/>
            <w:vMerge/>
            <w:tcBorders>
              <w:top w:val="single" w:sz="8" w:space="0" w:color="auto"/>
              <w:left w:val="single" w:sz="8" w:space="0" w:color="auto"/>
              <w:bottom w:val="single" w:sz="8" w:space="0" w:color="000000"/>
              <w:right w:val="single" w:sz="4" w:space="0" w:color="auto"/>
            </w:tcBorders>
            <w:vAlign w:val="center"/>
            <w:hideMark/>
          </w:tcPr>
          <w:p w14:paraId="7B61FA3B" w14:textId="77777777" w:rsidR="0082498E" w:rsidRPr="00974847" w:rsidRDefault="0082498E" w:rsidP="002156AE">
            <w:pPr>
              <w:spacing w:after="0" w:line="240" w:lineRule="auto"/>
              <w:rPr>
                <w:rFonts w:ascii="Aptos Narrow" w:eastAsia="Times New Roman" w:hAnsi="Aptos Narrow" w:cs="Times New Roman"/>
                <w:b/>
                <w:bCs/>
                <w:color w:val="000000"/>
                <w:sz w:val="20"/>
                <w:szCs w:val="20"/>
                <w:lang w:eastAsia="en-GB"/>
              </w:rPr>
            </w:pPr>
          </w:p>
        </w:tc>
        <w:tc>
          <w:tcPr>
            <w:tcW w:w="1820" w:type="dxa"/>
            <w:tcBorders>
              <w:top w:val="nil"/>
              <w:left w:val="nil"/>
              <w:bottom w:val="single" w:sz="8" w:space="0" w:color="auto"/>
              <w:right w:val="single" w:sz="4" w:space="0" w:color="auto"/>
            </w:tcBorders>
            <w:shd w:val="clear" w:color="000000" w:fill="FFFFFF"/>
            <w:noWrap/>
            <w:vAlign w:val="bottom"/>
            <w:hideMark/>
          </w:tcPr>
          <w:p w14:paraId="78C9B000"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Jennifer Frost</w:t>
            </w:r>
          </w:p>
        </w:tc>
        <w:tc>
          <w:tcPr>
            <w:tcW w:w="1180" w:type="dxa"/>
            <w:tcBorders>
              <w:top w:val="nil"/>
              <w:left w:val="nil"/>
              <w:bottom w:val="single" w:sz="8" w:space="0" w:color="auto"/>
              <w:right w:val="single" w:sz="4" w:space="0" w:color="auto"/>
            </w:tcBorders>
            <w:shd w:val="clear" w:color="000000" w:fill="FFFFFF"/>
            <w:noWrap/>
            <w:vAlign w:val="bottom"/>
            <w:hideMark/>
          </w:tcPr>
          <w:p w14:paraId="6C71F8E4"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£29,500.00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6B663DA2"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£1,180.00 </w:t>
            </w:r>
          </w:p>
        </w:tc>
        <w:tc>
          <w:tcPr>
            <w:tcW w:w="1700" w:type="dxa"/>
            <w:tcBorders>
              <w:top w:val="single" w:sz="8" w:space="0" w:color="auto"/>
              <w:left w:val="nil"/>
              <w:bottom w:val="single" w:sz="4" w:space="0" w:color="auto"/>
              <w:right w:val="single" w:sz="4" w:space="0" w:color="auto"/>
            </w:tcBorders>
            <w:shd w:val="clear" w:color="000000" w:fill="FFFFFF"/>
            <w:noWrap/>
            <w:vAlign w:val="bottom"/>
            <w:hideMark/>
          </w:tcPr>
          <w:p w14:paraId="4C5764F7"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£1,180.00 </w:t>
            </w:r>
          </w:p>
        </w:tc>
      </w:tr>
      <w:tr w:rsidR="0082498E" w:rsidRPr="00974847" w14:paraId="7701C84A" w14:textId="77777777" w:rsidTr="002156AE">
        <w:trPr>
          <w:trHeight w:val="288"/>
        </w:trPr>
        <w:tc>
          <w:tcPr>
            <w:tcW w:w="2500" w:type="dxa"/>
            <w:tcBorders>
              <w:top w:val="nil"/>
              <w:left w:val="nil"/>
              <w:bottom w:val="nil"/>
              <w:right w:val="nil"/>
            </w:tcBorders>
            <w:shd w:val="clear" w:color="000000" w:fill="FFFFFF"/>
            <w:noWrap/>
            <w:vAlign w:val="bottom"/>
            <w:hideMark/>
          </w:tcPr>
          <w:p w14:paraId="73F585EA"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820" w:type="dxa"/>
            <w:tcBorders>
              <w:top w:val="nil"/>
              <w:left w:val="nil"/>
              <w:bottom w:val="nil"/>
              <w:right w:val="nil"/>
            </w:tcBorders>
            <w:shd w:val="clear" w:color="000000" w:fill="FFFFFF"/>
            <w:noWrap/>
            <w:vAlign w:val="bottom"/>
            <w:hideMark/>
          </w:tcPr>
          <w:p w14:paraId="2D1F67C2"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180" w:type="dxa"/>
            <w:tcBorders>
              <w:top w:val="nil"/>
              <w:left w:val="nil"/>
              <w:bottom w:val="nil"/>
              <w:right w:val="nil"/>
            </w:tcBorders>
            <w:shd w:val="clear" w:color="000000" w:fill="FFFFFF"/>
            <w:noWrap/>
            <w:vAlign w:val="bottom"/>
            <w:hideMark/>
          </w:tcPr>
          <w:p w14:paraId="28DC39CC" w14:textId="77777777" w:rsidR="0082498E" w:rsidRPr="00974847" w:rsidRDefault="0082498E" w:rsidP="002156AE">
            <w:pPr>
              <w:spacing w:after="0" w:line="240" w:lineRule="auto"/>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w:t>
            </w:r>
          </w:p>
        </w:tc>
        <w:tc>
          <w:tcPr>
            <w:tcW w:w="1700" w:type="dxa"/>
            <w:tcBorders>
              <w:top w:val="nil"/>
              <w:left w:val="nil"/>
              <w:bottom w:val="nil"/>
              <w:right w:val="nil"/>
            </w:tcBorders>
            <w:shd w:val="clear" w:color="000000" w:fill="FFFFFF"/>
            <w:noWrap/>
            <w:vAlign w:val="bottom"/>
            <w:hideMark/>
          </w:tcPr>
          <w:p w14:paraId="23A2030E"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£9,170.00 </w:t>
            </w:r>
          </w:p>
        </w:tc>
        <w:tc>
          <w:tcPr>
            <w:tcW w:w="1700" w:type="dxa"/>
            <w:tcBorders>
              <w:top w:val="nil"/>
              <w:left w:val="nil"/>
              <w:bottom w:val="nil"/>
              <w:right w:val="nil"/>
            </w:tcBorders>
            <w:shd w:val="clear" w:color="000000" w:fill="FFFFFF"/>
            <w:noWrap/>
            <w:vAlign w:val="bottom"/>
            <w:hideMark/>
          </w:tcPr>
          <w:p w14:paraId="195BEF8E" w14:textId="77777777" w:rsidR="0082498E" w:rsidRPr="00974847" w:rsidRDefault="0082498E" w:rsidP="002156AE">
            <w:pPr>
              <w:spacing w:after="0" w:line="240" w:lineRule="auto"/>
              <w:jc w:val="right"/>
              <w:rPr>
                <w:rFonts w:ascii="Trebuchet MS" w:eastAsia="Times New Roman" w:hAnsi="Trebuchet MS" w:cs="Times New Roman"/>
                <w:color w:val="000000"/>
                <w:sz w:val="20"/>
                <w:szCs w:val="20"/>
                <w:lang w:eastAsia="en-GB"/>
              </w:rPr>
            </w:pPr>
            <w:r w:rsidRPr="00974847">
              <w:rPr>
                <w:rFonts w:ascii="Trebuchet MS" w:eastAsia="Times New Roman" w:hAnsi="Trebuchet MS" w:cs="Times New Roman"/>
                <w:color w:val="000000"/>
                <w:sz w:val="20"/>
                <w:szCs w:val="20"/>
                <w:lang w:eastAsia="en-GB"/>
              </w:rPr>
              <w:t xml:space="preserve">£11,600.00 </w:t>
            </w:r>
          </w:p>
        </w:tc>
      </w:tr>
    </w:tbl>
    <w:p w14:paraId="1A6DB772" w14:textId="77777777" w:rsidR="0082498E" w:rsidRPr="00CA4FE6" w:rsidRDefault="0082498E" w:rsidP="0082498E">
      <w:pPr>
        <w:rPr>
          <w:rFonts w:ascii="Arial" w:hAnsi="Arial" w:cs="Arial"/>
          <w:b/>
          <w:bCs/>
          <w:sz w:val="24"/>
          <w:szCs w:val="24"/>
        </w:rPr>
      </w:pPr>
    </w:p>
    <w:p w14:paraId="7E234DED" w14:textId="77777777" w:rsidR="0082498E" w:rsidRPr="00CA4FE6" w:rsidRDefault="0082498E" w:rsidP="0082498E">
      <w:pPr>
        <w:rPr>
          <w:rFonts w:ascii="Arial" w:hAnsi="Arial" w:cs="Arial"/>
          <w:sz w:val="24"/>
          <w:szCs w:val="24"/>
        </w:rPr>
      </w:pPr>
      <w:r w:rsidRPr="00974847">
        <w:rPr>
          <w:rFonts w:ascii="Arial" w:hAnsi="Arial" w:cs="Arial"/>
          <w:sz w:val="24"/>
          <w:szCs w:val="24"/>
        </w:rPr>
        <w:t>Based on this, I would also add an additional recommendation of r</w:t>
      </w:r>
      <w:r w:rsidRPr="00CA4FE6">
        <w:rPr>
          <w:rFonts w:ascii="Arial" w:hAnsi="Arial" w:cs="Arial"/>
          <w:sz w:val="24"/>
          <w:szCs w:val="24"/>
        </w:rPr>
        <w:t xml:space="preserve">eassessing the bonus structure </w:t>
      </w:r>
      <w:r w:rsidRPr="00974847">
        <w:rPr>
          <w:rFonts w:ascii="Arial" w:hAnsi="Arial" w:cs="Arial"/>
          <w:sz w:val="24"/>
          <w:szCs w:val="24"/>
        </w:rPr>
        <w:t xml:space="preserve">to </w:t>
      </w:r>
      <w:r w:rsidRPr="00CA4FE6">
        <w:rPr>
          <w:rFonts w:ascii="Arial" w:hAnsi="Arial" w:cs="Arial"/>
          <w:sz w:val="24"/>
          <w:szCs w:val="24"/>
        </w:rPr>
        <w:t>ensure</w:t>
      </w:r>
      <w:r w:rsidRPr="00974847">
        <w:rPr>
          <w:rFonts w:ascii="Arial" w:hAnsi="Arial" w:cs="Arial"/>
          <w:sz w:val="24"/>
          <w:szCs w:val="24"/>
        </w:rPr>
        <w:t xml:space="preserve"> </w:t>
      </w:r>
      <w:r w:rsidRPr="00CA4FE6">
        <w:rPr>
          <w:rFonts w:ascii="Arial" w:hAnsi="Arial" w:cs="Arial"/>
          <w:sz w:val="24"/>
          <w:szCs w:val="24"/>
        </w:rPr>
        <w:t xml:space="preserve">it drives desired behaviours. Actions include linking bonus payments to performance improvements, introducing team-based bonuses to encourage collective effort, and offering non-monetary rewards for consistent KPI </w:t>
      </w:r>
      <w:r w:rsidRPr="00CA4FE6">
        <w:rPr>
          <w:rFonts w:ascii="Arial" w:hAnsi="Arial" w:cs="Arial"/>
          <w:sz w:val="24"/>
          <w:szCs w:val="24"/>
        </w:rPr>
        <w:lastRenderedPageBreak/>
        <w:t>achievers. This approach motivates employees while fostering a performance-driven culture. For example, expanding bonus eligibility to include employees achieving "Meets KPI" ratings in departments like Sales could incentivize continued excellence.</w:t>
      </w:r>
    </w:p>
    <w:p w14:paraId="2B71822C" w14:textId="77777777" w:rsidR="0082498E" w:rsidRPr="00CA4FE6" w:rsidRDefault="0082498E" w:rsidP="0082498E">
      <w:pPr>
        <w:rPr>
          <w:rFonts w:ascii="Arial" w:hAnsi="Arial" w:cs="Arial"/>
          <w:sz w:val="24"/>
          <w:szCs w:val="24"/>
        </w:rPr>
      </w:pPr>
      <w:r w:rsidRPr="00CA4FE6">
        <w:rPr>
          <w:rFonts w:ascii="Arial" w:hAnsi="Arial" w:cs="Arial"/>
          <w:sz w:val="24"/>
          <w:szCs w:val="24"/>
        </w:rPr>
        <w:t>These actions prioriti</w:t>
      </w:r>
      <w:r w:rsidRPr="00974847">
        <w:rPr>
          <w:rFonts w:ascii="Arial" w:hAnsi="Arial" w:cs="Arial"/>
          <w:sz w:val="24"/>
          <w:szCs w:val="24"/>
        </w:rPr>
        <w:t>s</w:t>
      </w:r>
      <w:r w:rsidRPr="00CA4FE6">
        <w:rPr>
          <w:rFonts w:ascii="Arial" w:hAnsi="Arial" w:cs="Arial"/>
          <w:sz w:val="24"/>
          <w:szCs w:val="24"/>
        </w:rPr>
        <w:t>e addressing systemic challenges and fostering employee development rather than focusing solely on outcomes. By emphasising engagement, learning, and goal alignment, HR professionals can drive sustained improvement, cultivate a thriving organisational culture, and strengthen performance across departments.</w:t>
      </w:r>
    </w:p>
    <w:p w14:paraId="3C9B9C3D" w14:textId="77777777" w:rsidR="0082498E" w:rsidRPr="00CA4FE6" w:rsidRDefault="0082498E" w:rsidP="0082498E">
      <w:pPr>
        <w:rPr>
          <w:rFonts w:ascii="Arial" w:hAnsi="Arial" w:cs="Arial"/>
          <w:b/>
          <w:bCs/>
          <w:sz w:val="24"/>
          <w:szCs w:val="24"/>
        </w:rPr>
      </w:pPr>
      <w:r w:rsidRPr="00E72255">
        <w:rPr>
          <w:rFonts w:ascii="Arial" w:hAnsi="Arial" w:cs="Arial"/>
          <w:b/>
          <w:bCs/>
          <w:sz w:val="24"/>
          <w:szCs w:val="24"/>
        </w:rPr>
        <w:t>Performance review survey responses from line managers and employees</w:t>
      </w:r>
    </w:p>
    <w:p w14:paraId="38C5AA3A" w14:textId="77777777" w:rsidR="0082498E" w:rsidRPr="00B71D37" w:rsidRDefault="0082498E" w:rsidP="0082498E">
      <w:pPr>
        <w:rPr>
          <w:rFonts w:ascii="Arial" w:hAnsi="Arial" w:cs="Arial"/>
          <w:sz w:val="24"/>
          <w:szCs w:val="24"/>
        </w:rPr>
      </w:pPr>
      <w:r w:rsidRPr="00B71D37">
        <w:rPr>
          <w:rFonts w:ascii="Arial" w:hAnsi="Arial" w:cs="Arial"/>
          <w:sz w:val="24"/>
          <w:szCs w:val="24"/>
        </w:rPr>
        <w:t>Feedback from Line Managers</w:t>
      </w:r>
      <w:r>
        <w:rPr>
          <w:rFonts w:ascii="Arial" w:hAnsi="Arial" w:cs="Arial"/>
          <w:sz w:val="24"/>
          <w:szCs w:val="24"/>
        </w:rPr>
        <w:t>:</w:t>
      </w:r>
      <w:r>
        <w:rPr>
          <w:rFonts w:ascii="Arial" w:hAnsi="Arial" w:cs="Arial"/>
          <w:sz w:val="24"/>
          <w:szCs w:val="24"/>
        </w:rPr>
        <w:br/>
      </w:r>
      <w:r w:rsidRPr="00B71D37">
        <w:rPr>
          <w:rFonts w:ascii="Arial" w:hAnsi="Arial" w:cs="Arial"/>
          <w:sz w:val="24"/>
          <w:szCs w:val="24"/>
        </w:rPr>
        <w:t xml:space="preserve">Positive trends from the feedback reveal that 49 out of </w:t>
      </w:r>
      <w:proofErr w:type="gramStart"/>
      <w:r w:rsidRPr="00B71D37">
        <w:rPr>
          <w:rFonts w:ascii="Arial" w:hAnsi="Arial" w:cs="Arial"/>
          <w:sz w:val="24"/>
          <w:szCs w:val="24"/>
        </w:rPr>
        <w:t>50 line</w:t>
      </w:r>
      <w:proofErr w:type="gramEnd"/>
      <w:r w:rsidRPr="00B71D37">
        <w:rPr>
          <w:rFonts w:ascii="Arial" w:hAnsi="Arial" w:cs="Arial"/>
          <w:sz w:val="24"/>
          <w:szCs w:val="24"/>
        </w:rPr>
        <w:t xml:space="preserve"> managers feel confident in applying performance ratings, and 32 out of 50 managers agree they have adequate preparation time for appraisals. However, significant negative trends were identified. A lack of training emerged as a critical issue, with all 50 managers reporting they had not received adequate training for conducting appraisals. Additionally, only 9 out of 50 managers stated they feel comfortable challenging underperformance, while 41 managers disagreed, indicating a widespread lack of confidence in managing underperformance effectively and providing constructive feedback.</w:t>
      </w:r>
    </w:p>
    <w:p w14:paraId="12203349" w14:textId="77777777" w:rsidR="0082498E" w:rsidRDefault="0082498E" w:rsidP="0082498E">
      <w:pPr>
        <w:rPr>
          <w:rFonts w:ascii="Arial" w:hAnsi="Arial" w:cs="Arial"/>
          <w:sz w:val="24"/>
          <w:szCs w:val="24"/>
        </w:rPr>
      </w:pPr>
      <w:r w:rsidRPr="00B71D37">
        <w:rPr>
          <w:rFonts w:ascii="Arial" w:hAnsi="Arial" w:cs="Arial"/>
          <w:sz w:val="24"/>
          <w:szCs w:val="24"/>
        </w:rPr>
        <w:t>Feedback from Employees</w:t>
      </w:r>
      <w:r>
        <w:rPr>
          <w:rFonts w:ascii="Arial" w:hAnsi="Arial" w:cs="Arial"/>
          <w:sz w:val="24"/>
          <w:szCs w:val="24"/>
        </w:rPr>
        <w:t>:</w:t>
      </w:r>
      <w:r>
        <w:rPr>
          <w:rFonts w:ascii="Arial" w:hAnsi="Arial" w:cs="Arial"/>
          <w:sz w:val="24"/>
          <w:szCs w:val="24"/>
        </w:rPr>
        <w:br/>
      </w:r>
      <w:r w:rsidRPr="00B71D37">
        <w:rPr>
          <w:rFonts w:ascii="Arial" w:hAnsi="Arial" w:cs="Arial"/>
          <w:sz w:val="24"/>
          <w:szCs w:val="24"/>
        </w:rPr>
        <w:t xml:space="preserve">Employees highlighted some positive aspects, with 163 out of 235 employees agreeing that their managers take time to listen to them during reviews. However, significant concerns were raised regarding the lack of clear and direct guidance, with 122 employees disagreeing that their managers provide this. Furthermore, while 147 employees reported receiving positive feedback, 88 employees disagreed, and constructive feedback remains a concern, with 101 employees expressing dissatisfaction. </w:t>
      </w:r>
    </w:p>
    <w:p w14:paraId="785C448B" w14:textId="77777777" w:rsidR="0082498E" w:rsidRDefault="0082498E" w:rsidP="0082498E">
      <w:pPr>
        <w:rPr>
          <w:rFonts w:ascii="Arial" w:hAnsi="Arial" w:cs="Arial"/>
          <w:sz w:val="24"/>
          <w:szCs w:val="24"/>
        </w:rPr>
      </w:pPr>
      <w:r w:rsidRPr="00B71D37">
        <w:rPr>
          <w:rFonts w:ascii="Arial" w:hAnsi="Arial" w:cs="Arial"/>
          <w:sz w:val="24"/>
          <w:szCs w:val="24"/>
        </w:rPr>
        <w:t>These findings suggest inconsistencies in how managers communicate and engage during reviews</w:t>
      </w:r>
      <w:r>
        <w:rPr>
          <w:rFonts w:ascii="Arial" w:hAnsi="Arial" w:cs="Arial"/>
          <w:sz w:val="24"/>
          <w:szCs w:val="24"/>
        </w:rPr>
        <w:t xml:space="preserve"> and my recommendations are as follows:</w:t>
      </w:r>
    </w:p>
    <w:p w14:paraId="06BE7E36" w14:textId="77777777" w:rsidR="0082498E" w:rsidRDefault="0082498E" w:rsidP="0082498E">
      <w:pPr>
        <w:rPr>
          <w:rFonts w:ascii="Arial" w:hAnsi="Arial" w:cs="Arial"/>
          <w:sz w:val="24"/>
          <w:szCs w:val="24"/>
        </w:rPr>
      </w:pPr>
    </w:p>
    <w:p w14:paraId="54FC9EE1" w14:textId="77777777" w:rsidR="0082498E" w:rsidRDefault="0082498E" w:rsidP="0082498E">
      <w:pPr>
        <w:rPr>
          <w:rFonts w:ascii="Arial" w:hAnsi="Arial" w:cs="Arial"/>
          <w:sz w:val="24"/>
          <w:szCs w:val="24"/>
        </w:rPr>
      </w:pPr>
    </w:p>
    <w:p w14:paraId="7A67FF97" w14:textId="77777777" w:rsidR="0082498E" w:rsidRPr="00BC78C1" w:rsidRDefault="0082498E" w:rsidP="0082498E">
      <w:pPr>
        <w:pStyle w:val="ListParagraph"/>
        <w:numPr>
          <w:ilvl w:val="0"/>
          <w:numId w:val="5"/>
        </w:numPr>
        <w:rPr>
          <w:rFonts w:ascii="Arial" w:hAnsi="Arial" w:cs="Arial"/>
          <w:sz w:val="24"/>
          <w:szCs w:val="24"/>
        </w:rPr>
      </w:pPr>
      <w:r>
        <w:rPr>
          <w:rFonts w:ascii="Arial" w:hAnsi="Arial" w:cs="Arial"/>
          <w:sz w:val="24"/>
          <w:szCs w:val="24"/>
        </w:rPr>
        <w:t>Manager Training</w:t>
      </w:r>
    </w:p>
    <w:p w14:paraId="02C54C9B" w14:textId="20C044EC" w:rsidR="0082498E" w:rsidRPr="00BC78C1" w:rsidRDefault="0082498E" w:rsidP="0082498E">
      <w:pPr>
        <w:rPr>
          <w:rFonts w:ascii="Arial" w:hAnsi="Arial" w:cs="Arial"/>
          <w:sz w:val="24"/>
          <w:szCs w:val="24"/>
        </w:rPr>
      </w:pPr>
      <w:r w:rsidRPr="00BC78C1">
        <w:rPr>
          <w:rFonts w:ascii="Arial" w:hAnsi="Arial" w:cs="Arial"/>
          <w:sz w:val="24"/>
          <w:szCs w:val="24"/>
        </w:rPr>
        <w:t>To address skill gaps, organisations should provide structured training programs focusing on conducting appraisals, giving feedback, and managing underperformance. Role-playing exercises and workshops can help managers build the confidence needed to handle sensitive discussions.</w:t>
      </w:r>
      <w:r w:rsidR="005174BE">
        <w:rPr>
          <w:rFonts w:ascii="Arial" w:hAnsi="Arial" w:cs="Arial"/>
          <w:sz w:val="24"/>
          <w:szCs w:val="24"/>
        </w:rPr>
        <w:t xml:space="preserve"> </w:t>
      </w:r>
      <w:r w:rsidR="005174BE" w:rsidRPr="005174BE">
        <w:rPr>
          <w:rFonts w:ascii="Arial" w:hAnsi="Arial" w:cs="Arial"/>
          <w:color w:val="FF0000"/>
          <w:sz w:val="24"/>
          <w:szCs w:val="24"/>
        </w:rPr>
        <w:t>Training costs are estimated at £1,500 per manager annually, which could be recouped through improved employee engagement and retention rates (Noe et al., 2021).</w:t>
      </w:r>
    </w:p>
    <w:p w14:paraId="66187673" w14:textId="77777777" w:rsidR="0082498E" w:rsidRPr="00BC78C1" w:rsidRDefault="0082498E" w:rsidP="0082498E">
      <w:pPr>
        <w:pStyle w:val="ListParagraph"/>
        <w:numPr>
          <w:ilvl w:val="0"/>
          <w:numId w:val="5"/>
        </w:numPr>
        <w:rPr>
          <w:rFonts w:ascii="Arial" w:hAnsi="Arial" w:cs="Arial"/>
          <w:sz w:val="24"/>
          <w:szCs w:val="24"/>
        </w:rPr>
      </w:pPr>
      <w:r>
        <w:rPr>
          <w:rFonts w:ascii="Arial" w:hAnsi="Arial" w:cs="Arial"/>
          <w:sz w:val="24"/>
          <w:szCs w:val="24"/>
        </w:rPr>
        <w:t>Consistent Feedback Practice</w:t>
      </w:r>
    </w:p>
    <w:p w14:paraId="5385170F" w14:textId="665FFE4F" w:rsidR="0082498E" w:rsidRPr="00AE50C9" w:rsidRDefault="0082498E" w:rsidP="0082498E">
      <w:pPr>
        <w:rPr>
          <w:rFonts w:ascii="Arial" w:hAnsi="Arial" w:cs="Arial"/>
          <w:color w:val="FF0000"/>
          <w:sz w:val="24"/>
          <w:szCs w:val="24"/>
        </w:rPr>
      </w:pPr>
      <w:r w:rsidRPr="004044D9">
        <w:rPr>
          <w:rFonts w:ascii="Arial" w:hAnsi="Arial" w:cs="Arial"/>
          <w:sz w:val="24"/>
          <w:szCs w:val="24"/>
        </w:rPr>
        <w:t xml:space="preserve">Implementing a standardised feedback framework can ensure consistency and quality across the organisation. Training managers to deliver balanced and </w:t>
      </w:r>
      <w:r w:rsidRPr="004044D9">
        <w:rPr>
          <w:rFonts w:ascii="Arial" w:hAnsi="Arial" w:cs="Arial"/>
          <w:sz w:val="24"/>
          <w:szCs w:val="24"/>
        </w:rPr>
        <w:lastRenderedPageBreak/>
        <w:t>actionable feedback will promote fairness and encourage employee development.</w:t>
      </w:r>
      <w:r w:rsidR="00AE50C9" w:rsidRPr="004044D9">
        <w:rPr>
          <w:rFonts w:ascii="Arial" w:hAnsi="Arial" w:cs="Arial"/>
          <w:sz w:val="24"/>
          <w:szCs w:val="24"/>
        </w:rPr>
        <w:t xml:space="preserve"> </w:t>
      </w:r>
      <w:r w:rsidR="00AE50C9" w:rsidRPr="00AE50C9">
        <w:rPr>
          <w:rFonts w:ascii="Arial" w:hAnsi="Arial" w:cs="Arial"/>
          <w:color w:val="FF0000"/>
          <w:sz w:val="24"/>
          <w:szCs w:val="24"/>
        </w:rPr>
        <w:t>Implementing a structured feedback framework across the organisation could cost between £500 and £2,000 annually, depending on whether templates and training materials are developed in-house or outsourced (CIPD, 2024).</w:t>
      </w:r>
    </w:p>
    <w:p w14:paraId="33D27FE7" w14:textId="77777777" w:rsidR="0082498E" w:rsidRPr="00BC78C1" w:rsidRDefault="0082498E" w:rsidP="0082498E">
      <w:pPr>
        <w:pStyle w:val="ListParagraph"/>
        <w:numPr>
          <w:ilvl w:val="0"/>
          <w:numId w:val="5"/>
        </w:numPr>
        <w:rPr>
          <w:rFonts w:ascii="Arial" w:hAnsi="Arial" w:cs="Arial"/>
          <w:sz w:val="24"/>
          <w:szCs w:val="24"/>
        </w:rPr>
      </w:pPr>
      <w:r w:rsidRPr="00BC78C1">
        <w:rPr>
          <w:rFonts w:ascii="Arial" w:hAnsi="Arial" w:cs="Arial"/>
          <w:sz w:val="24"/>
          <w:szCs w:val="24"/>
        </w:rPr>
        <w:t>Employee Involvement in Reviews</w:t>
      </w:r>
    </w:p>
    <w:p w14:paraId="2D819883" w14:textId="07DCA4E3" w:rsidR="0082498E" w:rsidRPr="005B3506" w:rsidRDefault="0082498E" w:rsidP="0082498E">
      <w:pPr>
        <w:rPr>
          <w:rFonts w:ascii="Arial" w:hAnsi="Arial" w:cs="Arial"/>
          <w:color w:val="FF0000"/>
          <w:sz w:val="24"/>
          <w:szCs w:val="24"/>
        </w:rPr>
      </w:pPr>
      <w:r w:rsidRPr="00BC78C1">
        <w:rPr>
          <w:rFonts w:ascii="Arial" w:hAnsi="Arial" w:cs="Arial"/>
          <w:sz w:val="24"/>
          <w:szCs w:val="24"/>
        </w:rPr>
        <w:t>Encouraging collaborative reviews by actively involving employees in setting their goals and discussing their development needs can increase engagement. Using structured review templates and preparing managers to facilitate these conversations effectively will help align employee aspirations with organisational objectives.</w:t>
      </w:r>
      <w:r w:rsidR="005B3506">
        <w:rPr>
          <w:rFonts w:ascii="Arial" w:hAnsi="Arial" w:cs="Arial"/>
          <w:sz w:val="24"/>
          <w:szCs w:val="24"/>
        </w:rPr>
        <w:t xml:space="preserve"> </w:t>
      </w:r>
      <w:r w:rsidR="005B3506" w:rsidRPr="005B3506">
        <w:rPr>
          <w:rFonts w:ascii="Arial" w:hAnsi="Arial" w:cs="Arial"/>
          <w:color w:val="FF0000"/>
          <w:sz w:val="24"/>
          <w:szCs w:val="24"/>
        </w:rPr>
        <w:t>Collaborative reviews promote transparency and accountability, increasing job satisfaction and performance (Bersin, 2023).</w:t>
      </w:r>
    </w:p>
    <w:p w14:paraId="5FC49A07" w14:textId="77777777" w:rsidR="0082498E" w:rsidRDefault="0082498E" w:rsidP="0082498E">
      <w:pPr>
        <w:pStyle w:val="ListParagraph"/>
        <w:numPr>
          <w:ilvl w:val="0"/>
          <w:numId w:val="5"/>
        </w:numPr>
        <w:rPr>
          <w:rFonts w:ascii="Arial" w:hAnsi="Arial" w:cs="Arial"/>
          <w:sz w:val="24"/>
          <w:szCs w:val="24"/>
        </w:rPr>
      </w:pPr>
      <w:r w:rsidRPr="00BC78C1">
        <w:rPr>
          <w:rFonts w:ascii="Arial" w:hAnsi="Arial" w:cs="Arial"/>
          <w:sz w:val="24"/>
          <w:szCs w:val="24"/>
        </w:rPr>
        <w:t>Monitor and Measure Progress</w:t>
      </w:r>
    </w:p>
    <w:p w14:paraId="0362BC4B" w14:textId="52B6D69B" w:rsidR="00C6765F" w:rsidRPr="00C6765F" w:rsidRDefault="00212488" w:rsidP="00C6765F">
      <w:pPr>
        <w:rPr>
          <w:rFonts w:ascii="Arial" w:hAnsi="Arial" w:cs="Arial"/>
          <w:color w:val="FF0000"/>
          <w:sz w:val="24"/>
          <w:szCs w:val="24"/>
        </w:rPr>
      </w:pPr>
      <w:r w:rsidRPr="00212488">
        <w:rPr>
          <w:rFonts w:ascii="Arial" w:hAnsi="Arial" w:cs="Arial"/>
          <w:strike/>
          <w:sz w:val="24"/>
          <w:szCs w:val="24"/>
        </w:rPr>
        <w:t>Conduct regular surveys to measure progress in employee satisfaction and manager effectiveness. Use performance trend analysis to track improvements and identify ongoing challenges, ensuring the continuous refinement of processes.</w:t>
      </w:r>
      <w:r w:rsidRPr="00212488">
        <w:rPr>
          <w:rFonts w:ascii="Arial" w:hAnsi="Arial" w:cs="Arial"/>
          <w:sz w:val="24"/>
          <w:szCs w:val="24"/>
        </w:rPr>
        <w:t xml:space="preserve"> </w:t>
      </w:r>
      <w:r w:rsidR="00C6765F" w:rsidRPr="00C6765F">
        <w:rPr>
          <w:rFonts w:ascii="Arial" w:hAnsi="Arial" w:cs="Arial"/>
          <w:color w:val="FF0000"/>
          <w:sz w:val="24"/>
          <w:szCs w:val="24"/>
        </w:rPr>
        <w:t>Regular employee satisfaction surveys and performance trend analyses should be conducted to track improvements and identify challenges. Leveraging existing survey tools would cost approximately £500 annually, but this investment supports continuous process refinement and enhanced manager effectiveness (CIPD, 2024).</w:t>
      </w:r>
    </w:p>
    <w:p w14:paraId="3D916B4F" w14:textId="77777777" w:rsidR="0082498E" w:rsidRPr="00BC78C1" w:rsidRDefault="0082498E" w:rsidP="0082498E">
      <w:pPr>
        <w:pStyle w:val="ListParagraph"/>
        <w:numPr>
          <w:ilvl w:val="0"/>
          <w:numId w:val="5"/>
        </w:numPr>
        <w:rPr>
          <w:rFonts w:ascii="Arial" w:hAnsi="Arial" w:cs="Arial"/>
          <w:sz w:val="24"/>
          <w:szCs w:val="24"/>
        </w:rPr>
      </w:pPr>
      <w:r w:rsidRPr="00BC78C1">
        <w:rPr>
          <w:rFonts w:ascii="Arial" w:hAnsi="Arial" w:cs="Arial"/>
          <w:sz w:val="24"/>
          <w:szCs w:val="24"/>
        </w:rPr>
        <w:t>Recognise Manager Accessibility</w:t>
      </w:r>
    </w:p>
    <w:p w14:paraId="21DEDB6A" w14:textId="4C22B71D" w:rsidR="0082498E" w:rsidRDefault="0082498E" w:rsidP="0082498E">
      <w:pPr>
        <w:rPr>
          <w:rFonts w:ascii="Arial" w:hAnsi="Arial" w:cs="Arial"/>
          <w:b/>
          <w:bCs/>
          <w:sz w:val="24"/>
          <w:szCs w:val="24"/>
        </w:rPr>
      </w:pPr>
      <w:r w:rsidRPr="00BC78C1">
        <w:rPr>
          <w:rFonts w:ascii="Arial" w:hAnsi="Arial" w:cs="Arial"/>
          <w:sz w:val="24"/>
          <w:szCs w:val="24"/>
        </w:rPr>
        <w:t xml:space="preserve">With 163 employees indicating that managers listen to them, organisations should reward and promote managers who excel in accessibility and people management. </w:t>
      </w:r>
      <w:r w:rsidR="0023750F" w:rsidRPr="0023750F">
        <w:rPr>
          <w:rFonts w:ascii="Arial" w:hAnsi="Arial" w:cs="Arial"/>
          <w:color w:val="FF0000"/>
          <w:sz w:val="24"/>
          <w:szCs w:val="24"/>
        </w:rPr>
        <w:t>This not only reinforces positive behaviours but also sets a benchmark for others. Recognition programs could be integrated into existing initiatives, requiring minimal additional investment, while fostering a culture of managerial excellence (Employee Benefits, 2023).</w:t>
      </w:r>
    </w:p>
    <w:p w14:paraId="7D94408E" w14:textId="77777777" w:rsidR="0082498E" w:rsidRPr="00097F25" w:rsidRDefault="0082498E" w:rsidP="0082498E">
      <w:pPr>
        <w:rPr>
          <w:rFonts w:ascii="Arial" w:hAnsi="Arial" w:cs="Arial"/>
          <w:sz w:val="24"/>
          <w:szCs w:val="24"/>
        </w:rPr>
      </w:pPr>
    </w:p>
    <w:p w14:paraId="3B7D79A1" w14:textId="77777777" w:rsidR="0082498E" w:rsidRDefault="0082498E" w:rsidP="0082498E">
      <w:pPr>
        <w:rPr>
          <w:rFonts w:ascii="Arial" w:hAnsi="Arial" w:cs="Arial"/>
          <w:b/>
          <w:bCs/>
          <w:sz w:val="24"/>
          <w:szCs w:val="24"/>
        </w:rPr>
      </w:pPr>
    </w:p>
    <w:p w14:paraId="57AFDAA5" w14:textId="77777777" w:rsidR="0082498E" w:rsidRDefault="0082498E" w:rsidP="0082498E">
      <w:pPr>
        <w:rPr>
          <w:rFonts w:ascii="Arial" w:hAnsi="Arial" w:cs="Arial"/>
          <w:b/>
          <w:bCs/>
          <w:sz w:val="24"/>
          <w:szCs w:val="24"/>
        </w:rPr>
      </w:pPr>
    </w:p>
    <w:p w14:paraId="1063DEE2" w14:textId="77777777" w:rsidR="0082498E" w:rsidRDefault="0082498E" w:rsidP="0082498E">
      <w:pPr>
        <w:rPr>
          <w:rFonts w:ascii="Arial" w:hAnsi="Arial" w:cs="Arial"/>
          <w:b/>
          <w:bCs/>
          <w:sz w:val="24"/>
          <w:szCs w:val="24"/>
        </w:rPr>
      </w:pPr>
    </w:p>
    <w:p w14:paraId="626A5001" w14:textId="77777777" w:rsidR="0082498E" w:rsidRDefault="0082498E" w:rsidP="0082498E">
      <w:pPr>
        <w:rPr>
          <w:rFonts w:ascii="Arial" w:hAnsi="Arial" w:cs="Arial"/>
          <w:b/>
          <w:bCs/>
          <w:sz w:val="24"/>
          <w:szCs w:val="24"/>
        </w:rPr>
      </w:pPr>
    </w:p>
    <w:p w14:paraId="238C1047" w14:textId="77777777" w:rsidR="0082498E" w:rsidRDefault="0082498E" w:rsidP="0082498E">
      <w:pPr>
        <w:rPr>
          <w:rFonts w:ascii="Arial" w:hAnsi="Arial" w:cs="Arial"/>
          <w:b/>
          <w:bCs/>
          <w:sz w:val="24"/>
          <w:szCs w:val="24"/>
        </w:rPr>
      </w:pPr>
    </w:p>
    <w:p w14:paraId="4F594C6F" w14:textId="77777777" w:rsidR="0082498E" w:rsidRDefault="0082498E" w:rsidP="0082498E">
      <w:pPr>
        <w:rPr>
          <w:rFonts w:ascii="Arial" w:hAnsi="Arial" w:cs="Arial"/>
          <w:b/>
          <w:bCs/>
          <w:sz w:val="24"/>
          <w:szCs w:val="24"/>
        </w:rPr>
      </w:pPr>
    </w:p>
    <w:p w14:paraId="2FD61398" w14:textId="77777777" w:rsidR="0082498E" w:rsidRDefault="0082498E" w:rsidP="0082498E">
      <w:pPr>
        <w:rPr>
          <w:rFonts w:ascii="Arial" w:hAnsi="Arial" w:cs="Arial"/>
          <w:b/>
          <w:bCs/>
          <w:sz w:val="24"/>
          <w:szCs w:val="24"/>
        </w:rPr>
      </w:pPr>
    </w:p>
    <w:p w14:paraId="42BA7CD2" w14:textId="77777777" w:rsidR="0082498E" w:rsidRDefault="0082498E" w:rsidP="0082498E">
      <w:pPr>
        <w:rPr>
          <w:rFonts w:ascii="Arial" w:hAnsi="Arial" w:cs="Arial"/>
          <w:b/>
          <w:bCs/>
          <w:sz w:val="24"/>
          <w:szCs w:val="24"/>
        </w:rPr>
      </w:pPr>
    </w:p>
    <w:p w14:paraId="07534C86" w14:textId="77777777" w:rsidR="0082498E" w:rsidRDefault="0082498E" w:rsidP="0082498E">
      <w:pPr>
        <w:rPr>
          <w:rFonts w:ascii="Arial" w:hAnsi="Arial" w:cs="Arial"/>
          <w:b/>
          <w:bCs/>
          <w:sz w:val="24"/>
          <w:szCs w:val="24"/>
        </w:rPr>
      </w:pPr>
    </w:p>
    <w:p w14:paraId="21AB680E" w14:textId="77777777" w:rsidR="0082498E" w:rsidRDefault="0082498E" w:rsidP="0082498E">
      <w:pPr>
        <w:rPr>
          <w:rFonts w:ascii="Arial" w:hAnsi="Arial" w:cs="Arial"/>
          <w:b/>
          <w:bCs/>
          <w:sz w:val="24"/>
          <w:szCs w:val="24"/>
        </w:rPr>
      </w:pPr>
    </w:p>
    <w:p w14:paraId="4D38CF5A" w14:textId="77777777" w:rsidR="00AD0448" w:rsidRDefault="00AD0448" w:rsidP="0082498E">
      <w:pPr>
        <w:rPr>
          <w:rFonts w:ascii="Arial" w:hAnsi="Arial" w:cs="Arial"/>
          <w:b/>
          <w:bCs/>
          <w:sz w:val="24"/>
          <w:szCs w:val="24"/>
        </w:rPr>
      </w:pPr>
    </w:p>
    <w:p w14:paraId="5FCD1F79" w14:textId="77777777" w:rsidR="00AD0448" w:rsidRDefault="00AD0448" w:rsidP="0082498E">
      <w:pPr>
        <w:rPr>
          <w:rFonts w:ascii="Arial" w:hAnsi="Arial" w:cs="Arial"/>
          <w:b/>
          <w:bCs/>
          <w:sz w:val="24"/>
          <w:szCs w:val="24"/>
        </w:rPr>
      </w:pPr>
    </w:p>
    <w:p w14:paraId="47C39D7A" w14:textId="177788F0" w:rsidR="0082498E" w:rsidRPr="003D687A" w:rsidRDefault="0082498E" w:rsidP="0082498E">
      <w:pPr>
        <w:rPr>
          <w:rFonts w:ascii="Arial" w:hAnsi="Arial" w:cs="Arial"/>
          <w:b/>
          <w:bCs/>
          <w:sz w:val="24"/>
          <w:szCs w:val="24"/>
        </w:rPr>
      </w:pPr>
      <w:r w:rsidRPr="003D687A">
        <w:rPr>
          <w:rFonts w:ascii="Arial" w:hAnsi="Arial" w:cs="Arial"/>
          <w:b/>
          <w:bCs/>
          <w:sz w:val="24"/>
          <w:szCs w:val="24"/>
        </w:rPr>
        <w:t>Bibliography</w:t>
      </w:r>
    </w:p>
    <w:p w14:paraId="367D3A98" w14:textId="77777777" w:rsidR="0082498E" w:rsidRDefault="0082498E" w:rsidP="0082498E">
      <w:pPr>
        <w:rPr>
          <w:rFonts w:ascii="Arial" w:hAnsi="Arial" w:cs="Arial"/>
          <w:sz w:val="24"/>
          <w:szCs w:val="24"/>
        </w:rPr>
      </w:pPr>
      <w:r w:rsidRPr="009309D2">
        <w:rPr>
          <w:rFonts w:ascii="Arial" w:hAnsi="Arial" w:cs="Arial"/>
          <w:sz w:val="24"/>
          <w:szCs w:val="24"/>
        </w:rPr>
        <w:t xml:space="preserve">Adair, J. (2010) </w:t>
      </w:r>
      <w:r w:rsidRPr="009309D2">
        <w:rPr>
          <w:rFonts w:ascii="Arial" w:hAnsi="Arial" w:cs="Arial"/>
          <w:i/>
          <w:iCs/>
          <w:sz w:val="24"/>
          <w:szCs w:val="24"/>
        </w:rPr>
        <w:t xml:space="preserve">Decision making and </w:t>
      </w:r>
      <w:proofErr w:type="gramStart"/>
      <w:r w:rsidRPr="009309D2">
        <w:rPr>
          <w:rFonts w:ascii="Arial" w:hAnsi="Arial" w:cs="Arial"/>
          <w:i/>
          <w:iCs/>
          <w:sz w:val="24"/>
          <w:szCs w:val="24"/>
        </w:rPr>
        <w:t>problem solving</w:t>
      </w:r>
      <w:proofErr w:type="gramEnd"/>
      <w:r w:rsidRPr="009309D2">
        <w:rPr>
          <w:rFonts w:ascii="Arial" w:hAnsi="Arial" w:cs="Arial"/>
          <w:i/>
          <w:iCs/>
          <w:sz w:val="24"/>
          <w:szCs w:val="24"/>
        </w:rPr>
        <w:t xml:space="preserve"> strategies</w:t>
      </w:r>
      <w:r w:rsidRPr="009309D2">
        <w:rPr>
          <w:rFonts w:ascii="Arial" w:hAnsi="Arial" w:cs="Arial"/>
          <w:sz w:val="24"/>
          <w:szCs w:val="24"/>
        </w:rPr>
        <w:t xml:space="preserve">. 2nd ed. London: Kogan Page. Available at: </w:t>
      </w:r>
      <w:hyperlink r:id="rId8" w:tgtFrame="_new" w:history="1">
        <w:r w:rsidRPr="009309D2">
          <w:rPr>
            <w:rStyle w:val="Hyperlink"/>
            <w:rFonts w:ascii="Arial" w:hAnsi="Arial" w:cs="Arial"/>
            <w:sz w:val="24"/>
            <w:szCs w:val="24"/>
          </w:rPr>
          <w:t>https://industri.fatek.unpatti.ac.id/wp-content/uploads/2019/03/Decision-Making-and-Problem-Solving.pdf</w:t>
        </w:r>
      </w:hyperlink>
      <w:r w:rsidRPr="009309D2">
        <w:rPr>
          <w:rFonts w:ascii="Arial" w:hAnsi="Arial" w:cs="Arial"/>
          <w:sz w:val="24"/>
          <w:szCs w:val="24"/>
        </w:rPr>
        <w:t xml:space="preserve"> (Accessed</w:t>
      </w:r>
      <w:r>
        <w:rPr>
          <w:rFonts w:ascii="Arial" w:hAnsi="Arial" w:cs="Arial"/>
          <w:sz w:val="24"/>
          <w:szCs w:val="24"/>
        </w:rPr>
        <w:t xml:space="preserve"> 16</w:t>
      </w:r>
      <w:r w:rsidRPr="009309D2">
        <w:rPr>
          <w:rFonts w:ascii="Arial" w:hAnsi="Arial" w:cs="Arial"/>
          <w:sz w:val="24"/>
          <w:szCs w:val="24"/>
        </w:rPr>
        <w:t xml:space="preserve"> </w:t>
      </w:r>
      <w:r>
        <w:rPr>
          <w:rFonts w:ascii="Arial" w:hAnsi="Arial" w:cs="Arial"/>
          <w:sz w:val="24"/>
          <w:szCs w:val="24"/>
        </w:rPr>
        <w:t>October</w:t>
      </w:r>
      <w:r w:rsidRPr="009309D2">
        <w:rPr>
          <w:rFonts w:ascii="Arial" w:hAnsi="Arial" w:cs="Arial"/>
          <w:sz w:val="24"/>
          <w:szCs w:val="24"/>
        </w:rPr>
        <w:t xml:space="preserve"> 2024).</w:t>
      </w:r>
    </w:p>
    <w:p w14:paraId="7D3DBAEC" w14:textId="77777777" w:rsidR="0082498E" w:rsidRDefault="0082498E" w:rsidP="0082498E">
      <w:pPr>
        <w:rPr>
          <w:rFonts w:ascii="Arial" w:hAnsi="Arial" w:cs="Arial"/>
          <w:sz w:val="24"/>
          <w:szCs w:val="24"/>
        </w:rPr>
      </w:pPr>
      <w:r w:rsidRPr="00C1465F">
        <w:rPr>
          <w:rFonts w:ascii="Arial" w:hAnsi="Arial" w:cs="Arial"/>
          <w:sz w:val="24"/>
          <w:szCs w:val="24"/>
        </w:rPr>
        <w:t xml:space="preserve">Armstrong, M. and Taylor, S. (2023) </w:t>
      </w:r>
      <w:r w:rsidRPr="00C1465F">
        <w:rPr>
          <w:rFonts w:ascii="Arial" w:hAnsi="Arial" w:cs="Arial"/>
          <w:i/>
          <w:iCs/>
          <w:sz w:val="24"/>
          <w:szCs w:val="24"/>
        </w:rPr>
        <w:t>Armstrong’s Handbook of Human Resource Management Practice.</w:t>
      </w:r>
      <w:r w:rsidRPr="00C1465F">
        <w:rPr>
          <w:rFonts w:ascii="Arial" w:hAnsi="Arial" w:cs="Arial"/>
          <w:sz w:val="24"/>
          <w:szCs w:val="24"/>
        </w:rPr>
        <w:t xml:space="preserve"> 16th </w:t>
      </w:r>
      <w:r>
        <w:rPr>
          <w:rFonts w:ascii="Arial" w:hAnsi="Arial" w:cs="Arial"/>
          <w:sz w:val="24"/>
          <w:szCs w:val="24"/>
        </w:rPr>
        <w:t>ed</w:t>
      </w:r>
      <w:r w:rsidRPr="00C1465F">
        <w:rPr>
          <w:rFonts w:ascii="Arial" w:hAnsi="Arial" w:cs="Arial"/>
          <w:sz w:val="24"/>
          <w:szCs w:val="24"/>
        </w:rPr>
        <w:t>. London: Kogan Page.</w:t>
      </w:r>
    </w:p>
    <w:p w14:paraId="4438EA8B" w14:textId="77777777" w:rsidR="0082498E" w:rsidRDefault="0082498E" w:rsidP="0082498E">
      <w:pPr>
        <w:rPr>
          <w:rFonts w:ascii="Arial" w:hAnsi="Arial" w:cs="Arial"/>
          <w:sz w:val="24"/>
          <w:szCs w:val="24"/>
        </w:rPr>
      </w:pPr>
      <w:r w:rsidRPr="00951450">
        <w:rPr>
          <w:rFonts w:ascii="Arial" w:hAnsi="Arial" w:cs="Arial"/>
          <w:sz w:val="24"/>
          <w:szCs w:val="24"/>
        </w:rPr>
        <w:t>Barons, E. (</w:t>
      </w:r>
      <w:r>
        <w:rPr>
          <w:rFonts w:ascii="Arial" w:hAnsi="Arial" w:cs="Arial"/>
          <w:sz w:val="24"/>
          <w:szCs w:val="24"/>
        </w:rPr>
        <w:t>2019</w:t>
      </w:r>
      <w:r w:rsidRPr="00951450">
        <w:rPr>
          <w:rFonts w:ascii="Arial" w:hAnsi="Arial" w:cs="Arial"/>
          <w:sz w:val="24"/>
          <w:szCs w:val="24"/>
        </w:rPr>
        <w:t xml:space="preserve">) </w:t>
      </w:r>
      <w:r>
        <w:rPr>
          <w:rFonts w:ascii="Arial" w:hAnsi="Arial" w:cs="Arial"/>
          <w:i/>
          <w:iCs/>
          <w:sz w:val="24"/>
          <w:szCs w:val="24"/>
        </w:rPr>
        <w:t>‘</w:t>
      </w:r>
      <w:r w:rsidRPr="00951450">
        <w:rPr>
          <w:rFonts w:ascii="Arial" w:hAnsi="Arial" w:cs="Arial"/>
          <w:sz w:val="24"/>
          <w:szCs w:val="24"/>
        </w:rPr>
        <w:t>Episode 148: Evidence-Based Practice for HR</w:t>
      </w:r>
      <w:r>
        <w:rPr>
          <w:rFonts w:ascii="Arial" w:hAnsi="Arial" w:cs="Arial"/>
          <w:sz w:val="24"/>
          <w:szCs w:val="24"/>
        </w:rPr>
        <w:t xml:space="preserve">’ </w:t>
      </w:r>
      <w:r w:rsidRPr="00951450">
        <w:rPr>
          <w:rFonts w:ascii="Arial" w:hAnsi="Arial" w:cs="Arial"/>
          <w:i/>
          <w:iCs/>
          <w:sz w:val="24"/>
          <w:szCs w:val="24"/>
        </w:rPr>
        <w:t>The CIPD Podcast</w:t>
      </w:r>
      <w:r w:rsidRPr="00951450">
        <w:rPr>
          <w:rFonts w:ascii="Arial" w:hAnsi="Arial" w:cs="Arial"/>
          <w:sz w:val="24"/>
          <w:szCs w:val="24"/>
        </w:rPr>
        <w:t>.</w:t>
      </w:r>
      <w:r>
        <w:rPr>
          <w:rFonts w:ascii="Arial" w:hAnsi="Arial" w:cs="Arial"/>
          <w:sz w:val="24"/>
          <w:szCs w:val="24"/>
        </w:rPr>
        <w:t xml:space="preserve"> [Podcast]</w:t>
      </w:r>
      <w:r w:rsidRPr="00951450">
        <w:rPr>
          <w:rFonts w:ascii="Arial" w:hAnsi="Arial" w:cs="Arial"/>
          <w:sz w:val="24"/>
          <w:szCs w:val="24"/>
        </w:rPr>
        <w:t xml:space="preserve"> Available at: </w:t>
      </w:r>
      <w:hyperlink r:id="rId9" w:history="1">
        <w:r w:rsidRPr="00951450">
          <w:rPr>
            <w:rStyle w:val="Hyperlink"/>
            <w:rFonts w:ascii="Arial" w:hAnsi="Arial" w:cs="Arial"/>
            <w:sz w:val="24"/>
            <w:szCs w:val="24"/>
          </w:rPr>
          <w:t>https://open.spotify.com/episode/0FmuMAkSgHBDecm7aB8CbO?si=2Qu7NruWQJOJvyw0mXjUw&amp;t=34&amp;context=spotify&amp;3Ashow%3A7x2Xs0GhrqN-Ws4AW8WMo0s</w:t>
        </w:r>
      </w:hyperlink>
      <w:r>
        <w:rPr>
          <w:rFonts w:ascii="Arial" w:hAnsi="Arial" w:cs="Arial"/>
          <w:sz w:val="24"/>
          <w:szCs w:val="24"/>
        </w:rPr>
        <w:t xml:space="preserve"> </w:t>
      </w:r>
      <w:r w:rsidRPr="00951450">
        <w:rPr>
          <w:rFonts w:ascii="Arial" w:hAnsi="Arial" w:cs="Arial"/>
          <w:sz w:val="24"/>
          <w:szCs w:val="24"/>
        </w:rPr>
        <w:t xml:space="preserve"> (Accessed 10 October 2024).</w:t>
      </w:r>
    </w:p>
    <w:p w14:paraId="5118813C" w14:textId="609995E4" w:rsidR="0047321E" w:rsidRDefault="0047321E" w:rsidP="0082498E">
      <w:pPr>
        <w:rPr>
          <w:rFonts w:ascii="Arial" w:hAnsi="Arial" w:cs="Arial"/>
          <w:sz w:val="24"/>
          <w:szCs w:val="24"/>
        </w:rPr>
      </w:pPr>
      <w:r w:rsidRPr="0047321E">
        <w:rPr>
          <w:rFonts w:ascii="Arial" w:hAnsi="Arial" w:cs="Arial"/>
          <w:sz w:val="24"/>
          <w:szCs w:val="24"/>
        </w:rPr>
        <w:t xml:space="preserve">Bersin, J. (2023) 'The impact of employee development on retention and productivity', </w:t>
      </w:r>
      <w:r w:rsidRPr="0047321E">
        <w:rPr>
          <w:rFonts w:ascii="Arial" w:hAnsi="Arial" w:cs="Arial"/>
          <w:i/>
          <w:iCs/>
          <w:sz w:val="24"/>
          <w:szCs w:val="24"/>
        </w:rPr>
        <w:t>Deloitte Insights</w:t>
      </w:r>
      <w:r w:rsidRPr="0047321E">
        <w:rPr>
          <w:rFonts w:ascii="Arial" w:hAnsi="Arial" w:cs="Arial"/>
          <w:sz w:val="24"/>
          <w:szCs w:val="24"/>
        </w:rPr>
        <w:t xml:space="preserve">. Available at: </w:t>
      </w:r>
      <w:hyperlink r:id="rId10" w:tgtFrame="_new" w:history="1">
        <w:r w:rsidRPr="0047321E">
          <w:rPr>
            <w:rStyle w:val="Hyperlink"/>
            <w:rFonts w:ascii="Arial" w:hAnsi="Arial" w:cs="Arial"/>
            <w:sz w:val="24"/>
            <w:szCs w:val="24"/>
          </w:rPr>
          <w:t>https://www.deloitte.com</w:t>
        </w:r>
      </w:hyperlink>
      <w:r w:rsidRPr="0047321E">
        <w:rPr>
          <w:rFonts w:ascii="Arial" w:hAnsi="Arial" w:cs="Arial"/>
          <w:sz w:val="24"/>
          <w:szCs w:val="24"/>
        </w:rPr>
        <w:t xml:space="preserve"> (Accessed: 27 January 2025).</w:t>
      </w:r>
      <w:r>
        <w:rPr>
          <w:rFonts w:ascii="Arial" w:hAnsi="Arial" w:cs="Arial"/>
          <w:sz w:val="24"/>
          <w:szCs w:val="24"/>
        </w:rPr>
        <w:t xml:space="preserve"> </w:t>
      </w:r>
    </w:p>
    <w:p w14:paraId="006FFEAA" w14:textId="30BBCE5A" w:rsidR="000F3CF3" w:rsidRDefault="000F3CF3" w:rsidP="0082498E">
      <w:pPr>
        <w:rPr>
          <w:rFonts w:ascii="Arial" w:hAnsi="Arial" w:cs="Arial"/>
          <w:sz w:val="24"/>
          <w:szCs w:val="24"/>
        </w:rPr>
      </w:pPr>
      <w:r w:rsidRPr="000F3CF3">
        <w:rPr>
          <w:rFonts w:ascii="Arial" w:hAnsi="Arial" w:cs="Arial"/>
          <w:sz w:val="24"/>
          <w:szCs w:val="24"/>
        </w:rPr>
        <w:t xml:space="preserve">Brun, J.-P. and Dugas, N. (2008) 'An analysis of employee recognition: Perspectives on human resources practices', </w:t>
      </w:r>
      <w:r w:rsidRPr="000F3CF3">
        <w:rPr>
          <w:rFonts w:ascii="Arial" w:hAnsi="Arial" w:cs="Arial"/>
          <w:i/>
          <w:iCs/>
          <w:sz w:val="24"/>
          <w:szCs w:val="24"/>
        </w:rPr>
        <w:t>The International Journal of Human Resource Management</w:t>
      </w:r>
      <w:r w:rsidRPr="000F3CF3">
        <w:rPr>
          <w:rFonts w:ascii="Arial" w:hAnsi="Arial" w:cs="Arial"/>
          <w:sz w:val="24"/>
          <w:szCs w:val="24"/>
        </w:rPr>
        <w:t xml:space="preserve">, 19(4), pp. 716–730. Available at: </w:t>
      </w:r>
      <w:hyperlink r:id="rId11" w:history="1">
        <w:r w:rsidRPr="00785801">
          <w:rPr>
            <w:rStyle w:val="Hyperlink"/>
            <w:rFonts w:ascii="Arial" w:hAnsi="Arial" w:cs="Arial"/>
            <w:sz w:val="24"/>
            <w:szCs w:val="24"/>
          </w:rPr>
          <w:t>https://journals.sagepub.com</w:t>
        </w:r>
      </w:hyperlink>
      <w:r>
        <w:rPr>
          <w:rFonts w:ascii="Arial" w:hAnsi="Arial" w:cs="Arial"/>
          <w:sz w:val="24"/>
          <w:szCs w:val="24"/>
        </w:rPr>
        <w:t xml:space="preserve"> (Accessed 25 January 2025).</w:t>
      </w:r>
    </w:p>
    <w:p w14:paraId="568AA53F" w14:textId="77777777" w:rsidR="0082498E" w:rsidRPr="00951450" w:rsidRDefault="0082498E" w:rsidP="0082498E">
      <w:pPr>
        <w:rPr>
          <w:rFonts w:ascii="Arial" w:hAnsi="Arial" w:cs="Arial"/>
          <w:sz w:val="24"/>
          <w:szCs w:val="24"/>
        </w:rPr>
      </w:pPr>
      <w:r w:rsidRPr="00D57B8E">
        <w:rPr>
          <w:rFonts w:ascii="Arial" w:hAnsi="Arial" w:cs="Arial"/>
          <w:sz w:val="24"/>
          <w:szCs w:val="24"/>
        </w:rPr>
        <w:t xml:space="preserve">Caldecott, J. (2022) </w:t>
      </w:r>
      <w:r w:rsidRPr="00D57B8E">
        <w:rPr>
          <w:rFonts w:ascii="Arial" w:hAnsi="Arial" w:cs="Arial"/>
          <w:i/>
          <w:iCs/>
          <w:sz w:val="24"/>
          <w:szCs w:val="24"/>
        </w:rPr>
        <w:t>Should you choose a qualitative or quantitative employee engagement survey?</w:t>
      </w:r>
      <w:r w:rsidRPr="00D57B8E">
        <w:rPr>
          <w:rFonts w:ascii="Arial" w:hAnsi="Arial" w:cs="Arial"/>
          <w:sz w:val="24"/>
          <w:szCs w:val="24"/>
        </w:rPr>
        <w:t xml:space="preserve"> </w:t>
      </w:r>
      <w:proofErr w:type="spellStart"/>
      <w:r w:rsidRPr="00D57B8E">
        <w:rPr>
          <w:rFonts w:ascii="Arial" w:hAnsi="Arial" w:cs="Arial"/>
          <w:sz w:val="24"/>
          <w:szCs w:val="24"/>
        </w:rPr>
        <w:t>Winningtemp</w:t>
      </w:r>
      <w:proofErr w:type="spellEnd"/>
      <w:r w:rsidRPr="00D57B8E">
        <w:rPr>
          <w:rFonts w:ascii="Arial" w:hAnsi="Arial" w:cs="Arial"/>
          <w:sz w:val="24"/>
          <w:szCs w:val="24"/>
        </w:rPr>
        <w:t xml:space="preserve">. Available at: </w:t>
      </w:r>
      <w:hyperlink r:id="rId12" w:tgtFrame="_new" w:history="1">
        <w:r w:rsidRPr="00D57B8E">
          <w:rPr>
            <w:rStyle w:val="Hyperlink"/>
            <w:rFonts w:ascii="Arial" w:hAnsi="Arial" w:cs="Arial"/>
            <w:sz w:val="24"/>
            <w:szCs w:val="24"/>
          </w:rPr>
          <w:t>https://www.winningtemp.com/blog/should-you-choose-a-qualitative-or-quantitative-employee-engagement-survey</w:t>
        </w:r>
      </w:hyperlink>
      <w:r w:rsidRPr="00D57B8E">
        <w:rPr>
          <w:rFonts w:ascii="Arial" w:hAnsi="Arial" w:cs="Arial"/>
          <w:sz w:val="24"/>
          <w:szCs w:val="24"/>
        </w:rPr>
        <w:t xml:space="preserve"> (Accessed</w:t>
      </w:r>
      <w:r>
        <w:rPr>
          <w:rFonts w:ascii="Arial" w:hAnsi="Arial" w:cs="Arial"/>
          <w:sz w:val="24"/>
          <w:szCs w:val="24"/>
        </w:rPr>
        <w:t xml:space="preserve"> 16 October 2024</w:t>
      </w:r>
      <w:r w:rsidRPr="00D57B8E">
        <w:rPr>
          <w:rFonts w:ascii="Arial" w:hAnsi="Arial" w:cs="Arial"/>
          <w:sz w:val="24"/>
          <w:szCs w:val="24"/>
        </w:rPr>
        <w:t>).</w:t>
      </w:r>
    </w:p>
    <w:p w14:paraId="1FF2380E" w14:textId="77777777" w:rsidR="0082498E" w:rsidRDefault="0082498E" w:rsidP="0082498E">
      <w:pPr>
        <w:rPr>
          <w:rFonts w:ascii="Arial" w:hAnsi="Arial" w:cs="Arial"/>
          <w:sz w:val="24"/>
          <w:szCs w:val="24"/>
        </w:rPr>
      </w:pPr>
      <w:r>
        <w:rPr>
          <w:rFonts w:ascii="Arial" w:hAnsi="Arial" w:cs="Arial"/>
          <w:sz w:val="24"/>
          <w:szCs w:val="24"/>
        </w:rPr>
        <w:t xml:space="preserve">CIPD (2017) </w:t>
      </w:r>
      <w:r w:rsidRPr="003D687A">
        <w:rPr>
          <w:rFonts w:ascii="Arial" w:hAnsi="Arial" w:cs="Arial"/>
          <w:sz w:val="24"/>
          <w:szCs w:val="24"/>
        </w:rPr>
        <w:t>Evidence-based practice: an introduction</w:t>
      </w:r>
      <w:r>
        <w:rPr>
          <w:rFonts w:ascii="Arial" w:hAnsi="Arial" w:cs="Arial"/>
          <w:sz w:val="24"/>
          <w:szCs w:val="24"/>
        </w:rPr>
        <w:t>.</w:t>
      </w:r>
      <w:r w:rsidRPr="003D687A">
        <w:rPr>
          <w:rFonts w:ascii="Open Sans" w:hAnsi="Open Sans" w:cs="Open Sans"/>
          <w:color w:val="000000"/>
          <w:sz w:val="21"/>
          <w:szCs w:val="21"/>
          <w:shd w:val="clear" w:color="auto" w:fill="F9F9F9"/>
        </w:rPr>
        <w:t xml:space="preserve"> </w:t>
      </w:r>
      <w:r w:rsidRPr="003D687A">
        <w:rPr>
          <w:rFonts w:ascii="Arial" w:hAnsi="Arial" w:cs="Arial"/>
          <w:sz w:val="24"/>
          <w:szCs w:val="24"/>
        </w:rPr>
        <w:t>Available at: </w:t>
      </w:r>
      <w:hyperlink r:id="rId13" w:history="1">
        <w:r w:rsidRPr="00D41D6E">
          <w:rPr>
            <w:rStyle w:val="Hyperlink"/>
            <w:rFonts w:ascii="Arial" w:hAnsi="Arial" w:cs="Arial"/>
            <w:sz w:val="24"/>
            <w:szCs w:val="24"/>
          </w:rPr>
          <w:t>https://www.youtube.com/watch?v=ikJ687g2tPo</w:t>
        </w:r>
      </w:hyperlink>
      <w:r>
        <w:rPr>
          <w:rFonts w:ascii="Arial" w:hAnsi="Arial" w:cs="Arial"/>
          <w:sz w:val="24"/>
          <w:szCs w:val="24"/>
        </w:rPr>
        <w:t xml:space="preserve"> (Accessed 16 October 2024).</w:t>
      </w:r>
    </w:p>
    <w:p w14:paraId="2A5D4695" w14:textId="77777777" w:rsidR="0082498E" w:rsidRDefault="0082498E" w:rsidP="0082498E">
      <w:pPr>
        <w:rPr>
          <w:rFonts w:ascii="Arial" w:hAnsi="Arial" w:cs="Arial"/>
          <w:sz w:val="24"/>
          <w:szCs w:val="24"/>
        </w:rPr>
      </w:pPr>
      <w:r w:rsidRPr="0091180C">
        <w:rPr>
          <w:rFonts w:ascii="Arial" w:hAnsi="Arial" w:cs="Arial"/>
          <w:sz w:val="24"/>
          <w:szCs w:val="24"/>
        </w:rPr>
        <w:t>CIPD (202</w:t>
      </w:r>
      <w:r>
        <w:rPr>
          <w:rFonts w:ascii="Arial" w:hAnsi="Arial" w:cs="Arial"/>
          <w:sz w:val="24"/>
          <w:szCs w:val="24"/>
        </w:rPr>
        <w:t>4</w:t>
      </w:r>
      <w:r w:rsidRPr="0091180C">
        <w:rPr>
          <w:rFonts w:ascii="Arial" w:hAnsi="Arial" w:cs="Arial"/>
          <w:sz w:val="24"/>
          <w:szCs w:val="24"/>
        </w:rPr>
        <w:t xml:space="preserve">) </w:t>
      </w:r>
      <w:r w:rsidRPr="0091180C">
        <w:rPr>
          <w:rFonts w:ascii="Arial" w:hAnsi="Arial" w:cs="Arial"/>
          <w:i/>
          <w:iCs/>
          <w:sz w:val="24"/>
          <w:szCs w:val="24"/>
        </w:rPr>
        <w:t>PESTLE analysis factsheet</w:t>
      </w:r>
      <w:r w:rsidRPr="0091180C">
        <w:rPr>
          <w:rFonts w:ascii="Arial" w:hAnsi="Arial" w:cs="Arial"/>
          <w:sz w:val="24"/>
          <w:szCs w:val="24"/>
        </w:rPr>
        <w:t>. Available at: https://www.cipd.co.uk/knowledge (Accessed</w:t>
      </w:r>
      <w:r>
        <w:rPr>
          <w:rFonts w:ascii="Arial" w:hAnsi="Arial" w:cs="Arial"/>
          <w:sz w:val="24"/>
          <w:szCs w:val="24"/>
        </w:rPr>
        <w:t xml:space="preserve"> 16 October 2024</w:t>
      </w:r>
      <w:r w:rsidRPr="0091180C">
        <w:rPr>
          <w:rFonts w:ascii="Arial" w:hAnsi="Arial" w:cs="Arial"/>
          <w:sz w:val="24"/>
          <w:szCs w:val="24"/>
        </w:rPr>
        <w:t>).</w:t>
      </w:r>
    </w:p>
    <w:p w14:paraId="57697F45" w14:textId="77777777" w:rsidR="0082498E" w:rsidRDefault="0082498E" w:rsidP="0082498E">
      <w:pPr>
        <w:rPr>
          <w:rFonts w:ascii="Arial" w:hAnsi="Arial" w:cs="Arial"/>
          <w:sz w:val="24"/>
          <w:szCs w:val="24"/>
        </w:rPr>
      </w:pPr>
      <w:r w:rsidRPr="001C2261">
        <w:rPr>
          <w:rFonts w:ascii="Arial" w:hAnsi="Arial" w:cs="Arial"/>
          <w:sz w:val="24"/>
          <w:szCs w:val="24"/>
        </w:rPr>
        <w:t>CIPD (</w:t>
      </w:r>
      <w:r>
        <w:rPr>
          <w:rFonts w:ascii="Arial" w:hAnsi="Arial" w:cs="Arial"/>
          <w:sz w:val="24"/>
          <w:szCs w:val="24"/>
        </w:rPr>
        <w:t>2024</w:t>
      </w:r>
      <w:r w:rsidRPr="001C2261">
        <w:rPr>
          <w:rFonts w:ascii="Arial" w:hAnsi="Arial" w:cs="Arial"/>
          <w:sz w:val="24"/>
          <w:szCs w:val="24"/>
        </w:rPr>
        <w:t xml:space="preserve">) </w:t>
      </w:r>
      <w:r w:rsidRPr="001C2261">
        <w:rPr>
          <w:rFonts w:ascii="Arial" w:hAnsi="Arial" w:cs="Arial"/>
          <w:i/>
          <w:iCs/>
          <w:sz w:val="24"/>
          <w:szCs w:val="24"/>
        </w:rPr>
        <w:t>The CIPD Profession Map.</w:t>
      </w:r>
      <w:r w:rsidRPr="001C2261">
        <w:rPr>
          <w:rFonts w:ascii="Arial" w:hAnsi="Arial" w:cs="Arial"/>
          <w:sz w:val="24"/>
          <w:szCs w:val="24"/>
        </w:rPr>
        <w:t xml:space="preserve"> Available at: </w:t>
      </w:r>
      <w:hyperlink r:id="rId14" w:history="1">
        <w:r w:rsidRPr="00D41D6E">
          <w:rPr>
            <w:rStyle w:val="Hyperlink"/>
            <w:rFonts w:ascii="Arial" w:hAnsi="Arial" w:cs="Arial"/>
            <w:sz w:val="24"/>
            <w:szCs w:val="24"/>
          </w:rPr>
          <w:t>https://www.cipd.org/uk/the-people-profession/the-profession-map/</w:t>
        </w:r>
      </w:hyperlink>
      <w:r>
        <w:rPr>
          <w:rFonts w:ascii="Arial" w:hAnsi="Arial" w:cs="Arial"/>
          <w:sz w:val="24"/>
          <w:szCs w:val="24"/>
        </w:rPr>
        <w:t xml:space="preserve"> </w:t>
      </w:r>
      <w:r w:rsidRPr="001C2261">
        <w:rPr>
          <w:rFonts w:ascii="Arial" w:hAnsi="Arial" w:cs="Arial"/>
          <w:sz w:val="24"/>
          <w:szCs w:val="24"/>
        </w:rPr>
        <w:t>(Accessed</w:t>
      </w:r>
      <w:r>
        <w:rPr>
          <w:rFonts w:ascii="Arial" w:hAnsi="Arial" w:cs="Arial"/>
          <w:sz w:val="24"/>
          <w:szCs w:val="24"/>
        </w:rPr>
        <w:t xml:space="preserve"> 20 October</w:t>
      </w:r>
      <w:r w:rsidRPr="001C2261">
        <w:rPr>
          <w:rFonts w:ascii="Arial" w:hAnsi="Arial" w:cs="Arial"/>
          <w:sz w:val="24"/>
          <w:szCs w:val="24"/>
        </w:rPr>
        <w:t xml:space="preserve"> 2024).</w:t>
      </w:r>
    </w:p>
    <w:p w14:paraId="05445C4D" w14:textId="1D9B67B0" w:rsidR="0082498E" w:rsidRDefault="0082498E" w:rsidP="0082498E">
      <w:pPr>
        <w:rPr>
          <w:rFonts w:ascii="Arial" w:hAnsi="Arial" w:cs="Arial"/>
          <w:sz w:val="24"/>
          <w:szCs w:val="24"/>
        </w:rPr>
      </w:pPr>
      <w:r w:rsidRPr="006D4B36">
        <w:rPr>
          <w:rFonts w:ascii="Arial" w:hAnsi="Arial" w:cs="Arial"/>
          <w:sz w:val="24"/>
          <w:szCs w:val="24"/>
        </w:rPr>
        <w:t>CIPD (20</w:t>
      </w:r>
      <w:r>
        <w:rPr>
          <w:rFonts w:ascii="Arial" w:hAnsi="Arial" w:cs="Arial"/>
          <w:sz w:val="24"/>
          <w:szCs w:val="24"/>
        </w:rPr>
        <w:t>15</w:t>
      </w:r>
      <w:r w:rsidRPr="006D4B36">
        <w:rPr>
          <w:rFonts w:ascii="Arial" w:hAnsi="Arial" w:cs="Arial"/>
          <w:sz w:val="24"/>
          <w:szCs w:val="24"/>
        </w:rPr>
        <w:t xml:space="preserve">) </w:t>
      </w:r>
      <w:r w:rsidRPr="006D4B36">
        <w:rPr>
          <w:rFonts w:ascii="Arial" w:hAnsi="Arial" w:cs="Arial"/>
          <w:i/>
          <w:iCs/>
          <w:sz w:val="24"/>
          <w:szCs w:val="24"/>
        </w:rPr>
        <w:t>Making better workplace decisions</w:t>
      </w:r>
      <w:r w:rsidRPr="006D4B36">
        <w:rPr>
          <w:rFonts w:ascii="Arial" w:hAnsi="Arial" w:cs="Arial"/>
          <w:sz w:val="24"/>
          <w:szCs w:val="24"/>
        </w:rPr>
        <w:t xml:space="preserve">. Available at: </w:t>
      </w:r>
      <w:hyperlink r:id="rId15" w:tgtFrame="_new" w:history="1">
        <w:r w:rsidRPr="006D4B36">
          <w:rPr>
            <w:rStyle w:val="Hyperlink"/>
            <w:rFonts w:ascii="Arial" w:hAnsi="Arial" w:cs="Arial"/>
            <w:sz w:val="24"/>
            <w:szCs w:val="24"/>
          </w:rPr>
          <w:t>https://www.cipd.org/uk/knowledge/reports/workplace-decisions-report/</w:t>
        </w:r>
      </w:hyperlink>
      <w:r w:rsidRPr="006D4B36">
        <w:rPr>
          <w:rFonts w:ascii="Arial" w:hAnsi="Arial" w:cs="Arial"/>
          <w:sz w:val="24"/>
          <w:szCs w:val="24"/>
        </w:rPr>
        <w:t xml:space="preserve"> (Accessed</w:t>
      </w:r>
      <w:r>
        <w:rPr>
          <w:rFonts w:ascii="Arial" w:hAnsi="Arial" w:cs="Arial"/>
          <w:sz w:val="24"/>
          <w:szCs w:val="24"/>
        </w:rPr>
        <w:t xml:space="preserve"> </w:t>
      </w:r>
      <w:r w:rsidR="00933181">
        <w:rPr>
          <w:rFonts w:ascii="Arial" w:hAnsi="Arial" w:cs="Arial"/>
          <w:sz w:val="24"/>
          <w:szCs w:val="24"/>
        </w:rPr>
        <w:t>2</w:t>
      </w:r>
      <w:r>
        <w:rPr>
          <w:rFonts w:ascii="Arial" w:hAnsi="Arial" w:cs="Arial"/>
          <w:sz w:val="24"/>
          <w:szCs w:val="24"/>
        </w:rPr>
        <w:t>5</w:t>
      </w:r>
      <w:r w:rsidRPr="006D4B36">
        <w:rPr>
          <w:rFonts w:ascii="Arial" w:hAnsi="Arial" w:cs="Arial"/>
          <w:sz w:val="24"/>
          <w:szCs w:val="24"/>
        </w:rPr>
        <w:t xml:space="preserve"> </w:t>
      </w:r>
      <w:r>
        <w:rPr>
          <w:rFonts w:ascii="Arial" w:hAnsi="Arial" w:cs="Arial"/>
          <w:sz w:val="24"/>
          <w:szCs w:val="24"/>
        </w:rPr>
        <w:t>November</w:t>
      </w:r>
      <w:r w:rsidRPr="006D4B36">
        <w:rPr>
          <w:rFonts w:ascii="Arial" w:hAnsi="Arial" w:cs="Arial"/>
          <w:sz w:val="24"/>
          <w:szCs w:val="24"/>
        </w:rPr>
        <w:t xml:space="preserve"> 2024).</w:t>
      </w:r>
    </w:p>
    <w:p w14:paraId="1A75D484" w14:textId="32CED1B6" w:rsidR="004F47E4" w:rsidRDefault="004F47E4" w:rsidP="0082498E">
      <w:pPr>
        <w:rPr>
          <w:rFonts w:ascii="Arial" w:hAnsi="Arial" w:cs="Arial"/>
          <w:sz w:val="24"/>
          <w:szCs w:val="24"/>
        </w:rPr>
      </w:pPr>
      <w:r w:rsidRPr="004F47E4">
        <w:rPr>
          <w:rFonts w:ascii="Arial" w:hAnsi="Arial" w:cs="Arial"/>
          <w:sz w:val="24"/>
          <w:szCs w:val="24"/>
        </w:rPr>
        <w:t xml:space="preserve">Collins, C. J. and Smith, K. G. (2006) 'Knowledge exchange and combination: The role of human resource practices in the performance of high-technology firms', </w:t>
      </w:r>
      <w:r w:rsidRPr="004F47E4">
        <w:rPr>
          <w:rFonts w:ascii="Arial" w:hAnsi="Arial" w:cs="Arial"/>
          <w:i/>
          <w:iCs/>
          <w:sz w:val="24"/>
          <w:szCs w:val="24"/>
        </w:rPr>
        <w:t>Academy of Management Journal</w:t>
      </w:r>
      <w:r w:rsidRPr="004F47E4">
        <w:rPr>
          <w:rFonts w:ascii="Arial" w:hAnsi="Arial" w:cs="Arial"/>
          <w:sz w:val="24"/>
          <w:szCs w:val="24"/>
        </w:rPr>
        <w:t>, 49(3), pp. 544–560. Available at: https://journals.aom.org (Accessed: 27 January 2025).</w:t>
      </w:r>
      <w:r>
        <w:rPr>
          <w:rFonts w:ascii="Arial" w:hAnsi="Arial" w:cs="Arial"/>
          <w:sz w:val="24"/>
          <w:szCs w:val="24"/>
        </w:rPr>
        <w:t xml:space="preserve"> </w:t>
      </w:r>
    </w:p>
    <w:p w14:paraId="2A95AE78" w14:textId="77777777" w:rsidR="0082498E" w:rsidRDefault="0082498E" w:rsidP="0082498E">
      <w:pPr>
        <w:rPr>
          <w:rFonts w:ascii="Arial" w:hAnsi="Arial" w:cs="Arial"/>
          <w:sz w:val="24"/>
          <w:szCs w:val="24"/>
        </w:rPr>
      </w:pPr>
      <w:r w:rsidRPr="0091180C">
        <w:rPr>
          <w:rFonts w:ascii="Arial" w:hAnsi="Arial" w:cs="Arial"/>
          <w:sz w:val="24"/>
          <w:szCs w:val="24"/>
        </w:rPr>
        <w:lastRenderedPageBreak/>
        <w:t xml:space="preserve">Community Housing Cymru (2023) </w:t>
      </w:r>
      <w:r w:rsidRPr="0091180C">
        <w:rPr>
          <w:rFonts w:ascii="Arial" w:hAnsi="Arial" w:cs="Arial"/>
          <w:i/>
          <w:iCs/>
          <w:sz w:val="24"/>
          <w:szCs w:val="24"/>
        </w:rPr>
        <w:t xml:space="preserve">Welsh Government funding shortfall pushing homelessness workers into poverty. </w:t>
      </w:r>
      <w:r w:rsidRPr="0091180C">
        <w:rPr>
          <w:rFonts w:ascii="Arial" w:hAnsi="Arial" w:cs="Arial"/>
          <w:sz w:val="24"/>
          <w:szCs w:val="24"/>
        </w:rPr>
        <w:t xml:space="preserve">Available at: </w:t>
      </w:r>
      <w:hyperlink r:id="rId16" w:history="1">
        <w:r w:rsidRPr="00D41D6E">
          <w:rPr>
            <w:rStyle w:val="Hyperlink"/>
            <w:rFonts w:ascii="Arial" w:hAnsi="Arial" w:cs="Arial"/>
            <w:sz w:val="24"/>
            <w:szCs w:val="24"/>
          </w:rPr>
          <w:t>https://chcymru.org.uk/news-and-blog/welsh-government-funding-shortfall-pushing-homelessness-workers-into-poverty</w:t>
        </w:r>
      </w:hyperlink>
      <w:r>
        <w:rPr>
          <w:rFonts w:ascii="Arial" w:hAnsi="Arial" w:cs="Arial"/>
          <w:sz w:val="24"/>
          <w:szCs w:val="24"/>
        </w:rPr>
        <w:t xml:space="preserve"> </w:t>
      </w:r>
      <w:r w:rsidRPr="0091180C">
        <w:rPr>
          <w:rFonts w:ascii="Arial" w:hAnsi="Arial" w:cs="Arial"/>
          <w:sz w:val="24"/>
          <w:szCs w:val="24"/>
        </w:rPr>
        <w:t>(Accessed</w:t>
      </w:r>
      <w:r>
        <w:rPr>
          <w:rFonts w:ascii="Arial" w:hAnsi="Arial" w:cs="Arial"/>
          <w:sz w:val="24"/>
          <w:szCs w:val="24"/>
        </w:rPr>
        <w:t xml:space="preserve"> 21 October 2024</w:t>
      </w:r>
      <w:r w:rsidRPr="0091180C">
        <w:rPr>
          <w:rFonts w:ascii="Arial" w:hAnsi="Arial" w:cs="Arial"/>
          <w:sz w:val="24"/>
          <w:szCs w:val="24"/>
        </w:rPr>
        <w:t>).</w:t>
      </w:r>
      <w:r>
        <w:rPr>
          <w:rFonts w:ascii="Arial" w:hAnsi="Arial" w:cs="Arial"/>
          <w:sz w:val="24"/>
          <w:szCs w:val="24"/>
        </w:rPr>
        <w:t xml:space="preserve"> </w:t>
      </w:r>
    </w:p>
    <w:p w14:paraId="4B5309C9" w14:textId="77777777" w:rsidR="0082498E" w:rsidRDefault="0082498E" w:rsidP="0082498E">
      <w:pPr>
        <w:rPr>
          <w:rFonts w:ascii="Arial" w:hAnsi="Arial" w:cs="Arial"/>
          <w:sz w:val="24"/>
          <w:szCs w:val="24"/>
        </w:rPr>
      </w:pPr>
      <w:r>
        <w:rPr>
          <w:rFonts w:ascii="Arial" w:hAnsi="Arial" w:cs="Arial"/>
          <w:sz w:val="24"/>
          <w:szCs w:val="24"/>
        </w:rPr>
        <w:t xml:space="preserve">Cruse. (2024) </w:t>
      </w:r>
      <w:r w:rsidRPr="002C7B79">
        <w:rPr>
          <w:rFonts w:ascii="Arial" w:hAnsi="Arial" w:cs="Arial"/>
          <w:i/>
          <w:iCs/>
          <w:sz w:val="24"/>
          <w:szCs w:val="24"/>
        </w:rPr>
        <w:t>Understanding the five stages of grief</w:t>
      </w:r>
      <w:r>
        <w:rPr>
          <w:rFonts w:ascii="Arial" w:hAnsi="Arial" w:cs="Arial"/>
          <w:i/>
          <w:iCs/>
          <w:sz w:val="24"/>
          <w:szCs w:val="24"/>
        </w:rPr>
        <w:t xml:space="preserve">. </w:t>
      </w:r>
      <w:r>
        <w:rPr>
          <w:rFonts w:ascii="Arial" w:hAnsi="Arial" w:cs="Arial"/>
          <w:sz w:val="24"/>
          <w:szCs w:val="24"/>
        </w:rPr>
        <w:t xml:space="preserve">Cruse Bereavement Support. Available at: </w:t>
      </w:r>
      <w:hyperlink r:id="rId17" w:anchor=":~:text=In%20fact%20K%C3%BCbler%2DRoss%2C%20in,quite%20different%20with%20different%20bereavements" w:history="1">
        <w:r w:rsidRPr="00D41D6E">
          <w:rPr>
            <w:rStyle w:val="Hyperlink"/>
            <w:rFonts w:ascii="Arial" w:hAnsi="Arial" w:cs="Arial"/>
            <w:sz w:val="24"/>
            <w:szCs w:val="24"/>
          </w:rPr>
          <w:t>https://www.cruse.org.uk/understanding-grief/effects-of-grief/five-stages-of-grief/#:~:text=In%20fact%20K%C3%BCbler%2DRoss%2C%20in,quite%20different%20with%20different%20bereavements</w:t>
        </w:r>
      </w:hyperlink>
      <w:r w:rsidRPr="002C7B79">
        <w:rPr>
          <w:rFonts w:ascii="Arial" w:hAnsi="Arial" w:cs="Arial"/>
          <w:sz w:val="24"/>
          <w:szCs w:val="24"/>
        </w:rPr>
        <w:t>.</w:t>
      </w:r>
      <w:r>
        <w:rPr>
          <w:rFonts w:ascii="Arial" w:hAnsi="Arial" w:cs="Arial"/>
          <w:sz w:val="24"/>
          <w:szCs w:val="24"/>
        </w:rPr>
        <w:t xml:space="preserve"> (Accessed 21 October 2024).</w:t>
      </w:r>
    </w:p>
    <w:p w14:paraId="3AFBE8AA" w14:textId="33136517" w:rsidR="00485C40" w:rsidRDefault="00485C40" w:rsidP="0082498E">
      <w:pPr>
        <w:rPr>
          <w:rFonts w:ascii="Arial" w:hAnsi="Arial" w:cs="Arial"/>
          <w:sz w:val="24"/>
          <w:szCs w:val="24"/>
        </w:rPr>
      </w:pPr>
      <w:proofErr w:type="spellStart"/>
      <w:r w:rsidRPr="00485C40">
        <w:rPr>
          <w:rFonts w:ascii="Arial" w:hAnsi="Arial" w:cs="Arial"/>
          <w:sz w:val="24"/>
          <w:szCs w:val="24"/>
        </w:rPr>
        <w:t>CubeHR</w:t>
      </w:r>
      <w:proofErr w:type="spellEnd"/>
      <w:r w:rsidRPr="00485C40">
        <w:rPr>
          <w:rFonts w:ascii="Arial" w:hAnsi="Arial" w:cs="Arial"/>
          <w:sz w:val="24"/>
          <w:szCs w:val="24"/>
        </w:rPr>
        <w:t xml:space="preserve"> (2023) 'The benefits of employee training'. Available at: https://cubehr.co.uk/blog/the-benefits-of-employee-training (Accessed: 27 January 2025).</w:t>
      </w:r>
    </w:p>
    <w:p w14:paraId="4BAB35D7" w14:textId="77777777" w:rsidR="0082498E" w:rsidRDefault="0082498E" w:rsidP="0082498E">
      <w:pPr>
        <w:rPr>
          <w:rFonts w:ascii="Arial" w:hAnsi="Arial" w:cs="Arial"/>
          <w:sz w:val="24"/>
          <w:szCs w:val="24"/>
        </w:rPr>
      </w:pPr>
      <w:r w:rsidRPr="006A3623">
        <w:rPr>
          <w:rFonts w:ascii="Arial" w:hAnsi="Arial" w:cs="Arial"/>
          <w:sz w:val="24"/>
          <w:szCs w:val="24"/>
        </w:rPr>
        <w:t xml:space="preserve">Driver, J. (2022) </w:t>
      </w:r>
      <w:r w:rsidRPr="006A3623">
        <w:rPr>
          <w:rFonts w:ascii="Arial" w:hAnsi="Arial" w:cs="Arial"/>
          <w:i/>
          <w:iCs/>
          <w:sz w:val="24"/>
          <w:szCs w:val="24"/>
        </w:rPr>
        <w:t>'The history of utilitarianism'</w:t>
      </w:r>
      <w:r>
        <w:rPr>
          <w:rFonts w:ascii="Arial" w:hAnsi="Arial" w:cs="Arial"/>
          <w:sz w:val="24"/>
          <w:szCs w:val="24"/>
        </w:rPr>
        <w:t xml:space="preserve"> </w:t>
      </w:r>
      <w:r w:rsidRPr="006A3623">
        <w:rPr>
          <w:rFonts w:ascii="Arial" w:hAnsi="Arial" w:cs="Arial"/>
          <w:sz w:val="24"/>
          <w:szCs w:val="24"/>
        </w:rPr>
        <w:t xml:space="preserve">The Stanford </w:t>
      </w:r>
      <w:proofErr w:type="spellStart"/>
      <w:r w:rsidRPr="006A3623">
        <w:rPr>
          <w:rFonts w:ascii="Arial" w:hAnsi="Arial" w:cs="Arial"/>
          <w:sz w:val="24"/>
          <w:szCs w:val="24"/>
        </w:rPr>
        <w:t>Encyclopedia</w:t>
      </w:r>
      <w:proofErr w:type="spellEnd"/>
      <w:r w:rsidRPr="006A3623">
        <w:rPr>
          <w:rFonts w:ascii="Arial" w:hAnsi="Arial" w:cs="Arial"/>
          <w:sz w:val="24"/>
          <w:szCs w:val="24"/>
        </w:rPr>
        <w:t xml:space="preserve"> of Philosophy</w:t>
      </w:r>
      <w:r>
        <w:rPr>
          <w:rFonts w:ascii="Arial" w:hAnsi="Arial" w:cs="Arial"/>
          <w:sz w:val="24"/>
          <w:szCs w:val="24"/>
        </w:rPr>
        <w:t xml:space="preserve">. </w:t>
      </w:r>
      <w:r w:rsidRPr="006A3623">
        <w:rPr>
          <w:rFonts w:ascii="Arial" w:hAnsi="Arial" w:cs="Arial"/>
          <w:sz w:val="24"/>
          <w:szCs w:val="24"/>
        </w:rPr>
        <w:t xml:space="preserve">(Winter 2022 Edition). Available at: </w:t>
      </w:r>
      <w:hyperlink r:id="rId18" w:tgtFrame="_new" w:history="1">
        <w:r w:rsidRPr="006A3623">
          <w:rPr>
            <w:rStyle w:val="Hyperlink"/>
            <w:rFonts w:ascii="Arial" w:hAnsi="Arial" w:cs="Arial"/>
            <w:sz w:val="24"/>
            <w:szCs w:val="24"/>
          </w:rPr>
          <w:t>https://plato.stanford.edu/archives/win2022/entries/utilitarianism-history/</w:t>
        </w:r>
      </w:hyperlink>
      <w:r w:rsidRPr="006A3623">
        <w:rPr>
          <w:rFonts w:ascii="Arial" w:hAnsi="Arial" w:cs="Arial"/>
          <w:sz w:val="24"/>
          <w:szCs w:val="24"/>
        </w:rPr>
        <w:t xml:space="preserve"> (Accessed</w:t>
      </w:r>
      <w:r>
        <w:rPr>
          <w:rFonts w:ascii="Arial" w:hAnsi="Arial" w:cs="Arial"/>
          <w:sz w:val="24"/>
          <w:szCs w:val="24"/>
        </w:rPr>
        <w:t xml:space="preserve"> 11 November 2024).</w:t>
      </w:r>
    </w:p>
    <w:p w14:paraId="3A5F2DF6" w14:textId="0068894D" w:rsidR="00FD38F6" w:rsidRDefault="00FD38F6" w:rsidP="0082498E">
      <w:pPr>
        <w:rPr>
          <w:rFonts w:ascii="Arial" w:hAnsi="Arial" w:cs="Arial"/>
          <w:sz w:val="24"/>
          <w:szCs w:val="24"/>
        </w:rPr>
      </w:pPr>
      <w:r w:rsidRPr="00FD38F6">
        <w:rPr>
          <w:rFonts w:ascii="Arial" w:hAnsi="Arial" w:cs="Arial"/>
          <w:sz w:val="24"/>
          <w:szCs w:val="24"/>
        </w:rPr>
        <w:t>Employee Benefits (2023) 'How much should I pay for my reward and recognition programme?'. Available at: https://www.employeebenefits.co.uk (Accessed: 27 January 2025).</w:t>
      </w:r>
    </w:p>
    <w:p w14:paraId="023D6070" w14:textId="234E171A" w:rsidR="0082498E" w:rsidRDefault="0082498E" w:rsidP="0082498E">
      <w:pPr>
        <w:rPr>
          <w:rFonts w:ascii="Arial" w:hAnsi="Arial" w:cs="Arial"/>
          <w:sz w:val="24"/>
          <w:szCs w:val="24"/>
        </w:rPr>
      </w:pPr>
      <w:r w:rsidRPr="00CA4FE6">
        <w:rPr>
          <w:rFonts w:ascii="Arial" w:hAnsi="Arial" w:cs="Arial"/>
          <w:sz w:val="24"/>
          <w:szCs w:val="24"/>
        </w:rPr>
        <w:t xml:space="preserve">Fernando, J. (2023) </w:t>
      </w:r>
      <w:r w:rsidRPr="00CA4FE6">
        <w:rPr>
          <w:rFonts w:ascii="Arial" w:hAnsi="Arial" w:cs="Arial"/>
          <w:i/>
          <w:iCs/>
          <w:sz w:val="24"/>
          <w:szCs w:val="24"/>
        </w:rPr>
        <w:t>Return on investment (ROI)</w:t>
      </w:r>
      <w:r w:rsidRPr="00CA4FE6">
        <w:rPr>
          <w:rFonts w:ascii="Arial" w:hAnsi="Arial" w:cs="Arial"/>
          <w:sz w:val="24"/>
          <w:szCs w:val="24"/>
        </w:rPr>
        <w:t xml:space="preserve">. Investopedia. Available at: </w:t>
      </w:r>
      <w:hyperlink r:id="rId19" w:tgtFrame="_new" w:history="1">
        <w:r w:rsidRPr="00CA4FE6">
          <w:rPr>
            <w:rStyle w:val="Hyperlink"/>
            <w:rFonts w:ascii="Arial" w:hAnsi="Arial" w:cs="Arial"/>
            <w:sz w:val="24"/>
            <w:szCs w:val="24"/>
          </w:rPr>
          <w:t>https://www.investopedia.com/terms/r/returnoninvestment.asp</w:t>
        </w:r>
      </w:hyperlink>
      <w:r w:rsidRPr="00CA4FE6">
        <w:rPr>
          <w:rFonts w:ascii="Arial" w:hAnsi="Arial" w:cs="Arial"/>
          <w:sz w:val="24"/>
          <w:szCs w:val="24"/>
        </w:rPr>
        <w:t xml:space="preserve"> (Accessed</w:t>
      </w:r>
      <w:r>
        <w:rPr>
          <w:rFonts w:ascii="Arial" w:hAnsi="Arial" w:cs="Arial"/>
          <w:sz w:val="24"/>
          <w:szCs w:val="24"/>
        </w:rPr>
        <w:t xml:space="preserve"> </w:t>
      </w:r>
      <w:r w:rsidR="00933181">
        <w:rPr>
          <w:rFonts w:ascii="Arial" w:hAnsi="Arial" w:cs="Arial"/>
          <w:sz w:val="24"/>
          <w:szCs w:val="24"/>
        </w:rPr>
        <w:t>26</w:t>
      </w:r>
      <w:r>
        <w:rPr>
          <w:rFonts w:ascii="Arial" w:hAnsi="Arial" w:cs="Arial"/>
          <w:sz w:val="24"/>
          <w:szCs w:val="24"/>
        </w:rPr>
        <w:t xml:space="preserve"> November </w:t>
      </w:r>
      <w:r w:rsidRPr="00CA4FE6">
        <w:rPr>
          <w:rFonts w:ascii="Arial" w:hAnsi="Arial" w:cs="Arial"/>
          <w:sz w:val="24"/>
          <w:szCs w:val="24"/>
        </w:rPr>
        <w:t>2024).</w:t>
      </w:r>
    </w:p>
    <w:p w14:paraId="421299AA" w14:textId="360A39D6" w:rsidR="001F664C" w:rsidRDefault="001F664C" w:rsidP="0082498E">
      <w:pPr>
        <w:rPr>
          <w:rFonts w:ascii="Arial" w:hAnsi="Arial" w:cs="Arial"/>
          <w:sz w:val="24"/>
          <w:szCs w:val="24"/>
        </w:rPr>
      </w:pPr>
      <w:proofErr w:type="spellStart"/>
      <w:r w:rsidRPr="001F664C">
        <w:rPr>
          <w:rFonts w:ascii="Arial" w:hAnsi="Arial" w:cs="Arial"/>
          <w:sz w:val="24"/>
          <w:szCs w:val="24"/>
        </w:rPr>
        <w:t>Garavan</w:t>
      </w:r>
      <w:proofErr w:type="spellEnd"/>
      <w:r w:rsidRPr="001F664C">
        <w:rPr>
          <w:rFonts w:ascii="Arial" w:hAnsi="Arial" w:cs="Arial"/>
          <w:sz w:val="24"/>
          <w:szCs w:val="24"/>
        </w:rPr>
        <w:t xml:space="preserve">, T. N., Carbery, R. and Rock, A. (2016) </w:t>
      </w:r>
      <w:r w:rsidRPr="001F664C">
        <w:rPr>
          <w:rFonts w:ascii="Arial" w:hAnsi="Arial" w:cs="Arial"/>
          <w:i/>
          <w:iCs/>
          <w:sz w:val="24"/>
          <w:szCs w:val="24"/>
        </w:rPr>
        <w:t>Learning and Development in Organizations: Strategy, Evidence and Practice</w:t>
      </w:r>
      <w:r w:rsidRPr="001F664C">
        <w:rPr>
          <w:rFonts w:ascii="Arial" w:hAnsi="Arial" w:cs="Arial"/>
          <w:sz w:val="24"/>
          <w:szCs w:val="24"/>
        </w:rPr>
        <w:t>. Oxford: Oxford University Press.</w:t>
      </w:r>
    </w:p>
    <w:p w14:paraId="07A94850" w14:textId="77777777" w:rsidR="0082498E" w:rsidRDefault="0082498E" w:rsidP="0082498E">
      <w:pPr>
        <w:rPr>
          <w:rFonts w:ascii="Arial" w:hAnsi="Arial" w:cs="Arial"/>
          <w:sz w:val="24"/>
          <w:szCs w:val="24"/>
        </w:rPr>
      </w:pPr>
      <w:r w:rsidRPr="00D57B8E">
        <w:rPr>
          <w:rFonts w:ascii="Arial" w:hAnsi="Arial" w:cs="Arial"/>
          <w:sz w:val="24"/>
          <w:szCs w:val="24"/>
        </w:rPr>
        <w:t>Investec</w:t>
      </w:r>
      <w:r>
        <w:rPr>
          <w:rFonts w:ascii="Arial" w:hAnsi="Arial" w:cs="Arial"/>
          <w:sz w:val="24"/>
          <w:szCs w:val="24"/>
        </w:rPr>
        <w:t>.</w:t>
      </w:r>
      <w:r w:rsidRPr="00D57B8E">
        <w:rPr>
          <w:rFonts w:ascii="Arial" w:hAnsi="Arial" w:cs="Arial"/>
          <w:sz w:val="24"/>
          <w:szCs w:val="24"/>
        </w:rPr>
        <w:t xml:space="preserve"> (</w:t>
      </w:r>
      <w:r>
        <w:rPr>
          <w:rFonts w:ascii="Arial" w:hAnsi="Arial" w:cs="Arial"/>
          <w:sz w:val="24"/>
          <w:szCs w:val="24"/>
        </w:rPr>
        <w:t>2023</w:t>
      </w:r>
      <w:r w:rsidRPr="00D57B8E">
        <w:rPr>
          <w:rFonts w:ascii="Arial" w:hAnsi="Arial" w:cs="Arial"/>
          <w:sz w:val="24"/>
          <w:szCs w:val="24"/>
        </w:rPr>
        <w:t xml:space="preserve">) </w:t>
      </w:r>
      <w:r w:rsidRPr="00D57B8E">
        <w:rPr>
          <w:rFonts w:ascii="Arial" w:hAnsi="Arial" w:cs="Arial"/>
          <w:i/>
          <w:iCs/>
          <w:sz w:val="24"/>
          <w:szCs w:val="24"/>
        </w:rPr>
        <w:t>The power of charity partnerships and working collaboratively</w:t>
      </w:r>
      <w:r w:rsidRPr="00D57B8E">
        <w:rPr>
          <w:rFonts w:ascii="Arial" w:hAnsi="Arial" w:cs="Arial"/>
          <w:sz w:val="24"/>
          <w:szCs w:val="24"/>
        </w:rPr>
        <w:t xml:space="preserve">. Available at: </w:t>
      </w:r>
      <w:hyperlink r:id="rId20" w:tgtFrame="_new" w:history="1">
        <w:r w:rsidRPr="00D57B8E">
          <w:rPr>
            <w:rStyle w:val="Hyperlink"/>
            <w:rFonts w:ascii="Arial" w:hAnsi="Arial" w:cs="Arial"/>
            <w:sz w:val="24"/>
            <w:szCs w:val="24"/>
          </w:rPr>
          <w:t>https://www.investec.com/en_gb/wealth/charities/trustee-academy/power-of-charity-partnerships-and-working-collaboratively.html</w:t>
        </w:r>
      </w:hyperlink>
      <w:r w:rsidRPr="00D57B8E">
        <w:rPr>
          <w:rFonts w:ascii="Arial" w:hAnsi="Arial" w:cs="Arial"/>
          <w:sz w:val="24"/>
          <w:szCs w:val="24"/>
        </w:rPr>
        <w:t xml:space="preserve"> (Accessed</w:t>
      </w:r>
      <w:r>
        <w:rPr>
          <w:rFonts w:ascii="Arial" w:hAnsi="Arial" w:cs="Arial"/>
          <w:sz w:val="24"/>
          <w:szCs w:val="24"/>
        </w:rPr>
        <w:t xml:space="preserve"> 30 October </w:t>
      </w:r>
      <w:r w:rsidRPr="00D57B8E">
        <w:rPr>
          <w:rFonts w:ascii="Arial" w:hAnsi="Arial" w:cs="Arial"/>
          <w:sz w:val="24"/>
          <w:szCs w:val="24"/>
        </w:rPr>
        <w:t>2024).</w:t>
      </w:r>
    </w:p>
    <w:p w14:paraId="0447CB35" w14:textId="30FA60F2" w:rsidR="0082498E" w:rsidRDefault="0082498E" w:rsidP="0082498E">
      <w:pPr>
        <w:rPr>
          <w:rFonts w:ascii="Arial" w:hAnsi="Arial" w:cs="Arial"/>
          <w:sz w:val="24"/>
          <w:szCs w:val="24"/>
        </w:rPr>
      </w:pPr>
      <w:r w:rsidRPr="0082786B">
        <w:rPr>
          <w:rFonts w:ascii="Arial" w:hAnsi="Arial" w:cs="Arial"/>
          <w:sz w:val="24"/>
          <w:szCs w:val="24"/>
        </w:rPr>
        <w:t>Jay, S. (</w:t>
      </w:r>
      <w:r>
        <w:rPr>
          <w:rFonts w:ascii="Arial" w:hAnsi="Arial" w:cs="Arial"/>
          <w:sz w:val="24"/>
          <w:szCs w:val="24"/>
        </w:rPr>
        <w:t>2023</w:t>
      </w:r>
      <w:r w:rsidRPr="0082786B">
        <w:rPr>
          <w:rFonts w:ascii="Arial" w:hAnsi="Arial" w:cs="Arial"/>
          <w:sz w:val="24"/>
          <w:szCs w:val="24"/>
        </w:rPr>
        <w:t xml:space="preserve">) </w:t>
      </w:r>
      <w:r w:rsidRPr="0082786B">
        <w:rPr>
          <w:rFonts w:ascii="Arial" w:hAnsi="Arial" w:cs="Arial"/>
          <w:i/>
          <w:iCs/>
          <w:sz w:val="24"/>
          <w:szCs w:val="24"/>
        </w:rPr>
        <w:t>Productivity analysis: What it is and how to conduct it</w:t>
      </w:r>
      <w:r w:rsidRPr="0082786B">
        <w:rPr>
          <w:rFonts w:ascii="Arial" w:hAnsi="Arial" w:cs="Arial"/>
          <w:sz w:val="24"/>
          <w:szCs w:val="24"/>
        </w:rPr>
        <w:t xml:space="preserve">. AIHR. Available at: </w:t>
      </w:r>
      <w:hyperlink r:id="rId21" w:anchor=":~:text=Productivity%20analysis%20is%20important%20because,job%20and%20engaged%20at%20work" w:tgtFrame="_new" w:history="1">
        <w:r w:rsidRPr="0082786B">
          <w:rPr>
            <w:rStyle w:val="Hyperlink"/>
            <w:rFonts w:ascii="Arial" w:hAnsi="Arial" w:cs="Arial"/>
            <w:sz w:val="24"/>
            <w:szCs w:val="24"/>
          </w:rPr>
          <w:t>https://www.aihr.com/blog/productivity-analysis/#:~:text=Productivity%20analysis%20is%20important%20because,job%20and%20engaged%20at%20work</w:t>
        </w:r>
      </w:hyperlink>
      <w:r w:rsidRPr="0082786B">
        <w:rPr>
          <w:rFonts w:ascii="Arial" w:hAnsi="Arial" w:cs="Arial"/>
          <w:sz w:val="24"/>
          <w:szCs w:val="24"/>
        </w:rPr>
        <w:t xml:space="preserve"> (Accessed</w:t>
      </w:r>
      <w:r>
        <w:rPr>
          <w:rFonts w:ascii="Arial" w:hAnsi="Arial" w:cs="Arial"/>
          <w:sz w:val="24"/>
          <w:szCs w:val="24"/>
        </w:rPr>
        <w:t xml:space="preserve"> </w:t>
      </w:r>
      <w:r w:rsidR="00933181">
        <w:rPr>
          <w:rFonts w:ascii="Arial" w:hAnsi="Arial" w:cs="Arial"/>
          <w:sz w:val="24"/>
          <w:szCs w:val="24"/>
        </w:rPr>
        <w:t>30</w:t>
      </w:r>
      <w:r>
        <w:rPr>
          <w:rFonts w:ascii="Arial" w:hAnsi="Arial" w:cs="Arial"/>
          <w:sz w:val="24"/>
          <w:szCs w:val="24"/>
        </w:rPr>
        <w:t xml:space="preserve"> November 2024</w:t>
      </w:r>
      <w:r w:rsidRPr="0082786B">
        <w:rPr>
          <w:rFonts w:ascii="Arial" w:hAnsi="Arial" w:cs="Arial"/>
          <w:sz w:val="24"/>
          <w:szCs w:val="24"/>
        </w:rPr>
        <w:t>).</w:t>
      </w:r>
    </w:p>
    <w:p w14:paraId="514B65D1" w14:textId="77777777" w:rsidR="0082498E" w:rsidRDefault="0082498E" w:rsidP="0082498E">
      <w:pPr>
        <w:rPr>
          <w:rFonts w:ascii="Arial" w:hAnsi="Arial" w:cs="Arial"/>
          <w:sz w:val="24"/>
          <w:szCs w:val="24"/>
        </w:rPr>
      </w:pPr>
      <w:r w:rsidRPr="001C2261">
        <w:rPr>
          <w:rFonts w:ascii="Arial" w:hAnsi="Arial" w:cs="Arial"/>
          <w:sz w:val="24"/>
          <w:szCs w:val="24"/>
        </w:rPr>
        <w:t>Mulder, P. (20</w:t>
      </w:r>
      <w:r>
        <w:rPr>
          <w:rFonts w:ascii="Arial" w:hAnsi="Arial" w:cs="Arial"/>
          <w:sz w:val="24"/>
          <w:szCs w:val="24"/>
        </w:rPr>
        <w:t>23</w:t>
      </w:r>
      <w:r w:rsidRPr="001C2261">
        <w:rPr>
          <w:rFonts w:ascii="Arial" w:hAnsi="Arial" w:cs="Arial"/>
          <w:sz w:val="24"/>
          <w:szCs w:val="24"/>
        </w:rPr>
        <w:t xml:space="preserve">) </w:t>
      </w:r>
      <w:r w:rsidRPr="001C2261">
        <w:rPr>
          <w:rFonts w:ascii="Arial" w:hAnsi="Arial" w:cs="Arial"/>
          <w:i/>
          <w:iCs/>
          <w:sz w:val="24"/>
          <w:szCs w:val="24"/>
        </w:rPr>
        <w:t>Kepner and Tregoe’s Decision-Making Model</w:t>
      </w:r>
      <w:r w:rsidRPr="001C2261">
        <w:rPr>
          <w:rFonts w:ascii="Arial" w:hAnsi="Arial" w:cs="Arial"/>
          <w:sz w:val="24"/>
          <w:szCs w:val="24"/>
        </w:rPr>
        <w:t xml:space="preserve">. Available at: </w:t>
      </w:r>
      <w:hyperlink r:id="rId22" w:history="1">
        <w:r w:rsidRPr="00D41D6E">
          <w:rPr>
            <w:rStyle w:val="Hyperlink"/>
            <w:rFonts w:ascii="Arial" w:hAnsi="Arial" w:cs="Arial"/>
            <w:sz w:val="24"/>
            <w:szCs w:val="24"/>
          </w:rPr>
          <w:t>https://www.toolshero.com/problem-solving/kepner-tregoe-method/</w:t>
        </w:r>
      </w:hyperlink>
      <w:r>
        <w:rPr>
          <w:rFonts w:ascii="Arial" w:hAnsi="Arial" w:cs="Arial"/>
          <w:sz w:val="24"/>
          <w:szCs w:val="24"/>
        </w:rPr>
        <w:t xml:space="preserve"> </w:t>
      </w:r>
      <w:r w:rsidRPr="001C2261">
        <w:rPr>
          <w:rFonts w:ascii="Arial" w:hAnsi="Arial" w:cs="Arial"/>
          <w:sz w:val="24"/>
          <w:szCs w:val="24"/>
        </w:rPr>
        <w:t>(Accessed</w:t>
      </w:r>
      <w:r>
        <w:rPr>
          <w:rFonts w:ascii="Arial" w:hAnsi="Arial" w:cs="Arial"/>
          <w:sz w:val="24"/>
          <w:szCs w:val="24"/>
        </w:rPr>
        <w:t xml:space="preserve"> 10</w:t>
      </w:r>
      <w:r w:rsidRPr="001C2261">
        <w:rPr>
          <w:rFonts w:ascii="Arial" w:hAnsi="Arial" w:cs="Arial"/>
          <w:sz w:val="24"/>
          <w:szCs w:val="24"/>
        </w:rPr>
        <w:t xml:space="preserve"> </w:t>
      </w:r>
      <w:r>
        <w:rPr>
          <w:rFonts w:ascii="Arial" w:hAnsi="Arial" w:cs="Arial"/>
          <w:sz w:val="24"/>
          <w:szCs w:val="24"/>
        </w:rPr>
        <w:t>November</w:t>
      </w:r>
      <w:r w:rsidRPr="001C2261">
        <w:rPr>
          <w:rFonts w:ascii="Arial" w:hAnsi="Arial" w:cs="Arial"/>
          <w:sz w:val="24"/>
          <w:szCs w:val="24"/>
        </w:rPr>
        <w:t xml:space="preserve"> 2024).</w:t>
      </w:r>
    </w:p>
    <w:p w14:paraId="495D0A45" w14:textId="185EA13F" w:rsidR="00485C40" w:rsidRDefault="00485C40" w:rsidP="0082498E">
      <w:pPr>
        <w:rPr>
          <w:rFonts w:ascii="Arial" w:hAnsi="Arial" w:cs="Arial"/>
          <w:sz w:val="24"/>
          <w:szCs w:val="24"/>
        </w:rPr>
      </w:pPr>
      <w:r w:rsidRPr="00485C40">
        <w:rPr>
          <w:rFonts w:ascii="Arial" w:hAnsi="Arial" w:cs="Arial"/>
          <w:sz w:val="24"/>
          <w:szCs w:val="24"/>
        </w:rPr>
        <w:t xml:space="preserve">Noe, R. A., Hollenbeck, J. R., Gerhart, B. and Wright, P. M. (2021) </w:t>
      </w:r>
      <w:r w:rsidRPr="00485C40">
        <w:rPr>
          <w:rFonts w:ascii="Arial" w:hAnsi="Arial" w:cs="Arial"/>
          <w:i/>
          <w:iCs/>
          <w:sz w:val="24"/>
          <w:szCs w:val="24"/>
        </w:rPr>
        <w:t>Human Resource Management: Gaining a Competitive Advantage</w:t>
      </w:r>
      <w:r w:rsidRPr="00485C40">
        <w:rPr>
          <w:rFonts w:ascii="Arial" w:hAnsi="Arial" w:cs="Arial"/>
          <w:sz w:val="24"/>
          <w:szCs w:val="24"/>
        </w:rPr>
        <w:t xml:space="preserve">. 12th </w:t>
      </w:r>
      <w:proofErr w:type="spellStart"/>
      <w:r w:rsidRPr="00485C40">
        <w:rPr>
          <w:rFonts w:ascii="Arial" w:hAnsi="Arial" w:cs="Arial"/>
          <w:sz w:val="24"/>
          <w:szCs w:val="24"/>
        </w:rPr>
        <w:t>edn</w:t>
      </w:r>
      <w:proofErr w:type="spellEnd"/>
      <w:r w:rsidRPr="00485C40">
        <w:rPr>
          <w:rFonts w:ascii="Arial" w:hAnsi="Arial" w:cs="Arial"/>
          <w:sz w:val="24"/>
          <w:szCs w:val="24"/>
        </w:rPr>
        <w:t>. New York: McGraw-Hill Education.</w:t>
      </w:r>
    </w:p>
    <w:p w14:paraId="00E73BDB" w14:textId="0D388A67" w:rsidR="00A73E77" w:rsidRDefault="009C164A" w:rsidP="0082498E">
      <w:pPr>
        <w:rPr>
          <w:rFonts w:ascii="Arial" w:hAnsi="Arial" w:cs="Arial"/>
          <w:sz w:val="24"/>
          <w:szCs w:val="24"/>
        </w:rPr>
      </w:pPr>
      <w:r w:rsidRPr="009C164A">
        <w:rPr>
          <w:rFonts w:ascii="Arial" w:hAnsi="Arial" w:cs="Arial"/>
          <w:sz w:val="24"/>
          <w:szCs w:val="24"/>
        </w:rPr>
        <w:t>Quantum Workplace (2023) 'The importance of employee recognition: Statistics and research'. Available at: https://www.quantumworkplace.com (Accessed: 27 January 2025)</w:t>
      </w:r>
      <w:r w:rsidR="00D74108">
        <w:rPr>
          <w:rFonts w:ascii="Arial" w:hAnsi="Arial" w:cs="Arial"/>
          <w:sz w:val="24"/>
          <w:szCs w:val="24"/>
        </w:rPr>
        <w:t>.</w:t>
      </w:r>
    </w:p>
    <w:p w14:paraId="3507CA64" w14:textId="7AD25231" w:rsidR="00D74108" w:rsidRDefault="00D74108" w:rsidP="0082498E">
      <w:pPr>
        <w:rPr>
          <w:rFonts w:ascii="Arial" w:hAnsi="Arial" w:cs="Arial"/>
          <w:sz w:val="24"/>
          <w:szCs w:val="24"/>
        </w:rPr>
      </w:pPr>
      <w:r w:rsidRPr="00D74108">
        <w:rPr>
          <w:rFonts w:ascii="Arial" w:hAnsi="Arial" w:cs="Arial"/>
          <w:sz w:val="24"/>
          <w:szCs w:val="24"/>
        </w:rPr>
        <w:lastRenderedPageBreak/>
        <w:t xml:space="preserve">Serrat, O. (2017) </w:t>
      </w:r>
      <w:r w:rsidRPr="00D74108">
        <w:rPr>
          <w:rFonts w:ascii="Arial" w:hAnsi="Arial" w:cs="Arial"/>
          <w:i/>
          <w:iCs/>
          <w:sz w:val="24"/>
          <w:szCs w:val="24"/>
        </w:rPr>
        <w:t>Knowledge solutions: Tools, methods, and approaches to drive organisational performance</w:t>
      </w:r>
      <w:r w:rsidRPr="00D74108">
        <w:rPr>
          <w:rFonts w:ascii="Arial" w:hAnsi="Arial" w:cs="Arial"/>
          <w:sz w:val="24"/>
          <w:szCs w:val="24"/>
        </w:rPr>
        <w:t xml:space="preserve">. 3rd </w:t>
      </w:r>
      <w:proofErr w:type="spellStart"/>
      <w:r w:rsidRPr="00D74108">
        <w:rPr>
          <w:rFonts w:ascii="Arial" w:hAnsi="Arial" w:cs="Arial"/>
          <w:sz w:val="24"/>
          <w:szCs w:val="24"/>
        </w:rPr>
        <w:t>edn</w:t>
      </w:r>
      <w:proofErr w:type="spellEnd"/>
      <w:r w:rsidRPr="00D74108">
        <w:rPr>
          <w:rFonts w:ascii="Arial" w:hAnsi="Arial" w:cs="Arial"/>
          <w:sz w:val="24"/>
          <w:szCs w:val="24"/>
        </w:rPr>
        <w:t xml:space="preserve">. Singapore: Springer. Available at: </w:t>
      </w:r>
      <w:hyperlink r:id="rId23" w:tgtFrame="_new" w:history="1">
        <w:r w:rsidRPr="00D74108">
          <w:rPr>
            <w:rStyle w:val="Hyperlink"/>
            <w:rFonts w:ascii="Arial" w:hAnsi="Arial" w:cs="Arial"/>
            <w:sz w:val="24"/>
            <w:szCs w:val="24"/>
          </w:rPr>
          <w:t>https://link.springer.com</w:t>
        </w:r>
      </w:hyperlink>
      <w:r w:rsidRPr="00D74108">
        <w:rPr>
          <w:rFonts w:ascii="Arial" w:hAnsi="Arial" w:cs="Arial"/>
          <w:sz w:val="24"/>
          <w:szCs w:val="24"/>
        </w:rPr>
        <w:t xml:space="preserve"> (Accessed: 27 January 2025).</w:t>
      </w:r>
    </w:p>
    <w:p w14:paraId="6786F940" w14:textId="76E10296" w:rsidR="008260DE" w:rsidRDefault="008260DE" w:rsidP="0082498E">
      <w:pPr>
        <w:rPr>
          <w:rFonts w:ascii="Arial" w:hAnsi="Arial" w:cs="Arial"/>
          <w:sz w:val="24"/>
          <w:szCs w:val="24"/>
        </w:rPr>
      </w:pPr>
      <w:r w:rsidRPr="008260DE">
        <w:rPr>
          <w:rFonts w:ascii="Arial" w:hAnsi="Arial" w:cs="Arial"/>
          <w:sz w:val="24"/>
          <w:szCs w:val="24"/>
        </w:rPr>
        <w:t xml:space="preserve">Society for Human Resource Management (SHRM) (2023) 'The risks and rewards of employee incentive programs'. Available at: </w:t>
      </w:r>
      <w:hyperlink r:id="rId24" w:tgtFrame="_new" w:history="1">
        <w:r w:rsidRPr="008260DE">
          <w:rPr>
            <w:rStyle w:val="Hyperlink"/>
            <w:rFonts w:ascii="Arial" w:hAnsi="Arial" w:cs="Arial"/>
            <w:sz w:val="24"/>
            <w:szCs w:val="24"/>
          </w:rPr>
          <w:t>https://www.shrm.org</w:t>
        </w:r>
      </w:hyperlink>
      <w:r w:rsidRPr="008260DE">
        <w:rPr>
          <w:rFonts w:ascii="Arial" w:hAnsi="Arial" w:cs="Arial"/>
          <w:sz w:val="24"/>
          <w:szCs w:val="24"/>
        </w:rPr>
        <w:t xml:space="preserve"> (Accessed: 27 January 2025)</w:t>
      </w:r>
    </w:p>
    <w:p w14:paraId="548DEF00" w14:textId="1B0B64A9" w:rsidR="0082498E" w:rsidRDefault="0082498E" w:rsidP="0082498E">
      <w:pPr>
        <w:rPr>
          <w:rFonts w:ascii="Arial" w:hAnsi="Arial" w:cs="Arial"/>
          <w:sz w:val="24"/>
          <w:szCs w:val="24"/>
        </w:rPr>
      </w:pPr>
      <w:r w:rsidRPr="00226B1E">
        <w:rPr>
          <w:rFonts w:ascii="Arial" w:hAnsi="Arial" w:cs="Arial"/>
          <w:sz w:val="24"/>
          <w:szCs w:val="24"/>
        </w:rPr>
        <w:t xml:space="preserve">Smith, N. (2024) </w:t>
      </w:r>
      <w:r w:rsidRPr="00226B1E">
        <w:rPr>
          <w:rFonts w:ascii="Arial" w:hAnsi="Arial" w:cs="Arial"/>
          <w:i/>
          <w:iCs/>
          <w:sz w:val="24"/>
          <w:szCs w:val="24"/>
        </w:rPr>
        <w:t>Multigenerational workforce.</w:t>
      </w:r>
      <w:r w:rsidRPr="00226B1E">
        <w:rPr>
          <w:rFonts w:ascii="Arial" w:hAnsi="Arial" w:cs="Arial"/>
          <w:sz w:val="24"/>
          <w:szCs w:val="24"/>
        </w:rPr>
        <w:t xml:space="preserve"> Available at: </w:t>
      </w:r>
      <w:hyperlink r:id="rId25" w:tgtFrame="_new" w:history="1">
        <w:r w:rsidRPr="00226B1E">
          <w:rPr>
            <w:rStyle w:val="Hyperlink"/>
            <w:rFonts w:ascii="Arial" w:hAnsi="Arial" w:cs="Arial"/>
            <w:sz w:val="24"/>
            <w:szCs w:val="24"/>
          </w:rPr>
          <w:t>https://www.totaljobs.com/recruiter-advice/multigenerational-workforce</w:t>
        </w:r>
      </w:hyperlink>
      <w:r w:rsidRPr="00226B1E">
        <w:rPr>
          <w:rFonts w:ascii="Arial" w:hAnsi="Arial" w:cs="Arial"/>
          <w:sz w:val="24"/>
          <w:szCs w:val="24"/>
        </w:rPr>
        <w:t xml:space="preserve"> (Accessed</w:t>
      </w:r>
      <w:r>
        <w:rPr>
          <w:rFonts w:ascii="Arial" w:hAnsi="Arial" w:cs="Arial"/>
          <w:sz w:val="24"/>
          <w:szCs w:val="24"/>
        </w:rPr>
        <w:t xml:space="preserve"> </w:t>
      </w:r>
      <w:r w:rsidR="00933181">
        <w:rPr>
          <w:rFonts w:ascii="Arial" w:hAnsi="Arial" w:cs="Arial"/>
          <w:sz w:val="24"/>
          <w:szCs w:val="24"/>
        </w:rPr>
        <w:t>01</w:t>
      </w:r>
      <w:r>
        <w:rPr>
          <w:rFonts w:ascii="Arial" w:hAnsi="Arial" w:cs="Arial"/>
          <w:sz w:val="24"/>
          <w:szCs w:val="24"/>
        </w:rPr>
        <w:t xml:space="preserve"> </w:t>
      </w:r>
      <w:r w:rsidR="00933181">
        <w:rPr>
          <w:rFonts w:ascii="Arial" w:hAnsi="Arial" w:cs="Arial"/>
          <w:sz w:val="24"/>
          <w:szCs w:val="24"/>
        </w:rPr>
        <w:t>December</w:t>
      </w:r>
      <w:r>
        <w:rPr>
          <w:rFonts w:ascii="Arial" w:hAnsi="Arial" w:cs="Arial"/>
          <w:sz w:val="24"/>
          <w:szCs w:val="24"/>
        </w:rPr>
        <w:t xml:space="preserve"> 2024).</w:t>
      </w:r>
    </w:p>
    <w:p w14:paraId="6416B168" w14:textId="77777777" w:rsidR="0082498E" w:rsidRPr="002C7B79" w:rsidRDefault="0082498E" w:rsidP="0082498E">
      <w:pPr>
        <w:rPr>
          <w:rFonts w:ascii="Arial" w:hAnsi="Arial" w:cs="Arial"/>
          <w:sz w:val="24"/>
          <w:szCs w:val="24"/>
        </w:rPr>
      </w:pPr>
      <w:r>
        <w:rPr>
          <w:rFonts w:ascii="Arial" w:hAnsi="Arial" w:cs="Arial"/>
          <w:sz w:val="24"/>
          <w:szCs w:val="24"/>
        </w:rPr>
        <w:t>The De</w:t>
      </w:r>
      <w:r w:rsidRPr="001C2261">
        <w:rPr>
          <w:rFonts w:ascii="Arial" w:hAnsi="Arial" w:cs="Arial"/>
          <w:sz w:val="24"/>
          <w:szCs w:val="24"/>
        </w:rPr>
        <w:t xml:space="preserve"> Bono Group (</w:t>
      </w:r>
      <w:r>
        <w:rPr>
          <w:rFonts w:ascii="Arial" w:hAnsi="Arial" w:cs="Arial"/>
          <w:sz w:val="24"/>
          <w:szCs w:val="24"/>
        </w:rPr>
        <w:t>2024</w:t>
      </w:r>
      <w:r w:rsidRPr="001C2261">
        <w:rPr>
          <w:rFonts w:ascii="Arial" w:hAnsi="Arial" w:cs="Arial"/>
          <w:sz w:val="24"/>
          <w:szCs w:val="24"/>
        </w:rPr>
        <w:t xml:space="preserve">) </w:t>
      </w:r>
      <w:r w:rsidRPr="001C2261">
        <w:rPr>
          <w:rFonts w:ascii="Arial" w:hAnsi="Arial" w:cs="Arial"/>
          <w:i/>
          <w:iCs/>
          <w:sz w:val="24"/>
          <w:szCs w:val="24"/>
        </w:rPr>
        <w:t>Six Thinking Hats: Core Programs.</w:t>
      </w:r>
      <w:r w:rsidRPr="001C2261">
        <w:rPr>
          <w:rFonts w:ascii="Arial" w:hAnsi="Arial" w:cs="Arial"/>
          <w:sz w:val="24"/>
          <w:szCs w:val="24"/>
        </w:rPr>
        <w:t xml:space="preserve"> Available at: https://www.debonogroup.com/services/core-programs/six-thinking-hats/ (Accessed</w:t>
      </w:r>
      <w:r>
        <w:rPr>
          <w:rFonts w:ascii="Arial" w:hAnsi="Arial" w:cs="Arial"/>
          <w:sz w:val="24"/>
          <w:szCs w:val="24"/>
        </w:rPr>
        <w:t xml:space="preserve"> 10 November </w:t>
      </w:r>
      <w:r w:rsidRPr="001C2261">
        <w:rPr>
          <w:rFonts w:ascii="Arial" w:hAnsi="Arial" w:cs="Arial"/>
          <w:sz w:val="24"/>
          <w:szCs w:val="24"/>
        </w:rPr>
        <w:t>2024).</w:t>
      </w:r>
    </w:p>
    <w:p w14:paraId="55A0DDE3" w14:textId="77777777" w:rsidR="0082498E" w:rsidRPr="00097F25" w:rsidRDefault="0082498E" w:rsidP="0082498E">
      <w:pPr>
        <w:rPr>
          <w:rFonts w:ascii="Arial" w:hAnsi="Arial" w:cs="Arial"/>
          <w:sz w:val="24"/>
          <w:szCs w:val="24"/>
        </w:rPr>
      </w:pPr>
      <w:r w:rsidRPr="003D687A">
        <w:rPr>
          <w:rFonts w:ascii="Arial" w:hAnsi="Arial" w:cs="Arial"/>
          <w:sz w:val="24"/>
          <w:szCs w:val="24"/>
        </w:rPr>
        <w:t>Young, J. (202</w:t>
      </w:r>
      <w:r>
        <w:rPr>
          <w:rFonts w:ascii="Arial" w:hAnsi="Arial" w:cs="Arial"/>
          <w:sz w:val="24"/>
          <w:szCs w:val="24"/>
        </w:rPr>
        <w:t>4</w:t>
      </w:r>
      <w:r w:rsidRPr="003D687A">
        <w:rPr>
          <w:rFonts w:ascii="Arial" w:hAnsi="Arial" w:cs="Arial"/>
          <w:i/>
          <w:iCs/>
          <w:sz w:val="24"/>
          <w:szCs w:val="24"/>
        </w:rPr>
        <w:t>) Evidence-based practice for effective decision-making</w:t>
      </w:r>
      <w:r w:rsidRPr="003D687A">
        <w:rPr>
          <w:rFonts w:ascii="Arial" w:hAnsi="Arial" w:cs="Arial"/>
          <w:sz w:val="24"/>
          <w:szCs w:val="24"/>
        </w:rPr>
        <w:t>.</w:t>
      </w:r>
      <w:r>
        <w:rPr>
          <w:rFonts w:ascii="Arial" w:hAnsi="Arial" w:cs="Arial"/>
          <w:sz w:val="24"/>
          <w:szCs w:val="24"/>
        </w:rPr>
        <w:t xml:space="preserve"> CIPD.</w:t>
      </w:r>
      <w:r w:rsidRPr="003D687A">
        <w:rPr>
          <w:rFonts w:ascii="Arial" w:hAnsi="Arial" w:cs="Arial"/>
          <w:sz w:val="24"/>
          <w:szCs w:val="24"/>
        </w:rPr>
        <w:t xml:space="preserve"> Available at: </w:t>
      </w:r>
      <w:hyperlink r:id="rId26" w:anchor="what-is-evidencebased-practice" w:history="1">
        <w:r w:rsidRPr="00D41D6E">
          <w:rPr>
            <w:rStyle w:val="Hyperlink"/>
            <w:rFonts w:ascii="Arial" w:hAnsi="Arial" w:cs="Arial"/>
            <w:sz w:val="24"/>
            <w:szCs w:val="24"/>
          </w:rPr>
          <w:t>https://www.cipd.org/uk/knowledge/factsheets/evidence-based-practice-factsheet/#what-is-evidencebased-practice</w:t>
        </w:r>
      </w:hyperlink>
      <w:r>
        <w:rPr>
          <w:rFonts w:ascii="Arial" w:hAnsi="Arial" w:cs="Arial"/>
          <w:sz w:val="24"/>
          <w:szCs w:val="24"/>
        </w:rPr>
        <w:t xml:space="preserve"> (Accessed 30 October 2024). </w:t>
      </w:r>
    </w:p>
    <w:p w14:paraId="176D3804" w14:textId="77777777" w:rsidR="0082498E" w:rsidRDefault="0082498E" w:rsidP="0082498E"/>
    <w:p w14:paraId="22082075" w14:textId="77777777" w:rsidR="00AB5CF1" w:rsidRDefault="00AB5CF1"/>
    <w:sectPr w:rsidR="00AB5C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Narrow">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C2B5F"/>
    <w:multiLevelType w:val="multilevel"/>
    <w:tmpl w:val="2CDE9C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223DD0"/>
    <w:multiLevelType w:val="hybridMultilevel"/>
    <w:tmpl w:val="F5B0F91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305D0"/>
    <w:multiLevelType w:val="multilevel"/>
    <w:tmpl w:val="7EBA28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FC34C8"/>
    <w:multiLevelType w:val="multilevel"/>
    <w:tmpl w:val="34309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F73179"/>
    <w:multiLevelType w:val="hybridMultilevel"/>
    <w:tmpl w:val="F970E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2515507">
    <w:abstractNumId w:val="2"/>
  </w:num>
  <w:num w:numId="2" w16cid:durableId="468014137">
    <w:abstractNumId w:val="0"/>
  </w:num>
  <w:num w:numId="3" w16cid:durableId="1734115290">
    <w:abstractNumId w:val="3"/>
  </w:num>
  <w:num w:numId="4" w16cid:durableId="2076007302">
    <w:abstractNumId w:val="1"/>
  </w:num>
  <w:num w:numId="5" w16cid:durableId="9445341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98E"/>
    <w:rsid w:val="000E7D98"/>
    <w:rsid w:val="000F3CF3"/>
    <w:rsid w:val="00190226"/>
    <w:rsid w:val="001F664C"/>
    <w:rsid w:val="00212488"/>
    <w:rsid w:val="0023750F"/>
    <w:rsid w:val="0024777C"/>
    <w:rsid w:val="00291FDF"/>
    <w:rsid w:val="0037659E"/>
    <w:rsid w:val="004044D9"/>
    <w:rsid w:val="0047321E"/>
    <w:rsid w:val="00485C40"/>
    <w:rsid w:val="0049462C"/>
    <w:rsid w:val="004F47E4"/>
    <w:rsid w:val="005174BE"/>
    <w:rsid w:val="005B3506"/>
    <w:rsid w:val="005C1072"/>
    <w:rsid w:val="0082498E"/>
    <w:rsid w:val="008260DE"/>
    <w:rsid w:val="008B6F9F"/>
    <w:rsid w:val="008D0553"/>
    <w:rsid w:val="00933181"/>
    <w:rsid w:val="009C164A"/>
    <w:rsid w:val="00A036DB"/>
    <w:rsid w:val="00A73E77"/>
    <w:rsid w:val="00AB5CF1"/>
    <w:rsid w:val="00AD0448"/>
    <w:rsid w:val="00AE50C9"/>
    <w:rsid w:val="00B54951"/>
    <w:rsid w:val="00C63077"/>
    <w:rsid w:val="00C6765F"/>
    <w:rsid w:val="00C76842"/>
    <w:rsid w:val="00D74108"/>
    <w:rsid w:val="00DC79B9"/>
    <w:rsid w:val="00E24B57"/>
    <w:rsid w:val="00EC3A46"/>
    <w:rsid w:val="00F21347"/>
    <w:rsid w:val="00F87C5C"/>
    <w:rsid w:val="00FD3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7D9C4"/>
  <w15:chartTrackingRefBased/>
  <w15:docId w15:val="{0072A5EB-7722-4787-9B0E-DE64F7758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98E"/>
  </w:style>
  <w:style w:type="paragraph" w:styleId="Heading1">
    <w:name w:val="heading 1"/>
    <w:basedOn w:val="Normal"/>
    <w:next w:val="Normal"/>
    <w:link w:val="Heading1Char"/>
    <w:uiPriority w:val="9"/>
    <w:qFormat/>
    <w:rsid w:val="008249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49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49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49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49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49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49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49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49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9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49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49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49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49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49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49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49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498E"/>
    <w:rPr>
      <w:rFonts w:eastAsiaTheme="majorEastAsia" w:cstheme="majorBidi"/>
      <w:color w:val="272727" w:themeColor="text1" w:themeTint="D8"/>
    </w:rPr>
  </w:style>
  <w:style w:type="paragraph" w:styleId="Title">
    <w:name w:val="Title"/>
    <w:basedOn w:val="Normal"/>
    <w:next w:val="Normal"/>
    <w:link w:val="TitleChar"/>
    <w:uiPriority w:val="10"/>
    <w:qFormat/>
    <w:rsid w:val="008249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49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49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49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498E"/>
    <w:pPr>
      <w:spacing w:before="160"/>
      <w:jc w:val="center"/>
    </w:pPr>
    <w:rPr>
      <w:i/>
      <w:iCs/>
      <w:color w:val="404040" w:themeColor="text1" w:themeTint="BF"/>
    </w:rPr>
  </w:style>
  <w:style w:type="character" w:customStyle="1" w:styleId="QuoteChar">
    <w:name w:val="Quote Char"/>
    <w:basedOn w:val="DefaultParagraphFont"/>
    <w:link w:val="Quote"/>
    <w:uiPriority w:val="29"/>
    <w:rsid w:val="0082498E"/>
    <w:rPr>
      <w:i/>
      <w:iCs/>
      <w:color w:val="404040" w:themeColor="text1" w:themeTint="BF"/>
    </w:rPr>
  </w:style>
  <w:style w:type="paragraph" w:styleId="ListParagraph">
    <w:name w:val="List Paragraph"/>
    <w:basedOn w:val="Normal"/>
    <w:uiPriority w:val="34"/>
    <w:qFormat/>
    <w:rsid w:val="0082498E"/>
    <w:pPr>
      <w:ind w:left="720"/>
      <w:contextualSpacing/>
    </w:pPr>
  </w:style>
  <w:style w:type="character" w:styleId="IntenseEmphasis">
    <w:name w:val="Intense Emphasis"/>
    <w:basedOn w:val="DefaultParagraphFont"/>
    <w:uiPriority w:val="21"/>
    <w:qFormat/>
    <w:rsid w:val="0082498E"/>
    <w:rPr>
      <w:i/>
      <w:iCs/>
      <w:color w:val="0F4761" w:themeColor="accent1" w:themeShade="BF"/>
    </w:rPr>
  </w:style>
  <w:style w:type="paragraph" w:styleId="IntenseQuote">
    <w:name w:val="Intense Quote"/>
    <w:basedOn w:val="Normal"/>
    <w:next w:val="Normal"/>
    <w:link w:val="IntenseQuoteChar"/>
    <w:uiPriority w:val="30"/>
    <w:qFormat/>
    <w:rsid w:val="008249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498E"/>
    <w:rPr>
      <w:i/>
      <w:iCs/>
      <w:color w:val="0F4761" w:themeColor="accent1" w:themeShade="BF"/>
    </w:rPr>
  </w:style>
  <w:style w:type="character" w:styleId="IntenseReference">
    <w:name w:val="Intense Reference"/>
    <w:basedOn w:val="DefaultParagraphFont"/>
    <w:uiPriority w:val="32"/>
    <w:qFormat/>
    <w:rsid w:val="0082498E"/>
    <w:rPr>
      <w:b/>
      <w:bCs/>
      <w:smallCaps/>
      <w:color w:val="0F4761" w:themeColor="accent1" w:themeShade="BF"/>
      <w:spacing w:val="5"/>
    </w:rPr>
  </w:style>
  <w:style w:type="character" w:styleId="Hyperlink">
    <w:name w:val="Hyperlink"/>
    <w:basedOn w:val="DefaultParagraphFont"/>
    <w:uiPriority w:val="99"/>
    <w:unhideWhenUsed/>
    <w:rsid w:val="0082498E"/>
    <w:rPr>
      <w:color w:val="467886" w:themeColor="hyperlink"/>
      <w:u w:val="single"/>
    </w:rPr>
  </w:style>
  <w:style w:type="character" w:styleId="FollowedHyperlink">
    <w:name w:val="FollowedHyperlink"/>
    <w:basedOn w:val="DefaultParagraphFont"/>
    <w:uiPriority w:val="99"/>
    <w:semiHidden/>
    <w:unhideWhenUsed/>
    <w:rsid w:val="0082498E"/>
    <w:rPr>
      <w:color w:val="96607D" w:themeColor="followedHyperlink"/>
      <w:u w:val="single"/>
    </w:rPr>
  </w:style>
  <w:style w:type="character" w:styleId="UnresolvedMention">
    <w:name w:val="Unresolved Mention"/>
    <w:basedOn w:val="DefaultParagraphFont"/>
    <w:uiPriority w:val="99"/>
    <w:semiHidden/>
    <w:unhideWhenUsed/>
    <w:rsid w:val="008249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dustri.fatek.unpatti.ac.id/wp-content/uploads/2019/03/Decision-Making-and-Problem-Solving.pdf" TargetMode="External"/><Relationship Id="rId13" Type="http://schemas.openxmlformats.org/officeDocument/2006/relationships/hyperlink" Target="https://www.youtube.com/watch?v=ikJ687g2tPo" TargetMode="External"/><Relationship Id="rId18" Type="http://schemas.openxmlformats.org/officeDocument/2006/relationships/hyperlink" Target="https://plato.stanford.edu/archives/win2022/entries/utilitarianism-history/" TargetMode="External"/><Relationship Id="rId26" Type="http://schemas.openxmlformats.org/officeDocument/2006/relationships/hyperlink" Target="https://www.cipd.org/uk/knowledge/factsheets/evidence-based-practice-factsheet/" TargetMode="External"/><Relationship Id="rId3" Type="http://schemas.openxmlformats.org/officeDocument/2006/relationships/settings" Target="settings.xml"/><Relationship Id="rId21" Type="http://schemas.openxmlformats.org/officeDocument/2006/relationships/hyperlink" Target="https://www.aihr.com/blog/productivity-analysis/" TargetMode="External"/><Relationship Id="rId7" Type="http://schemas.openxmlformats.org/officeDocument/2006/relationships/chart" Target="charts/chart3.xml"/><Relationship Id="rId12" Type="http://schemas.openxmlformats.org/officeDocument/2006/relationships/hyperlink" Target="https://www.winningtemp.com/blog/should-you-choose-a-qualitative-or-quantitative-employee-engagement-survey" TargetMode="External"/><Relationship Id="rId17" Type="http://schemas.openxmlformats.org/officeDocument/2006/relationships/hyperlink" Target="https://www.cruse.org.uk/understanding-grief/effects-of-grief/five-stages-of-grief/" TargetMode="External"/><Relationship Id="rId25" Type="http://schemas.openxmlformats.org/officeDocument/2006/relationships/hyperlink" Target="https://www.totaljobs.com/recruiter-advice/multigenerational-workforce" TargetMode="External"/><Relationship Id="rId2" Type="http://schemas.openxmlformats.org/officeDocument/2006/relationships/styles" Target="styles.xml"/><Relationship Id="rId16" Type="http://schemas.openxmlformats.org/officeDocument/2006/relationships/hyperlink" Target="https://chcymru.org.uk/news-and-blog/welsh-government-funding-shortfall-pushing-homelessness-workers-into-poverty" TargetMode="External"/><Relationship Id="rId20" Type="http://schemas.openxmlformats.org/officeDocument/2006/relationships/hyperlink" Target="https://www.investec.com/en_gb/wealth/charities/trustee-academy/power-of-charity-partnerships-and-working-collaboratively.html" TargetMode="Externa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hyperlink" Target="https://journals.sagepub.com" TargetMode="External"/><Relationship Id="rId24" Type="http://schemas.openxmlformats.org/officeDocument/2006/relationships/hyperlink" Target="https://www.shrm.org" TargetMode="External"/><Relationship Id="rId5" Type="http://schemas.openxmlformats.org/officeDocument/2006/relationships/chart" Target="charts/chart1.xml"/><Relationship Id="rId15" Type="http://schemas.openxmlformats.org/officeDocument/2006/relationships/hyperlink" Target="https://www.cipd.org/uk/knowledge/reports/workplace-decisions-report/" TargetMode="External"/><Relationship Id="rId23" Type="http://schemas.openxmlformats.org/officeDocument/2006/relationships/hyperlink" Target="https://link.springer.com" TargetMode="External"/><Relationship Id="rId28" Type="http://schemas.openxmlformats.org/officeDocument/2006/relationships/theme" Target="theme/theme1.xml"/><Relationship Id="rId10" Type="http://schemas.openxmlformats.org/officeDocument/2006/relationships/hyperlink" Target="https://www.deloitte.com" TargetMode="External"/><Relationship Id="rId19" Type="http://schemas.openxmlformats.org/officeDocument/2006/relationships/hyperlink" Target="https://www.investopedia.com/terms/r/returnoninvestment.asp" TargetMode="External"/><Relationship Id="rId4" Type="http://schemas.openxmlformats.org/officeDocument/2006/relationships/webSettings" Target="webSettings.xml"/><Relationship Id="rId9" Type="http://schemas.openxmlformats.org/officeDocument/2006/relationships/hyperlink" Target="https://open.spotify.com/episode/0FmuMAkSgHBDecm7aB8CbO?si=2Qu7NruWQJOJvyw0mXjUw&amp;t=34&amp;context=spotify&amp;3Ashow%3A7x2Xs0GhrqN-Ws4AW8WMo0s" TargetMode="External"/><Relationship Id="rId14" Type="http://schemas.openxmlformats.org/officeDocument/2006/relationships/hyperlink" Target="https://www.cipd.org/uk/the-people-profession/the-profession-map/" TargetMode="External"/><Relationship Id="rId22" Type="http://schemas.openxmlformats.org/officeDocument/2006/relationships/hyperlink" Target="https://www.toolshero.com/problem-solving/kepner-tregoe-method/"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kern="1200" baseline="0">
                <a:solidFill>
                  <a:sysClr val="windowText" lastClr="000000">
                    <a:lumMod val="65000"/>
                    <a:lumOff val="35000"/>
                  </a:sysClr>
                </a:solidFill>
              </a:rPr>
              <a:t>Performance Review Judgements Per Department (Q1 &amp; Q2)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Sheet1!$A$3</c:f>
              <c:strCache>
                <c:ptCount val="1"/>
                <c:pt idx="0">
                  <c:v>Administration Department </c:v>
                </c:pt>
              </c:strCache>
            </c:strRef>
          </c:tx>
          <c:spPr>
            <a:solidFill>
              <a:srgbClr val="00B0F0"/>
            </a:solidFill>
            <a:ln>
              <a:noFill/>
            </a:ln>
            <a:effectLst/>
          </c:spPr>
          <c:invertIfNegative val="0"/>
          <c:cat>
            <c:multiLvlStrRef>
              <c:f>Sheet1!$B$1:$I$2</c:f>
              <c:multiLvlStrCache>
                <c:ptCount val="8"/>
                <c:lvl>
                  <c:pt idx="0">
                    <c:v>Outstanding </c:v>
                  </c:pt>
                  <c:pt idx="1">
                    <c:v>Meets set Individual KPI's </c:v>
                  </c:pt>
                  <c:pt idx="2">
                    <c:v>Not quite there yet</c:v>
                  </c:pt>
                  <c:pt idx="3">
                    <c:v>Under performing </c:v>
                  </c:pt>
                  <c:pt idx="4">
                    <c:v>Outstanding </c:v>
                  </c:pt>
                  <c:pt idx="5">
                    <c:v>Meets set Individual KPI's </c:v>
                  </c:pt>
                  <c:pt idx="6">
                    <c:v>Not quite there yet</c:v>
                  </c:pt>
                  <c:pt idx="7">
                    <c:v>Under performing </c:v>
                  </c:pt>
                </c:lvl>
                <c:lvl>
                  <c:pt idx="0">
                    <c:v>Q1</c:v>
                  </c:pt>
                  <c:pt idx="4">
                    <c:v>Q2</c:v>
                  </c:pt>
                </c:lvl>
              </c:multiLvlStrCache>
            </c:multiLvlStrRef>
          </c:cat>
          <c:val>
            <c:numRef>
              <c:f>Sheet1!$B$3:$I$3</c:f>
              <c:numCache>
                <c:formatCode>0%</c:formatCode>
                <c:ptCount val="8"/>
                <c:pt idx="0">
                  <c:v>0.2</c:v>
                </c:pt>
                <c:pt idx="1">
                  <c:v>0.2</c:v>
                </c:pt>
                <c:pt idx="2">
                  <c:v>0.3</c:v>
                </c:pt>
                <c:pt idx="3">
                  <c:v>0.3</c:v>
                </c:pt>
                <c:pt idx="4">
                  <c:v>0.1</c:v>
                </c:pt>
                <c:pt idx="5">
                  <c:v>0.4</c:v>
                </c:pt>
                <c:pt idx="6">
                  <c:v>0.4</c:v>
                </c:pt>
                <c:pt idx="7">
                  <c:v>0.1</c:v>
                </c:pt>
              </c:numCache>
            </c:numRef>
          </c:val>
          <c:extLst>
            <c:ext xmlns:c16="http://schemas.microsoft.com/office/drawing/2014/chart" uri="{C3380CC4-5D6E-409C-BE32-E72D297353CC}">
              <c16:uniqueId val="{00000000-F13F-48D1-B20D-B332BD1B939B}"/>
            </c:ext>
          </c:extLst>
        </c:ser>
        <c:ser>
          <c:idx val="1"/>
          <c:order val="1"/>
          <c:tx>
            <c:strRef>
              <c:f>Sheet1!$A$4</c:f>
              <c:strCache>
                <c:ptCount val="1"/>
                <c:pt idx="0">
                  <c:v>Sales Department </c:v>
                </c:pt>
              </c:strCache>
            </c:strRef>
          </c:tx>
          <c:spPr>
            <a:solidFill>
              <a:srgbClr val="FF0000"/>
            </a:solidFill>
            <a:ln>
              <a:noFill/>
            </a:ln>
            <a:effectLst/>
          </c:spPr>
          <c:invertIfNegative val="0"/>
          <c:cat>
            <c:multiLvlStrRef>
              <c:f>Sheet1!$B$1:$I$2</c:f>
              <c:multiLvlStrCache>
                <c:ptCount val="8"/>
                <c:lvl>
                  <c:pt idx="0">
                    <c:v>Outstanding </c:v>
                  </c:pt>
                  <c:pt idx="1">
                    <c:v>Meets set Individual KPI's </c:v>
                  </c:pt>
                  <c:pt idx="2">
                    <c:v>Not quite there yet</c:v>
                  </c:pt>
                  <c:pt idx="3">
                    <c:v>Under performing </c:v>
                  </c:pt>
                  <c:pt idx="4">
                    <c:v>Outstanding </c:v>
                  </c:pt>
                  <c:pt idx="5">
                    <c:v>Meets set Individual KPI's </c:v>
                  </c:pt>
                  <c:pt idx="6">
                    <c:v>Not quite there yet</c:v>
                  </c:pt>
                  <c:pt idx="7">
                    <c:v>Under performing </c:v>
                  </c:pt>
                </c:lvl>
                <c:lvl>
                  <c:pt idx="0">
                    <c:v>Q1</c:v>
                  </c:pt>
                  <c:pt idx="4">
                    <c:v>Q2</c:v>
                  </c:pt>
                </c:lvl>
              </c:multiLvlStrCache>
            </c:multiLvlStrRef>
          </c:cat>
          <c:val>
            <c:numRef>
              <c:f>Sheet1!$B$4:$I$4</c:f>
              <c:numCache>
                <c:formatCode>0%</c:formatCode>
                <c:ptCount val="8"/>
                <c:pt idx="0">
                  <c:v>0</c:v>
                </c:pt>
                <c:pt idx="1">
                  <c:v>1</c:v>
                </c:pt>
                <c:pt idx="2">
                  <c:v>0</c:v>
                </c:pt>
                <c:pt idx="3">
                  <c:v>0</c:v>
                </c:pt>
                <c:pt idx="4">
                  <c:v>0</c:v>
                </c:pt>
                <c:pt idx="5">
                  <c:v>1</c:v>
                </c:pt>
                <c:pt idx="6">
                  <c:v>0</c:v>
                </c:pt>
                <c:pt idx="7">
                  <c:v>0</c:v>
                </c:pt>
              </c:numCache>
            </c:numRef>
          </c:val>
          <c:extLst>
            <c:ext xmlns:c16="http://schemas.microsoft.com/office/drawing/2014/chart" uri="{C3380CC4-5D6E-409C-BE32-E72D297353CC}">
              <c16:uniqueId val="{00000001-F13F-48D1-B20D-B332BD1B939B}"/>
            </c:ext>
          </c:extLst>
        </c:ser>
        <c:ser>
          <c:idx val="2"/>
          <c:order val="2"/>
          <c:tx>
            <c:strRef>
              <c:f>Sheet1!$A$5</c:f>
              <c:strCache>
                <c:ptCount val="1"/>
                <c:pt idx="0">
                  <c:v>Logistics Department </c:v>
                </c:pt>
              </c:strCache>
            </c:strRef>
          </c:tx>
          <c:spPr>
            <a:solidFill>
              <a:srgbClr val="00B050"/>
            </a:solidFill>
            <a:ln>
              <a:noFill/>
            </a:ln>
            <a:effectLst/>
          </c:spPr>
          <c:invertIfNegative val="0"/>
          <c:cat>
            <c:multiLvlStrRef>
              <c:f>Sheet1!$B$1:$I$2</c:f>
              <c:multiLvlStrCache>
                <c:ptCount val="8"/>
                <c:lvl>
                  <c:pt idx="0">
                    <c:v>Outstanding </c:v>
                  </c:pt>
                  <c:pt idx="1">
                    <c:v>Meets set Individual KPI's </c:v>
                  </c:pt>
                  <c:pt idx="2">
                    <c:v>Not quite there yet</c:v>
                  </c:pt>
                  <c:pt idx="3">
                    <c:v>Under performing </c:v>
                  </c:pt>
                  <c:pt idx="4">
                    <c:v>Outstanding </c:v>
                  </c:pt>
                  <c:pt idx="5">
                    <c:v>Meets set Individual KPI's </c:v>
                  </c:pt>
                  <c:pt idx="6">
                    <c:v>Not quite there yet</c:v>
                  </c:pt>
                  <c:pt idx="7">
                    <c:v>Under performing </c:v>
                  </c:pt>
                </c:lvl>
                <c:lvl>
                  <c:pt idx="0">
                    <c:v>Q1</c:v>
                  </c:pt>
                  <c:pt idx="4">
                    <c:v>Q2</c:v>
                  </c:pt>
                </c:lvl>
              </c:multiLvlStrCache>
            </c:multiLvlStrRef>
          </c:cat>
          <c:val>
            <c:numRef>
              <c:f>Sheet1!$B$5:$I$5</c:f>
              <c:numCache>
                <c:formatCode>0%</c:formatCode>
                <c:ptCount val="8"/>
                <c:pt idx="0">
                  <c:v>0.2</c:v>
                </c:pt>
                <c:pt idx="1">
                  <c:v>0.4</c:v>
                </c:pt>
                <c:pt idx="2">
                  <c:v>0.3</c:v>
                </c:pt>
                <c:pt idx="3">
                  <c:v>0.1</c:v>
                </c:pt>
                <c:pt idx="4">
                  <c:v>0.27777777777777779</c:v>
                </c:pt>
                <c:pt idx="5">
                  <c:v>0.5</c:v>
                </c:pt>
                <c:pt idx="6">
                  <c:v>0.22222222222222221</c:v>
                </c:pt>
                <c:pt idx="7">
                  <c:v>0</c:v>
                </c:pt>
              </c:numCache>
            </c:numRef>
          </c:val>
          <c:extLst>
            <c:ext xmlns:c16="http://schemas.microsoft.com/office/drawing/2014/chart" uri="{C3380CC4-5D6E-409C-BE32-E72D297353CC}">
              <c16:uniqueId val="{00000002-F13F-48D1-B20D-B332BD1B939B}"/>
            </c:ext>
          </c:extLst>
        </c:ser>
        <c:ser>
          <c:idx val="3"/>
          <c:order val="3"/>
          <c:tx>
            <c:strRef>
              <c:f>Sheet1!$A$6</c:f>
              <c:strCache>
                <c:ptCount val="1"/>
                <c:pt idx="0">
                  <c:v>Research and Development  </c:v>
                </c:pt>
              </c:strCache>
            </c:strRef>
          </c:tx>
          <c:spPr>
            <a:solidFill>
              <a:srgbClr val="FFFF00"/>
            </a:solidFill>
            <a:ln>
              <a:noFill/>
            </a:ln>
            <a:effectLst/>
          </c:spPr>
          <c:invertIfNegative val="0"/>
          <c:cat>
            <c:multiLvlStrRef>
              <c:f>Sheet1!$B$1:$I$2</c:f>
              <c:multiLvlStrCache>
                <c:ptCount val="8"/>
                <c:lvl>
                  <c:pt idx="0">
                    <c:v>Outstanding </c:v>
                  </c:pt>
                  <c:pt idx="1">
                    <c:v>Meets set Individual KPI's </c:v>
                  </c:pt>
                  <c:pt idx="2">
                    <c:v>Not quite there yet</c:v>
                  </c:pt>
                  <c:pt idx="3">
                    <c:v>Under performing </c:v>
                  </c:pt>
                  <c:pt idx="4">
                    <c:v>Outstanding </c:v>
                  </c:pt>
                  <c:pt idx="5">
                    <c:v>Meets set Individual KPI's </c:v>
                  </c:pt>
                  <c:pt idx="6">
                    <c:v>Not quite there yet</c:v>
                  </c:pt>
                  <c:pt idx="7">
                    <c:v>Under performing </c:v>
                  </c:pt>
                </c:lvl>
                <c:lvl>
                  <c:pt idx="0">
                    <c:v>Q1</c:v>
                  </c:pt>
                  <c:pt idx="4">
                    <c:v>Q2</c:v>
                  </c:pt>
                </c:lvl>
              </c:multiLvlStrCache>
            </c:multiLvlStrRef>
          </c:cat>
          <c:val>
            <c:numRef>
              <c:f>Sheet1!$B$6:$I$6</c:f>
              <c:numCache>
                <c:formatCode>0%</c:formatCode>
                <c:ptCount val="8"/>
                <c:pt idx="0">
                  <c:v>0.3</c:v>
                </c:pt>
                <c:pt idx="1">
                  <c:v>0.3</c:v>
                </c:pt>
                <c:pt idx="2">
                  <c:v>0.1</c:v>
                </c:pt>
                <c:pt idx="3">
                  <c:v>0.3</c:v>
                </c:pt>
                <c:pt idx="4">
                  <c:v>0.55555555555555558</c:v>
                </c:pt>
                <c:pt idx="5">
                  <c:v>0.33333333333333331</c:v>
                </c:pt>
                <c:pt idx="6">
                  <c:v>0.1111111111111111</c:v>
                </c:pt>
                <c:pt idx="7">
                  <c:v>0</c:v>
                </c:pt>
              </c:numCache>
            </c:numRef>
          </c:val>
          <c:extLst>
            <c:ext xmlns:c16="http://schemas.microsoft.com/office/drawing/2014/chart" uri="{C3380CC4-5D6E-409C-BE32-E72D297353CC}">
              <c16:uniqueId val="{00000003-F13F-48D1-B20D-B332BD1B939B}"/>
            </c:ext>
          </c:extLst>
        </c:ser>
        <c:dLbls>
          <c:showLegendKey val="0"/>
          <c:showVal val="0"/>
          <c:showCatName val="0"/>
          <c:showSerName val="0"/>
          <c:showPercent val="0"/>
          <c:showBubbleSize val="0"/>
        </c:dLbls>
        <c:gapWidth val="182"/>
        <c:axId val="67654655"/>
        <c:axId val="67680575"/>
      </c:barChart>
      <c:catAx>
        <c:axId val="676546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80575"/>
        <c:crosses val="autoZero"/>
        <c:auto val="1"/>
        <c:lblAlgn val="ctr"/>
        <c:lblOffset val="100"/>
        <c:noMultiLvlLbl val="0"/>
      </c:catAx>
      <c:valAx>
        <c:axId val="67680575"/>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546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kern="1200" spc="0" baseline="0">
                <a:solidFill>
                  <a:sysClr val="windowText" lastClr="000000">
                    <a:lumMod val="65000"/>
                    <a:lumOff val="35000"/>
                  </a:sysClr>
                </a:solidFill>
              </a:rPr>
              <a:t>Performance Review Judgements Per Department (Q1 &amp; Q2)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c:f>
              <c:strCache>
                <c:ptCount val="1"/>
                <c:pt idx="0">
                  <c:v>Administration Department </c:v>
                </c:pt>
              </c:strCache>
            </c:strRef>
          </c:tx>
          <c:spPr>
            <a:solidFill>
              <a:srgbClr val="00B0F0"/>
            </a:solidFill>
            <a:ln>
              <a:noFill/>
            </a:ln>
            <a:effectLst/>
          </c:spPr>
          <c:invertIfNegative val="0"/>
          <c:cat>
            <c:multiLvlStrRef>
              <c:f>Sheet1!$B$1:$I$2</c:f>
              <c:multiLvlStrCache>
                <c:ptCount val="8"/>
                <c:lvl>
                  <c:pt idx="0">
                    <c:v>Outstanding </c:v>
                  </c:pt>
                  <c:pt idx="1">
                    <c:v>Meets set Individual KPI's </c:v>
                  </c:pt>
                  <c:pt idx="2">
                    <c:v>Not quite there yet</c:v>
                  </c:pt>
                  <c:pt idx="3">
                    <c:v>Under performing </c:v>
                  </c:pt>
                  <c:pt idx="4">
                    <c:v>Outstanding </c:v>
                  </c:pt>
                  <c:pt idx="5">
                    <c:v>Meets set Individual KPI's </c:v>
                  </c:pt>
                  <c:pt idx="6">
                    <c:v>Not quite there yet</c:v>
                  </c:pt>
                  <c:pt idx="7">
                    <c:v>Under performing </c:v>
                  </c:pt>
                </c:lvl>
                <c:lvl>
                  <c:pt idx="0">
                    <c:v>Q1</c:v>
                  </c:pt>
                  <c:pt idx="4">
                    <c:v>Q2</c:v>
                  </c:pt>
                </c:lvl>
              </c:multiLvlStrCache>
            </c:multiLvlStrRef>
          </c:cat>
          <c:val>
            <c:numRef>
              <c:f>Sheet1!$B$3:$I$3</c:f>
              <c:numCache>
                <c:formatCode>0%</c:formatCode>
                <c:ptCount val="8"/>
                <c:pt idx="0">
                  <c:v>0.2</c:v>
                </c:pt>
                <c:pt idx="1">
                  <c:v>0.2</c:v>
                </c:pt>
                <c:pt idx="2">
                  <c:v>0.3</c:v>
                </c:pt>
                <c:pt idx="3">
                  <c:v>0.3</c:v>
                </c:pt>
                <c:pt idx="4">
                  <c:v>0.1</c:v>
                </c:pt>
                <c:pt idx="5">
                  <c:v>0.4</c:v>
                </c:pt>
                <c:pt idx="6">
                  <c:v>0.4</c:v>
                </c:pt>
                <c:pt idx="7">
                  <c:v>0.1</c:v>
                </c:pt>
              </c:numCache>
            </c:numRef>
          </c:val>
          <c:extLst>
            <c:ext xmlns:c16="http://schemas.microsoft.com/office/drawing/2014/chart" uri="{C3380CC4-5D6E-409C-BE32-E72D297353CC}">
              <c16:uniqueId val="{00000000-C5BC-44C6-9D6F-2287BE905BB3}"/>
            </c:ext>
          </c:extLst>
        </c:ser>
        <c:ser>
          <c:idx val="1"/>
          <c:order val="1"/>
          <c:tx>
            <c:strRef>
              <c:f>Sheet1!$A$4</c:f>
              <c:strCache>
                <c:ptCount val="1"/>
                <c:pt idx="0">
                  <c:v>Sales Department </c:v>
                </c:pt>
              </c:strCache>
            </c:strRef>
          </c:tx>
          <c:spPr>
            <a:solidFill>
              <a:srgbClr val="FF0000"/>
            </a:solidFill>
            <a:ln>
              <a:noFill/>
            </a:ln>
            <a:effectLst/>
          </c:spPr>
          <c:invertIfNegative val="0"/>
          <c:cat>
            <c:multiLvlStrRef>
              <c:f>Sheet1!$B$1:$I$2</c:f>
              <c:multiLvlStrCache>
                <c:ptCount val="8"/>
                <c:lvl>
                  <c:pt idx="0">
                    <c:v>Outstanding </c:v>
                  </c:pt>
                  <c:pt idx="1">
                    <c:v>Meets set Individual KPI's </c:v>
                  </c:pt>
                  <c:pt idx="2">
                    <c:v>Not quite there yet</c:v>
                  </c:pt>
                  <c:pt idx="3">
                    <c:v>Under performing </c:v>
                  </c:pt>
                  <c:pt idx="4">
                    <c:v>Outstanding </c:v>
                  </c:pt>
                  <c:pt idx="5">
                    <c:v>Meets set Individual KPI's </c:v>
                  </c:pt>
                  <c:pt idx="6">
                    <c:v>Not quite there yet</c:v>
                  </c:pt>
                  <c:pt idx="7">
                    <c:v>Under performing </c:v>
                  </c:pt>
                </c:lvl>
                <c:lvl>
                  <c:pt idx="0">
                    <c:v>Q1</c:v>
                  </c:pt>
                  <c:pt idx="4">
                    <c:v>Q2</c:v>
                  </c:pt>
                </c:lvl>
              </c:multiLvlStrCache>
            </c:multiLvlStrRef>
          </c:cat>
          <c:val>
            <c:numRef>
              <c:f>Sheet1!$B$4:$I$4</c:f>
              <c:numCache>
                <c:formatCode>0%</c:formatCode>
                <c:ptCount val="8"/>
                <c:pt idx="0">
                  <c:v>0</c:v>
                </c:pt>
                <c:pt idx="1">
                  <c:v>1</c:v>
                </c:pt>
                <c:pt idx="2">
                  <c:v>0</c:v>
                </c:pt>
                <c:pt idx="3">
                  <c:v>0</c:v>
                </c:pt>
                <c:pt idx="4">
                  <c:v>0</c:v>
                </c:pt>
                <c:pt idx="5">
                  <c:v>1</c:v>
                </c:pt>
                <c:pt idx="6">
                  <c:v>0</c:v>
                </c:pt>
                <c:pt idx="7">
                  <c:v>0</c:v>
                </c:pt>
              </c:numCache>
            </c:numRef>
          </c:val>
          <c:extLst>
            <c:ext xmlns:c16="http://schemas.microsoft.com/office/drawing/2014/chart" uri="{C3380CC4-5D6E-409C-BE32-E72D297353CC}">
              <c16:uniqueId val="{00000001-C5BC-44C6-9D6F-2287BE905BB3}"/>
            </c:ext>
          </c:extLst>
        </c:ser>
        <c:ser>
          <c:idx val="2"/>
          <c:order val="2"/>
          <c:tx>
            <c:strRef>
              <c:f>Sheet1!$A$5</c:f>
              <c:strCache>
                <c:ptCount val="1"/>
                <c:pt idx="0">
                  <c:v>Logistics Department </c:v>
                </c:pt>
              </c:strCache>
            </c:strRef>
          </c:tx>
          <c:spPr>
            <a:solidFill>
              <a:srgbClr val="00B050"/>
            </a:solidFill>
            <a:ln>
              <a:noFill/>
            </a:ln>
            <a:effectLst/>
          </c:spPr>
          <c:invertIfNegative val="0"/>
          <c:cat>
            <c:multiLvlStrRef>
              <c:f>Sheet1!$B$1:$I$2</c:f>
              <c:multiLvlStrCache>
                <c:ptCount val="8"/>
                <c:lvl>
                  <c:pt idx="0">
                    <c:v>Outstanding </c:v>
                  </c:pt>
                  <c:pt idx="1">
                    <c:v>Meets set Individual KPI's </c:v>
                  </c:pt>
                  <c:pt idx="2">
                    <c:v>Not quite there yet</c:v>
                  </c:pt>
                  <c:pt idx="3">
                    <c:v>Under performing </c:v>
                  </c:pt>
                  <c:pt idx="4">
                    <c:v>Outstanding </c:v>
                  </c:pt>
                  <c:pt idx="5">
                    <c:v>Meets set Individual KPI's </c:v>
                  </c:pt>
                  <c:pt idx="6">
                    <c:v>Not quite there yet</c:v>
                  </c:pt>
                  <c:pt idx="7">
                    <c:v>Under performing </c:v>
                  </c:pt>
                </c:lvl>
                <c:lvl>
                  <c:pt idx="0">
                    <c:v>Q1</c:v>
                  </c:pt>
                  <c:pt idx="4">
                    <c:v>Q2</c:v>
                  </c:pt>
                </c:lvl>
              </c:multiLvlStrCache>
            </c:multiLvlStrRef>
          </c:cat>
          <c:val>
            <c:numRef>
              <c:f>Sheet1!$B$5:$I$5</c:f>
              <c:numCache>
                <c:formatCode>0%</c:formatCode>
                <c:ptCount val="8"/>
                <c:pt idx="0">
                  <c:v>0.2</c:v>
                </c:pt>
                <c:pt idx="1">
                  <c:v>0.4</c:v>
                </c:pt>
                <c:pt idx="2">
                  <c:v>0.3</c:v>
                </c:pt>
                <c:pt idx="3">
                  <c:v>0.1</c:v>
                </c:pt>
                <c:pt idx="4">
                  <c:v>0.27777777777777779</c:v>
                </c:pt>
                <c:pt idx="5">
                  <c:v>0.5</c:v>
                </c:pt>
                <c:pt idx="6">
                  <c:v>0.22222222222222221</c:v>
                </c:pt>
                <c:pt idx="7">
                  <c:v>0</c:v>
                </c:pt>
              </c:numCache>
            </c:numRef>
          </c:val>
          <c:extLst>
            <c:ext xmlns:c16="http://schemas.microsoft.com/office/drawing/2014/chart" uri="{C3380CC4-5D6E-409C-BE32-E72D297353CC}">
              <c16:uniqueId val="{00000002-C5BC-44C6-9D6F-2287BE905BB3}"/>
            </c:ext>
          </c:extLst>
        </c:ser>
        <c:ser>
          <c:idx val="3"/>
          <c:order val="3"/>
          <c:tx>
            <c:strRef>
              <c:f>Sheet1!$A$6</c:f>
              <c:strCache>
                <c:ptCount val="1"/>
                <c:pt idx="0">
                  <c:v>Research and Development  </c:v>
                </c:pt>
              </c:strCache>
            </c:strRef>
          </c:tx>
          <c:spPr>
            <a:solidFill>
              <a:srgbClr val="FFFF00"/>
            </a:solidFill>
            <a:ln>
              <a:noFill/>
            </a:ln>
            <a:effectLst/>
          </c:spPr>
          <c:invertIfNegative val="0"/>
          <c:cat>
            <c:multiLvlStrRef>
              <c:f>Sheet1!$B$1:$I$2</c:f>
              <c:multiLvlStrCache>
                <c:ptCount val="8"/>
                <c:lvl>
                  <c:pt idx="0">
                    <c:v>Outstanding </c:v>
                  </c:pt>
                  <c:pt idx="1">
                    <c:v>Meets set Individual KPI's </c:v>
                  </c:pt>
                  <c:pt idx="2">
                    <c:v>Not quite there yet</c:v>
                  </c:pt>
                  <c:pt idx="3">
                    <c:v>Under performing </c:v>
                  </c:pt>
                  <c:pt idx="4">
                    <c:v>Outstanding </c:v>
                  </c:pt>
                  <c:pt idx="5">
                    <c:v>Meets set Individual KPI's </c:v>
                  </c:pt>
                  <c:pt idx="6">
                    <c:v>Not quite there yet</c:v>
                  </c:pt>
                  <c:pt idx="7">
                    <c:v>Under performing </c:v>
                  </c:pt>
                </c:lvl>
                <c:lvl>
                  <c:pt idx="0">
                    <c:v>Q1</c:v>
                  </c:pt>
                  <c:pt idx="4">
                    <c:v>Q2</c:v>
                  </c:pt>
                </c:lvl>
              </c:multiLvlStrCache>
            </c:multiLvlStrRef>
          </c:cat>
          <c:val>
            <c:numRef>
              <c:f>Sheet1!$B$6:$I$6</c:f>
              <c:numCache>
                <c:formatCode>0%</c:formatCode>
                <c:ptCount val="8"/>
                <c:pt idx="0">
                  <c:v>0.3</c:v>
                </c:pt>
                <c:pt idx="1">
                  <c:v>0.3</c:v>
                </c:pt>
                <c:pt idx="2">
                  <c:v>0.1</c:v>
                </c:pt>
                <c:pt idx="3">
                  <c:v>0.3</c:v>
                </c:pt>
                <c:pt idx="4">
                  <c:v>0.55555555555555558</c:v>
                </c:pt>
                <c:pt idx="5">
                  <c:v>0.33333333333333331</c:v>
                </c:pt>
                <c:pt idx="6">
                  <c:v>0.1111111111111111</c:v>
                </c:pt>
                <c:pt idx="7">
                  <c:v>0</c:v>
                </c:pt>
              </c:numCache>
            </c:numRef>
          </c:val>
          <c:extLst>
            <c:ext xmlns:c16="http://schemas.microsoft.com/office/drawing/2014/chart" uri="{C3380CC4-5D6E-409C-BE32-E72D297353CC}">
              <c16:uniqueId val="{00000003-C5BC-44C6-9D6F-2287BE905BB3}"/>
            </c:ext>
          </c:extLst>
        </c:ser>
        <c:dLbls>
          <c:showLegendKey val="0"/>
          <c:showVal val="0"/>
          <c:showCatName val="0"/>
          <c:showSerName val="0"/>
          <c:showPercent val="0"/>
          <c:showBubbleSize val="0"/>
        </c:dLbls>
        <c:gapWidth val="219"/>
        <c:overlap val="-27"/>
        <c:axId val="338460079"/>
        <c:axId val="338464879"/>
      </c:barChart>
      <c:catAx>
        <c:axId val="338460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464879"/>
        <c:crosses val="autoZero"/>
        <c:auto val="1"/>
        <c:lblAlgn val="ctr"/>
        <c:lblOffset val="100"/>
        <c:noMultiLvlLbl val="0"/>
      </c:catAx>
      <c:valAx>
        <c:axId val="33846487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4600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kern="1200" spc="0" baseline="0">
                <a:solidFill>
                  <a:sysClr val="windowText" lastClr="000000">
                    <a:lumMod val="65000"/>
                    <a:lumOff val="35000"/>
                  </a:sysClr>
                </a:solidFill>
              </a:rPr>
              <a:t>Performance Review Judgements Per Department (Q1 &amp; Q2)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Sheet1!$A$3</c:f>
              <c:strCache>
                <c:ptCount val="1"/>
                <c:pt idx="0">
                  <c:v>Administration Department </c:v>
                </c:pt>
              </c:strCache>
            </c:strRef>
          </c:tx>
          <c:spPr>
            <a:ln w="28575" cap="rnd">
              <a:solidFill>
                <a:srgbClr val="FFFF00"/>
              </a:solidFill>
              <a:round/>
            </a:ln>
            <a:effectLst/>
          </c:spPr>
          <c:marker>
            <c:symbol val="none"/>
          </c:marker>
          <c:cat>
            <c:multiLvlStrRef>
              <c:f>Sheet1!$B$1:$I$2</c:f>
              <c:multiLvlStrCache>
                <c:ptCount val="8"/>
                <c:lvl>
                  <c:pt idx="0">
                    <c:v>Outstanding </c:v>
                  </c:pt>
                  <c:pt idx="1">
                    <c:v>Meets set Individual KPI's </c:v>
                  </c:pt>
                  <c:pt idx="2">
                    <c:v>Not quite there yet</c:v>
                  </c:pt>
                  <c:pt idx="3">
                    <c:v>Under performing </c:v>
                  </c:pt>
                  <c:pt idx="4">
                    <c:v>Outstanding </c:v>
                  </c:pt>
                  <c:pt idx="5">
                    <c:v>Meets set Individual KPI's </c:v>
                  </c:pt>
                  <c:pt idx="6">
                    <c:v>Not quite there yet</c:v>
                  </c:pt>
                  <c:pt idx="7">
                    <c:v>Under performing </c:v>
                  </c:pt>
                </c:lvl>
                <c:lvl>
                  <c:pt idx="0">
                    <c:v>Q1</c:v>
                  </c:pt>
                  <c:pt idx="4">
                    <c:v>Q2</c:v>
                  </c:pt>
                </c:lvl>
              </c:multiLvlStrCache>
            </c:multiLvlStrRef>
          </c:cat>
          <c:val>
            <c:numRef>
              <c:f>Sheet1!$B$3:$I$3</c:f>
              <c:numCache>
                <c:formatCode>0%</c:formatCode>
                <c:ptCount val="8"/>
                <c:pt idx="0">
                  <c:v>0.2</c:v>
                </c:pt>
                <c:pt idx="1">
                  <c:v>0.2</c:v>
                </c:pt>
                <c:pt idx="2">
                  <c:v>0.3</c:v>
                </c:pt>
                <c:pt idx="3">
                  <c:v>0.3</c:v>
                </c:pt>
                <c:pt idx="4">
                  <c:v>0.1</c:v>
                </c:pt>
                <c:pt idx="5">
                  <c:v>0.4</c:v>
                </c:pt>
                <c:pt idx="6">
                  <c:v>0.4</c:v>
                </c:pt>
                <c:pt idx="7">
                  <c:v>0.1</c:v>
                </c:pt>
              </c:numCache>
            </c:numRef>
          </c:val>
          <c:smooth val="0"/>
          <c:extLst>
            <c:ext xmlns:c16="http://schemas.microsoft.com/office/drawing/2014/chart" uri="{C3380CC4-5D6E-409C-BE32-E72D297353CC}">
              <c16:uniqueId val="{00000000-0864-4B4A-A8B0-6584EFB87097}"/>
            </c:ext>
          </c:extLst>
        </c:ser>
        <c:ser>
          <c:idx val="1"/>
          <c:order val="1"/>
          <c:tx>
            <c:strRef>
              <c:f>Sheet1!$A$4</c:f>
              <c:strCache>
                <c:ptCount val="1"/>
                <c:pt idx="0">
                  <c:v>Sales Department </c:v>
                </c:pt>
              </c:strCache>
            </c:strRef>
          </c:tx>
          <c:spPr>
            <a:ln w="28575" cap="rnd">
              <a:solidFill>
                <a:srgbClr val="FF0000"/>
              </a:solidFill>
              <a:round/>
            </a:ln>
            <a:effectLst/>
          </c:spPr>
          <c:marker>
            <c:symbol val="none"/>
          </c:marker>
          <c:cat>
            <c:multiLvlStrRef>
              <c:f>Sheet1!$B$1:$I$2</c:f>
              <c:multiLvlStrCache>
                <c:ptCount val="8"/>
                <c:lvl>
                  <c:pt idx="0">
                    <c:v>Outstanding </c:v>
                  </c:pt>
                  <c:pt idx="1">
                    <c:v>Meets set Individual KPI's </c:v>
                  </c:pt>
                  <c:pt idx="2">
                    <c:v>Not quite there yet</c:v>
                  </c:pt>
                  <c:pt idx="3">
                    <c:v>Under performing </c:v>
                  </c:pt>
                  <c:pt idx="4">
                    <c:v>Outstanding </c:v>
                  </c:pt>
                  <c:pt idx="5">
                    <c:v>Meets set Individual KPI's </c:v>
                  </c:pt>
                  <c:pt idx="6">
                    <c:v>Not quite there yet</c:v>
                  </c:pt>
                  <c:pt idx="7">
                    <c:v>Under performing </c:v>
                  </c:pt>
                </c:lvl>
                <c:lvl>
                  <c:pt idx="0">
                    <c:v>Q1</c:v>
                  </c:pt>
                  <c:pt idx="4">
                    <c:v>Q2</c:v>
                  </c:pt>
                </c:lvl>
              </c:multiLvlStrCache>
            </c:multiLvlStrRef>
          </c:cat>
          <c:val>
            <c:numRef>
              <c:f>Sheet1!$B$4:$I$4</c:f>
              <c:numCache>
                <c:formatCode>0%</c:formatCode>
                <c:ptCount val="8"/>
                <c:pt idx="0">
                  <c:v>0</c:v>
                </c:pt>
                <c:pt idx="1">
                  <c:v>1</c:v>
                </c:pt>
                <c:pt idx="2">
                  <c:v>0</c:v>
                </c:pt>
                <c:pt idx="3">
                  <c:v>0</c:v>
                </c:pt>
                <c:pt idx="4">
                  <c:v>0</c:v>
                </c:pt>
                <c:pt idx="5">
                  <c:v>1</c:v>
                </c:pt>
                <c:pt idx="6">
                  <c:v>0</c:v>
                </c:pt>
                <c:pt idx="7">
                  <c:v>0</c:v>
                </c:pt>
              </c:numCache>
            </c:numRef>
          </c:val>
          <c:smooth val="0"/>
          <c:extLst>
            <c:ext xmlns:c16="http://schemas.microsoft.com/office/drawing/2014/chart" uri="{C3380CC4-5D6E-409C-BE32-E72D297353CC}">
              <c16:uniqueId val="{00000001-0864-4B4A-A8B0-6584EFB87097}"/>
            </c:ext>
          </c:extLst>
        </c:ser>
        <c:ser>
          <c:idx val="2"/>
          <c:order val="2"/>
          <c:tx>
            <c:strRef>
              <c:f>Sheet1!$A$5</c:f>
              <c:strCache>
                <c:ptCount val="1"/>
                <c:pt idx="0">
                  <c:v>Logistics Department </c:v>
                </c:pt>
              </c:strCache>
            </c:strRef>
          </c:tx>
          <c:spPr>
            <a:ln w="28575" cap="rnd">
              <a:solidFill>
                <a:srgbClr val="00B050"/>
              </a:solidFill>
              <a:round/>
            </a:ln>
            <a:effectLst/>
          </c:spPr>
          <c:marker>
            <c:symbol val="none"/>
          </c:marker>
          <c:cat>
            <c:multiLvlStrRef>
              <c:f>Sheet1!$B$1:$I$2</c:f>
              <c:multiLvlStrCache>
                <c:ptCount val="8"/>
                <c:lvl>
                  <c:pt idx="0">
                    <c:v>Outstanding </c:v>
                  </c:pt>
                  <c:pt idx="1">
                    <c:v>Meets set Individual KPI's </c:v>
                  </c:pt>
                  <c:pt idx="2">
                    <c:v>Not quite there yet</c:v>
                  </c:pt>
                  <c:pt idx="3">
                    <c:v>Under performing </c:v>
                  </c:pt>
                  <c:pt idx="4">
                    <c:v>Outstanding </c:v>
                  </c:pt>
                  <c:pt idx="5">
                    <c:v>Meets set Individual KPI's </c:v>
                  </c:pt>
                  <c:pt idx="6">
                    <c:v>Not quite there yet</c:v>
                  </c:pt>
                  <c:pt idx="7">
                    <c:v>Under performing </c:v>
                  </c:pt>
                </c:lvl>
                <c:lvl>
                  <c:pt idx="0">
                    <c:v>Q1</c:v>
                  </c:pt>
                  <c:pt idx="4">
                    <c:v>Q2</c:v>
                  </c:pt>
                </c:lvl>
              </c:multiLvlStrCache>
            </c:multiLvlStrRef>
          </c:cat>
          <c:val>
            <c:numRef>
              <c:f>Sheet1!$B$5:$I$5</c:f>
              <c:numCache>
                <c:formatCode>0%</c:formatCode>
                <c:ptCount val="8"/>
                <c:pt idx="0">
                  <c:v>0.2</c:v>
                </c:pt>
                <c:pt idx="1">
                  <c:v>0.4</c:v>
                </c:pt>
                <c:pt idx="2">
                  <c:v>0.3</c:v>
                </c:pt>
                <c:pt idx="3">
                  <c:v>0.1</c:v>
                </c:pt>
                <c:pt idx="4">
                  <c:v>0.27777777777777779</c:v>
                </c:pt>
                <c:pt idx="5">
                  <c:v>0.5</c:v>
                </c:pt>
                <c:pt idx="6">
                  <c:v>0.22222222222222221</c:v>
                </c:pt>
                <c:pt idx="7">
                  <c:v>0</c:v>
                </c:pt>
              </c:numCache>
            </c:numRef>
          </c:val>
          <c:smooth val="0"/>
          <c:extLst>
            <c:ext xmlns:c16="http://schemas.microsoft.com/office/drawing/2014/chart" uri="{C3380CC4-5D6E-409C-BE32-E72D297353CC}">
              <c16:uniqueId val="{00000002-0864-4B4A-A8B0-6584EFB87097}"/>
            </c:ext>
          </c:extLst>
        </c:ser>
        <c:ser>
          <c:idx val="3"/>
          <c:order val="3"/>
          <c:tx>
            <c:strRef>
              <c:f>Sheet1!$A$6</c:f>
              <c:strCache>
                <c:ptCount val="1"/>
                <c:pt idx="0">
                  <c:v>Research and Development  </c:v>
                </c:pt>
              </c:strCache>
            </c:strRef>
          </c:tx>
          <c:spPr>
            <a:ln w="28575" cap="rnd">
              <a:solidFill>
                <a:schemeClr val="accent4"/>
              </a:solidFill>
              <a:round/>
            </a:ln>
            <a:effectLst/>
          </c:spPr>
          <c:marker>
            <c:symbol val="none"/>
          </c:marker>
          <c:cat>
            <c:multiLvlStrRef>
              <c:f>Sheet1!$B$1:$I$2</c:f>
              <c:multiLvlStrCache>
                <c:ptCount val="8"/>
                <c:lvl>
                  <c:pt idx="0">
                    <c:v>Outstanding </c:v>
                  </c:pt>
                  <c:pt idx="1">
                    <c:v>Meets set Individual KPI's </c:v>
                  </c:pt>
                  <c:pt idx="2">
                    <c:v>Not quite there yet</c:v>
                  </c:pt>
                  <c:pt idx="3">
                    <c:v>Under performing </c:v>
                  </c:pt>
                  <c:pt idx="4">
                    <c:v>Outstanding </c:v>
                  </c:pt>
                  <c:pt idx="5">
                    <c:v>Meets set Individual KPI's </c:v>
                  </c:pt>
                  <c:pt idx="6">
                    <c:v>Not quite there yet</c:v>
                  </c:pt>
                  <c:pt idx="7">
                    <c:v>Under performing </c:v>
                  </c:pt>
                </c:lvl>
                <c:lvl>
                  <c:pt idx="0">
                    <c:v>Q1</c:v>
                  </c:pt>
                  <c:pt idx="4">
                    <c:v>Q2</c:v>
                  </c:pt>
                </c:lvl>
              </c:multiLvlStrCache>
            </c:multiLvlStrRef>
          </c:cat>
          <c:val>
            <c:numRef>
              <c:f>Sheet1!$B$6:$I$6</c:f>
              <c:numCache>
                <c:formatCode>0%</c:formatCode>
                <c:ptCount val="8"/>
                <c:pt idx="0">
                  <c:v>0.3</c:v>
                </c:pt>
                <c:pt idx="1">
                  <c:v>0.3</c:v>
                </c:pt>
                <c:pt idx="2">
                  <c:v>0.1</c:v>
                </c:pt>
                <c:pt idx="3">
                  <c:v>0.3</c:v>
                </c:pt>
                <c:pt idx="4">
                  <c:v>0.55555555555555558</c:v>
                </c:pt>
                <c:pt idx="5">
                  <c:v>0.33333333333333331</c:v>
                </c:pt>
                <c:pt idx="6">
                  <c:v>0.1111111111111111</c:v>
                </c:pt>
                <c:pt idx="7">
                  <c:v>0</c:v>
                </c:pt>
              </c:numCache>
            </c:numRef>
          </c:val>
          <c:smooth val="0"/>
          <c:extLst>
            <c:ext xmlns:c16="http://schemas.microsoft.com/office/drawing/2014/chart" uri="{C3380CC4-5D6E-409C-BE32-E72D297353CC}">
              <c16:uniqueId val="{00000003-0864-4B4A-A8B0-6584EFB87097}"/>
            </c:ext>
          </c:extLst>
        </c:ser>
        <c:dLbls>
          <c:showLegendKey val="0"/>
          <c:showVal val="0"/>
          <c:showCatName val="0"/>
          <c:showSerName val="0"/>
          <c:showPercent val="0"/>
          <c:showBubbleSize val="0"/>
        </c:dLbls>
        <c:smooth val="0"/>
        <c:axId val="63479327"/>
        <c:axId val="63458687"/>
      </c:lineChart>
      <c:catAx>
        <c:axId val="634793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58687"/>
        <c:crosses val="autoZero"/>
        <c:auto val="1"/>
        <c:lblAlgn val="ctr"/>
        <c:lblOffset val="100"/>
        <c:noMultiLvlLbl val="0"/>
      </c:catAx>
      <c:valAx>
        <c:axId val="6345868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793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3352</TotalTime>
  <Pages>17</Pages>
  <Words>5736</Words>
  <Characters>32696</Characters>
  <Application>Microsoft Office Word</Application>
  <DocSecurity>0</DocSecurity>
  <Lines>272</Lines>
  <Paragraphs>76</Paragraphs>
  <ScaleCrop>false</ScaleCrop>
  <Company/>
  <LinksUpToDate>false</LinksUpToDate>
  <CharactersWithSpaces>38356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Keera Beeston</dc:creator>
  <cp:keywords/>
  <dc:description/>
  <cp:lastModifiedBy>BEESTON K. (871112)</cp:lastModifiedBy>
  <cp:revision>33</cp:revision>
  <dcterms:created xsi:type="dcterms:W3CDTF">2024-12-02T23:15:00Z</dcterms:created>
  <dcterms:modified xsi:type="dcterms:W3CDTF">2025-01-27T20:23:00Z</dcterms:modified>
</cp:coreProperties>
</file>