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85DC99" w14:textId="75A62D6E" w:rsidR="00DF2280" w:rsidRDefault="00DF2280" w:rsidP="00EE1029">
      <w:pPr>
        <w:pStyle w:val="NormalWeb"/>
        <w:spacing w:before="0" w:beforeAutospacing="0" w:after="0" w:afterAutospacing="0" w:line="360" w:lineRule="auto"/>
        <w:rPr>
          <w:rFonts w:ascii="Arial" w:hAnsi="Arial" w:cs="Arial"/>
          <w:b/>
          <w:bCs/>
          <w:color w:val="000000"/>
          <w:u w:val="single"/>
        </w:rPr>
      </w:pPr>
      <w:r>
        <w:rPr>
          <w:rFonts w:ascii="Arial" w:hAnsi="Arial" w:cs="Arial"/>
          <w:b/>
          <w:bCs/>
          <w:noProof/>
          <w:color w:val="000000"/>
          <w:u w:val="single"/>
        </w:rPr>
        <mc:AlternateContent>
          <mc:Choice Requires="wps">
            <w:drawing>
              <wp:anchor distT="45720" distB="45720" distL="114300" distR="114300" simplePos="0" relativeHeight="251660288" behindDoc="0" locked="0" layoutInCell="1" allowOverlap="1" wp14:anchorId="45B28CA6" wp14:editId="46226CCA">
                <wp:simplePos x="0" y="0"/>
                <wp:positionH relativeFrom="column">
                  <wp:posOffset>4340860</wp:posOffset>
                </wp:positionH>
                <wp:positionV relativeFrom="paragraph">
                  <wp:posOffset>1898650</wp:posOffset>
                </wp:positionV>
                <wp:extent cx="1306195" cy="271145"/>
                <wp:effectExtent l="0" t="0" r="27305" b="14605"/>
                <wp:wrapSquare wrapText="bothSides"/>
                <wp:docPr id="3" name="Text Box 3"/>
                <wp:cNvGraphicFramePr/>
                <a:graphic xmlns:a="http://schemas.openxmlformats.org/drawingml/2006/main">
                  <a:graphicData uri="http://schemas.microsoft.com/office/word/2010/wordprocessingShape">
                    <wps:wsp>
                      <wps:cNvSpPr txBox="1"/>
                      <wps:spPr>
                        <a:xfrm>
                          <a:off x="0" y="0"/>
                          <a:ext cx="1306195" cy="271145"/>
                        </a:xfrm>
                        <a:prstGeom prst="rect">
                          <a:avLst/>
                        </a:prstGeom>
                        <a:solidFill>
                          <a:prstClr val="white"/>
                        </a:solidFill>
                        <a:ln w="6350">
                          <a:solidFill>
                            <a:prstClr val="black"/>
                          </a:solidFill>
                        </a:ln>
                      </wps:spPr>
                      <wps:txbx>
                        <w:txbxContent>
                          <w:p w14:paraId="23EDC476" w14:textId="15C3C027" w:rsidR="00DF2280" w:rsidRDefault="00B36FA2">
                            <w:r>
                              <w:rPr>
                                <w:lang w:val="en-US"/>
                              </w:rPr>
                              <w:t>1701121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B28CA6" id="_x0000_t202" coordsize="21600,21600" o:spt="202" path="m,l,21600r21600,l21600,xe">
                <v:stroke joinstyle="miter"/>
                <v:path gradientshapeok="t" o:connecttype="rect"/>
              </v:shapetype>
              <v:shape id="Text Box 3" o:spid="_x0000_s1026" type="#_x0000_t202" style="position:absolute;margin-left:341.8pt;margin-top:149.5pt;width:102.85pt;height:21.3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" strokeweight=".5pt">
                <v:textbox>
                  <w:txbxContent>
                    <w:p w14:paraId="23EDC476" w14:textId="15C3C027" w:rsidR="00DF2280" w:rsidRDefault="00B36FA2">
                      <w:r>
                        <w:rPr>
                          <w:lang w:val="en-US"/>
                        </w:rPr>
                        <w:t>1701121</w:t>
                      </w:r>
                    </w:p>
                  </w:txbxContent>
                </v:textbox>
                <w10:wrap type="square"/>
              </v:shape>
            </w:pict>
          </mc:Fallback>
        </mc:AlternateContent>
      </w:r>
      <w:r>
        <w:rPr>
          <w:rFonts w:ascii="Arial" w:eastAsia="Times New Roman" w:hAnsi="Arial" w:cs="Arial"/>
          <w:b/>
          <w:bCs/>
          <w:noProof/>
          <w:color w:val="000000"/>
        </w:rPr>
        <w:drawing>
          <wp:anchor distT="0" distB="0" distL="114300" distR="114300" simplePos="0" relativeHeight="251659264" behindDoc="0" locked="0" layoutInCell="1" allowOverlap="1" wp14:anchorId="2340CF01" wp14:editId="5DDB7ED6">
            <wp:simplePos x="0" y="0"/>
            <wp:positionH relativeFrom="column">
              <wp:posOffset>0</wp:posOffset>
            </wp:positionH>
            <wp:positionV relativeFrom="paragraph">
              <wp:posOffset>254000</wp:posOffset>
            </wp:positionV>
            <wp:extent cx="5842000" cy="6731000"/>
            <wp:effectExtent l="0" t="0" r="6350" b="0"/>
            <wp:wrapTopAndBottom/>
            <wp:docPr id="2" name="Picture 2" descr="https://lh6.googleusercontent.com/WWYtRaS_y8Pzn7tjH4Skvn_ySpLFj2RFxXqMwk29MPhv_YxwaoQOMQqdJ04s57Mb77nNYkLMJsliY7YTgoxIC9Y36QTe0R-opqvqXgf6cDjT4e3Iap6I_1rsGITvi_IY3n7EP4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https://lh6.googleusercontent.com/WWYtRaS_y8Pzn7tjH4Skvn_ySpLFj2RFxXqMwk29MPhv_YxwaoQOMQqdJ04s57Mb77nNYkLMJsliY7YTgoxIC9Y36QTe0R-opqvqXgf6cDjT4e3Iap6I_1rsGITvi_IY3n7EP4w"/>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842000" cy="6731000"/>
                    </a:xfrm>
                    <a:prstGeom prst="rect">
                      <a:avLst/>
                    </a:prstGeom>
                    <a:noFill/>
                    <a:ln>
                      <a:noFill/>
                    </a:ln>
                  </pic:spPr>
                </pic:pic>
              </a:graphicData>
            </a:graphic>
          </wp:anchor>
        </w:drawing>
      </w:r>
    </w:p>
    <w:p w14:paraId="76095DF2" w14:textId="133865CD" w:rsidR="00DF2280" w:rsidRDefault="00DF2280" w:rsidP="00EE1029">
      <w:pPr>
        <w:pStyle w:val="NormalWeb"/>
        <w:spacing w:before="0" w:beforeAutospacing="0" w:after="0" w:afterAutospacing="0" w:line="360" w:lineRule="auto"/>
        <w:rPr>
          <w:rFonts w:ascii="Arial" w:hAnsi="Arial" w:cs="Arial"/>
          <w:b/>
          <w:bCs/>
          <w:color w:val="000000"/>
          <w:u w:val="single"/>
        </w:rPr>
      </w:pPr>
    </w:p>
    <w:p w14:paraId="44713C79" w14:textId="77777777" w:rsidR="00DF2280" w:rsidRDefault="00DF2280" w:rsidP="00EE1029">
      <w:pPr>
        <w:pStyle w:val="NormalWeb"/>
        <w:spacing w:before="0" w:beforeAutospacing="0" w:after="0" w:afterAutospacing="0" w:line="360" w:lineRule="auto"/>
        <w:rPr>
          <w:rFonts w:ascii="Arial" w:hAnsi="Arial" w:cs="Arial"/>
          <w:b/>
          <w:bCs/>
          <w:color w:val="000000"/>
          <w:u w:val="single"/>
        </w:rPr>
      </w:pPr>
    </w:p>
    <w:p w14:paraId="28785391" w14:textId="77777777" w:rsidR="00DF2280" w:rsidRDefault="00DF2280" w:rsidP="00EE1029">
      <w:pPr>
        <w:pStyle w:val="NormalWeb"/>
        <w:spacing w:before="0" w:beforeAutospacing="0" w:after="0" w:afterAutospacing="0" w:line="360" w:lineRule="auto"/>
        <w:rPr>
          <w:rFonts w:ascii="Arial" w:hAnsi="Arial" w:cs="Arial"/>
          <w:b/>
          <w:bCs/>
          <w:color w:val="000000"/>
          <w:u w:val="single"/>
        </w:rPr>
      </w:pPr>
    </w:p>
    <w:p w14:paraId="2131EB16" w14:textId="77777777" w:rsidR="00DF2280" w:rsidRDefault="00DF2280" w:rsidP="00EE1029">
      <w:pPr>
        <w:pStyle w:val="NormalWeb"/>
        <w:spacing w:before="0" w:beforeAutospacing="0" w:after="0" w:afterAutospacing="0" w:line="360" w:lineRule="auto"/>
        <w:rPr>
          <w:rFonts w:ascii="Arial" w:hAnsi="Arial" w:cs="Arial"/>
          <w:b/>
          <w:bCs/>
          <w:color w:val="000000"/>
          <w:u w:val="single"/>
        </w:rPr>
      </w:pPr>
    </w:p>
    <w:p w14:paraId="0FA41154" w14:textId="77777777" w:rsidR="00DF2280" w:rsidRDefault="00DF2280" w:rsidP="00EE1029">
      <w:pPr>
        <w:pStyle w:val="NormalWeb"/>
        <w:spacing w:before="0" w:beforeAutospacing="0" w:after="0" w:afterAutospacing="0" w:line="360" w:lineRule="auto"/>
        <w:rPr>
          <w:rFonts w:ascii="Arial" w:hAnsi="Arial" w:cs="Arial"/>
          <w:b/>
          <w:bCs/>
          <w:color w:val="000000"/>
          <w:u w:val="single"/>
        </w:rPr>
      </w:pPr>
    </w:p>
    <w:p w14:paraId="7AD51A64" w14:textId="23583614" w:rsidR="00DF2280" w:rsidRDefault="00DF2280" w:rsidP="00EE1029">
      <w:pPr>
        <w:pStyle w:val="NormalWeb"/>
        <w:spacing w:before="0" w:beforeAutospacing="0" w:after="0" w:afterAutospacing="0" w:line="360" w:lineRule="auto"/>
        <w:rPr>
          <w:rFonts w:ascii="Arial" w:hAnsi="Arial" w:cs="Arial"/>
          <w:b/>
          <w:bCs/>
          <w:color w:val="000000"/>
          <w:u w:val="single"/>
        </w:rPr>
      </w:pPr>
    </w:p>
    <w:p w14:paraId="788160D2" w14:textId="77777777" w:rsidR="00DF2280" w:rsidRDefault="00DF2280" w:rsidP="00EE1029">
      <w:pPr>
        <w:pStyle w:val="NormalWeb"/>
        <w:spacing w:before="0" w:beforeAutospacing="0" w:after="0" w:afterAutospacing="0" w:line="360" w:lineRule="auto"/>
        <w:rPr>
          <w:rFonts w:ascii="Arial" w:hAnsi="Arial" w:cs="Arial"/>
          <w:b/>
          <w:bCs/>
          <w:color w:val="000000"/>
          <w:u w:val="single"/>
        </w:rPr>
      </w:pPr>
    </w:p>
    <w:p w14:paraId="05FA08BD" w14:textId="1E2E7D15"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b/>
          <w:bCs/>
          <w:color w:val="000000"/>
          <w:u w:val="single"/>
        </w:rPr>
        <w:lastRenderedPageBreak/>
        <w:t xml:space="preserve">Task 1: </w:t>
      </w:r>
    </w:p>
    <w:p w14:paraId="642DDB8D" w14:textId="79EC677F"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The rationale behind the choice of book comes from the provisional area within the classroom, as there was a pet shop area for the learners to access. This, therefore, allowed opportunities for the language being taught to be used within play activities. The learning objective for the activity was based around the pet shop provision, it asked the learners to use their Welsh to ask for items within a pet shop. This links with the curriculum as it asks for pupils to  </w:t>
      </w:r>
      <w:r w:rsidR="00D352AB">
        <w:rPr>
          <w:rFonts w:ascii="Arial" w:hAnsi="Arial" w:cs="Arial"/>
          <w:color w:val="000000"/>
        </w:rPr>
        <w:t>“</w:t>
      </w:r>
      <w:r w:rsidRPr="00EE1029">
        <w:rPr>
          <w:rFonts w:ascii="Arial" w:hAnsi="Arial" w:cs="Arial"/>
          <w:color w:val="000000"/>
        </w:rPr>
        <w:t>adopt a role...using language appropriate to a role or situation</w:t>
      </w:r>
      <w:r w:rsidR="00D352AB">
        <w:rPr>
          <w:rFonts w:ascii="Arial" w:hAnsi="Arial" w:cs="Arial"/>
          <w:color w:val="000000"/>
        </w:rPr>
        <w:t>”</w:t>
      </w:r>
      <w:bookmarkStart w:id="0" w:name="_GoBack"/>
      <w:bookmarkEnd w:id="0"/>
      <w:r w:rsidRPr="00EE1029">
        <w:rPr>
          <w:rFonts w:ascii="Arial" w:hAnsi="Arial" w:cs="Arial"/>
          <w:color w:val="000000"/>
        </w:rPr>
        <w:t xml:space="preserve"> (Welsh Government, 2015). </w:t>
      </w:r>
    </w:p>
    <w:p w14:paraId="4E4CA675" w14:textId="77777777" w:rsidR="00EE1029" w:rsidRPr="00EE1029" w:rsidRDefault="00EE1029" w:rsidP="00EE1029">
      <w:pPr>
        <w:spacing w:line="360" w:lineRule="auto"/>
        <w:rPr>
          <w:rFonts w:ascii="Arial" w:eastAsia="Times New Roman" w:hAnsi="Arial" w:cs="Arial"/>
          <w:sz w:val="24"/>
          <w:szCs w:val="24"/>
        </w:rPr>
      </w:pPr>
    </w:p>
    <w:p w14:paraId="6D9AC878"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The book was suitable for the class as they were familiar with the ‘Tedi Twt’ series from their morning routines, this would engage learners in the story. The language within the book uses simple phrases and questions which are repeated to get the learners familiar with the patterns. The language is also supported by brightly coloured images to show the learners the meaning behind the language is. This is useful as it secures the understanding of the new patterns encountered within the story. Due to the story being read to a reception class, the use of the images meant that it was suitable for the learners as they were not capable of reading the language independently. The book provides lots of opportunities for questioning to take place, the types of questions used within the activity can be seen in Appendix 1. </w:t>
      </w:r>
    </w:p>
    <w:p w14:paraId="660987FF" w14:textId="77777777" w:rsidR="00EE1029" w:rsidRPr="00EE1029" w:rsidRDefault="00EE1029" w:rsidP="00EE1029">
      <w:pPr>
        <w:spacing w:line="360" w:lineRule="auto"/>
        <w:rPr>
          <w:rFonts w:ascii="Arial" w:eastAsia="Times New Roman" w:hAnsi="Arial" w:cs="Arial"/>
          <w:sz w:val="24"/>
          <w:szCs w:val="24"/>
        </w:rPr>
      </w:pPr>
    </w:p>
    <w:p w14:paraId="16B32AC4"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b/>
          <w:bCs/>
          <w:color w:val="000000"/>
          <w:u w:val="single"/>
        </w:rPr>
        <w:t xml:space="preserve">Task 2: </w:t>
      </w:r>
    </w:p>
    <w:p w14:paraId="727C4E9B" w14:textId="77777777" w:rsidR="00EE1029" w:rsidRPr="00EE1029" w:rsidRDefault="00EE1029" w:rsidP="00EE1029">
      <w:pPr>
        <w:pStyle w:val="NormalWeb"/>
        <w:spacing w:before="0" w:beforeAutospacing="0" w:after="0" w:afterAutospacing="0" w:line="360" w:lineRule="auto"/>
        <w:rPr>
          <w:rFonts w:ascii="Arial" w:hAnsi="Arial" w:cs="Arial"/>
        </w:rPr>
      </w:pPr>
      <w:hyperlink r:id="rId7" w:history="1">
        <w:r w:rsidRPr="00EE1029">
          <w:rPr>
            <w:rStyle w:val="Hyperlink"/>
            <w:rFonts w:ascii="Arial" w:hAnsi="Arial" w:cs="Arial"/>
            <w:b/>
            <w:bCs/>
            <w:color w:val="1155CC"/>
          </w:rPr>
          <w:t>https://youtu.be/pbGPOcqklgc</w:t>
        </w:r>
      </w:hyperlink>
      <w:r w:rsidRPr="00EE1029">
        <w:rPr>
          <w:rFonts w:ascii="Arial" w:hAnsi="Arial" w:cs="Arial"/>
          <w:b/>
          <w:bCs/>
          <w:color w:val="000000"/>
          <w:u w:val="single"/>
        </w:rPr>
        <w:t xml:space="preserve"> </w:t>
      </w:r>
    </w:p>
    <w:p w14:paraId="25E0935C" w14:textId="27D0908D" w:rsidR="00EE1029" w:rsidRDefault="00EE1029" w:rsidP="00EE1029">
      <w:pPr>
        <w:spacing w:after="240" w:line="360" w:lineRule="auto"/>
        <w:rPr>
          <w:rFonts w:ascii="Arial" w:eastAsia="Times New Roman" w:hAnsi="Arial" w:cs="Arial"/>
          <w:sz w:val="24"/>
          <w:szCs w:val="24"/>
        </w:rPr>
      </w:pP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p>
    <w:p w14:paraId="07464598" w14:textId="77777777" w:rsidR="00803DF6" w:rsidRPr="00EE1029" w:rsidRDefault="00803DF6" w:rsidP="00EE1029">
      <w:pPr>
        <w:spacing w:after="240" w:line="360" w:lineRule="auto"/>
        <w:rPr>
          <w:rFonts w:ascii="Arial" w:eastAsia="Times New Roman" w:hAnsi="Arial" w:cs="Arial"/>
          <w:sz w:val="24"/>
          <w:szCs w:val="24"/>
        </w:rPr>
      </w:pPr>
    </w:p>
    <w:p w14:paraId="3381FE6C"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b/>
          <w:bCs/>
          <w:color w:val="000000"/>
          <w:u w:val="single"/>
        </w:rPr>
        <w:lastRenderedPageBreak/>
        <w:t>Task 3:</w:t>
      </w:r>
    </w:p>
    <w:p w14:paraId="1D0A5273"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Teachers Welsh language needs to be improved in order to reach the government’s goal of having one million Welsh speakers by 2050 (Welsh Government, 2018). One way of achieving this goal, is to improve the methodologies of teaching the Welsh Language within schools. Donaldson supports this as he states that teachers’ have “limited knowledge of second language teaching methodology” (Donaldson, 2015, p.59) this therefore has an impact on the number of students becoming fluent within the Welsh language. Estyn (2018) inspection reports, such as Greenhill Primary School’s report, state that there is also a need to develop learners’ confidence within the language. Therefore, teachers need to implement methodologies that allow students to develop their confidence within the language.  </w:t>
      </w:r>
    </w:p>
    <w:p w14:paraId="3009B7C1" w14:textId="77777777" w:rsidR="00EE1029" w:rsidRPr="00EE1029" w:rsidRDefault="00EE1029" w:rsidP="00EE1029">
      <w:pPr>
        <w:spacing w:line="360" w:lineRule="auto"/>
        <w:rPr>
          <w:rFonts w:ascii="Arial" w:eastAsia="Times New Roman" w:hAnsi="Arial" w:cs="Arial"/>
          <w:sz w:val="24"/>
          <w:szCs w:val="24"/>
        </w:rPr>
      </w:pPr>
    </w:p>
    <w:p w14:paraId="7FDB46DE"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This reflection will critically analyse the use of four methods that I have used within my own teaching of Welsh as shown in task two. The methods that were used were the following: the communicative method, the direct approach, task based learning and the use of questioning and answering. Personally, I think the most effective way of teaching Welsh is by using multiple methods and approaches rather than using one. This would allow all learners to benefit from the lesson as it would ensure the lessons are engaging and meaningful for all learners. However, it can be argued that some methods often decrease confidence within particular learners (Cook,2008), this often results in a lack of language development as the learners are not comfortable with the language.</w:t>
      </w:r>
    </w:p>
    <w:p w14:paraId="1A3AB819" w14:textId="77777777" w:rsidR="00EE1029" w:rsidRPr="00EE1029" w:rsidRDefault="00EE1029" w:rsidP="00EE1029">
      <w:pPr>
        <w:spacing w:line="360" w:lineRule="auto"/>
        <w:rPr>
          <w:rFonts w:ascii="Arial" w:eastAsia="Times New Roman" w:hAnsi="Arial" w:cs="Arial"/>
          <w:sz w:val="24"/>
          <w:szCs w:val="24"/>
        </w:rPr>
      </w:pPr>
    </w:p>
    <w:p w14:paraId="59B55DE3"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The first method to be addressed is the communicative method, this was used throughout the film and it gave learners the opportunity to talk about their actions using the relevant Welsh language. Within the activity shown in task two, the learners were asked to communicate with each other, in Welsh, in order to purchase items of their choice from a pet shop. This was a good strategy for the learners to develop their language fluency as it encourages social interaction in a meaningful activity. Vygotsky believed that this type of interaction allows learners to consolidate their learning and allows them to become independent within their learning (Dolya, 2010). This activity gave the learners this opportunity, however I think more could have been done to give learners more social experiences within this theme. I could </w:t>
      </w:r>
      <w:r w:rsidRPr="00EE1029">
        <w:rPr>
          <w:rFonts w:ascii="Arial" w:hAnsi="Arial" w:cs="Arial"/>
          <w:color w:val="000000"/>
        </w:rPr>
        <w:lastRenderedPageBreak/>
        <w:t>have given learners possible starter questions that they might ask a shopkeeper, this would have allowed the learners to engage more with the everyday language. This adaptation can be supported by Pestalozzi, who suggests that students need to be given more opportunities to explore ideas to use within social interactions (Nutbrown et al. 2008).  </w:t>
      </w:r>
    </w:p>
    <w:p w14:paraId="1DDFC042" w14:textId="77777777" w:rsidR="00EE1029" w:rsidRPr="00EE1029" w:rsidRDefault="00EE1029" w:rsidP="00EE1029">
      <w:pPr>
        <w:spacing w:line="360" w:lineRule="auto"/>
        <w:rPr>
          <w:rFonts w:ascii="Arial" w:eastAsia="Times New Roman" w:hAnsi="Arial" w:cs="Arial"/>
          <w:sz w:val="24"/>
          <w:szCs w:val="24"/>
        </w:rPr>
      </w:pPr>
    </w:p>
    <w:p w14:paraId="2BDF61F2"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However, it can be argued that the use of these independent conversations would discourage an introverted learner into participating within the task. Cook (2008) supports this view as she believes that this method of teaching language is not inclusive for all learners and it would result in a decrease of confidence. She also states that when two learners, who share the same first language, are asked to communicate within their second language they often switch to their first language when communicating (Cook, 2008). This was observed within the activities as the learners were using their first language when they did not know the words within the second language. Thus showing that this method is ineffective if the learners share the same first language. </w:t>
      </w:r>
    </w:p>
    <w:p w14:paraId="33BD3CB5" w14:textId="77777777" w:rsidR="00EE1029" w:rsidRPr="00EE1029" w:rsidRDefault="00EE1029" w:rsidP="00EE1029">
      <w:pPr>
        <w:spacing w:line="360" w:lineRule="auto"/>
        <w:rPr>
          <w:rFonts w:ascii="Arial" w:eastAsia="Times New Roman" w:hAnsi="Arial" w:cs="Arial"/>
          <w:sz w:val="24"/>
          <w:szCs w:val="24"/>
        </w:rPr>
      </w:pPr>
    </w:p>
    <w:p w14:paraId="7DCEC3A4"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Overall, this method is effective to an extent as it gives learners the opportunities to use the language within their play and it can help develop their confidence. However, this method will not work on all types of learners and the confident learners will benefit most while simultaneously decreasing the confidence of the introverted learners. Therefore, if I was to use this method again, I would need to ensure all learners were on task and they were using the Welsh language. I would also encourage the learners to use more everyday language.</w:t>
      </w:r>
    </w:p>
    <w:p w14:paraId="00346D42" w14:textId="77777777" w:rsidR="00EE1029" w:rsidRPr="00EE1029" w:rsidRDefault="00EE1029" w:rsidP="00EE1029">
      <w:pPr>
        <w:spacing w:line="360" w:lineRule="auto"/>
        <w:rPr>
          <w:rFonts w:ascii="Arial" w:eastAsia="Times New Roman" w:hAnsi="Arial" w:cs="Arial"/>
          <w:sz w:val="24"/>
          <w:szCs w:val="24"/>
        </w:rPr>
      </w:pPr>
    </w:p>
    <w:p w14:paraId="7650280F" w14:textId="35E4DBC9"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Another method used throughout the story was the direct method, this was done using images and physical items such as items from a pet</w:t>
      </w:r>
      <w:r w:rsidR="00803DF6">
        <w:rPr>
          <w:rFonts w:ascii="Arial" w:hAnsi="Arial" w:cs="Arial"/>
          <w:color w:val="000000"/>
        </w:rPr>
        <w:t xml:space="preserve"> </w:t>
      </w:r>
      <w:r w:rsidRPr="00EE1029">
        <w:rPr>
          <w:rFonts w:ascii="Arial" w:hAnsi="Arial" w:cs="Arial"/>
          <w:color w:val="000000"/>
        </w:rPr>
        <w:t xml:space="preserve">shop. This approach worked well as it allowed the learners to derive the meaning of the words being read by using the images as a guidance rather than the teacher having to translate the words. Clark and Paivio (1991) agree with this method, they believe that by using images within language learning children often produce better recall. This can be observed within the video as the learners were able to answer questions based on </w:t>
      </w:r>
      <w:r w:rsidRPr="00EE1029">
        <w:rPr>
          <w:rFonts w:ascii="Arial" w:hAnsi="Arial" w:cs="Arial"/>
          <w:color w:val="000000"/>
        </w:rPr>
        <w:lastRenderedPageBreak/>
        <w:t>the images using the relevant language. This therefore shows that this method is effective as the learners are more likely to remember the language patterns being used.</w:t>
      </w:r>
    </w:p>
    <w:p w14:paraId="7C1DB24C" w14:textId="77777777" w:rsidR="00EE1029" w:rsidRPr="00EE1029" w:rsidRDefault="00EE1029" w:rsidP="00EE1029">
      <w:pPr>
        <w:spacing w:line="360" w:lineRule="auto"/>
        <w:rPr>
          <w:rFonts w:ascii="Arial" w:eastAsia="Times New Roman" w:hAnsi="Arial" w:cs="Arial"/>
          <w:sz w:val="24"/>
          <w:szCs w:val="24"/>
        </w:rPr>
      </w:pPr>
    </w:p>
    <w:p w14:paraId="1A4DF696"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Although the imagery was useful for the learners, Macedonia and Kriegstein (2012) argue that the use of gestures has more of an impact than the use of images. Thus implying that this method is ineffective if it is done with the use of images. This view can be supported further by Quinn-Allen (1995) who suggests that in order for the learners to remember the language then the gestures need to be meaningful to the learner. This proves that in order for the method to be effective, the use of meaningful gestures need to be used throughout. Overall, this method is effective when meaningful gestures are use. However I think the learners would benefit more if they were shown an image and if they completed an action/gesture as it would be more inclusive for all types of learners, not just visual. </w:t>
      </w:r>
    </w:p>
    <w:p w14:paraId="3BF99E67" w14:textId="77777777" w:rsidR="00EE1029" w:rsidRPr="00EE1029" w:rsidRDefault="00EE1029" w:rsidP="00EE1029">
      <w:pPr>
        <w:spacing w:line="360" w:lineRule="auto"/>
        <w:rPr>
          <w:rFonts w:ascii="Arial" w:eastAsia="Times New Roman" w:hAnsi="Arial" w:cs="Arial"/>
          <w:sz w:val="24"/>
          <w:szCs w:val="24"/>
        </w:rPr>
      </w:pPr>
    </w:p>
    <w:p w14:paraId="723E9AF3"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Questioning was used after the book had been read, the pupils responded well to the questions as they were able to answer accurately within Welsh. This method was very effective within the language recall as the learners were able to remember what they had learned from the story. Estyn (2013) argues that the use of the questioning is important for consolidating the child’s learning, thus making this method effective. Grigg (2010) also supports this view as he infers that questioning allows children to feel positive and confident about their learning. This method would encourage learners to participate if they feel confident, however as mentioned afore this type of method would mostly benefit confident individuals. Therefore, the method is not inclusive for all learners. If this method was to be used again then adaptations would need to be made to ensure all learners feel confident enough to answer questions, for example by using think, pair, share before asking pupils for answers.</w:t>
      </w:r>
    </w:p>
    <w:p w14:paraId="66CB4BB2" w14:textId="77777777" w:rsidR="00EE1029" w:rsidRPr="00EE1029" w:rsidRDefault="00EE1029" w:rsidP="00EE1029">
      <w:pPr>
        <w:spacing w:line="360" w:lineRule="auto"/>
        <w:rPr>
          <w:rFonts w:ascii="Arial" w:eastAsia="Times New Roman" w:hAnsi="Arial" w:cs="Arial"/>
          <w:sz w:val="24"/>
          <w:szCs w:val="24"/>
        </w:rPr>
      </w:pPr>
    </w:p>
    <w:p w14:paraId="2023C967"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During the questioning activity, open ended questions were not asked, this meant that learners were restricted of their language capability. Estyn (2013) recommend that learners need to be challenged more through the use of questions that ask for more than just a one worded answer. This suggests that the use of questioning is </w:t>
      </w:r>
      <w:r w:rsidRPr="00EE1029">
        <w:rPr>
          <w:rFonts w:ascii="Arial" w:hAnsi="Arial" w:cs="Arial"/>
          <w:color w:val="000000"/>
        </w:rPr>
        <w:lastRenderedPageBreak/>
        <w:t xml:space="preserve">ineffective for language development when learners are not asked open ended questions. However, Griggs (2010) counters this view as he suggests that there needs to be a good mixture of questioning strategies in order for the learners to properly gain understanding of the content. If this method was to be used again, I would ensure there is a good mixture of open and closed questions in order to be inclusive. </w:t>
      </w:r>
    </w:p>
    <w:p w14:paraId="17F230D0" w14:textId="77777777" w:rsidR="00EE1029" w:rsidRPr="00EE1029" w:rsidRDefault="00EE1029" w:rsidP="00EE1029">
      <w:pPr>
        <w:spacing w:line="360" w:lineRule="auto"/>
        <w:rPr>
          <w:rFonts w:ascii="Arial" w:eastAsia="Times New Roman" w:hAnsi="Arial" w:cs="Arial"/>
          <w:sz w:val="24"/>
          <w:szCs w:val="24"/>
        </w:rPr>
      </w:pPr>
    </w:p>
    <w:p w14:paraId="41475E79"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The last method that was used was the task based learning approach. This was effective to an extent as the learners were given opportunities to develop their language understanding within a set context of a pet shop environment. Theorists such as Dewey support this type of learning as he believed that children learn best through personal and meaningful experiences (Ord, 2012). Therefore the use of the pet shop provision allowed learners to experience a first hand realistic conversation which would develop their understanding of the language. However, the effectiveness is limited due to the personality of each child, if a child is not confident within the language then their willingness to participate within the activity is not going to be high. Therefore, if this activity is to be used again then more should be done to ensure learners are confident in what they are communicating. When this is achieved then the method would become more effective in allowing the learners to produce better language skills. </w:t>
      </w:r>
    </w:p>
    <w:p w14:paraId="6A0029A9" w14:textId="77777777" w:rsidR="00EE1029" w:rsidRPr="00EE1029" w:rsidRDefault="00EE1029" w:rsidP="00EE1029">
      <w:pPr>
        <w:spacing w:line="360" w:lineRule="auto"/>
        <w:rPr>
          <w:rFonts w:ascii="Arial" w:eastAsia="Times New Roman" w:hAnsi="Arial" w:cs="Arial"/>
          <w:sz w:val="24"/>
          <w:szCs w:val="24"/>
        </w:rPr>
      </w:pPr>
    </w:p>
    <w:p w14:paraId="234B3334" w14:textId="6B942702"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It could be suggested that the use of an </w:t>
      </w:r>
      <w:r w:rsidR="009D4354" w:rsidRPr="00EE1029">
        <w:rPr>
          <w:rFonts w:ascii="Arial" w:hAnsi="Arial" w:cs="Arial"/>
          <w:color w:val="000000"/>
        </w:rPr>
        <w:t>audio-lingual</w:t>
      </w:r>
      <w:r w:rsidRPr="00EE1029">
        <w:rPr>
          <w:rFonts w:ascii="Arial" w:hAnsi="Arial" w:cs="Arial"/>
          <w:color w:val="000000"/>
        </w:rPr>
        <w:t xml:space="preserve"> approach would allow learners to develop this confidence prior to completing the activity. This would allow learners to improve and develop confidence with their pronunciation of the language. This view can be supported by Richards and Rodgers(1986) as they state that the use of this drilling allows learners to develop their oracy skills which can later be developed to literacy skills. Therefore, if this </w:t>
      </w:r>
      <w:r w:rsidR="009D4354" w:rsidRPr="00EE1029">
        <w:rPr>
          <w:rFonts w:ascii="Arial" w:hAnsi="Arial" w:cs="Arial"/>
          <w:color w:val="000000"/>
        </w:rPr>
        <w:t>audio</w:t>
      </w:r>
      <w:r w:rsidR="009D4354">
        <w:rPr>
          <w:rFonts w:ascii="Arial" w:hAnsi="Arial" w:cs="Arial"/>
          <w:color w:val="000000"/>
        </w:rPr>
        <w:t>-</w:t>
      </w:r>
      <w:r w:rsidR="009D4354" w:rsidRPr="00EE1029">
        <w:rPr>
          <w:rFonts w:ascii="Arial" w:hAnsi="Arial" w:cs="Arial"/>
          <w:color w:val="000000"/>
        </w:rPr>
        <w:t>lingual</w:t>
      </w:r>
      <w:r w:rsidRPr="00EE1029">
        <w:rPr>
          <w:rFonts w:ascii="Arial" w:hAnsi="Arial" w:cs="Arial"/>
          <w:color w:val="000000"/>
        </w:rPr>
        <w:t xml:space="preserve"> approach was to be used prior to the task based method, the learners would be more confident when using the language within their pairs and groups. The effectiveness of the method would increase dramatically if an </w:t>
      </w:r>
      <w:r w:rsidR="009D4354" w:rsidRPr="00EE1029">
        <w:rPr>
          <w:rFonts w:ascii="Arial" w:hAnsi="Arial" w:cs="Arial"/>
          <w:color w:val="000000"/>
        </w:rPr>
        <w:t>audio-lingual</w:t>
      </w:r>
      <w:r w:rsidRPr="00EE1029">
        <w:rPr>
          <w:rFonts w:ascii="Arial" w:hAnsi="Arial" w:cs="Arial"/>
          <w:color w:val="000000"/>
        </w:rPr>
        <w:t xml:space="preserve"> approach is used before the task as the learners gain a great amount of confidence with the pronunciation. </w:t>
      </w:r>
    </w:p>
    <w:p w14:paraId="16F82091" w14:textId="77777777" w:rsidR="00EE1029" w:rsidRPr="00EE1029" w:rsidRDefault="00EE1029" w:rsidP="00EE1029">
      <w:pPr>
        <w:spacing w:line="360" w:lineRule="auto"/>
        <w:rPr>
          <w:rFonts w:ascii="Arial" w:eastAsia="Times New Roman" w:hAnsi="Arial" w:cs="Arial"/>
          <w:sz w:val="24"/>
          <w:szCs w:val="24"/>
        </w:rPr>
      </w:pPr>
    </w:p>
    <w:p w14:paraId="480629E0" w14:textId="5E568EBE"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lastRenderedPageBreak/>
        <w:t xml:space="preserve">To conclude, the use of these four methods were effective to an extent. They each allowed the learners to use the language by ‘engaging in meaningful interactions’ (Bhatia and Ritchie, 2013, p.176) this therefore allows the learners to consolidate their fluency and their understanding of the language. However, it can be argued that the learners personalities can have an impact on the way they learn the language. This, therefore, justifies the need to include more than one method and approach when teaching the Welsh language. As it can allow all learners to become confident within the language. Furthermore, if I was to conduct a Welsh lesson again, I would ensure that all learners participate in an </w:t>
      </w:r>
      <w:r w:rsidR="009D4354" w:rsidRPr="00EE1029">
        <w:rPr>
          <w:rFonts w:ascii="Arial" w:hAnsi="Arial" w:cs="Arial"/>
          <w:color w:val="000000"/>
        </w:rPr>
        <w:t>audio-lingual</w:t>
      </w:r>
      <w:r w:rsidRPr="00EE1029">
        <w:rPr>
          <w:rFonts w:ascii="Arial" w:hAnsi="Arial" w:cs="Arial"/>
          <w:color w:val="000000"/>
        </w:rPr>
        <w:t xml:space="preserve"> task containing the new patterns before they are asked to carry out tasks within Welsh. This would ensure all learners feel confident in pronouncing the words and phrases and it would allow introverted students to develop their own confidence to participate within activities. </w:t>
      </w:r>
    </w:p>
    <w:p w14:paraId="504C1A6B" w14:textId="77777777" w:rsidR="00803DF6" w:rsidRDefault="00EE1029" w:rsidP="00EE1029">
      <w:pPr>
        <w:spacing w:after="240" w:line="360" w:lineRule="auto"/>
        <w:rPr>
          <w:rFonts w:ascii="Arial" w:eastAsia="Times New Roman" w:hAnsi="Arial" w:cs="Arial"/>
          <w:sz w:val="24"/>
          <w:szCs w:val="24"/>
        </w:rPr>
      </w:pP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r w:rsidRPr="00EE1029">
        <w:rPr>
          <w:rFonts w:ascii="Arial" w:eastAsia="Times New Roman" w:hAnsi="Arial" w:cs="Arial"/>
          <w:sz w:val="24"/>
          <w:szCs w:val="24"/>
        </w:rPr>
        <w:br/>
      </w:r>
    </w:p>
    <w:p w14:paraId="2F814FFE" w14:textId="2DE89FED" w:rsidR="00EE1029" w:rsidRPr="00EE1029" w:rsidRDefault="00EE1029" w:rsidP="00EE1029">
      <w:pPr>
        <w:spacing w:after="240" w:line="360" w:lineRule="auto"/>
        <w:rPr>
          <w:rFonts w:ascii="Arial" w:eastAsia="Times New Roman" w:hAnsi="Arial" w:cs="Arial"/>
          <w:sz w:val="24"/>
          <w:szCs w:val="24"/>
        </w:rPr>
      </w:pPr>
      <w:r w:rsidRPr="00EE1029">
        <w:rPr>
          <w:rFonts w:ascii="Arial" w:eastAsia="Times New Roman" w:hAnsi="Arial" w:cs="Arial"/>
          <w:sz w:val="24"/>
          <w:szCs w:val="24"/>
        </w:rPr>
        <w:br/>
      </w:r>
      <w:r w:rsidRPr="00EE1029">
        <w:rPr>
          <w:rFonts w:ascii="Arial" w:eastAsia="Times New Roman" w:hAnsi="Arial" w:cs="Arial"/>
          <w:sz w:val="24"/>
          <w:szCs w:val="24"/>
        </w:rPr>
        <w:br/>
      </w:r>
    </w:p>
    <w:p w14:paraId="0EE6800B"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b/>
          <w:bCs/>
          <w:color w:val="000000"/>
          <w:u w:val="single"/>
        </w:rPr>
        <w:lastRenderedPageBreak/>
        <w:t>Reference List:</w:t>
      </w:r>
    </w:p>
    <w:p w14:paraId="3BCAE563"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Bhatia, T. and Ritchie, W. (2013) </w:t>
      </w:r>
      <w:r w:rsidRPr="00EE1029">
        <w:rPr>
          <w:rFonts w:ascii="Arial" w:hAnsi="Arial" w:cs="Arial"/>
          <w:i/>
          <w:iCs/>
          <w:color w:val="000000"/>
        </w:rPr>
        <w:t>The Handbook of Bilingualism and Multilingualism.</w:t>
      </w:r>
      <w:r w:rsidRPr="00EE1029">
        <w:rPr>
          <w:rFonts w:ascii="Arial" w:hAnsi="Arial" w:cs="Arial"/>
          <w:color w:val="000000"/>
        </w:rPr>
        <w:t xml:space="preserve"> 2nd Ed. Sussex: Blackwell Publishing, Ltd. </w:t>
      </w:r>
    </w:p>
    <w:p w14:paraId="71CED410" w14:textId="77777777" w:rsidR="00EE1029" w:rsidRPr="00EE1029" w:rsidRDefault="00EE1029" w:rsidP="00EE1029">
      <w:pPr>
        <w:spacing w:line="360" w:lineRule="auto"/>
        <w:rPr>
          <w:rFonts w:ascii="Arial" w:eastAsia="Times New Roman" w:hAnsi="Arial" w:cs="Arial"/>
          <w:sz w:val="24"/>
          <w:szCs w:val="24"/>
        </w:rPr>
      </w:pPr>
    </w:p>
    <w:p w14:paraId="26AA667F"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Clark, J. and Paivio, A. (1991) ‘Dual Coding Theory and Education’, </w:t>
      </w:r>
      <w:r w:rsidRPr="00EE1029">
        <w:rPr>
          <w:rFonts w:ascii="Arial" w:hAnsi="Arial" w:cs="Arial"/>
          <w:i/>
          <w:iCs/>
          <w:color w:val="000000"/>
        </w:rPr>
        <w:t>Educational Psychology Review,</w:t>
      </w:r>
      <w:r w:rsidRPr="00EE1029">
        <w:rPr>
          <w:rFonts w:ascii="Arial" w:hAnsi="Arial" w:cs="Arial"/>
          <w:color w:val="000000"/>
        </w:rPr>
        <w:t xml:space="preserve"> 3(3), pp.149-210. Available at: </w:t>
      </w:r>
      <w:hyperlink r:id="rId8" w:history="1">
        <w:r w:rsidRPr="00EE1029">
          <w:rPr>
            <w:rStyle w:val="Hyperlink"/>
            <w:rFonts w:ascii="Arial" w:hAnsi="Arial" w:cs="Arial"/>
            <w:color w:val="1155CC"/>
          </w:rPr>
          <w:t>https://pdfs.semanticscholar.org/9710/56c64ab2de1c4e61dd9c4ba9fcba5d91f557.pdf</w:t>
        </w:r>
      </w:hyperlink>
      <w:r w:rsidRPr="00EE1029">
        <w:rPr>
          <w:rFonts w:ascii="Arial" w:hAnsi="Arial" w:cs="Arial"/>
          <w:color w:val="000000"/>
        </w:rPr>
        <w:t xml:space="preserve"> [Accessed: 13th March 2019].</w:t>
      </w:r>
    </w:p>
    <w:p w14:paraId="722AD333" w14:textId="77777777" w:rsidR="00EE1029" w:rsidRPr="00EE1029" w:rsidRDefault="00EE1029" w:rsidP="00EE1029">
      <w:pPr>
        <w:spacing w:line="360" w:lineRule="auto"/>
        <w:rPr>
          <w:rFonts w:ascii="Arial" w:eastAsia="Times New Roman" w:hAnsi="Arial" w:cs="Arial"/>
          <w:sz w:val="24"/>
          <w:szCs w:val="24"/>
        </w:rPr>
      </w:pPr>
    </w:p>
    <w:p w14:paraId="6FF54D27"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Cook, V. (2008) </w:t>
      </w:r>
      <w:r w:rsidRPr="00EE1029">
        <w:rPr>
          <w:rFonts w:ascii="Arial" w:hAnsi="Arial" w:cs="Arial"/>
          <w:i/>
          <w:iCs/>
          <w:color w:val="000000"/>
        </w:rPr>
        <w:t>Second Language Learning and Language Teaching.</w:t>
      </w:r>
      <w:r w:rsidRPr="00EE1029">
        <w:rPr>
          <w:rFonts w:ascii="Arial" w:hAnsi="Arial" w:cs="Arial"/>
          <w:color w:val="000000"/>
        </w:rPr>
        <w:t xml:space="preserve"> 4th Edn. London: Hodder Education.</w:t>
      </w:r>
    </w:p>
    <w:p w14:paraId="309DB44D" w14:textId="77777777" w:rsidR="00EE1029" w:rsidRPr="00EE1029" w:rsidRDefault="00EE1029" w:rsidP="00EE1029">
      <w:pPr>
        <w:spacing w:line="360" w:lineRule="auto"/>
        <w:rPr>
          <w:rFonts w:ascii="Arial" w:eastAsia="Times New Roman" w:hAnsi="Arial" w:cs="Arial"/>
          <w:sz w:val="24"/>
          <w:szCs w:val="24"/>
        </w:rPr>
      </w:pPr>
    </w:p>
    <w:p w14:paraId="2D1AAD70"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Dolya, G. (2010) </w:t>
      </w:r>
      <w:r w:rsidRPr="00EE1029">
        <w:rPr>
          <w:rFonts w:ascii="Arial" w:hAnsi="Arial" w:cs="Arial"/>
          <w:i/>
          <w:iCs/>
          <w:color w:val="000000"/>
        </w:rPr>
        <w:t>Vygotsky in Action in the Early Years.</w:t>
      </w:r>
      <w:r w:rsidRPr="00EE1029">
        <w:rPr>
          <w:rFonts w:ascii="Arial" w:hAnsi="Arial" w:cs="Arial"/>
          <w:color w:val="000000"/>
        </w:rPr>
        <w:t xml:space="preserve"> London: Routledge. </w:t>
      </w:r>
    </w:p>
    <w:p w14:paraId="737C75C1" w14:textId="77777777" w:rsidR="00EE1029" w:rsidRPr="00EE1029" w:rsidRDefault="00EE1029" w:rsidP="00EE1029">
      <w:pPr>
        <w:spacing w:line="360" w:lineRule="auto"/>
        <w:rPr>
          <w:rFonts w:ascii="Arial" w:eastAsia="Times New Roman" w:hAnsi="Arial" w:cs="Arial"/>
          <w:sz w:val="24"/>
          <w:szCs w:val="24"/>
        </w:rPr>
      </w:pPr>
    </w:p>
    <w:p w14:paraId="08BE65AD"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Donaldson, G. (2015) </w:t>
      </w:r>
      <w:r w:rsidRPr="00EE1029">
        <w:rPr>
          <w:rFonts w:ascii="Arial" w:hAnsi="Arial" w:cs="Arial"/>
          <w:i/>
          <w:iCs/>
          <w:color w:val="000000"/>
        </w:rPr>
        <w:t>Successful Futures.</w:t>
      </w:r>
      <w:r w:rsidRPr="00EE1029">
        <w:rPr>
          <w:rFonts w:ascii="Arial" w:hAnsi="Arial" w:cs="Arial"/>
          <w:color w:val="000000"/>
        </w:rPr>
        <w:t xml:space="preserve"> Available at: </w:t>
      </w:r>
      <w:hyperlink r:id="rId9" w:history="1">
        <w:r w:rsidRPr="00EE1029">
          <w:rPr>
            <w:rStyle w:val="Hyperlink"/>
            <w:rFonts w:ascii="Arial" w:hAnsi="Arial" w:cs="Arial"/>
            <w:color w:val="1155CC"/>
          </w:rPr>
          <w:t>https://gov.wales/docs/dcells/publications/150225-successful-futures-en.pdf</w:t>
        </w:r>
      </w:hyperlink>
      <w:r w:rsidRPr="00EE1029">
        <w:rPr>
          <w:rFonts w:ascii="Arial" w:hAnsi="Arial" w:cs="Arial"/>
          <w:color w:val="000000"/>
        </w:rPr>
        <w:t xml:space="preserve"> [Accessed: 14th March].</w:t>
      </w:r>
    </w:p>
    <w:p w14:paraId="0B4F5B5E" w14:textId="77777777" w:rsidR="00EE1029" w:rsidRPr="00EE1029" w:rsidRDefault="00EE1029" w:rsidP="00EE1029">
      <w:pPr>
        <w:spacing w:line="360" w:lineRule="auto"/>
        <w:rPr>
          <w:rFonts w:ascii="Arial" w:eastAsia="Times New Roman" w:hAnsi="Arial" w:cs="Arial"/>
          <w:sz w:val="24"/>
          <w:szCs w:val="24"/>
        </w:rPr>
      </w:pPr>
    </w:p>
    <w:p w14:paraId="7E70DD7E"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Estyn. (2013) </w:t>
      </w:r>
      <w:r w:rsidRPr="00EE1029">
        <w:rPr>
          <w:rFonts w:ascii="Arial" w:hAnsi="Arial" w:cs="Arial"/>
          <w:i/>
          <w:iCs/>
          <w:color w:val="000000"/>
        </w:rPr>
        <w:t>Welsh Language Development in the Foundation Phase.</w:t>
      </w:r>
      <w:r w:rsidRPr="00EE1029">
        <w:rPr>
          <w:rFonts w:ascii="Arial" w:hAnsi="Arial" w:cs="Arial"/>
          <w:color w:val="000000"/>
        </w:rPr>
        <w:t xml:space="preserve"> Cardiff: Crown. Available at: </w:t>
      </w:r>
      <w:hyperlink r:id="rId10" w:history="1">
        <w:r w:rsidRPr="00EE1029">
          <w:rPr>
            <w:rStyle w:val="Hyperlink"/>
            <w:rFonts w:ascii="Arial" w:hAnsi="Arial" w:cs="Arial"/>
            <w:color w:val="1155CC"/>
          </w:rPr>
          <w:t>http://moodlearchive.uwtsd.ac.uk/moodle1718/pluginfile.php/72548/mod_resource/content/1/Welsh%20Language%20Development%20in%20the%20Foundation%20Phase%20-%20January%202013.pdf</w:t>
        </w:r>
      </w:hyperlink>
      <w:r w:rsidRPr="00EE1029">
        <w:rPr>
          <w:rFonts w:ascii="Arial" w:hAnsi="Arial" w:cs="Arial"/>
          <w:color w:val="000000"/>
        </w:rPr>
        <w:t xml:space="preserve"> [Accessed: 14th March 2019]. </w:t>
      </w:r>
    </w:p>
    <w:p w14:paraId="4AEE1B64" w14:textId="77777777" w:rsidR="00EE1029" w:rsidRPr="00EE1029" w:rsidRDefault="00EE1029" w:rsidP="00EE1029">
      <w:pPr>
        <w:spacing w:line="360" w:lineRule="auto"/>
        <w:rPr>
          <w:rFonts w:ascii="Arial" w:eastAsia="Times New Roman" w:hAnsi="Arial" w:cs="Arial"/>
          <w:sz w:val="24"/>
          <w:szCs w:val="24"/>
        </w:rPr>
      </w:pPr>
    </w:p>
    <w:p w14:paraId="2B9DA578"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Estyn. (2018) </w:t>
      </w:r>
      <w:r w:rsidRPr="00EE1029">
        <w:rPr>
          <w:rFonts w:ascii="Arial" w:hAnsi="Arial" w:cs="Arial"/>
          <w:i/>
          <w:iCs/>
          <w:color w:val="000000"/>
        </w:rPr>
        <w:t xml:space="preserve">A report on Greenhill Primary School. </w:t>
      </w:r>
      <w:r w:rsidRPr="00EE1029">
        <w:rPr>
          <w:rFonts w:ascii="Arial" w:hAnsi="Arial" w:cs="Arial"/>
          <w:color w:val="000000"/>
        </w:rPr>
        <w:t xml:space="preserve">Available at: </w:t>
      </w:r>
      <w:hyperlink r:id="rId11" w:history="1">
        <w:r w:rsidRPr="00EE1029">
          <w:rPr>
            <w:rStyle w:val="Hyperlink"/>
            <w:rFonts w:ascii="Arial" w:hAnsi="Arial" w:cs="Arial"/>
            <w:color w:val="1155CC"/>
          </w:rPr>
          <w:t>https://www.estyn.gov.wales/sites/default/files/documents/Greenhill%20Primary%20School.pdf</w:t>
        </w:r>
      </w:hyperlink>
      <w:r w:rsidRPr="00EE1029">
        <w:rPr>
          <w:rFonts w:ascii="Arial" w:hAnsi="Arial" w:cs="Arial"/>
          <w:color w:val="000000"/>
        </w:rPr>
        <w:t xml:space="preserve"> [Accessed on: 15th March 2019].</w:t>
      </w:r>
    </w:p>
    <w:p w14:paraId="59E1B3C6" w14:textId="77777777" w:rsidR="00EE1029" w:rsidRPr="00EE1029" w:rsidRDefault="00EE1029" w:rsidP="00EE1029">
      <w:pPr>
        <w:spacing w:line="360" w:lineRule="auto"/>
        <w:rPr>
          <w:rFonts w:ascii="Arial" w:eastAsia="Times New Roman" w:hAnsi="Arial" w:cs="Arial"/>
          <w:sz w:val="24"/>
          <w:szCs w:val="24"/>
        </w:rPr>
      </w:pPr>
    </w:p>
    <w:p w14:paraId="42BAA233"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Grigg, R. (2010) </w:t>
      </w:r>
      <w:r w:rsidRPr="00EE1029">
        <w:rPr>
          <w:rFonts w:ascii="Arial" w:hAnsi="Arial" w:cs="Arial"/>
          <w:i/>
          <w:iCs/>
          <w:color w:val="000000"/>
        </w:rPr>
        <w:t xml:space="preserve">Becoming and Outstanding Primary School Teacher. </w:t>
      </w:r>
      <w:r w:rsidRPr="00EE1029">
        <w:rPr>
          <w:rFonts w:ascii="Arial" w:hAnsi="Arial" w:cs="Arial"/>
          <w:color w:val="000000"/>
        </w:rPr>
        <w:t xml:space="preserve">Essex: Pearson Education Limited. </w:t>
      </w:r>
    </w:p>
    <w:p w14:paraId="0CED4E41" w14:textId="77777777" w:rsidR="00EE1029" w:rsidRPr="00EE1029" w:rsidRDefault="00EE1029" w:rsidP="00EE1029">
      <w:pPr>
        <w:spacing w:line="360" w:lineRule="auto"/>
        <w:rPr>
          <w:rFonts w:ascii="Arial" w:eastAsia="Times New Roman" w:hAnsi="Arial" w:cs="Arial"/>
          <w:sz w:val="24"/>
          <w:szCs w:val="24"/>
        </w:rPr>
      </w:pPr>
    </w:p>
    <w:p w14:paraId="06DFD148"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lastRenderedPageBreak/>
        <w:t xml:space="preserve">Macedonia, M. and Kriegstein, K.V. (2012) ‘Gestures Enhance Foreign Language Learning’, </w:t>
      </w:r>
      <w:r w:rsidRPr="00EE1029">
        <w:rPr>
          <w:rFonts w:ascii="Arial" w:hAnsi="Arial" w:cs="Arial"/>
          <w:i/>
          <w:iCs/>
          <w:color w:val="000000"/>
        </w:rPr>
        <w:t>Biolinguistics,</w:t>
      </w:r>
      <w:r w:rsidRPr="00EE1029">
        <w:rPr>
          <w:rFonts w:ascii="Arial" w:hAnsi="Arial" w:cs="Arial"/>
          <w:color w:val="000000"/>
        </w:rPr>
        <w:t xml:space="preserve"> 6.3-4, pp. 393-416. </w:t>
      </w:r>
    </w:p>
    <w:p w14:paraId="536C7D70"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Available at: </w:t>
      </w:r>
      <w:hyperlink r:id="rId12" w:history="1">
        <w:r w:rsidRPr="00EE1029">
          <w:rPr>
            <w:rStyle w:val="Hyperlink"/>
            <w:rFonts w:ascii="Arial" w:hAnsi="Arial" w:cs="Arial"/>
            <w:color w:val="1155CC"/>
          </w:rPr>
          <w:t>https://pdfs.semanticscholar.org/4d4f/b951df2d9adec2a79a3885e6af1457bddd73.pdf</w:t>
        </w:r>
      </w:hyperlink>
      <w:r w:rsidRPr="00EE1029">
        <w:rPr>
          <w:rFonts w:ascii="Arial" w:hAnsi="Arial" w:cs="Arial"/>
          <w:color w:val="000000"/>
        </w:rPr>
        <w:t xml:space="preserve"> [Accessed: 14th March 2019].</w:t>
      </w:r>
    </w:p>
    <w:p w14:paraId="04151A11" w14:textId="77777777" w:rsidR="00EE1029" w:rsidRPr="00EE1029" w:rsidRDefault="00EE1029" w:rsidP="00EE1029">
      <w:pPr>
        <w:spacing w:line="360" w:lineRule="auto"/>
        <w:rPr>
          <w:rFonts w:ascii="Arial" w:eastAsia="Times New Roman" w:hAnsi="Arial" w:cs="Arial"/>
          <w:sz w:val="24"/>
          <w:szCs w:val="24"/>
        </w:rPr>
      </w:pPr>
    </w:p>
    <w:p w14:paraId="3895B2A0"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Nutbrown, C. et al. (2008) </w:t>
      </w:r>
      <w:r w:rsidRPr="00EE1029">
        <w:rPr>
          <w:rFonts w:ascii="Arial" w:hAnsi="Arial" w:cs="Arial"/>
          <w:i/>
          <w:iCs/>
          <w:color w:val="000000"/>
        </w:rPr>
        <w:t>Early Childhood Education.</w:t>
      </w:r>
      <w:r w:rsidRPr="00EE1029">
        <w:rPr>
          <w:rFonts w:ascii="Arial" w:hAnsi="Arial" w:cs="Arial"/>
          <w:color w:val="000000"/>
        </w:rPr>
        <w:t xml:space="preserve"> London: Sage.</w:t>
      </w:r>
    </w:p>
    <w:p w14:paraId="61F283A8" w14:textId="77777777" w:rsidR="00EE1029" w:rsidRPr="00EE1029" w:rsidRDefault="00EE1029" w:rsidP="00EE1029">
      <w:pPr>
        <w:spacing w:line="360" w:lineRule="auto"/>
        <w:rPr>
          <w:rFonts w:ascii="Arial" w:eastAsia="Times New Roman" w:hAnsi="Arial" w:cs="Arial"/>
          <w:sz w:val="24"/>
          <w:szCs w:val="24"/>
        </w:rPr>
      </w:pPr>
    </w:p>
    <w:p w14:paraId="2FB1B493"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Ord, J. (2012) ‘John Dewey and Experiential Learning: Developing the theory of youth work’, </w:t>
      </w:r>
      <w:r w:rsidRPr="00EE1029">
        <w:rPr>
          <w:rFonts w:ascii="Arial" w:hAnsi="Arial" w:cs="Arial"/>
          <w:i/>
          <w:iCs/>
          <w:color w:val="000000"/>
        </w:rPr>
        <w:t xml:space="preserve">Youth and Policy, </w:t>
      </w:r>
      <w:r w:rsidRPr="00EE1029">
        <w:rPr>
          <w:rFonts w:ascii="Arial" w:hAnsi="Arial" w:cs="Arial"/>
          <w:color w:val="000000"/>
        </w:rPr>
        <w:t xml:space="preserve">108, pp. 55-78. </w:t>
      </w:r>
    </w:p>
    <w:p w14:paraId="4F693E7F"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Available at: file:///home/chronos/u-bf76a59366699b6a1dda84ebf2063a4571afb177/Downloads/DeweyExperientialLearningYouthPolicy.pdf  [Accessed: 13th March 2019].</w:t>
      </w:r>
    </w:p>
    <w:p w14:paraId="138F78D6" w14:textId="77777777" w:rsidR="00EE1029" w:rsidRPr="00EE1029" w:rsidRDefault="00EE1029" w:rsidP="00EE1029">
      <w:pPr>
        <w:spacing w:line="360" w:lineRule="auto"/>
        <w:rPr>
          <w:rFonts w:ascii="Arial" w:eastAsia="Times New Roman" w:hAnsi="Arial" w:cs="Arial"/>
          <w:sz w:val="24"/>
          <w:szCs w:val="24"/>
        </w:rPr>
      </w:pPr>
    </w:p>
    <w:p w14:paraId="021B7666"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Quinn-Allen, L. (1995) ‘The Effects of Emblematic Gestures on the Development and Access of Mental Representations of French Expressions’, </w:t>
      </w:r>
      <w:r w:rsidRPr="00EE1029">
        <w:rPr>
          <w:rFonts w:ascii="Arial" w:hAnsi="Arial" w:cs="Arial"/>
          <w:i/>
          <w:iCs/>
          <w:color w:val="000000"/>
        </w:rPr>
        <w:t>The</w:t>
      </w:r>
      <w:r w:rsidRPr="00EE1029">
        <w:rPr>
          <w:rFonts w:ascii="Arial" w:hAnsi="Arial" w:cs="Arial"/>
          <w:color w:val="000000"/>
        </w:rPr>
        <w:t xml:space="preserve"> </w:t>
      </w:r>
      <w:r w:rsidRPr="00EE1029">
        <w:rPr>
          <w:rFonts w:ascii="Arial" w:hAnsi="Arial" w:cs="Arial"/>
          <w:i/>
          <w:iCs/>
          <w:color w:val="000000"/>
        </w:rPr>
        <w:t xml:space="preserve">Modern Language Journal, </w:t>
      </w:r>
      <w:r w:rsidRPr="00EE1029">
        <w:rPr>
          <w:rFonts w:ascii="Arial" w:hAnsi="Arial" w:cs="Arial"/>
          <w:color w:val="000000"/>
        </w:rPr>
        <w:t xml:space="preserve">79(4), pp.521-529. </w:t>
      </w:r>
    </w:p>
    <w:p w14:paraId="7299D38F"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DOI: 10.1111/j.1540-4781.1995.tb05454.x [Accessed on: 14th March 2019].</w:t>
      </w:r>
    </w:p>
    <w:p w14:paraId="1256111C" w14:textId="77777777" w:rsidR="00EE1029" w:rsidRPr="00EE1029" w:rsidRDefault="00EE1029" w:rsidP="00EE1029">
      <w:pPr>
        <w:spacing w:line="360" w:lineRule="auto"/>
        <w:rPr>
          <w:rFonts w:ascii="Arial" w:eastAsia="Times New Roman" w:hAnsi="Arial" w:cs="Arial"/>
          <w:sz w:val="24"/>
          <w:szCs w:val="24"/>
        </w:rPr>
      </w:pPr>
    </w:p>
    <w:p w14:paraId="0ADB28D4"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Richards, J. and Rodgers, T. (1986) </w:t>
      </w:r>
      <w:r w:rsidRPr="00EE1029">
        <w:rPr>
          <w:rFonts w:ascii="Arial" w:hAnsi="Arial" w:cs="Arial"/>
          <w:i/>
          <w:iCs/>
          <w:color w:val="000000"/>
        </w:rPr>
        <w:t>Approaches and Methods in Language Teaching.</w:t>
      </w:r>
      <w:r w:rsidRPr="00EE1029">
        <w:rPr>
          <w:rFonts w:ascii="Arial" w:hAnsi="Arial" w:cs="Arial"/>
          <w:color w:val="000000"/>
        </w:rPr>
        <w:t xml:space="preserve"> Cambridge: Cambridge University Press.</w:t>
      </w:r>
    </w:p>
    <w:p w14:paraId="14BA15B3" w14:textId="77777777" w:rsidR="00EE1029" w:rsidRPr="00EE1029" w:rsidRDefault="00EE1029" w:rsidP="00EE1029">
      <w:pPr>
        <w:spacing w:line="360" w:lineRule="auto"/>
        <w:rPr>
          <w:rFonts w:ascii="Arial" w:eastAsia="Times New Roman" w:hAnsi="Arial" w:cs="Arial"/>
          <w:sz w:val="24"/>
          <w:szCs w:val="24"/>
        </w:rPr>
      </w:pPr>
    </w:p>
    <w:p w14:paraId="41DF2ED9"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Welsh Government. (2018) </w:t>
      </w:r>
      <w:r w:rsidRPr="00EE1029">
        <w:rPr>
          <w:rFonts w:ascii="Arial" w:hAnsi="Arial" w:cs="Arial"/>
          <w:i/>
          <w:iCs/>
          <w:color w:val="000000"/>
        </w:rPr>
        <w:t>Cymraeg 2050: A million Welsh Speakers.</w:t>
      </w:r>
      <w:r w:rsidRPr="00EE1029">
        <w:rPr>
          <w:rFonts w:ascii="Arial" w:hAnsi="Arial" w:cs="Arial"/>
          <w:color w:val="000000"/>
        </w:rPr>
        <w:t xml:space="preserve"> Available at: </w:t>
      </w:r>
      <w:hyperlink r:id="rId13" w:history="1">
        <w:r w:rsidRPr="00EE1029">
          <w:rPr>
            <w:rStyle w:val="Hyperlink"/>
            <w:rFonts w:ascii="Arial" w:hAnsi="Arial" w:cs="Arial"/>
            <w:color w:val="1155CC"/>
          </w:rPr>
          <w:t>https://gov.wales/docs/dcells/welsh-language/publications/180703-cymraeg-2050-million-welsh-speakers-action-plan-2018-2019-en.pdf</w:t>
        </w:r>
      </w:hyperlink>
      <w:r w:rsidRPr="00EE1029">
        <w:rPr>
          <w:rFonts w:ascii="Arial" w:hAnsi="Arial" w:cs="Arial"/>
          <w:color w:val="000000"/>
        </w:rPr>
        <w:t xml:space="preserve"> [Accessed: 13th March 2019].</w:t>
      </w:r>
    </w:p>
    <w:p w14:paraId="2A1504DD" w14:textId="77777777" w:rsidR="00EE1029" w:rsidRPr="00EE1029" w:rsidRDefault="00EE1029" w:rsidP="00EE1029">
      <w:pPr>
        <w:spacing w:line="360" w:lineRule="auto"/>
        <w:rPr>
          <w:rFonts w:ascii="Arial" w:eastAsia="Times New Roman" w:hAnsi="Arial" w:cs="Arial"/>
          <w:sz w:val="24"/>
          <w:szCs w:val="24"/>
        </w:rPr>
      </w:pPr>
    </w:p>
    <w:p w14:paraId="03685773" w14:textId="77777777" w:rsidR="00EE1029" w:rsidRPr="00EE1029" w:rsidRDefault="00EE1029" w:rsidP="00EE1029">
      <w:pPr>
        <w:pStyle w:val="NormalWeb"/>
        <w:spacing w:before="0" w:beforeAutospacing="0" w:after="0" w:afterAutospacing="0" w:line="360" w:lineRule="auto"/>
        <w:rPr>
          <w:rFonts w:ascii="Arial" w:hAnsi="Arial" w:cs="Arial"/>
        </w:rPr>
      </w:pPr>
      <w:r w:rsidRPr="00EE1029">
        <w:rPr>
          <w:rFonts w:ascii="Arial" w:hAnsi="Arial" w:cs="Arial"/>
          <w:color w:val="000000"/>
        </w:rPr>
        <w:t xml:space="preserve">Welsh Government. (2015) </w:t>
      </w:r>
      <w:r w:rsidRPr="00EE1029">
        <w:rPr>
          <w:rFonts w:ascii="Arial" w:hAnsi="Arial" w:cs="Arial"/>
          <w:i/>
          <w:iCs/>
          <w:color w:val="000000"/>
        </w:rPr>
        <w:t>Foundation Phase Framework,</w:t>
      </w:r>
      <w:r w:rsidRPr="00EE1029">
        <w:rPr>
          <w:rFonts w:ascii="Arial" w:hAnsi="Arial" w:cs="Arial"/>
          <w:color w:val="000000"/>
        </w:rPr>
        <w:t xml:space="preserve"> Cardiff: Crown. Available at: </w:t>
      </w:r>
      <w:hyperlink r:id="rId14" w:history="1">
        <w:r w:rsidRPr="00EE1029">
          <w:rPr>
            <w:rStyle w:val="Hyperlink"/>
            <w:rFonts w:ascii="Arial" w:hAnsi="Arial" w:cs="Arial"/>
            <w:color w:val="1155CC"/>
          </w:rPr>
          <w:t>https://beta.gov.wales/sites/default/files/publications/2018-02/foundation-phase-framework-revised-2015.pdf</w:t>
        </w:r>
      </w:hyperlink>
      <w:r w:rsidRPr="00EE1029">
        <w:rPr>
          <w:rFonts w:ascii="Arial" w:hAnsi="Arial" w:cs="Arial"/>
          <w:color w:val="000000"/>
        </w:rPr>
        <w:t xml:space="preserve"> [Accessed: 14th March].</w:t>
      </w:r>
    </w:p>
    <w:p w14:paraId="54EF7CFD" w14:textId="5465F655" w:rsidR="00EE1029" w:rsidRDefault="00EE1029" w:rsidP="00EE1029">
      <w:pPr>
        <w:spacing w:line="360" w:lineRule="auto"/>
        <w:rPr>
          <w:rFonts w:ascii="Arial" w:hAnsi="Arial" w:cs="Arial"/>
          <w:sz w:val="24"/>
          <w:szCs w:val="24"/>
        </w:rPr>
      </w:pPr>
    </w:p>
    <w:p w14:paraId="0F0068DD" w14:textId="5D8F39F7" w:rsidR="00452512" w:rsidRDefault="00452512" w:rsidP="00EE1029">
      <w:pPr>
        <w:spacing w:line="360" w:lineRule="auto"/>
        <w:rPr>
          <w:rFonts w:ascii="Arial" w:hAnsi="Arial" w:cs="Arial"/>
          <w:sz w:val="24"/>
          <w:szCs w:val="24"/>
        </w:rPr>
      </w:pPr>
    </w:p>
    <w:p w14:paraId="4953DDCE" w14:textId="0993978D" w:rsidR="00452512" w:rsidRPr="00452512" w:rsidRDefault="00DF2280" w:rsidP="00EE1029">
      <w:pPr>
        <w:spacing w:line="360" w:lineRule="auto"/>
        <w:rPr>
          <w:rFonts w:ascii="Arial" w:hAnsi="Arial" w:cs="Arial"/>
          <w:b/>
          <w:sz w:val="24"/>
          <w:szCs w:val="24"/>
          <w:u w:val="single"/>
        </w:rPr>
      </w:pPr>
      <w:r>
        <w:rPr>
          <w:rFonts w:ascii="Arial" w:eastAsia="Times New Roman" w:hAnsi="Arial" w:cs="Arial"/>
          <w:noProof/>
          <w:color w:val="000000"/>
        </w:rPr>
        <w:lastRenderedPageBreak/>
        <w:drawing>
          <wp:anchor distT="0" distB="0" distL="114300" distR="114300" simplePos="0" relativeHeight="251658240" behindDoc="0" locked="0" layoutInCell="1" allowOverlap="1" wp14:anchorId="0C430A64" wp14:editId="134F6D98">
            <wp:simplePos x="0" y="0"/>
            <wp:positionH relativeFrom="column">
              <wp:posOffset>-1816735</wp:posOffset>
            </wp:positionH>
            <wp:positionV relativeFrom="paragraph">
              <wp:posOffset>1997710</wp:posOffset>
            </wp:positionV>
            <wp:extent cx="8678545" cy="5046980"/>
            <wp:effectExtent l="6033" t="0" r="0" b="0"/>
            <wp:wrapTopAndBottom/>
            <wp:docPr id="1" name="Picture 1" descr="https://lh6.googleusercontent.com/8Rx5IrZJiKG7BmPML0bd-vW_qVW7JtHtFJzNAygA3hm8ryi4sU-a95LButTL5TEZGNbwDWBtZ1uiBsXGvEkPOIfjD9yTCcSwDLb5LcyZtSTRLvIoSL6piF6azQs9ldPfnoaADl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2" descr="https://lh6.googleusercontent.com/8Rx5IrZJiKG7BmPML0bd-vW_qVW7JtHtFJzNAygA3hm8ryi4sU-a95LButTL5TEZGNbwDWBtZ1uiBsXGvEkPOIfjD9yTCcSwDLb5LcyZtSTRLvIoSL6piF6azQs9ldPfnoaADlk"/>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5400000">
                      <a:off x="0" y="0"/>
                      <a:ext cx="8678545" cy="50469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52512" w:rsidRPr="00452512">
        <w:rPr>
          <w:rFonts w:ascii="Arial" w:hAnsi="Arial" w:cs="Arial"/>
          <w:b/>
          <w:sz w:val="24"/>
          <w:szCs w:val="24"/>
          <w:u w:val="single"/>
        </w:rPr>
        <w:t>Appendix 1:</w:t>
      </w:r>
    </w:p>
    <w:sectPr w:rsidR="00452512" w:rsidRPr="00452512" w:rsidSect="00B36FA2">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19B3D6" w14:textId="77777777" w:rsidR="00B36FA2" w:rsidRDefault="00B36FA2" w:rsidP="00B36FA2">
      <w:pPr>
        <w:spacing w:after="0" w:line="240" w:lineRule="auto"/>
      </w:pPr>
      <w:r>
        <w:separator/>
      </w:r>
    </w:p>
  </w:endnote>
  <w:endnote w:type="continuationSeparator" w:id="0">
    <w:p w14:paraId="2AEA5AC7" w14:textId="77777777" w:rsidR="00B36FA2" w:rsidRDefault="00B36FA2" w:rsidP="00B36F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63C8E6" w14:textId="77777777" w:rsidR="00B36FA2" w:rsidRDefault="00B36FA2" w:rsidP="00B36FA2">
      <w:pPr>
        <w:spacing w:after="0" w:line="240" w:lineRule="auto"/>
      </w:pPr>
      <w:r>
        <w:separator/>
      </w:r>
    </w:p>
  </w:footnote>
  <w:footnote w:type="continuationSeparator" w:id="0">
    <w:p w14:paraId="3BB742B4" w14:textId="77777777" w:rsidR="00B36FA2" w:rsidRDefault="00B36FA2" w:rsidP="00B36FA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CCEDE0" w14:textId="52262C88" w:rsidR="00B36FA2" w:rsidRPr="000A5C25" w:rsidRDefault="00B36FA2">
    <w:pPr>
      <w:pStyle w:val="Header"/>
      <w:rPr>
        <w:sz w:val="18"/>
        <w:szCs w:val="18"/>
      </w:rPr>
    </w:pPr>
    <w:r w:rsidRPr="000A5C25">
      <w:rPr>
        <w:sz w:val="18"/>
        <w:szCs w:val="18"/>
        <w:lang w:val="en-US"/>
      </w:rPr>
      <w:t xml:space="preserve">ECAD5002 – Assignment </w:t>
    </w:r>
    <w:r w:rsidRPr="000A5C25">
      <w:rPr>
        <w:sz w:val="18"/>
        <w:szCs w:val="18"/>
        <w:lang w:val="en-US"/>
      </w:rPr>
      <w:tab/>
    </w:r>
    <w:r w:rsidRPr="000A5C25">
      <w:rPr>
        <w:sz w:val="18"/>
        <w:szCs w:val="18"/>
        <w:lang w:val="en-US"/>
      </w:rPr>
      <w:tab/>
      <w:t>1701121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029"/>
    <w:rsid w:val="000A5C25"/>
    <w:rsid w:val="002F46A5"/>
    <w:rsid w:val="00452512"/>
    <w:rsid w:val="00803DF6"/>
    <w:rsid w:val="009D4354"/>
    <w:rsid w:val="00B36FA2"/>
    <w:rsid w:val="00CA6E1E"/>
    <w:rsid w:val="00D352AB"/>
    <w:rsid w:val="00DE25F0"/>
    <w:rsid w:val="00DF2280"/>
    <w:rsid w:val="00EE1029"/>
    <w:rsid w:val="00EE7B77"/>
    <w:rsid w:val="00FF5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2CF0D4"/>
  <w15:chartTrackingRefBased/>
  <w15:docId w15:val="{233D4B35-F438-8047-98DF-5429391C4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E1029"/>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semiHidden/>
    <w:unhideWhenUsed/>
    <w:rsid w:val="00EE1029"/>
    <w:rPr>
      <w:color w:val="0000FF"/>
      <w:u w:val="single"/>
    </w:rPr>
  </w:style>
  <w:style w:type="paragraph" w:styleId="Header">
    <w:name w:val="header"/>
    <w:basedOn w:val="Normal"/>
    <w:link w:val="HeaderChar"/>
    <w:uiPriority w:val="99"/>
    <w:unhideWhenUsed/>
    <w:rsid w:val="00B36F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FA2"/>
  </w:style>
  <w:style w:type="paragraph" w:styleId="Footer">
    <w:name w:val="footer"/>
    <w:basedOn w:val="Normal"/>
    <w:link w:val="FooterChar"/>
    <w:uiPriority w:val="99"/>
    <w:unhideWhenUsed/>
    <w:rsid w:val="00B36F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F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dfs.semanticscholar.org/9710/56c64ab2de1c4e61dd9c4ba9fcba5d91f557.pdf" TargetMode="External" /><Relationship Id="rId13" Type="http://schemas.openxmlformats.org/officeDocument/2006/relationships/hyperlink" Target="https://gov.wales/docs/dcells/welsh-language/publications/180703-cymraeg-2050-million-welsh-speakers-action-plan-2018-2019-en.pdf" TargetMode="External" /><Relationship Id="rId1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hyperlink" Target="https://youtu.be/pbGPOcqklgc" TargetMode="External" /><Relationship Id="rId12" Type="http://schemas.openxmlformats.org/officeDocument/2006/relationships/hyperlink" Target="https://pdfs.semanticscholar.org/4d4f/b951df2d9adec2a79a3885e6af1457bddd73.pdf" TargetMode="External" /><Relationship Id="rId17" Type="http://schemas.openxmlformats.org/officeDocument/2006/relationships/fontTable" Target="fontTable.xml" /><Relationship Id="rId2" Type="http://schemas.openxmlformats.org/officeDocument/2006/relationships/settings" Target="settings.xml" /><Relationship Id="rId16" Type="http://schemas.openxmlformats.org/officeDocument/2006/relationships/header" Target="header1.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hyperlink" Target="https://www.estyn.gov.wales/sites/default/files/documents/Greenhill%20Primary%20School.pdf" TargetMode="External" /><Relationship Id="rId5" Type="http://schemas.openxmlformats.org/officeDocument/2006/relationships/endnotes" Target="endnotes.xml" /><Relationship Id="rId15" Type="http://schemas.openxmlformats.org/officeDocument/2006/relationships/image" Target="media/image2.png" /><Relationship Id="rId10" Type="http://schemas.openxmlformats.org/officeDocument/2006/relationships/hyperlink" Target="http://moodlearchive.uwtsd.ac.uk/moodle1718/pluginfile.php/72548/mod_resource/content/1/Welsh%20Language%20Development%20in%20the%20Foundation%20Phase%20-%20January%202013.pdf" TargetMode="External" /><Relationship Id="rId4" Type="http://schemas.openxmlformats.org/officeDocument/2006/relationships/footnotes" Target="footnotes.xml" /><Relationship Id="rId9" Type="http://schemas.openxmlformats.org/officeDocument/2006/relationships/hyperlink" Target="https://gov.wales/docs/dcells/publications/150225-successful-futures-en.pdf" TargetMode="External" /><Relationship Id="rId14" Type="http://schemas.openxmlformats.org/officeDocument/2006/relationships/hyperlink" Target="https://beta.gov.wales/sites/default/files/publications/2018-02/foundation-phase-framework-revised-2015.pdf"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2286</Words>
  <Characters>13033</Characters>
  <Application>Microsoft Office Word</Application>
  <DocSecurity>0</DocSecurity>
  <Lines>108</Lines>
  <Paragraphs>30</Paragraphs>
  <ScaleCrop>false</ScaleCrop>
  <Company/>
  <LinksUpToDate>false</LinksUpToDate>
  <CharactersWithSpaces>15289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Jones (1701121)</dc:creator>
  <cp:keywords/>
  <dc:description/>
  <cp:lastModifiedBy>Kelsey Jones (1701121)</cp:lastModifiedBy>
  <cp:revision>2</cp:revision>
  <dcterms:created xsi:type="dcterms:W3CDTF">2019-03-19T14:10:00Z</dcterms:created>
  <dcterms:modified xsi:type="dcterms:W3CDTF">2019-03-19T14:10:00Z</dcterms:modified>
</cp:coreProperties>
</file>