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5E6858" w14:textId="77777777" w:rsidR="008C339B" w:rsidRDefault="008C339B" w:rsidP="003F43B5">
      <w:pPr>
        <w:pStyle w:val="Normal1"/>
        <w:spacing w:line="360" w:lineRule="auto"/>
        <w:jc w:val="both"/>
        <w:rPr>
          <w:rFonts w:ascii="Times New Roman" w:eastAsia="Times New Roman" w:hAnsi="Times New Roman" w:cs="Times New Roman"/>
          <w:b/>
          <w:sz w:val="24"/>
          <w:szCs w:val="24"/>
        </w:rPr>
      </w:pPr>
    </w:p>
    <w:p w14:paraId="7AD5B3AF" w14:textId="3516FEBA" w:rsidR="008C339B" w:rsidRDefault="00F30351" w:rsidP="003F43B5">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0" distB="0" distL="0" distR="0" wp14:anchorId="6B9A4BA1" wp14:editId="36214313">
            <wp:extent cx="2944495" cy="1475105"/>
            <wp:effectExtent l="0" t="0" r="0" b="0"/>
            <wp:docPr id="1965700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44495" cy="1475105"/>
                    </a:xfrm>
                    <a:prstGeom prst="rect">
                      <a:avLst/>
                    </a:prstGeom>
                    <a:noFill/>
                  </pic:spPr>
                </pic:pic>
              </a:graphicData>
            </a:graphic>
          </wp:inline>
        </w:drawing>
      </w:r>
    </w:p>
    <w:p w14:paraId="735B37DC" w14:textId="77777777" w:rsidR="008C339B" w:rsidRDefault="008C339B" w:rsidP="003F43B5">
      <w:pPr>
        <w:pStyle w:val="Normal1"/>
        <w:spacing w:line="360" w:lineRule="auto"/>
        <w:jc w:val="both"/>
        <w:rPr>
          <w:rFonts w:ascii="Times New Roman" w:eastAsia="Times New Roman" w:hAnsi="Times New Roman" w:cs="Times New Roman"/>
          <w:b/>
          <w:sz w:val="24"/>
          <w:szCs w:val="24"/>
        </w:rPr>
      </w:pPr>
    </w:p>
    <w:p w14:paraId="2FD99272" w14:textId="77777777" w:rsidR="00202A2F" w:rsidRDefault="00202A2F" w:rsidP="003F43B5">
      <w:pPr>
        <w:pStyle w:val="Normal1"/>
        <w:spacing w:line="360" w:lineRule="auto"/>
        <w:jc w:val="both"/>
        <w:rPr>
          <w:rFonts w:ascii="Times New Roman" w:eastAsia="Times New Roman" w:hAnsi="Times New Roman" w:cs="Times New Roman"/>
          <w:b/>
          <w:sz w:val="24"/>
          <w:szCs w:val="24"/>
        </w:rPr>
      </w:pPr>
    </w:p>
    <w:p w14:paraId="07502150" w14:textId="77777777" w:rsidR="00202A2F" w:rsidRDefault="00202A2F" w:rsidP="003F43B5">
      <w:pPr>
        <w:pStyle w:val="Normal1"/>
        <w:spacing w:line="360" w:lineRule="auto"/>
        <w:jc w:val="both"/>
        <w:rPr>
          <w:rFonts w:ascii="Times New Roman" w:eastAsia="Times New Roman" w:hAnsi="Times New Roman" w:cs="Times New Roman"/>
          <w:b/>
          <w:sz w:val="24"/>
          <w:szCs w:val="24"/>
        </w:rPr>
      </w:pPr>
    </w:p>
    <w:p w14:paraId="6A04CE81" w14:textId="77777777" w:rsidR="00F30351" w:rsidRDefault="00F30351" w:rsidP="003F43B5">
      <w:pPr>
        <w:pStyle w:val="Normal1"/>
        <w:spacing w:line="360" w:lineRule="auto"/>
        <w:jc w:val="both"/>
        <w:rPr>
          <w:rFonts w:ascii="Times New Roman" w:eastAsia="Times New Roman" w:hAnsi="Times New Roman" w:cs="Times New Roman"/>
          <w:b/>
          <w:sz w:val="24"/>
          <w:szCs w:val="24"/>
        </w:rPr>
      </w:pPr>
    </w:p>
    <w:p w14:paraId="693DB678" w14:textId="77777777" w:rsidR="00F30351" w:rsidRPr="00F30351" w:rsidRDefault="00F30351" w:rsidP="00F30351">
      <w:pPr>
        <w:pStyle w:val="Normal1"/>
        <w:spacing w:line="360" w:lineRule="auto"/>
        <w:jc w:val="both"/>
        <w:rPr>
          <w:rFonts w:eastAsia="Times New Roman"/>
          <w:b/>
          <w:sz w:val="24"/>
          <w:szCs w:val="24"/>
        </w:rPr>
      </w:pPr>
      <w:r w:rsidRPr="00F30351">
        <w:rPr>
          <w:rFonts w:eastAsia="Times New Roman"/>
          <w:b/>
          <w:sz w:val="24"/>
          <w:szCs w:val="24"/>
        </w:rPr>
        <w:t xml:space="preserve">Name: Katerina </w:t>
      </w:r>
      <w:proofErr w:type="spellStart"/>
      <w:r w:rsidRPr="00F30351">
        <w:rPr>
          <w:rFonts w:eastAsia="Times New Roman"/>
          <w:b/>
          <w:sz w:val="24"/>
          <w:szCs w:val="24"/>
        </w:rPr>
        <w:t>Mezova</w:t>
      </w:r>
      <w:proofErr w:type="spellEnd"/>
    </w:p>
    <w:p w14:paraId="7F8DFC32" w14:textId="77777777" w:rsidR="00F30351" w:rsidRPr="00F30351" w:rsidRDefault="00F30351" w:rsidP="00F30351">
      <w:pPr>
        <w:pStyle w:val="Normal1"/>
        <w:spacing w:line="360" w:lineRule="auto"/>
        <w:jc w:val="both"/>
        <w:rPr>
          <w:rFonts w:eastAsia="Times New Roman"/>
          <w:b/>
          <w:sz w:val="24"/>
          <w:szCs w:val="24"/>
        </w:rPr>
      </w:pPr>
      <w:r w:rsidRPr="00F30351">
        <w:rPr>
          <w:rFonts w:eastAsia="Times New Roman"/>
          <w:b/>
          <w:sz w:val="24"/>
          <w:szCs w:val="24"/>
        </w:rPr>
        <w:t>Student ID: 2246854</w:t>
      </w:r>
    </w:p>
    <w:p w14:paraId="05110BDE" w14:textId="0CBEC59B" w:rsidR="00F30351" w:rsidRPr="00F30351" w:rsidRDefault="00F30351" w:rsidP="00F30351">
      <w:pPr>
        <w:pStyle w:val="Normal1"/>
        <w:spacing w:line="360" w:lineRule="auto"/>
        <w:jc w:val="both"/>
        <w:rPr>
          <w:rFonts w:eastAsia="Times New Roman"/>
          <w:b/>
          <w:sz w:val="24"/>
          <w:szCs w:val="24"/>
        </w:rPr>
      </w:pPr>
      <w:r w:rsidRPr="00F30351">
        <w:rPr>
          <w:rFonts w:eastAsia="Times New Roman"/>
          <w:b/>
          <w:sz w:val="24"/>
          <w:szCs w:val="24"/>
        </w:rPr>
        <w:t>Module code: LCBB40</w:t>
      </w:r>
      <w:r w:rsidRPr="00F30351">
        <w:rPr>
          <w:rFonts w:eastAsia="Times New Roman"/>
          <w:b/>
          <w:sz w:val="24"/>
          <w:szCs w:val="24"/>
        </w:rPr>
        <w:t>02</w:t>
      </w:r>
    </w:p>
    <w:p w14:paraId="7A01074E" w14:textId="168E7BF7" w:rsidR="00F30351" w:rsidRPr="00F30351" w:rsidRDefault="00F30351" w:rsidP="00F30351">
      <w:pPr>
        <w:pStyle w:val="Normal1"/>
        <w:spacing w:line="360" w:lineRule="auto"/>
        <w:jc w:val="both"/>
        <w:rPr>
          <w:rFonts w:eastAsia="Times New Roman"/>
          <w:b/>
          <w:sz w:val="24"/>
          <w:szCs w:val="24"/>
        </w:rPr>
      </w:pPr>
      <w:r w:rsidRPr="00F30351">
        <w:rPr>
          <w:rFonts w:eastAsia="Times New Roman"/>
          <w:b/>
          <w:sz w:val="24"/>
          <w:szCs w:val="24"/>
        </w:rPr>
        <w:t xml:space="preserve">Module name: </w:t>
      </w:r>
      <w:r w:rsidRPr="00F30351">
        <w:rPr>
          <w:rFonts w:eastAsia="Times New Roman"/>
          <w:b/>
          <w:sz w:val="24"/>
          <w:szCs w:val="24"/>
        </w:rPr>
        <w:t xml:space="preserve">Community Engagement </w:t>
      </w:r>
    </w:p>
    <w:p w14:paraId="394316A8" w14:textId="53B5C84A" w:rsidR="00F30351" w:rsidRPr="00F30351" w:rsidRDefault="00F30351" w:rsidP="00F30351">
      <w:pPr>
        <w:pStyle w:val="Normal1"/>
        <w:spacing w:line="360" w:lineRule="auto"/>
        <w:jc w:val="both"/>
        <w:rPr>
          <w:rFonts w:eastAsia="Times New Roman"/>
          <w:b/>
          <w:sz w:val="24"/>
          <w:szCs w:val="24"/>
        </w:rPr>
      </w:pPr>
      <w:r w:rsidRPr="00F30351">
        <w:rPr>
          <w:rFonts w:eastAsia="Times New Roman"/>
          <w:b/>
          <w:sz w:val="24"/>
          <w:szCs w:val="24"/>
        </w:rPr>
        <w:t xml:space="preserve">Lecturer: Dr </w:t>
      </w:r>
      <w:r w:rsidRPr="00F30351">
        <w:rPr>
          <w:rFonts w:eastAsia="Times New Roman"/>
          <w:b/>
          <w:sz w:val="24"/>
          <w:szCs w:val="24"/>
        </w:rPr>
        <w:t xml:space="preserve">Molly Jack </w:t>
      </w:r>
    </w:p>
    <w:p w14:paraId="257A1689" w14:textId="77777777" w:rsidR="00202A2F" w:rsidRPr="00F30351" w:rsidRDefault="00202A2F" w:rsidP="003F43B5">
      <w:pPr>
        <w:pStyle w:val="Normal1"/>
        <w:spacing w:line="360" w:lineRule="auto"/>
        <w:jc w:val="both"/>
        <w:rPr>
          <w:rFonts w:eastAsia="Times New Roman"/>
          <w:bCs/>
          <w:sz w:val="24"/>
          <w:szCs w:val="24"/>
        </w:rPr>
      </w:pPr>
    </w:p>
    <w:p w14:paraId="61037507" w14:textId="77777777" w:rsidR="00202A2F" w:rsidRDefault="00202A2F" w:rsidP="003F43B5">
      <w:pPr>
        <w:pStyle w:val="Normal1"/>
        <w:spacing w:line="360" w:lineRule="auto"/>
        <w:jc w:val="both"/>
        <w:rPr>
          <w:rFonts w:ascii="Times New Roman" w:eastAsia="Times New Roman" w:hAnsi="Times New Roman" w:cs="Times New Roman"/>
          <w:b/>
          <w:sz w:val="24"/>
          <w:szCs w:val="24"/>
        </w:rPr>
      </w:pPr>
    </w:p>
    <w:p w14:paraId="0D7AEA70" w14:textId="77777777" w:rsidR="008C339B" w:rsidRDefault="008C339B" w:rsidP="003F43B5">
      <w:pPr>
        <w:pStyle w:val="Normal1"/>
        <w:spacing w:line="360" w:lineRule="auto"/>
        <w:jc w:val="both"/>
        <w:rPr>
          <w:rFonts w:ascii="Times New Roman" w:eastAsia="Times New Roman" w:hAnsi="Times New Roman" w:cs="Times New Roman"/>
          <w:b/>
          <w:sz w:val="24"/>
          <w:szCs w:val="24"/>
        </w:rPr>
      </w:pPr>
    </w:p>
    <w:p w14:paraId="3F807360" w14:textId="77777777" w:rsidR="008C339B" w:rsidRDefault="008C339B" w:rsidP="003F43B5">
      <w:pPr>
        <w:pStyle w:val="Normal1"/>
        <w:spacing w:line="360" w:lineRule="auto"/>
        <w:jc w:val="both"/>
        <w:rPr>
          <w:rFonts w:ascii="Times New Roman" w:eastAsia="Times New Roman" w:hAnsi="Times New Roman" w:cs="Times New Roman"/>
          <w:b/>
          <w:sz w:val="24"/>
          <w:szCs w:val="24"/>
        </w:rPr>
      </w:pPr>
    </w:p>
    <w:p w14:paraId="30D8AC0F" w14:textId="77777777" w:rsidR="00202A2F" w:rsidRDefault="00202A2F" w:rsidP="003F43B5">
      <w:pPr>
        <w:pStyle w:val="Normal1"/>
        <w:spacing w:line="360" w:lineRule="auto"/>
        <w:jc w:val="both"/>
        <w:rPr>
          <w:rFonts w:ascii="Times New Roman" w:eastAsia="Times New Roman" w:hAnsi="Times New Roman" w:cs="Times New Roman"/>
          <w:b/>
          <w:sz w:val="24"/>
          <w:szCs w:val="24"/>
        </w:rPr>
      </w:pPr>
    </w:p>
    <w:p w14:paraId="51CA84C2" w14:textId="77777777" w:rsidR="00F30351" w:rsidRDefault="00F30351" w:rsidP="00FB0276">
      <w:pPr>
        <w:pStyle w:val="Normal1"/>
        <w:spacing w:line="360" w:lineRule="auto"/>
        <w:jc w:val="center"/>
        <w:rPr>
          <w:rFonts w:ascii="Times New Roman" w:eastAsia="Times New Roman" w:hAnsi="Times New Roman" w:cs="Times New Roman"/>
          <w:b/>
          <w:sz w:val="32"/>
          <w:szCs w:val="32"/>
        </w:rPr>
      </w:pPr>
    </w:p>
    <w:p w14:paraId="69305C56" w14:textId="77777777" w:rsidR="00F30351" w:rsidRDefault="00F30351" w:rsidP="00FB0276">
      <w:pPr>
        <w:pStyle w:val="Normal1"/>
        <w:spacing w:line="360" w:lineRule="auto"/>
        <w:jc w:val="center"/>
        <w:rPr>
          <w:rFonts w:ascii="Times New Roman" w:eastAsia="Times New Roman" w:hAnsi="Times New Roman" w:cs="Times New Roman"/>
          <w:b/>
          <w:sz w:val="32"/>
          <w:szCs w:val="32"/>
        </w:rPr>
      </w:pPr>
    </w:p>
    <w:p w14:paraId="3A2159D4" w14:textId="77777777" w:rsidR="00F30351" w:rsidRDefault="00F30351" w:rsidP="00FB0276">
      <w:pPr>
        <w:pStyle w:val="Normal1"/>
        <w:spacing w:line="360" w:lineRule="auto"/>
        <w:jc w:val="center"/>
        <w:rPr>
          <w:rFonts w:ascii="Times New Roman" w:eastAsia="Times New Roman" w:hAnsi="Times New Roman" w:cs="Times New Roman"/>
          <w:b/>
          <w:sz w:val="32"/>
          <w:szCs w:val="32"/>
        </w:rPr>
      </w:pPr>
    </w:p>
    <w:p w14:paraId="426D793B" w14:textId="77777777" w:rsidR="00F30351" w:rsidRDefault="00F30351" w:rsidP="00FB0276">
      <w:pPr>
        <w:pStyle w:val="Normal1"/>
        <w:spacing w:line="360" w:lineRule="auto"/>
        <w:jc w:val="center"/>
        <w:rPr>
          <w:rFonts w:ascii="Times New Roman" w:eastAsia="Times New Roman" w:hAnsi="Times New Roman" w:cs="Times New Roman"/>
          <w:b/>
          <w:sz w:val="32"/>
          <w:szCs w:val="32"/>
        </w:rPr>
      </w:pPr>
    </w:p>
    <w:p w14:paraId="6E1CBF5B" w14:textId="77777777" w:rsidR="00F30351" w:rsidRDefault="00F30351" w:rsidP="00FB0276">
      <w:pPr>
        <w:pStyle w:val="Normal1"/>
        <w:spacing w:line="360" w:lineRule="auto"/>
        <w:jc w:val="center"/>
        <w:rPr>
          <w:rFonts w:ascii="Times New Roman" w:eastAsia="Times New Roman" w:hAnsi="Times New Roman" w:cs="Times New Roman"/>
          <w:b/>
          <w:sz w:val="32"/>
          <w:szCs w:val="32"/>
        </w:rPr>
      </w:pPr>
    </w:p>
    <w:p w14:paraId="126939AE" w14:textId="77777777" w:rsidR="00F30351" w:rsidRDefault="00F30351" w:rsidP="00FB0276">
      <w:pPr>
        <w:pStyle w:val="Normal1"/>
        <w:spacing w:line="360" w:lineRule="auto"/>
        <w:jc w:val="center"/>
        <w:rPr>
          <w:rFonts w:ascii="Times New Roman" w:eastAsia="Times New Roman" w:hAnsi="Times New Roman" w:cs="Times New Roman"/>
          <w:b/>
          <w:sz w:val="32"/>
          <w:szCs w:val="32"/>
        </w:rPr>
      </w:pPr>
    </w:p>
    <w:p w14:paraId="685BD22E" w14:textId="77777777" w:rsidR="00F30351" w:rsidRDefault="00F30351" w:rsidP="00FB0276">
      <w:pPr>
        <w:pStyle w:val="Normal1"/>
        <w:spacing w:line="360" w:lineRule="auto"/>
        <w:jc w:val="center"/>
        <w:rPr>
          <w:rFonts w:ascii="Times New Roman" w:eastAsia="Times New Roman" w:hAnsi="Times New Roman" w:cs="Times New Roman"/>
          <w:b/>
          <w:sz w:val="32"/>
          <w:szCs w:val="32"/>
        </w:rPr>
      </w:pPr>
    </w:p>
    <w:p w14:paraId="4A139ED5" w14:textId="1E43BB01" w:rsidR="00F30351" w:rsidRDefault="00F30351" w:rsidP="00FB0276">
      <w:pPr>
        <w:pStyle w:val="Normal1"/>
        <w:spacing w:line="360" w:lineRule="auto"/>
        <w:jc w:val="center"/>
        <w:rPr>
          <w:rFonts w:ascii="Times New Roman" w:eastAsia="Times New Roman" w:hAnsi="Times New Roman" w:cs="Times New Roman"/>
          <w:b/>
          <w:sz w:val="32"/>
          <w:szCs w:val="32"/>
        </w:rPr>
      </w:pPr>
      <w:r w:rsidRPr="00F30351">
        <w:rPr>
          <w:rFonts w:ascii="Times New Roman" w:eastAsia="Times New Roman" w:hAnsi="Times New Roman" w:cs="Times New Roman"/>
          <w:b/>
          <w:sz w:val="32"/>
          <w:szCs w:val="32"/>
        </w:rPr>
        <w:t xml:space="preserve">SUBMITTED ON THE </w:t>
      </w:r>
      <w:proofErr w:type="gramStart"/>
      <w:r>
        <w:rPr>
          <w:rFonts w:ascii="Times New Roman" w:eastAsia="Times New Roman" w:hAnsi="Times New Roman" w:cs="Times New Roman"/>
          <w:b/>
          <w:sz w:val="32"/>
          <w:szCs w:val="32"/>
        </w:rPr>
        <w:t>1st</w:t>
      </w:r>
      <w:proofErr w:type="gramEnd"/>
      <w:r w:rsidRPr="00F30351">
        <w:rPr>
          <w:rFonts w:ascii="Times New Roman" w:eastAsia="Times New Roman" w:hAnsi="Times New Roman" w:cs="Times New Roman"/>
          <w:b/>
          <w:sz w:val="32"/>
          <w:szCs w:val="32"/>
        </w:rPr>
        <w:t xml:space="preserve"> </w:t>
      </w:r>
      <w:r>
        <w:rPr>
          <w:rFonts w:ascii="Times New Roman" w:eastAsia="Times New Roman" w:hAnsi="Times New Roman" w:cs="Times New Roman"/>
          <w:b/>
          <w:sz w:val="32"/>
          <w:szCs w:val="32"/>
        </w:rPr>
        <w:t>December</w:t>
      </w:r>
      <w:r w:rsidRPr="00F30351">
        <w:rPr>
          <w:rFonts w:ascii="Times New Roman" w:eastAsia="Times New Roman" w:hAnsi="Times New Roman" w:cs="Times New Roman"/>
          <w:b/>
          <w:sz w:val="32"/>
          <w:szCs w:val="32"/>
        </w:rPr>
        <w:t xml:space="preserve"> 2023</w:t>
      </w:r>
    </w:p>
    <w:p w14:paraId="3DA793BF" w14:textId="682C88F5" w:rsidR="00F30351" w:rsidRPr="00F30351" w:rsidRDefault="00F30351" w:rsidP="00F30351">
      <w:pPr>
        <w:pStyle w:val="Normal1"/>
        <w:spacing w:line="360" w:lineRule="auto"/>
        <w:rPr>
          <w:rFonts w:eastAsia="Times New Roman"/>
          <w:bCs/>
          <w:sz w:val="24"/>
          <w:szCs w:val="24"/>
        </w:rPr>
      </w:pPr>
      <w:r w:rsidRPr="00F30351">
        <w:rPr>
          <w:rFonts w:eastAsia="Times New Roman"/>
          <w:b/>
          <w:sz w:val="32"/>
          <w:szCs w:val="32"/>
        </w:rPr>
        <w:lastRenderedPageBreak/>
        <w:t>Table of Contents</w:t>
      </w:r>
    </w:p>
    <w:p w14:paraId="055C5E61" w14:textId="77777777" w:rsidR="00F30351" w:rsidRDefault="00F30351" w:rsidP="00F30351">
      <w:pPr>
        <w:pStyle w:val="Normal1"/>
        <w:spacing w:line="360" w:lineRule="auto"/>
        <w:rPr>
          <w:rFonts w:eastAsia="Times New Roman"/>
          <w:bCs/>
          <w:sz w:val="24"/>
          <w:szCs w:val="24"/>
        </w:rPr>
      </w:pPr>
    </w:p>
    <w:p w14:paraId="08315489" w14:textId="53F43408" w:rsidR="00F30351" w:rsidRPr="00F30351" w:rsidRDefault="00F30351" w:rsidP="00F30351">
      <w:pPr>
        <w:pStyle w:val="Normal1"/>
        <w:spacing w:line="360" w:lineRule="auto"/>
        <w:rPr>
          <w:rFonts w:eastAsia="Times New Roman"/>
          <w:b/>
          <w:sz w:val="24"/>
          <w:szCs w:val="24"/>
        </w:rPr>
      </w:pPr>
      <w:r w:rsidRPr="00F30351">
        <w:rPr>
          <w:rFonts w:eastAsia="Times New Roman"/>
          <w:b/>
          <w:sz w:val="24"/>
          <w:szCs w:val="24"/>
        </w:rPr>
        <w:t xml:space="preserve">Introduction    </w:t>
      </w:r>
      <w:r>
        <w:rPr>
          <w:rFonts w:eastAsia="Times New Roman"/>
          <w:b/>
          <w:sz w:val="24"/>
          <w:szCs w:val="24"/>
        </w:rPr>
        <w:t xml:space="preserve"> </w:t>
      </w:r>
      <w:r w:rsidRPr="00F30351">
        <w:rPr>
          <w:rFonts w:eastAsia="Times New Roman"/>
          <w:b/>
          <w:sz w:val="24"/>
          <w:szCs w:val="24"/>
        </w:rPr>
        <w:t>4</w:t>
      </w:r>
    </w:p>
    <w:p w14:paraId="2CC7F7F1" w14:textId="77777777" w:rsidR="00F30351" w:rsidRDefault="00F30351" w:rsidP="00F30351">
      <w:pPr>
        <w:pStyle w:val="Normal1"/>
        <w:spacing w:line="360" w:lineRule="auto"/>
        <w:rPr>
          <w:rFonts w:eastAsia="Times New Roman"/>
          <w:b/>
          <w:sz w:val="24"/>
          <w:szCs w:val="24"/>
        </w:rPr>
      </w:pPr>
    </w:p>
    <w:p w14:paraId="770E8748" w14:textId="2FD8D74A" w:rsidR="00F30351" w:rsidRPr="00F30351" w:rsidRDefault="00F30351" w:rsidP="00F30351">
      <w:pPr>
        <w:pStyle w:val="Normal1"/>
        <w:spacing w:line="360" w:lineRule="auto"/>
        <w:rPr>
          <w:rFonts w:eastAsia="Times New Roman"/>
          <w:b/>
          <w:sz w:val="24"/>
          <w:szCs w:val="24"/>
        </w:rPr>
      </w:pPr>
      <w:r w:rsidRPr="00F30351">
        <w:rPr>
          <w:rFonts w:eastAsia="Times New Roman"/>
          <w:b/>
          <w:sz w:val="24"/>
          <w:szCs w:val="24"/>
        </w:rPr>
        <w:t xml:space="preserve">Discussion   </w:t>
      </w:r>
      <w:r>
        <w:rPr>
          <w:rFonts w:eastAsia="Times New Roman"/>
          <w:b/>
          <w:sz w:val="24"/>
          <w:szCs w:val="24"/>
        </w:rPr>
        <w:t xml:space="preserve">   </w:t>
      </w:r>
      <w:r w:rsidRPr="00F30351">
        <w:rPr>
          <w:rFonts w:eastAsia="Times New Roman"/>
          <w:b/>
          <w:sz w:val="24"/>
          <w:szCs w:val="24"/>
        </w:rPr>
        <w:t xml:space="preserve"> 4 </w:t>
      </w:r>
    </w:p>
    <w:p w14:paraId="52F722FE" w14:textId="77777777" w:rsidR="00F30351" w:rsidRDefault="00F30351" w:rsidP="00F30351">
      <w:pPr>
        <w:pStyle w:val="Normal1"/>
        <w:spacing w:line="360" w:lineRule="auto"/>
        <w:rPr>
          <w:rFonts w:eastAsia="Times New Roman"/>
          <w:b/>
          <w:sz w:val="24"/>
          <w:szCs w:val="24"/>
        </w:rPr>
      </w:pPr>
    </w:p>
    <w:p w14:paraId="43400A40" w14:textId="0E7FAC06" w:rsidR="00F30351" w:rsidRPr="00F30351" w:rsidRDefault="00F30351" w:rsidP="00F30351">
      <w:pPr>
        <w:pStyle w:val="Normal1"/>
        <w:spacing w:line="360" w:lineRule="auto"/>
        <w:rPr>
          <w:rFonts w:eastAsia="Times New Roman"/>
          <w:b/>
          <w:sz w:val="24"/>
          <w:szCs w:val="24"/>
        </w:rPr>
      </w:pPr>
      <w:r w:rsidRPr="00F30351">
        <w:rPr>
          <w:rFonts w:eastAsia="Times New Roman"/>
          <w:b/>
          <w:sz w:val="24"/>
          <w:szCs w:val="24"/>
        </w:rPr>
        <w:t xml:space="preserve">Conclusion   </w:t>
      </w:r>
      <w:r>
        <w:rPr>
          <w:rFonts w:eastAsia="Times New Roman"/>
          <w:b/>
          <w:sz w:val="24"/>
          <w:szCs w:val="24"/>
        </w:rPr>
        <w:t xml:space="preserve">  </w:t>
      </w:r>
      <w:r w:rsidRPr="00F30351">
        <w:rPr>
          <w:rFonts w:eastAsia="Times New Roman"/>
          <w:b/>
          <w:sz w:val="24"/>
          <w:szCs w:val="24"/>
        </w:rPr>
        <w:t xml:space="preserve"> 9</w:t>
      </w:r>
    </w:p>
    <w:p w14:paraId="021F3652" w14:textId="77777777" w:rsidR="00F30351" w:rsidRDefault="00F30351" w:rsidP="00F30351">
      <w:pPr>
        <w:pStyle w:val="Normal1"/>
        <w:spacing w:line="360" w:lineRule="auto"/>
        <w:rPr>
          <w:rFonts w:eastAsia="Times New Roman"/>
          <w:b/>
          <w:sz w:val="24"/>
          <w:szCs w:val="24"/>
        </w:rPr>
      </w:pPr>
    </w:p>
    <w:p w14:paraId="73677965" w14:textId="6E0648AE" w:rsidR="00F30351" w:rsidRPr="00F30351" w:rsidRDefault="00F30351" w:rsidP="00F30351">
      <w:pPr>
        <w:pStyle w:val="Normal1"/>
        <w:spacing w:line="360" w:lineRule="auto"/>
        <w:rPr>
          <w:rFonts w:eastAsia="Times New Roman"/>
          <w:b/>
          <w:sz w:val="24"/>
          <w:szCs w:val="24"/>
        </w:rPr>
      </w:pPr>
      <w:r w:rsidRPr="00F30351">
        <w:rPr>
          <w:rFonts w:eastAsia="Times New Roman"/>
          <w:b/>
          <w:sz w:val="24"/>
          <w:szCs w:val="24"/>
        </w:rPr>
        <w:t xml:space="preserve">References   </w:t>
      </w:r>
      <w:r>
        <w:rPr>
          <w:rFonts w:eastAsia="Times New Roman"/>
          <w:b/>
          <w:sz w:val="24"/>
          <w:szCs w:val="24"/>
        </w:rPr>
        <w:t xml:space="preserve">  </w:t>
      </w:r>
      <w:r w:rsidRPr="00F30351">
        <w:rPr>
          <w:rFonts w:eastAsia="Times New Roman"/>
          <w:b/>
          <w:sz w:val="24"/>
          <w:szCs w:val="24"/>
        </w:rPr>
        <w:t>10</w:t>
      </w:r>
    </w:p>
    <w:p w14:paraId="58010E92" w14:textId="77777777" w:rsidR="00F30351" w:rsidRPr="00F30351" w:rsidRDefault="00F30351" w:rsidP="00F30351">
      <w:pPr>
        <w:pStyle w:val="Normal1"/>
        <w:spacing w:line="360" w:lineRule="auto"/>
        <w:rPr>
          <w:rFonts w:eastAsia="Times New Roman"/>
          <w:bCs/>
          <w:sz w:val="24"/>
          <w:szCs w:val="24"/>
        </w:rPr>
      </w:pPr>
    </w:p>
    <w:p w14:paraId="51676CE1" w14:textId="4D6474F1" w:rsidR="00F30351" w:rsidRPr="00F30351" w:rsidRDefault="00F30351">
      <w:pPr>
        <w:rPr>
          <w:rFonts w:eastAsia="Times New Roman" w:cs="Times New Roman"/>
          <w:b/>
          <w:sz w:val="32"/>
          <w:szCs w:val="32"/>
        </w:rPr>
      </w:pPr>
    </w:p>
    <w:p w14:paraId="57BA39AE" w14:textId="77777777" w:rsidR="00F30351" w:rsidRDefault="00F30351" w:rsidP="00FB0276">
      <w:pPr>
        <w:pStyle w:val="Normal1"/>
        <w:spacing w:line="360" w:lineRule="auto"/>
        <w:jc w:val="center"/>
        <w:rPr>
          <w:rFonts w:ascii="Times New Roman" w:eastAsia="Times New Roman" w:hAnsi="Times New Roman" w:cs="Times New Roman"/>
          <w:b/>
          <w:sz w:val="32"/>
          <w:szCs w:val="32"/>
        </w:rPr>
      </w:pPr>
    </w:p>
    <w:p w14:paraId="24C98A5B" w14:textId="77777777" w:rsidR="00F30351" w:rsidRDefault="00F30351" w:rsidP="00FB0276">
      <w:pPr>
        <w:pStyle w:val="Normal1"/>
        <w:spacing w:line="360" w:lineRule="auto"/>
        <w:jc w:val="center"/>
        <w:rPr>
          <w:rFonts w:ascii="Times New Roman" w:eastAsia="Times New Roman" w:hAnsi="Times New Roman" w:cs="Times New Roman"/>
          <w:b/>
          <w:sz w:val="32"/>
          <w:szCs w:val="32"/>
        </w:rPr>
      </w:pPr>
    </w:p>
    <w:p w14:paraId="03B2021D" w14:textId="77777777" w:rsidR="00F30351" w:rsidRDefault="00F30351" w:rsidP="00FB0276">
      <w:pPr>
        <w:pStyle w:val="Normal1"/>
        <w:spacing w:line="360" w:lineRule="auto"/>
        <w:jc w:val="center"/>
        <w:rPr>
          <w:rFonts w:ascii="Times New Roman" w:eastAsia="Times New Roman" w:hAnsi="Times New Roman" w:cs="Times New Roman"/>
          <w:b/>
          <w:sz w:val="32"/>
          <w:szCs w:val="32"/>
        </w:rPr>
      </w:pPr>
    </w:p>
    <w:p w14:paraId="4661487D" w14:textId="77777777" w:rsidR="00F30351" w:rsidRDefault="00F30351" w:rsidP="00FB0276">
      <w:pPr>
        <w:pStyle w:val="Normal1"/>
        <w:spacing w:line="360" w:lineRule="auto"/>
        <w:jc w:val="center"/>
        <w:rPr>
          <w:rFonts w:ascii="Times New Roman" w:eastAsia="Times New Roman" w:hAnsi="Times New Roman" w:cs="Times New Roman"/>
          <w:b/>
          <w:sz w:val="32"/>
          <w:szCs w:val="32"/>
        </w:rPr>
      </w:pPr>
    </w:p>
    <w:p w14:paraId="726ACF97" w14:textId="77777777" w:rsidR="00F30351" w:rsidRDefault="00F30351" w:rsidP="00FB0276">
      <w:pPr>
        <w:pStyle w:val="Normal1"/>
        <w:spacing w:line="360" w:lineRule="auto"/>
        <w:jc w:val="center"/>
        <w:rPr>
          <w:rFonts w:ascii="Times New Roman" w:eastAsia="Times New Roman" w:hAnsi="Times New Roman" w:cs="Times New Roman"/>
          <w:b/>
          <w:sz w:val="32"/>
          <w:szCs w:val="32"/>
        </w:rPr>
      </w:pPr>
    </w:p>
    <w:p w14:paraId="6C9AD53C" w14:textId="77777777" w:rsidR="00F30351" w:rsidRDefault="00F30351" w:rsidP="00FB0276">
      <w:pPr>
        <w:pStyle w:val="Normal1"/>
        <w:spacing w:line="360" w:lineRule="auto"/>
        <w:jc w:val="center"/>
        <w:rPr>
          <w:rFonts w:ascii="Times New Roman" w:eastAsia="Times New Roman" w:hAnsi="Times New Roman" w:cs="Times New Roman"/>
          <w:b/>
          <w:sz w:val="32"/>
          <w:szCs w:val="32"/>
        </w:rPr>
      </w:pPr>
    </w:p>
    <w:p w14:paraId="31D31FE3" w14:textId="77777777" w:rsidR="00F30351" w:rsidRDefault="00F30351" w:rsidP="00FB0276">
      <w:pPr>
        <w:pStyle w:val="Normal1"/>
        <w:spacing w:line="360" w:lineRule="auto"/>
        <w:jc w:val="center"/>
        <w:rPr>
          <w:rFonts w:ascii="Times New Roman" w:eastAsia="Times New Roman" w:hAnsi="Times New Roman" w:cs="Times New Roman"/>
          <w:b/>
          <w:sz w:val="32"/>
          <w:szCs w:val="32"/>
        </w:rPr>
      </w:pPr>
    </w:p>
    <w:p w14:paraId="0E6E96DD" w14:textId="77777777" w:rsidR="00F30351" w:rsidRDefault="00F30351" w:rsidP="00FB0276">
      <w:pPr>
        <w:pStyle w:val="Normal1"/>
        <w:spacing w:line="360" w:lineRule="auto"/>
        <w:jc w:val="center"/>
        <w:rPr>
          <w:rFonts w:ascii="Times New Roman" w:eastAsia="Times New Roman" w:hAnsi="Times New Roman" w:cs="Times New Roman"/>
          <w:b/>
          <w:sz w:val="32"/>
          <w:szCs w:val="32"/>
        </w:rPr>
      </w:pPr>
    </w:p>
    <w:p w14:paraId="2CAB8EE6" w14:textId="77777777" w:rsidR="00F30351" w:rsidRDefault="00F30351" w:rsidP="00FB0276">
      <w:pPr>
        <w:pStyle w:val="Normal1"/>
        <w:spacing w:line="360" w:lineRule="auto"/>
        <w:jc w:val="center"/>
        <w:rPr>
          <w:rFonts w:ascii="Times New Roman" w:eastAsia="Times New Roman" w:hAnsi="Times New Roman" w:cs="Times New Roman"/>
          <w:b/>
          <w:sz w:val="32"/>
          <w:szCs w:val="32"/>
        </w:rPr>
      </w:pPr>
    </w:p>
    <w:p w14:paraId="71A32D1F" w14:textId="77777777" w:rsidR="00F30351" w:rsidRDefault="00F30351" w:rsidP="00FB0276">
      <w:pPr>
        <w:pStyle w:val="Normal1"/>
        <w:spacing w:line="360" w:lineRule="auto"/>
        <w:jc w:val="center"/>
        <w:rPr>
          <w:rFonts w:ascii="Times New Roman" w:eastAsia="Times New Roman" w:hAnsi="Times New Roman" w:cs="Times New Roman"/>
          <w:b/>
          <w:sz w:val="32"/>
          <w:szCs w:val="32"/>
        </w:rPr>
      </w:pPr>
    </w:p>
    <w:p w14:paraId="521DDB42" w14:textId="77777777" w:rsidR="00F30351" w:rsidRDefault="00F30351" w:rsidP="00FB0276">
      <w:pPr>
        <w:pStyle w:val="Normal1"/>
        <w:spacing w:line="360" w:lineRule="auto"/>
        <w:jc w:val="center"/>
        <w:rPr>
          <w:rFonts w:ascii="Times New Roman" w:eastAsia="Times New Roman" w:hAnsi="Times New Roman" w:cs="Times New Roman"/>
          <w:b/>
          <w:sz w:val="32"/>
          <w:szCs w:val="32"/>
        </w:rPr>
      </w:pPr>
    </w:p>
    <w:p w14:paraId="3B1B656B" w14:textId="77777777" w:rsidR="00F30351" w:rsidRDefault="00F30351" w:rsidP="00FB0276">
      <w:pPr>
        <w:pStyle w:val="Normal1"/>
        <w:spacing w:line="360" w:lineRule="auto"/>
        <w:jc w:val="center"/>
        <w:rPr>
          <w:rFonts w:ascii="Times New Roman" w:eastAsia="Times New Roman" w:hAnsi="Times New Roman" w:cs="Times New Roman"/>
          <w:b/>
          <w:sz w:val="32"/>
          <w:szCs w:val="32"/>
        </w:rPr>
      </w:pPr>
    </w:p>
    <w:p w14:paraId="3A3FEA8F" w14:textId="77777777" w:rsidR="00F30351" w:rsidRDefault="00F30351" w:rsidP="00FB0276">
      <w:pPr>
        <w:pStyle w:val="Normal1"/>
        <w:spacing w:line="360" w:lineRule="auto"/>
        <w:jc w:val="center"/>
        <w:rPr>
          <w:rFonts w:ascii="Times New Roman" w:eastAsia="Times New Roman" w:hAnsi="Times New Roman" w:cs="Times New Roman"/>
          <w:b/>
          <w:sz w:val="32"/>
          <w:szCs w:val="32"/>
        </w:rPr>
      </w:pPr>
    </w:p>
    <w:p w14:paraId="0DBDCBB5" w14:textId="77777777" w:rsidR="00F30351" w:rsidRDefault="00F30351" w:rsidP="00FB0276">
      <w:pPr>
        <w:pStyle w:val="Normal1"/>
        <w:spacing w:line="360" w:lineRule="auto"/>
        <w:jc w:val="center"/>
        <w:rPr>
          <w:rFonts w:ascii="Times New Roman" w:eastAsia="Times New Roman" w:hAnsi="Times New Roman" w:cs="Times New Roman"/>
          <w:b/>
          <w:sz w:val="32"/>
          <w:szCs w:val="32"/>
        </w:rPr>
      </w:pPr>
    </w:p>
    <w:p w14:paraId="3FAE9403" w14:textId="77777777" w:rsidR="00F30351" w:rsidRDefault="00F30351" w:rsidP="00FB0276">
      <w:pPr>
        <w:pStyle w:val="Normal1"/>
        <w:spacing w:line="360" w:lineRule="auto"/>
        <w:jc w:val="center"/>
        <w:rPr>
          <w:rFonts w:ascii="Times New Roman" w:eastAsia="Times New Roman" w:hAnsi="Times New Roman" w:cs="Times New Roman"/>
          <w:b/>
          <w:sz w:val="32"/>
          <w:szCs w:val="32"/>
        </w:rPr>
      </w:pPr>
    </w:p>
    <w:p w14:paraId="3624FD56" w14:textId="77777777" w:rsidR="00F30351" w:rsidRDefault="00F30351" w:rsidP="00FB0276">
      <w:pPr>
        <w:pStyle w:val="Normal1"/>
        <w:spacing w:line="360" w:lineRule="auto"/>
        <w:jc w:val="center"/>
        <w:rPr>
          <w:rFonts w:ascii="Times New Roman" w:eastAsia="Times New Roman" w:hAnsi="Times New Roman" w:cs="Times New Roman"/>
          <w:b/>
          <w:sz w:val="32"/>
          <w:szCs w:val="32"/>
        </w:rPr>
      </w:pPr>
    </w:p>
    <w:p w14:paraId="5620D548" w14:textId="77777777" w:rsidR="00F30351" w:rsidRDefault="00F30351" w:rsidP="00FB0276">
      <w:pPr>
        <w:pStyle w:val="Normal1"/>
        <w:spacing w:line="360" w:lineRule="auto"/>
        <w:jc w:val="center"/>
        <w:rPr>
          <w:rFonts w:ascii="Times New Roman" w:eastAsia="Times New Roman" w:hAnsi="Times New Roman" w:cs="Times New Roman"/>
          <w:b/>
          <w:sz w:val="32"/>
          <w:szCs w:val="32"/>
        </w:rPr>
      </w:pPr>
    </w:p>
    <w:p w14:paraId="3DD6F58E" w14:textId="44178A48" w:rsidR="008C339B" w:rsidRPr="00FB0276" w:rsidRDefault="00FB0276" w:rsidP="00FB0276">
      <w:pPr>
        <w:pStyle w:val="Normal1"/>
        <w:spacing w:line="360" w:lineRule="auto"/>
        <w:jc w:val="center"/>
        <w:rPr>
          <w:rFonts w:ascii="Times New Roman" w:eastAsia="Times New Roman" w:hAnsi="Times New Roman" w:cs="Times New Roman"/>
          <w:b/>
          <w:sz w:val="32"/>
          <w:szCs w:val="32"/>
        </w:rPr>
      </w:pPr>
      <w:r w:rsidRPr="00FB0276">
        <w:rPr>
          <w:rFonts w:ascii="Times New Roman" w:eastAsia="Times New Roman" w:hAnsi="Times New Roman" w:cs="Times New Roman"/>
          <w:b/>
          <w:sz w:val="32"/>
          <w:szCs w:val="32"/>
        </w:rPr>
        <w:t>Community Engagement</w:t>
      </w:r>
    </w:p>
    <w:p w14:paraId="7DA5D04D" w14:textId="6503E718" w:rsidR="00FB0276" w:rsidRPr="00FB0276" w:rsidRDefault="00202A2F" w:rsidP="00FB0276">
      <w:pPr>
        <w:spacing w:line="360" w:lineRule="auto"/>
        <w:jc w:val="center"/>
        <w:rPr>
          <w:b/>
          <w:sz w:val="32"/>
          <w:szCs w:val="32"/>
        </w:rPr>
      </w:pPr>
      <w:r w:rsidRPr="00FB0276">
        <w:rPr>
          <w:b/>
          <w:sz w:val="32"/>
          <w:szCs w:val="32"/>
        </w:rPr>
        <w:t>Coursework: Essay</w:t>
      </w:r>
    </w:p>
    <w:p w14:paraId="346FDABA" w14:textId="769FA0C9" w:rsidR="00FD1836" w:rsidRPr="00FB0276" w:rsidRDefault="00FB0276" w:rsidP="00FB0276">
      <w:pPr>
        <w:spacing w:line="360" w:lineRule="auto"/>
        <w:jc w:val="center"/>
      </w:pPr>
      <w:r w:rsidRPr="00FB0276">
        <w:rPr>
          <w:b/>
          <w:sz w:val="32"/>
          <w:szCs w:val="32"/>
        </w:rPr>
        <w:t>LCBB4002</w:t>
      </w:r>
      <w:r w:rsidR="006322DA" w:rsidRPr="00422BA2">
        <w:br w:type="page"/>
      </w:r>
    </w:p>
    <w:p w14:paraId="4226D72E" w14:textId="77777777" w:rsidR="008C339B" w:rsidRDefault="006322DA" w:rsidP="003F43B5">
      <w:pPr>
        <w:pStyle w:val="Heading1"/>
        <w:spacing w:before="0" w:after="0"/>
      </w:pPr>
      <w:bookmarkStart w:id="0" w:name="_Toc152412815"/>
      <w:r>
        <w:lastRenderedPageBreak/>
        <w:t>Introduction</w:t>
      </w:r>
      <w:bookmarkEnd w:id="0"/>
    </w:p>
    <w:p w14:paraId="6719CFBB" w14:textId="7C89C50A" w:rsidR="008C339B" w:rsidRDefault="006322DA" w:rsidP="003F43B5">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project "Empowered Communities in the 2020" is developed as a comprehensive study project which analyzes the current situation and future potential of communities in the United Kingdom</w:t>
      </w:r>
      <w:r w:rsidR="003A2B71">
        <w:rPr>
          <w:rFonts w:ascii="Times New Roman" w:eastAsia="Times New Roman" w:hAnsi="Times New Roman" w:cs="Times New Roman"/>
          <w:sz w:val="24"/>
          <w:szCs w:val="24"/>
        </w:rPr>
        <w:t xml:space="preserve"> (L</w:t>
      </w:r>
      <w:r w:rsidR="003A2B71" w:rsidRPr="008E2386">
        <w:rPr>
          <w:rFonts w:ascii="Times New Roman" w:eastAsia="Times New Roman" w:hAnsi="Times New Roman" w:cs="Times New Roman"/>
          <w:sz w:val="24"/>
          <w:szCs w:val="24"/>
        </w:rPr>
        <w:t>ocaltrust.org.uk, 2020</w:t>
      </w:r>
      <w:r w:rsidR="003A2B71">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The project, which is being executed across Scotland, Wales, England, and Northern Ireland, aims to raise consciousness about the difficulties that populations face with a focus on empowerment. Understanding the dynamics of communities and needs depends heavily on this research, particularly </w:t>
      </w:r>
      <w:proofErr w:type="gramStart"/>
      <w:r>
        <w:rPr>
          <w:rFonts w:ascii="Times New Roman" w:eastAsia="Times New Roman" w:hAnsi="Times New Roman" w:cs="Times New Roman"/>
          <w:sz w:val="24"/>
          <w:szCs w:val="24"/>
        </w:rPr>
        <w:t>in light of</w:t>
      </w:r>
      <w:proofErr w:type="gramEnd"/>
      <w:r>
        <w:rPr>
          <w:rFonts w:ascii="Times New Roman" w:eastAsia="Times New Roman" w:hAnsi="Times New Roman" w:cs="Times New Roman"/>
          <w:sz w:val="24"/>
          <w:szCs w:val="24"/>
        </w:rPr>
        <w:t xml:space="preserve"> societal changes, instability in politics, and economic difficulties.</w:t>
      </w:r>
    </w:p>
    <w:p w14:paraId="644338D6" w14:textId="38A08EE0" w:rsidR="008C339B" w:rsidRDefault="00FB0276" w:rsidP="003F43B5">
      <w:pPr>
        <w:pStyle w:val="Heading1"/>
        <w:spacing w:before="0" w:after="0"/>
      </w:pPr>
      <w:r>
        <w:t>Discussion</w:t>
      </w:r>
    </w:p>
    <w:p w14:paraId="01E845E8" w14:textId="2E25D948" w:rsidR="008C339B" w:rsidRDefault="006322DA" w:rsidP="003F43B5">
      <w:pPr>
        <w:pStyle w:val="Normal1"/>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The impact of </w:t>
      </w:r>
      <w:r w:rsidR="003F43B5">
        <w:rPr>
          <w:rFonts w:ascii="Times New Roman" w:eastAsia="Times New Roman" w:hAnsi="Times New Roman" w:cs="Times New Roman"/>
          <w:color w:val="0E101A"/>
          <w:sz w:val="24"/>
          <w:szCs w:val="24"/>
        </w:rPr>
        <w:t>severity</w:t>
      </w:r>
      <w:r>
        <w:rPr>
          <w:rFonts w:ascii="Times New Roman" w:eastAsia="Times New Roman" w:hAnsi="Times New Roman" w:cs="Times New Roman"/>
          <w:color w:val="0E101A"/>
          <w:sz w:val="24"/>
          <w:szCs w:val="24"/>
        </w:rPr>
        <w:t xml:space="preserve"> measures on neighborhoods is one of the </w:t>
      </w:r>
      <w:r w:rsidR="003F43B5">
        <w:rPr>
          <w:rFonts w:ascii="Times New Roman" w:eastAsia="Times New Roman" w:hAnsi="Times New Roman" w:cs="Times New Roman"/>
          <w:color w:val="0E101A"/>
          <w:sz w:val="24"/>
          <w:szCs w:val="24"/>
        </w:rPr>
        <w:t>primary</w:t>
      </w:r>
      <w:r>
        <w:rPr>
          <w:rFonts w:ascii="Times New Roman" w:eastAsia="Times New Roman" w:hAnsi="Times New Roman" w:cs="Times New Roman"/>
          <w:color w:val="0E101A"/>
          <w:sz w:val="24"/>
          <w:szCs w:val="24"/>
        </w:rPr>
        <w:t xml:space="preserve"> concerns</w:t>
      </w:r>
      <w:r w:rsidR="008E2386">
        <w:rPr>
          <w:rFonts w:ascii="Times New Roman" w:eastAsia="Times New Roman" w:hAnsi="Times New Roman" w:cs="Times New Roman"/>
          <w:color w:val="0E101A"/>
          <w:sz w:val="24"/>
          <w:szCs w:val="24"/>
        </w:rPr>
        <w:t xml:space="preserve"> and </w:t>
      </w:r>
      <w:r>
        <w:rPr>
          <w:rFonts w:ascii="Times New Roman" w:eastAsia="Times New Roman" w:hAnsi="Times New Roman" w:cs="Times New Roman"/>
          <w:color w:val="0E101A"/>
          <w:sz w:val="24"/>
          <w:szCs w:val="24"/>
        </w:rPr>
        <w:t>the initiative attempts to address. Austerity, which is characterized as a reduction in government and public spending, has presented significant challenges for communities across the United Kingdom. The project aims to understand whether these issues appear in neighborhoods and the methods of coping that people adopt (Mert-</w:t>
      </w:r>
      <w:proofErr w:type="spellStart"/>
      <w:r>
        <w:rPr>
          <w:rFonts w:ascii="Times New Roman" w:eastAsia="Times New Roman" w:hAnsi="Times New Roman" w:cs="Times New Roman"/>
          <w:color w:val="0E101A"/>
          <w:sz w:val="24"/>
          <w:szCs w:val="24"/>
        </w:rPr>
        <w:t>Cakal</w:t>
      </w:r>
      <w:proofErr w:type="spellEnd"/>
      <w:r>
        <w:rPr>
          <w:rFonts w:ascii="Times New Roman" w:eastAsia="Times New Roman" w:hAnsi="Times New Roman" w:cs="Times New Roman"/>
          <w:color w:val="0E101A"/>
          <w:sz w:val="24"/>
          <w:szCs w:val="24"/>
        </w:rPr>
        <w:t xml:space="preserve"> and Miele, 2022).</w:t>
      </w:r>
    </w:p>
    <w:p w14:paraId="7EC87079" w14:textId="4FDBEB1A" w:rsidR="008C339B" w:rsidRDefault="006322DA" w:rsidP="003F43B5">
      <w:pPr>
        <w:pStyle w:val="Normal1"/>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Social Poverty and Division in Society</w:t>
      </w:r>
      <w:r>
        <w:rPr>
          <w:rFonts w:ascii="Times New Roman" w:eastAsia="Times New Roman" w:hAnsi="Times New Roman" w:cs="Times New Roman"/>
          <w:b/>
          <w:color w:val="0E101A"/>
          <w:sz w:val="24"/>
          <w:szCs w:val="24"/>
        </w:rPr>
        <w:t xml:space="preserve"> </w:t>
      </w:r>
      <w:r>
        <w:rPr>
          <w:rFonts w:ascii="Times New Roman" w:eastAsia="Times New Roman" w:hAnsi="Times New Roman" w:cs="Times New Roman"/>
          <w:color w:val="0E101A"/>
          <w:sz w:val="24"/>
          <w:szCs w:val="24"/>
        </w:rPr>
        <w:t xml:space="preserve">research acknowledges the widespread issues of economic status, poverty, loneliness, and social disintegration. It aims to </w:t>
      </w:r>
      <w:proofErr w:type="gramStart"/>
      <w:r>
        <w:rPr>
          <w:rFonts w:ascii="Times New Roman" w:eastAsia="Times New Roman" w:hAnsi="Times New Roman" w:cs="Times New Roman"/>
          <w:color w:val="0E101A"/>
          <w:sz w:val="24"/>
          <w:szCs w:val="24"/>
        </w:rPr>
        <w:t>look into</w:t>
      </w:r>
      <w:proofErr w:type="gramEnd"/>
      <w:r>
        <w:rPr>
          <w:rFonts w:ascii="Times New Roman" w:eastAsia="Times New Roman" w:hAnsi="Times New Roman" w:cs="Times New Roman"/>
          <w:color w:val="0E101A"/>
          <w:sz w:val="24"/>
          <w:szCs w:val="24"/>
        </w:rPr>
        <w:t xml:space="preserve"> the interrelated elements that are causing these difficulties, including the disappearance of public areas, housing insecurity, and the rise in mental health disorders.</w:t>
      </w:r>
      <w:r w:rsidR="003F43B5">
        <w:rPr>
          <w:rFonts w:ascii="Times New Roman" w:eastAsia="Times New Roman" w:hAnsi="Times New Roman" w:cs="Times New Roman"/>
          <w:color w:val="0E101A"/>
          <w:sz w:val="24"/>
          <w:szCs w:val="24"/>
        </w:rPr>
        <w:t xml:space="preserve"> </w:t>
      </w:r>
      <w:r>
        <w:rPr>
          <w:rFonts w:ascii="Times New Roman" w:eastAsia="Times New Roman" w:hAnsi="Times New Roman" w:cs="Times New Roman"/>
          <w:color w:val="0E101A"/>
          <w:sz w:val="24"/>
          <w:szCs w:val="24"/>
        </w:rPr>
        <w:t>Variations in Government and Region is a key field of research comprehending geographical and political differences in the growth of communities (</w:t>
      </w:r>
      <w:r w:rsidR="00FB0276">
        <w:rPr>
          <w:rFonts w:ascii="Times New Roman" w:eastAsia="Times New Roman" w:hAnsi="Times New Roman" w:cs="Times New Roman"/>
          <w:color w:val="0E101A"/>
          <w:sz w:val="24"/>
          <w:szCs w:val="24"/>
        </w:rPr>
        <w:t>L</w:t>
      </w:r>
      <w:r>
        <w:rPr>
          <w:rFonts w:ascii="Times New Roman" w:eastAsia="Times New Roman" w:hAnsi="Times New Roman" w:cs="Times New Roman"/>
          <w:color w:val="0E101A"/>
          <w:sz w:val="24"/>
          <w:szCs w:val="24"/>
        </w:rPr>
        <w:t>ocaltrust.org.uk, 2020). While Wales and Scotland's divided administrations have carried out unique social initiatives, Northern Ireland's particular political environment poses challenges. The goal of the experiment is to find out whether these differences influence the empowerment of communities.</w:t>
      </w:r>
    </w:p>
    <w:p w14:paraId="2830FB3B" w14:textId="6BEDCFAD" w:rsidR="008C339B" w:rsidRDefault="006322DA" w:rsidP="003F43B5">
      <w:pPr>
        <w:pStyle w:val="Normal1"/>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Culture as well as Community Identity also understanding whether historical and cultural factors affect the community's identity is a further significant aspect. Communities have different problems due to differences in identity and culture caused by past occurrences such as the Troubles in Northern Ireland and the history of mining for coal in Wales.</w:t>
      </w:r>
      <w:r w:rsidR="003F43B5">
        <w:rPr>
          <w:rFonts w:ascii="Times New Roman" w:eastAsia="Times New Roman" w:hAnsi="Times New Roman" w:cs="Times New Roman"/>
          <w:color w:val="0E101A"/>
          <w:sz w:val="24"/>
          <w:szCs w:val="24"/>
        </w:rPr>
        <w:t xml:space="preserve"> </w:t>
      </w:r>
      <w:r>
        <w:rPr>
          <w:rFonts w:ascii="Times New Roman" w:eastAsia="Times New Roman" w:hAnsi="Times New Roman" w:cs="Times New Roman"/>
          <w:color w:val="0E101A"/>
          <w:sz w:val="24"/>
          <w:szCs w:val="24"/>
        </w:rPr>
        <w:t>Building for Community Development is concerned that the government makes less investments in initiatives to promote community development, especially in England and Wales. The project's goal is to find out whether these cuts could impact neighborhood support and infrastructure systems.</w:t>
      </w:r>
    </w:p>
    <w:p w14:paraId="7A22C838" w14:textId="77777777" w:rsidR="008C339B" w:rsidRDefault="006322DA" w:rsidP="003F43B5">
      <w:pPr>
        <w:pStyle w:val="Normal1"/>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lastRenderedPageBreak/>
        <w:t>The project's main objective is to offer an in-depth examination of the possibilities and challenges faced by communities across the United Kingdom. This requires an understanding of the intricate relationship of political, cultural, and economic factors that influence the dynamics of communities (</w:t>
      </w:r>
      <w:r>
        <w:rPr>
          <w:rFonts w:ascii="Times New Roman" w:eastAsia="Times New Roman" w:hAnsi="Times New Roman" w:cs="Times New Roman"/>
          <w:color w:val="222222"/>
          <w:sz w:val="24"/>
          <w:szCs w:val="24"/>
          <w:highlight w:val="white"/>
        </w:rPr>
        <w:t xml:space="preserve">Hewitt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2019)</w:t>
      </w:r>
      <w:r>
        <w:rPr>
          <w:rFonts w:ascii="Times New Roman" w:eastAsia="Times New Roman" w:hAnsi="Times New Roman" w:cs="Times New Roman"/>
          <w:color w:val="0E101A"/>
          <w:sz w:val="24"/>
          <w:szCs w:val="24"/>
        </w:rPr>
        <w:t>.</w:t>
      </w:r>
    </w:p>
    <w:p w14:paraId="77169BBF" w14:textId="1FBB4CAF" w:rsidR="008C339B" w:rsidRDefault="006322DA" w:rsidP="003F43B5">
      <w:pPr>
        <w:pStyle w:val="Normal1"/>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Identifying the Cross-Cutting themes,</w:t>
      </w:r>
      <w:r>
        <w:rPr>
          <w:rFonts w:ascii="Times New Roman" w:eastAsia="Times New Roman" w:hAnsi="Times New Roman" w:cs="Times New Roman"/>
          <w:b/>
          <w:color w:val="0E101A"/>
          <w:sz w:val="24"/>
          <w:szCs w:val="24"/>
        </w:rPr>
        <w:t xml:space="preserve"> </w:t>
      </w:r>
      <w:r>
        <w:rPr>
          <w:rFonts w:ascii="Times New Roman" w:eastAsia="Times New Roman" w:hAnsi="Times New Roman" w:cs="Times New Roman"/>
          <w:color w:val="0E101A"/>
          <w:sz w:val="24"/>
          <w:szCs w:val="24"/>
        </w:rPr>
        <w:t>the project aims to offer an in-depth understanding of the neighborhood landscape by identifying cross-cutting topics including demographic shifts, the link between neighborhood growth and the state, and the potential impact</w:t>
      </w:r>
      <w:r w:rsidR="00FD1836">
        <w:rPr>
          <w:rFonts w:ascii="Times New Roman" w:eastAsia="Times New Roman" w:hAnsi="Times New Roman" w:cs="Times New Roman"/>
          <w:color w:val="0E101A"/>
          <w:sz w:val="24"/>
          <w:szCs w:val="24"/>
        </w:rPr>
        <w:t>s of Brexit (localtrust.org.uk, 2020</w:t>
      </w:r>
      <w:r>
        <w:rPr>
          <w:rFonts w:ascii="Times New Roman" w:eastAsia="Times New Roman" w:hAnsi="Times New Roman" w:cs="Times New Roman"/>
          <w:color w:val="0E101A"/>
          <w:sz w:val="24"/>
          <w:szCs w:val="24"/>
        </w:rPr>
        <w:t>).</w:t>
      </w:r>
      <w:r w:rsidR="003F43B5">
        <w:rPr>
          <w:rFonts w:ascii="Times New Roman" w:eastAsia="Times New Roman" w:hAnsi="Times New Roman" w:cs="Times New Roman"/>
          <w:color w:val="0E101A"/>
          <w:sz w:val="24"/>
          <w:szCs w:val="24"/>
        </w:rPr>
        <w:t xml:space="preserve"> </w:t>
      </w:r>
      <w:r>
        <w:rPr>
          <w:rFonts w:ascii="Times New Roman" w:eastAsia="Times New Roman" w:hAnsi="Times New Roman" w:cs="Times New Roman"/>
          <w:color w:val="0E101A"/>
          <w:sz w:val="24"/>
          <w:szCs w:val="24"/>
        </w:rPr>
        <w:t>Draw Emphasis to Local Differences develop</w:t>
      </w:r>
      <w:r>
        <w:rPr>
          <w:rFonts w:ascii="Times New Roman" w:eastAsia="Times New Roman" w:hAnsi="Times New Roman" w:cs="Times New Roman"/>
          <w:b/>
          <w:color w:val="0E101A"/>
          <w:sz w:val="24"/>
          <w:szCs w:val="24"/>
        </w:rPr>
        <w:t xml:space="preserve"> </w:t>
      </w:r>
      <w:r>
        <w:rPr>
          <w:rFonts w:ascii="Times New Roman" w:eastAsia="Times New Roman" w:hAnsi="Times New Roman" w:cs="Times New Roman"/>
          <w:color w:val="0E101A"/>
          <w:sz w:val="24"/>
          <w:szCs w:val="24"/>
        </w:rPr>
        <w:t>the campaign aims to bring attention to local variations in community development, recognizing that tactics and remedies might need to be adjusted to fit certain political or cultural settings.</w:t>
      </w:r>
      <w:r w:rsidR="003F43B5">
        <w:rPr>
          <w:rFonts w:ascii="Times New Roman" w:eastAsia="Times New Roman" w:hAnsi="Times New Roman" w:cs="Times New Roman"/>
          <w:color w:val="0E101A"/>
          <w:sz w:val="24"/>
          <w:szCs w:val="24"/>
        </w:rPr>
        <w:t xml:space="preserve"> </w:t>
      </w:r>
      <w:r>
        <w:rPr>
          <w:rFonts w:ascii="Times New Roman" w:eastAsia="Times New Roman" w:hAnsi="Times New Roman" w:cs="Times New Roman"/>
          <w:color w:val="0E101A"/>
          <w:sz w:val="24"/>
          <w:szCs w:val="24"/>
        </w:rPr>
        <w:t>Recommendations for Further Action also develop</w:t>
      </w:r>
      <w:r>
        <w:rPr>
          <w:rFonts w:ascii="Times New Roman" w:eastAsia="Times New Roman" w:hAnsi="Times New Roman" w:cs="Times New Roman"/>
          <w:b/>
          <w:color w:val="0E101A"/>
          <w:sz w:val="24"/>
          <w:szCs w:val="24"/>
        </w:rPr>
        <w:t xml:space="preserve"> </w:t>
      </w:r>
      <w:r>
        <w:rPr>
          <w:rFonts w:ascii="Times New Roman" w:eastAsia="Times New Roman" w:hAnsi="Times New Roman" w:cs="Times New Roman"/>
          <w:color w:val="0E101A"/>
          <w:sz w:val="24"/>
          <w:szCs w:val="24"/>
        </w:rPr>
        <w:t>the research aims to offer helpful recommendations for customers, community leaders, and lawmakers based on its results. These ideas could have to do with currency, facilities, and support from community systems.</w:t>
      </w:r>
    </w:p>
    <w:p w14:paraId="3961EE4A" w14:textId="77777777" w:rsidR="008C339B" w:rsidRDefault="006322DA" w:rsidP="003F43B5">
      <w:pPr>
        <w:pStyle w:val="Normal1"/>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Target stakeholders involved with policymakers where Local, regional, and national policymakers can benefit from the research findings. Community revitalization, social welfare, and government policy decisions can be influenced by knowledge about the challenges that local communities face (</w:t>
      </w:r>
      <w:r>
        <w:rPr>
          <w:rFonts w:ascii="Times New Roman" w:eastAsia="Times New Roman" w:hAnsi="Times New Roman" w:cs="Times New Roman"/>
          <w:color w:val="222222"/>
          <w:sz w:val="24"/>
          <w:szCs w:val="24"/>
          <w:highlight w:val="white"/>
        </w:rPr>
        <w:t>Revell and Dinnie, 2020)</w:t>
      </w:r>
      <w:r>
        <w:rPr>
          <w:rFonts w:ascii="Times New Roman" w:eastAsia="Times New Roman" w:hAnsi="Times New Roman" w:cs="Times New Roman"/>
          <w:color w:val="0E101A"/>
          <w:sz w:val="24"/>
          <w:szCs w:val="24"/>
        </w:rPr>
        <w:t>. On the other hand, Leaders and activists in the community develop the research that can provide community leaders and activists with helpful insights into the factors that influence community dynamics. The efforts they make to support the resilience and empowerment of communities can be influenced by this information.</w:t>
      </w:r>
    </w:p>
    <w:p w14:paraId="7CFF691E" w14:textId="77777777" w:rsidR="008C339B" w:rsidRDefault="006322DA" w:rsidP="003F43B5">
      <w:pPr>
        <w:pStyle w:val="Normal1"/>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Potential benefits involved with communities of power where residents or community leaders could gain fresh viewpoints and ideas for empowering communities, encouraging collaboration, and addressing particular issues.</w:t>
      </w:r>
    </w:p>
    <w:p w14:paraId="130705C8" w14:textId="4FF7131C" w:rsidR="008C339B" w:rsidRDefault="006322DA" w:rsidP="003F43B5">
      <w:pPr>
        <w:pStyle w:val="Normal1"/>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Contributions towards Research also offering insightful information on the intricacies of communities in the 2020s, the initiative adds to the archive of research on the growth of communities.</w:t>
      </w:r>
      <w:r w:rsidR="00FB0276">
        <w:rPr>
          <w:rFonts w:ascii="Times New Roman" w:eastAsia="Times New Roman" w:hAnsi="Times New Roman" w:cs="Times New Roman"/>
          <w:color w:val="0E101A"/>
          <w:sz w:val="24"/>
          <w:szCs w:val="24"/>
        </w:rPr>
        <w:t xml:space="preserve"> </w:t>
      </w:r>
      <w:r>
        <w:rPr>
          <w:rFonts w:ascii="Times New Roman" w:eastAsia="Times New Roman" w:hAnsi="Times New Roman" w:cs="Times New Roman"/>
          <w:color w:val="0E101A"/>
          <w:sz w:val="24"/>
          <w:szCs w:val="24"/>
        </w:rPr>
        <w:t>Innovations in Policy develop the research's recommendations may contribute to creative social development policies and strategies that encourage resilience and flexibility in the face of adversity (</w:t>
      </w:r>
      <w:proofErr w:type="spellStart"/>
      <w:r>
        <w:rPr>
          <w:rFonts w:ascii="Times New Roman" w:eastAsia="Times New Roman" w:hAnsi="Times New Roman" w:cs="Times New Roman"/>
          <w:color w:val="222222"/>
          <w:sz w:val="24"/>
          <w:szCs w:val="24"/>
          <w:highlight w:val="white"/>
        </w:rPr>
        <w:t>Sovacool</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2019)</w:t>
      </w:r>
      <w:r>
        <w:rPr>
          <w:rFonts w:ascii="Times New Roman" w:eastAsia="Times New Roman" w:hAnsi="Times New Roman" w:cs="Times New Roman"/>
          <w:color w:val="0E101A"/>
          <w:sz w:val="24"/>
          <w:szCs w:val="24"/>
        </w:rPr>
        <w:t>.</w:t>
      </w:r>
    </w:p>
    <w:p w14:paraId="0F758B86" w14:textId="7D0D6C41" w:rsidR="008C339B" w:rsidRDefault="006322DA" w:rsidP="003F43B5">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E101A"/>
          <w:sz w:val="24"/>
          <w:szCs w:val="24"/>
        </w:rPr>
        <w:t xml:space="preserve">The local community conducted community engagement where </w:t>
      </w:r>
      <w:r>
        <w:rPr>
          <w:rFonts w:ascii="Times New Roman" w:eastAsia="Times New Roman" w:hAnsi="Times New Roman" w:cs="Times New Roman"/>
          <w:sz w:val="24"/>
          <w:szCs w:val="24"/>
        </w:rPr>
        <w:t xml:space="preserve">the "Empowered Communities in the 2020s" project demonstrated a remarkable dedication to the strong involvement of the community in both the preparation and execution of the research. Through the project's </w:t>
      </w:r>
      <w:r>
        <w:rPr>
          <w:rFonts w:ascii="Times New Roman" w:eastAsia="Times New Roman" w:hAnsi="Times New Roman" w:cs="Times New Roman"/>
          <w:sz w:val="24"/>
          <w:szCs w:val="24"/>
        </w:rPr>
        <w:lastRenderedPageBreak/>
        <w:t>comprehensive strategy, community members were successfully involved. Throughout the four countries that collectively make up the United Kingdom, the project team actively sought the views of a broad spectrum of stakeholders throughout the research phase. These stakeholders include community leaders, residents, and legislators. This comprehensive strategy ensured an in-depth understanding of the distinct obstacles and possibilities found in differe</w:t>
      </w:r>
      <w:r w:rsidR="00FD1836">
        <w:rPr>
          <w:rFonts w:ascii="Times New Roman" w:eastAsia="Times New Roman" w:hAnsi="Times New Roman" w:cs="Times New Roman"/>
          <w:sz w:val="24"/>
          <w:szCs w:val="24"/>
        </w:rPr>
        <w:t>nt places (localtrust.org.uk, 2020</w:t>
      </w:r>
      <w:r>
        <w:rPr>
          <w:rFonts w:ascii="Times New Roman" w:eastAsia="Times New Roman" w:hAnsi="Times New Roman" w:cs="Times New Roman"/>
          <w:sz w:val="24"/>
          <w:szCs w:val="24"/>
        </w:rPr>
        <w:t xml:space="preserve">). Informal discussions that captured the nuanced nature of neighborhood identity, political variations, and the effects of austerity measures served as the characteristic of the engagement approach. The research team showed an intense commitment to addressing the many facets of community dynamics through their painstaking efforts at identifying cross-cutting issues, including the interaction between growth in communities and the state, population changes, and the potential influence of Brexit. The project committed to a transparent and collaborative implementation methodology. Findings have been shared to educate community leaders, activists, and lawmakers in addition to everyone who is involved in community development. The effort showed its dedication to the </w:t>
      </w:r>
      <w:r w:rsidR="00FD1836">
        <w:rPr>
          <w:rFonts w:ascii="Times New Roman" w:eastAsia="Times New Roman" w:hAnsi="Times New Roman" w:cs="Times New Roman"/>
          <w:sz w:val="24"/>
          <w:szCs w:val="24"/>
        </w:rPr>
        <w:t>customization</w:t>
      </w:r>
      <w:r>
        <w:rPr>
          <w:rFonts w:ascii="Times New Roman" w:eastAsia="Times New Roman" w:hAnsi="Times New Roman" w:cs="Times New Roman"/>
          <w:sz w:val="24"/>
          <w:szCs w:val="24"/>
        </w:rPr>
        <w:t xml:space="preserve"> of advice for specific circumstances, enabling a more customized and efficient response, by recognizing the distinctive requirements and characteristics of each location (Broo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2021). The commitment to specific results was demonstrated by collaboration with local governments, the finding of potential growth areas, and the assessment of the need for infrastructure. The project's overall efficacy in engaging the community was credited to its ability to integrate academic rigor with practical use, strengthening the local economy via an approach of inclusive and participatory research and application.</w:t>
      </w:r>
      <w:r w:rsidR="003F43B5">
        <w:rPr>
          <w:rFonts w:ascii="Times New Roman" w:eastAsia="Times New Roman" w:hAnsi="Times New Roman" w:cs="Times New Roman"/>
          <w:sz w:val="24"/>
          <w:szCs w:val="24"/>
        </w:rPr>
        <w:t xml:space="preserve"> </w:t>
      </w:r>
    </w:p>
    <w:p w14:paraId="2B763A32" w14:textId="77777777" w:rsidR="008C339B" w:rsidRDefault="006322DA" w:rsidP="003F43B5">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Active </w:t>
      </w:r>
      <w:r w:rsidR="00FD1836">
        <w:rPr>
          <w:rFonts w:ascii="Times New Roman" w:eastAsia="Times New Roman" w:hAnsi="Times New Roman" w:cs="Times New Roman"/>
          <w:sz w:val="24"/>
          <w:szCs w:val="24"/>
        </w:rPr>
        <w:t>areas also</w:t>
      </w:r>
      <w:r>
        <w:rPr>
          <w:rFonts w:ascii="Times New Roman" w:eastAsia="Times New Roman" w:hAnsi="Times New Roman" w:cs="Times New Roman"/>
          <w:sz w:val="24"/>
          <w:szCs w:val="24"/>
        </w:rPr>
        <w:t xml:space="preserve"> contributors in the "Empowered Communities in the 2020s" responsibility were especially engaged in addressing a variety of interconnected problems that became significant centers of focus for community growth and engagement. The effects of poverty on communities </w:t>
      </w:r>
      <w:proofErr w:type="gramStart"/>
      <w:r>
        <w:rPr>
          <w:rFonts w:ascii="Times New Roman" w:eastAsia="Times New Roman" w:hAnsi="Times New Roman" w:cs="Times New Roman"/>
          <w:sz w:val="24"/>
          <w:szCs w:val="24"/>
        </w:rPr>
        <w:t>as a consequence of</w:t>
      </w:r>
      <w:proofErr w:type="gramEnd"/>
      <w:r>
        <w:rPr>
          <w:rFonts w:ascii="Times New Roman" w:eastAsia="Times New Roman" w:hAnsi="Times New Roman" w:cs="Times New Roman"/>
          <w:sz w:val="24"/>
          <w:szCs w:val="24"/>
        </w:rPr>
        <w:t xml:space="preserve"> economic hardships and austerity measures were one of the primary fields of focus. Recognizing the need for quick support systems in the face of financial difficulties, participants proactively tried to reduce the adverse consequences of impoverishment, such as food insecurity, disorders of the mind, and social isolation (</w:t>
      </w:r>
      <w:r w:rsidR="00FD1836">
        <w:rPr>
          <w:rFonts w:ascii="Times New Roman" w:eastAsia="Times New Roman" w:hAnsi="Times New Roman" w:cs="Times New Roman"/>
          <w:sz w:val="24"/>
          <w:szCs w:val="24"/>
        </w:rPr>
        <w:t>localtrust.org.uk,</w:t>
      </w:r>
      <w:r>
        <w:rPr>
          <w:rFonts w:ascii="Times New Roman" w:eastAsia="Times New Roman" w:hAnsi="Times New Roman" w:cs="Times New Roman"/>
          <w:sz w:val="24"/>
          <w:szCs w:val="24"/>
        </w:rPr>
        <w:t xml:space="preserve"> 2020).</w:t>
      </w:r>
    </w:p>
    <w:p w14:paraId="71A35193" w14:textId="77777777" w:rsidR="008C339B" w:rsidRDefault="006322DA" w:rsidP="003F43B5">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further important field of emphasis was the separation of communities that was caused by divisive variables, like the anti-immigration sentiment exacerbated by the Brexit controversy. In fostering understanding among different populations, confronting preconceived notions, and </w:t>
      </w:r>
      <w:r>
        <w:rPr>
          <w:rFonts w:ascii="Times New Roman" w:eastAsia="Times New Roman" w:hAnsi="Times New Roman" w:cs="Times New Roman"/>
          <w:sz w:val="24"/>
          <w:szCs w:val="24"/>
        </w:rPr>
        <w:lastRenderedPageBreak/>
        <w:t>facilitating candid discussions, participants hoped to heal divisions within their communities. The research realized that to build more welcoming and cohesive neighborhoods, it is essential to battle fear and preconceptions. Additionally, measures have been taken to fight the growing trend toward privatization and the disappearance of public areas (</w:t>
      </w:r>
      <w:r w:rsidR="00FD1836">
        <w:rPr>
          <w:rFonts w:ascii="Times New Roman" w:eastAsia="Times New Roman" w:hAnsi="Times New Roman" w:cs="Times New Roman"/>
          <w:sz w:val="24"/>
          <w:szCs w:val="24"/>
        </w:rPr>
        <w:t>localtrust.org.uk,</w:t>
      </w:r>
      <w:r>
        <w:rPr>
          <w:rFonts w:ascii="Times New Roman" w:eastAsia="Times New Roman" w:hAnsi="Times New Roman" w:cs="Times New Roman"/>
          <w:sz w:val="24"/>
          <w:szCs w:val="24"/>
        </w:rPr>
        <w:t xml:space="preserve"> 2020). To promote natural relationships and a sense of community, participants strove to preserv</w:t>
      </w:r>
      <w:r w:rsidR="00FD1836">
        <w:rPr>
          <w:rFonts w:ascii="Times New Roman" w:eastAsia="Times New Roman" w:hAnsi="Times New Roman" w:cs="Times New Roman"/>
          <w:sz w:val="24"/>
          <w:szCs w:val="24"/>
        </w:rPr>
        <w:t xml:space="preserve">e and create communal locations. </w:t>
      </w:r>
      <w:r>
        <w:rPr>
          <w:rFonts w:ascii="Times New Roman" w:eastAsia="Times New Roman" w:hAnsi="Times New Roman" w:cs="Times New Roman"/>
          <w:sz w:val="24"/>
          <w:szCs w:val="24"/>
        </w:rPr>
        <w:t>The project pushed for open and accessible community hubs to oppose the trend of decreasing public spaces and their detrimental impact on social integration. Addressing the problems raised by migrant groups developed as an important field of involvement. The changing nature of housing markets, particularly the transition to rental housing and the impact of Right to Buy rules, encouraged the participants to proactively develop methods for fostering a feeling of belonging and belonging among tenants with temporary leases. Concerns regarding gentrification were also raised, emphasizing the necessity for striking a balance of affordability and improvements to avoid displacement. Finally, humans were involved in the changing state-community relationship</w:t>
      </w:r>
      <w:r w:rsidR="00FD1836">
        <w:rPr>
          <w:rFonts w:ascii="Times New Roman" w:eastAsia="Times New Roman" w:hAnsi="Times New Roman" w:cs="Times New Roman"/>
          <w:sz w:val="24"/>
          <w:szCs w:val="24"/>
        </w:rPr>
        <w:t xml:space="preserve"> (assets.publishing.service.gov.uk, 2023).</w:t>
      </w:r>
      <w:r>
        <w:rPr>
          <w:rFonts w:ascii="Times New Roman" w:eastAsia="Times New Roman" w:hAnsi="Times New Roman" w:cs="Times New Roman"/>
          <w:sz w:val="24"/>
          <w:szCs w:val="24"/>
        </w:rPr>
        <w:t xml:space="preserve"> There was an intentional effort to look at opportunities for true community involvement, co-production, and asset transfer, amid concerns about the decentralization of duties and possible co-optation. The effort emphasized the necessity for communities to retain control over their processes for growth and acknowledged the importance of preserving the independent voluntary and community sectors.</w:t>
      </w:r>
    </w:p>
    <w:p w14:paraId="217D6433" w14:textId="77777777" w:rsidR="008C339B" w:rsidRDefault="006322DA" w:rsidP="003F43B5">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Discussion of approaches also develops synthesis of data sources, including the perspectives of community people, practitioners, or policymakers, essentially making the study effective. Through the broad participation of stakeholders and interviewing, the researchers obtained an in-depth understanding of neighborhood dynamics, problems, and the impact of governmental policies. Including rural as well as urban areas and taking into consideration uncertainties related to Brexit improved the evaluation and accurately reflected the different landscapes observed across every country (hdr.undp.org, 2023).</w:t>
      </w:r>
    </w:p>
    <w:p w14:paraId="6279AC4D" w14:textId="77777777" w:rsidR="008C339B" w:rsidRDefault="006322DA" w:rsidP="003F43B5">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research additionally employed a forward-looking approach, examining the way present laws and trends could influence communities' capacity to empower themselves in the future. It explored </w:t>
      </w:r>
      <w:proofErr w:type="gramStart"/>
      <w:r>
        <w:rPr>
          <w:rFonts w:ascii="Times New Roman" w:eastAsia="Times New Roman" w:hAnsi="Times New Roman" w:cs="Times New Roman"/>
          <w:sz w:val="24"/>
          <w:szCs w:val="24"/>
        </w:rPr>
        <w:t>all of</w:t>
      </w:r>
      <w:proofErr w:type="gramEnd"/>
      <w:r>
        <w:rPr>
          <w:rFonts w:ascii="Times New Roman" w:eastAsia="Times New Roman" w:hAnsi="Times New Roman" w:cs="Times New Roman"/>
          <w:sz w:val="24"/>
          <w:szCs w:val="24"/>
        </w:rPr>
        <w:t xml:space="preserve"> the ways that local governments encourage growth in communities and redistribute resources, looking into their role in this regard. Through a review of critical themes like change, youth participation, support systems, and emerging businesses like land trusts and </w:t>
      </w:r>
      <w:r>
        <w:rPr>
          <w:rFonts w:ascii="Times New Roman" w:eastAsia="Times New Roman" w:hAnsi="Times New Roman" w:cs="Times New Roman"/>
          <w:sz w:val="24"/>
          <w:szCs w:val="24"/>
        </w:rPr>
        <w:lastRenderedPageBreak/>
        <w:t xml:space="preserve">credit unions, the study offered an in-depth take on the obstacles and possibilities that </w:t>
      </w:r>
      <w:r w:rsidR="00FD1836">
        <w:rPr>
          <w:rFonts w:ascii="Times New Roman" w:eastAsia="Times New Roman" w:hAnsi="Times New Roman" w:cs="Times New Roman"/>
          <w:sz w:val="24"/>
          <w:szCs w:val="24"/>
        </w:rPr>
        <w:t>community’s</w:t>
      </w:r>
      <w:r>
        <w:rPr>
          <w:rFonts w:ascii="Times New Roman" w:eastAsia="Times New Roman" w:hAnsi="Times New Roman" w:cs="Times New Roman"/>
          <w:sz w:val="24"/>
          <w:szCs w:val="24"/>
        </w:rPr>
        <w:t xml:space="preserve"> experience. In England, several approaches have been used for community growth, with local authorities especially preferring Asset Based Community Building. The Community </w:t>
      </w:r>
      <w:r w:rsidR="00FD1836">
        <w:rPr>
          <w:rFonts w:ascii="Times New Roman" w:eastAsia="Times New Roman" w:hAnsi="Times New Roman" w:cs="Times New Roman"/>
          <w:sz w:val="24"/>
          <w:szCs w:val="24"/>
        </w:rPr>
        <w:t>Organizers</w:t>
      </w:r>
      <w:r>
        <w:rPr>
          <w:rFonts w:ascii="Times New Roman" w:eastAsia="Times New Roman" w:hAnsi="Times New Roman" w:cs="Times New Roman"/>
          <w:sz w:val="24"/>
          <w:szCs w:val="24"/>
        </w:rPr>
        <w:t xml:space="preserve"> </w:t>
      </w:r>
      <w:r w:rsidR="00FD1836">
        <w:rPr>
          <w:rFonts w:ascii="Times New Roman" w:eastAsia="Times New Roman" w:hAnsi="Times New Roman" w:cs="Times New Roman"/>
          <w:sz w:val="24"/>
          <w:szCs w:val="24"/>
        </w:rPr>
        <w:t>Programmed</w:t>
      </w:r>
      <w:r>
        <w:rPr>
          <w:rFonts w:ascii="Times New Roman" w:eastAsia="Times New Roman" w:hAnsi="Times New Roman" w:cs="Times New Roman"/>
          <w:sz w:val="24"/>
          <w:szCs w:val="24"/>
        </w:rPr>
        <w:t xml:space="preserve"> was extended by the national government, and Citizens UK's efforts have culminated in notable successes in several of large cities. As noteworthy avenues for involvement in the community, financial institutions and athletic organizations have grown in prominence in Northern Ireland. Community growth is said to be greatest in Scotland, particularly in the north, wherein credit unions are prevalent and both economically and politically sound. Communities in Scotland have been compelled to create community development trusts </w:t>
      </w:r>
      <w:proofErr w:type="gramStart"/>
      <w:r>
        <w:rPr>
          <w:rFonts w:ascii="Times New Roman" w:eastAsia="Times New Roman" w:hAnsi="Times New Roman" w:cs="Times New Roman"/>
          <w:sz w:val="24"/>
          <w:szCs w:val="24"/>
        </w:rPr>
        <w:t>as a result of</w:t>
      </w:r>
      <w:proofErr w:type="gramEnd"/>
      <w:r>
        <w:rPr>
          <w:rFonts w:ascii="Times New Roman" w:eastAsia="Times New Roman" w:hAnsi="Times New Roman" w:cs="Times New Roman"/>
          <w:sz w:val="24"/>
          <w:szCs w:val="24"/>
        </w:rPr>
        <w:t xml:space="preserve"> recent policies. These trusts </w:t>
      </w:r>
      <w:proofErr w:type="gramStart"/>
      <w:r>
        <w:rPr>
          <w:rFonts w:ascii="Times New Roman" w:eastAsia="Times New Roman" w:hAnsi="Times New Roman" w:cs="Times New Roman"/>
          <w:sz w:val="24"/>
          <w:szCs w:val="24"/>
        </w:rPr>
        <w:t>are considered to be</w:t>
      </w:r>
      <w:proofErr w:type="gramEnd"/>
      <w:r>
        <w:rPr>
          <w:rFonts w:ascii="Times New Roman" w:eastAsia="Times New Roman" w:hAnsi="Times New Roman" w:cs="Times New Roman"/>
          <w:sz w:val="24"/>
          <w:szCs w:val="24"/>
        </w:rPr>
        <w:t xml:space="preserve"> essential to effective communication with both local and central government and to give communities a forum to express their grievances. </w:t>
      </w:r>
    </w:p>
    <w:p w14:paraId="70D3F384" w14:textId="3CBCA147" w:rsidR="008C339B" w:rsidRDefault="006322DA" w:rsidP="003F43B5">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Options to engage the community members where the study project 'Empowered Communities in the 2020s' intends to empower marginalized populations and determine their future by involving community members in the process of planning through an integrated strategy. Community talks and workshops were vital forums where people could express their concerns and work together to come up with solutions, ensuring their involvement in the process of making choices. A greater awareness of people's views can be obtained by surveys and interviews, and outreach is </w:t>
      </w:r>
      <w:proofErr w:type="gramStart"/>
      <w:r>
        <w:rPr>
          <w:rFonts w:ascii="Times New Roman" w:eastAsia="Times New Roman" w:hAnsi="Times New Roman" w:cs="Times New Roman"/>
          <w:sz w:val="24"/>
          <w:szCs w:val="24"/>
        </w:rPr>
        <w:t>possible</w:t>
      </w:r>
      <w:proofErr w:type="gramEnd"/>
      <w:r>
        <w:rPr>
          <w:rFonts w:ascii="Times New Roman" w:eastAsia="Times New Roman" w:hAnsi="Times New Roman" w:cs="Times New Roman"/>
          <w:sz w:val="24"/>
          <w:szCs w:val="24"/>
        </w:rPr>
        <w:t xml:space="preserve"> and relationships strengthened through collaborations with neighborhood groups. Clear communication, regular updates, and feedback channels are vital for the interaction between stakeholders, including people of the public, neighborhood organizations, and funders like the foundation founded by Joseph Rowntree and the Community Development Foundation. The effort makes use of several social media platforms for greater outreach (</w:t>
      </w:r>
      <w:r w:rsidR="00FB0276">
        <w:rPr>
          <w:rFonts w:ascii="Times New Roman" w:eastAsia="Times New Roman" w:hAnsi="Times New Roman" w:cs="Times New Roman"/>
          <w:sz w:val="24"/>
          <w:szCs w:val="24"/>
        </w:rPr>
        <w:t>A</w:t>
      </w:r>
      <w:r>
        <w:rPr>
          <w:rFonts w:ascii="Times New Roman" w:eastAsia="Times New Roman" w:hAnsi="Times New Roman" w:cs="Times New Roman"/>
          <w:sz w:val="24"/>
          <w:szCs w:val="24"/>
        </w:rPr>
        <w:t>ssets.publishing.service.gov.uk, 2023). LinkedIn, Facebook, Twitter, Instagram, YouTube, and other networking platforms are used intentionally to communicate project updates, create dialogue, and spread information. To ensure that the project succeeds in encouraging empowerment and growth in the community, this holistic engagement strategy strives to be inclusive, transparent, and representative of all viewpoints and needs within the communities of research.</w:t>
      </w:r>
    </w:p>
    <w:p w14:paraId="0E31FE3A" w14:textId="7FE57986" w:rsidR="008C339B" w:rsidRDefault="006322DA" w:rsidP="003F43B5">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Relevant avenues to promote community participation that</w:t>
      </w: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 xml:space="preserve">encourage involvement in the community, cooperation, diversity, and inclusion all essential elements of multiculturalism and </w:t>
      </w:r>
      <w:r>
        <w:rPr>
          <w:rFonts w:ascii="Times New Roman" w:eastAsia="Times New Roman" w:hAnsi="Times New Roman" w:cs="Times New Roman"/>
          <w:sz w:val="24"/>
          <w:szCs w:val="24"/>
        </w:rPr>
        <w:lastRenderedPageBreak/>
        <w:t xml:space="preserve">socio-cultural integration community engagement professionals are essential. Diverse perspectives receive a platform through methods including inclusive workshops, discussions, and events to encourage involvement in the community. Working with neighborhood companies, associations, and government agencies is crucial to encouraging a feeling of shared responsibility and combining funds to fund community development projects. Accepting inclusion and diversity means acknowledging and appreciating variances in culture while making sure that various points of view are </w:t>
      </w:r>
      <w:proofErr w:type="gramStart"/>
      <w:r>
        <w:rPr>
          <w:rFonts w:ascii="Times New Roman" w:eastAsia="Times New Roman" w:hAnsi="Times New Roman" w:cs="Times New Roman"/>
          <w:sz w:val="24"/>
          <w:szCs w:val="24"/>
        </w:rPr>
        <w:t>taken into account</w:t>
      </w:r>
      <w:proofErr w:type="gramEnd"/>
      <w:r>
        <w:rPr>
          <w:rFonts w:ascii="Times New Roman" w:eastAsia="Times New Roman" w:hAnsi="Times New Roman" w:cs="Times New Roman"/>
          <w:sz w:val="24"/>
          <w:szCs w:val="24"/>
        </w:rPr>
        <w:t xml:space="preserve"> while making decisions. This promotes charitable efforts and fosters a multicultural mindset (</w:t>
      </w:r>
      <w:r w:rsidR="00FB0276">
        <w:rPr>
          <w:rFonts w:ascii="Times New Roman" w:eastAsia="Times New Roman" w:hAnsi="Times New Roman" w:cs="Times New Roman"/>
          <w:sz w:val="24"/>
          <w:szCs w:val="24"/>
        </w:rPr>
        <w:t>L</w:t>
      </w:r>
      <w:r>
        <w:rPr>
          <w:rFonts w:ascii="Times New Roman" w:eastAsia="Times New Roman" w:hAnsi="Times New Roman" w:cs="Times New Roman"/>
          <w:sz w:val="24"/>
          <w:szCs w:val="24"/>
        </w:rPr>
        <w:t xml:space="preserve">abour.org.uk, 2023). To inform people about both the internal and external factors driving community growth, involvement practitioners </w:t>
      </w:r>
      <w:proofErr w:type="gramStart"/>
      <w:r>
        <w:rPr>
          <w:rFonts w:ascii="Times New Roman" w:eastAsia="Times New Roman" w:hAnsi="Times New Roman" w:cs="Times New Roman"/>
          <w:sz w:val="24"/>
          <w:szCs w:val="24"/>
        </w:rPr>
        <w:t>have to</w:t>
      </w:r>
      <w:proofErr w:type="gramEnd"/>
      <w:r>
        <w:rPr>
          <w:rFonts w:ascii="Times New Roman" w:eastAsia="Times New Roman" w:hAnsi="Times New Roman" w:cs="Times New Roman"/>
          <w:sz w:val="24"/>
          <w:szCs w:val="24"/>
        </w:rPr>
        <w:t xml:space="preserve"> adopt an active role. Comprehending the different advantages, challenges, and goals of the community at large enables the individualization of growth strategies that are compatible with regional requirements. Active resilience and adaptation can be achieved externally through awareness of broader cultural developments, financial upheavals, and legislative changes. Educating people in the community with training on these variables enables people to effectively navigate shifting circumstances and advocate for their interests. A proactive rather than reactionary viewpoint is additionally promoted by a forward-looking </w:t>
      </w:r>
      <w:r w:rsidR="00FD1836">
        <w:rPr>
          <w:rFonts w:ascii="Times New Roman" w:eastAsia="Times New Roman" w:hAnsi="Times New Roman" w:cs="Times New Roman"/>
          <w:sz w:val="24"/>
          <w:szCs w:val="24"/>
        </w:rPr>
        <w:t>strategy that</w:t>
      </w:r>
      <w:r>
        <w:rPr>
          <w:rFonts w:ascii="Times New Roman" w:eastAsia="Times New Roman" w:hAnsi="Times New Roman" w:cs="Times New Roman"/>
          <w:sz w:val="24"/>
          <w:szCs w:val="24"/>
        </w:rPr>
        <w:t xml:space="preserve"> additionally inspires the community to anticipate its future and fosters a sense of responsibility. A viable and knowledgeable approach to enhancing communities that are in line with the constantly changing makeup of the larger environment is sparked by the community engagement practitioner's acceptance of education as a tool for empowerment (Broo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2019).</w:t>
      </w:r>
    </w:p>
    <w:p w14:paraId="2EF2A082" w14:textId="77777777" w:rsidR="008C339B" w:rsidRDefault="006322DA" w:rsidP="003F43B5">
      <w:pPr>
        <w:pStyle w:val="Heading1"/>
        <w:spacing w:before="0" w:after="0"/>
      </w:pPr>
      <w:bookmarkStart w:id="1" w:name="_Toc152412817"/>
      <w:r>
        <w:t>Conclusion</w:t>
      </w:r>
      <w:bookmarkEnd w:id="1"/>
    </w:p>
    <w:p w14:paraId="2D045FDD" w14:textId="4DED8C5B" w:rsidR="008C339B" w:rsidRDefault="006322DA" w:rsidP="003F43B5">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From the</w:t>
      </w:r>
      <w:r w:rsidR="003F43B5">
        <w:rPr>
          <w:rFonts w:ascii="Times New Roman" w:eastAsia="Times New Roman" w:hAnsi="Times New Roman" w:cs="Times New Roman"/>
          <w:sz w:val="24"/>
          <w:szCs w:val="24"/>
        </w:rPr>
        <w:t xml:space="preserve"> overall study</w:t>
      </w:r>
      <w:r>
        <w:rPr>
          <w:rFonts w:ascii="Times New Roman" w:eastAsia="Times New Roman" w:hAnsi="Times New Roman" w:cs="Times New Roman"/>
          <w:sz w:val="24"/>
          <w:szCs w:val="24"/>
        </w:rPr>
        <w:t>, it has been identified that vibrant and engaged societies are built based on effective civic engagement. Promoting transparency, diversity, and teamwork is crucial for improving this process. Practitioners of community involvement must adopt proactive positions and teach members regarding external as well as internal variables. Recommendations to enhance outreach include encouraging conversational systems, providing regular training, and utilizing digital technologies. Communities may overcome obstacles, celebrate their distinctions, and work together to create a future that is a manifestation of their shared values and objectives through the implementation of these ideas.</w:t>
      </w:r>
      <w:r>
        <w:br w:type="page"/>
      </w:r>
    </w:p>
    <w:p w14:paraId="1BDE6373" w14:textId="77777777" w:rsidR="008C339B" w:rsidRDefault="006322DA" w:rsidP="003F43B5">
      <w:pPr>
        <w:pStyle w:val="Heading1"/>
        <w:spacing w:before="0" w:after="0"/>
      </w:pPr>
      <w:bookmarkStart w:id="2" w:name="_Toc152412818"/>
      <w:r>
        <w:lastRenderedPageBreak/>
        <w:t>References</w:t>
      </w:r>
      <w:bookmarkEnd w:id="2"/>
      <w:r>
        <w:t xml:space="preserve"> </w:t>
      </w:r>
    </w:p>
    <w:p w14:paraId="6AC6240B" w14:textId="4AA9F71E" w:rsidR="008E2386" w:rsidRPr="008E2386" w:rsidRDefault="00FB0276" w:rsidP="003F43B5">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w:t>
      </w:r>
      <w:r w:rsidR="008E2386" w:rsidRPr="008E2386">
        <w:rPr>
          <w:rFonts w:ascii="Times New Roman" w:eastAsia="Times New Roman" w:hAnsi="Times New Roman" w:cs="Times New Roman"/>
          <w:sz w:val="24"/>
          <w:szCs w:val="24"/>
        </w:rPr>
        <w:t>ssets.publishing.service.gov.uk, 2023</w:t>
      </w:r>
      <w:r>
        <w:rPr>
          <w:rFonts w:ascii="Times New Roman" w:eastAsia="Times New Roman" w:hAnsi="Times New Roman" w:cs="Times New Roman"/>
          <w:sz w:val="24"/>
          <w:szCs w:val="24"/>
        </w:rPr>
        <w:t xml:space="preserve">. </w:t>
      </w:r>
      <w:r w:rsidRPr="00FB0276">
        <w:rPr>
          <w:rFonts w:ascii="Times New Roman" w:eastAsia="Times New Roman" w:hAnsi="Times New Roman" w:cs="Times New Roman"/>
          <w:i/>
          <w:iCs/>
          <w:sz w:val="24"/>
          <w:szCs w:val="24"/>
        </w:rPr>
        <w:t>About us</w:t>
      </w:r>
      <w:r>
        <w:rPr>
          <w:rFonts w:ascii="Times New Roman" w:eastAsia="Times New Roman" w:hAnsi="Times New Roman" w:cs="Times New Roman"/>
          <w:sz w:val="24"/>
          <w:szCs w:val="24"/>
        </w:rPr>
        <w:t xml:space="preserve">. </w:t>
      </w:r>
      <w:r w:rsidR="008E2386" w:rsidRPr="008E2386">
        <w:rPr>
          <w:rFonts w:ascii="Times New Roman" w:eastAsia="Times New Roman" w:hAnsi="Times New Roman" w:cs="Times New Roman"/>
          <w:sz w:val="24"/>
          <w:szCs w:val="24"/>
        </w:rPr>
        <w:t>Available at:</w:t>
      </w:r>
      <w:hyperlink r:id="rId8">
        <w:r w:rsidR="008E2386" w:rsidRPr="008E2386">
          <w:rPr>
            <w:rFonts w:ascii="Times New Roman" w:eastAsia="Times New Roman" w:hAnsi="Times New Roman" w:cs="Times New Roman"/>
            <w:sz w:val="24"/>
            <w:szCs w:val="24"/>
          </w:rPr>
          <w:t xml:space="preserve"> </w:t>
        </w:r>
      </w:hyperlink>
      <w:hyperlink r:id="rId9">
        <w:r w:rsidR="008E2386" w:rsidRPr="008E2386">
          <w:rPr>
            <w:rFonts w:ascii="Times New Roman" w:eastAsia="Times New Roman" w:hAnsi="Times New Roman" w:cs="Times New Roman"/>
            <w:color w:val="1155CC"/>
            <w:sz w:val="24"/>
            <w:szCs w:val="24"/>
            <w:u w:val="single"/>
          </w:rPr>
          <w:t>https://assets.publishing.service.gov.uk/media/61fd3ca28fa8f5388e9781c6/Levelling_up_the_UK_white_paper.pdf</w:t>
        </w:r>
      </w:hyperlink>
      <w:r w:rsidR="009E08DB">
        <w:rPr>
          <w:rFonts w:ascii="Times New Roman" w:eastAsia="Times New Roman" w:hAnsi="Times New Roman" w:cs="Times New Roman"/>
          <w:color w:val="1155CC"/>
          <w:sz w:val="24"/>
          <w:szCs w:val="24"/>
        </w:rPr>
        <w:t xml:space="preserve"> </w:t>
      </w:r>
      <w:r w:rsidR="008E2386" w:rsidRPr="008E2386">
        <w:rPr>
          <w:rFonts w:ascii="Times New Roman" w:eastAsia="Times New Roman" w:hAnsi="Times New Roman" w:cs="Times New Roman"/>
          <w:sz w:val="24"/>
          <w:szCs w:val="24"/>
        </w:rPr>
        <w:t>[Accessed on 02.12.2023]</w:t>
      </w:r>
    </w:p>
    <w:p w14:paraId="4E61A8BD" w14:textId="323654C6" w:rsidR="008E2386" w:rsidRPr="008E2386" w:rsidRDefault="00FB0276" w:rsidP="003F43B5">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w:t>
      </w:r>
      <w:r w:rsidR="008E2386" w:rsidRPr="008E2386">
        <w:rPr>
          <w:rFonts w:ascii="Times New Roman" w:eastAsia="Times New Roman" w:hAnsi="Times New Roman" w:cs="Times New Roman"/>
          <w:sz w:val="24"/>
          <w:szCs w:val="24"/>
        </w:rPr>
        <w:t>ssets.publishing.service.gov.uk/, 2023</w:t>
      </w:r>
      <w:r>
        <w:rPr>
          <w:rFonts w:ascii="Times New Roman" w:eastAsia="Times New Roman" w:hAnsi="Times New Roman" w:cs="Times New Roman"/>
          <w:sz w:val="24"/>
          <w:szCs w:val="24"/>
        </w:rPr>
        <w:t>.</w:t>
      </w:r>
      <w:r w:rsidRPr="00FB0276">
        <w:rPr>
          <w:rFonts w:ascii="Times New Roman" w:eastAsia="Times New Roman" w:hAnsi="Times New Roman" w:cs="Times New Roman"/>
          <w:i/>
          <w:iCs/>
          <w:sz w:val="24"/>
          <w:szCs w:val="24"/>
        </w:rPr>
        <w:t xml:space="preserve"> About us</w:t>
      </w:r>
      <w:r>
        <w:rPr>
          <w:rFonts w:ascii="Times New Roman" w:eastAsia="Times New Roman" w:hAnsi="Times New Roman" w:cs="Times New Roman"/>
          <w:sz w:val="24"/>
          <w:szCs w:val="24"/>
        </w:rPr>
        <w:t xml:space="preserve">. </w:t>
      </w:r>
      <w:r w:rsidR="008E2386" w:rsidRPr="008E2386">
        <w:rPr>
          <w:rFonts w:ascii="Times New Roman" w:eastAsia="Times New Roman" w:hAnsi="Times New Roman" w:cs="Times New Roman"/>
          <w:sz w:val="24"/>
          <w:szCs w:val="24"/>
        </w:rPr>
        <w:t xml:space="preserve">Available at:  </w:t>
      </w:r>
      <w:hyperlink r:id="rId10">
        <w:r w:rsidR="008E2386" w:rsidRPr="008E2386">
          <w:rPr>
            <w:rFonts w:ascii="Times New Roman" w:eastAsia="Times New Roman" w:hAnsi="Times New Roman" w:cs="Times New Roman"/>
            <w:color w:val="1155CC"/>
            <w:sz w:val="24"/>
            <w:szCs w:val="24"/>
            <w:u w:val="single"/>
          </w:rPr>
          <w:t>https://assets.publishing.service.gov.uk/media/5b6b282440f0b62ec1fa611d/Civil_Society_Strategy_-_building_a_future_that_works_for_everyone.pdf</w:t>
        </w:r>
      </w:hyperlink>
      <w:r w:rsidR="009E08DB">
        <w:rPr>
          <w:rFonts w:ascii="Times New Roman" w:eastAsia="Times New Roman" w:hAnsi="Times New Roman" w:cs="Times New Roman"/>
          <w:color w:val="1155CC"/>
          <w:sz w:val="24"/>
          <w:szCs w:val="24"/>
        </w:rPr>
        <w:t xml:space="preserve"> </w:t>
      </w:r>
      <w:r w:rsidR="008E2386" w:rsidRPr="008E2386">
        <w:rPr>
          <w:rFonts w:ascii="Times New Roman" w:eastAsia="Times New Roman" w:hAnsi="Times New Roman" w:cs="Times New Roman"/>
          <w:sz w:val="24"/>
          <w:szCs w:val="24"/>
        </w:rPr>
        <w:t>[Accessed on 02.12.2023]</w:t>
      </w:r>
    </w:p>
    <w:p w14:paraId="1393467C" w14:textId="77777777" w:rsidR="008E2386" w:rsidRPr="008E2386" w:rsidRDefault="008E2386" w:rsidP="003F43B5">
      <w:pPr>
        <w:pStyle w:val="Normal1"/>
        <w:spacing w:line="360" w:lineRule="auto"/>
        <w:jc w:val="both"/>
        <w:rPr>
          <w:rFonts w:ascii="Times New Roman" w:eastAsia="Times New Roman" w:hAnsi="Times New Roman" w:cs="Times New Roman"/>
          <w:sz w:val="24"/>
          <w:szCs w:val="24"/>
        </w:rPr>
      </w:pPr>
      <w:r w:rsidRPr="008E2386">
        <w:rPr>
          <w:rFonts w:ascii="Times New Roman" w:eastAsia="Times New Roman" w:hAnsi="Times New Roman" w:cs="Times New Roman"/>
          <w:color w:val="222222"/>
          <w:sz w:val="24"/>
          <w:szCs w:val="24"/>
          <w:highlight w:val="white"/>
        </w:rPr>
        <w:t xml:space="preserve">Broo, D.G., Lamb, K., </w:t>
      </w:r>
      <w:proofErr w:type="spellStart"/>
      <w:r w:rsidRPr="008E2386">
        <w:rPr>
          <w:rFonts w:ascii="Times New Roman" w:eastAsia="Times New Roman" w:hAnsi="Times New Roman" w:cs="Times New Roman"/>
          <w:color w:val="222222"/>
          <w:sz w:val="24"/>
          <w:szCs w:val="24"/>
          <w:highlight w:val="white"/>
        </w:rPr>
        <w:t>Ehwi</w:t>
      </w:r>
      <w:proofErr w:type="spellEnd"/>
      <w:r w:rsidRPr="008E2386">
        <w:rPr>
          <w:rFonts w:ascii="Times New Roman" w:eastAsia="Times New Roman" w:hAnsi="Times New Roman" w:cs="Times New Roman"/>
          <w:color w:val="222222"/>
          <w:sz w:val="24"/>
          <w:szCs w:val="24"/>
          <w:highlight w:val="white"/>
        </w:rPr>
        <w:t xml:space="preserve">, R.J., </w:t>
      </w:r>
      <w:proofErr w:type="spellStart"/>
      <w:r w:rsidRPr="008E2386">
        <w:rPr>
          <w:rFonts w:ascii="Times New Roman" w:eastAsia="Times New Roman" w:hAnsi="Times New Roman" w:cs="Times New Roman"/>
          <w:color w:val="222222"/>
          <w:sz w:val="24"/>
          <w:szCs w:val="24"/>
          <w:highlight w:val="white"/>
        </w:rPr>
        <w:t>Pärn</w:t>
      </w:r>
      <w:proofErr w:type="spellEnd"/>
      <w:r w:rsidRPr="008E2386">
        <w:rPr>
          <w:rFonts w:ascii="Times New Roman" w:eastAsia="Times New Roman" w:hAnsi="Times New Roman" w:cs="Times New Roman"/>
          <w:color w:val="222222"/>
          <w:sz w:val="24"/>
          <w:szCs w:val="24"/>
          <w:highlight w:val="white"/>
        </w:rPr>
        <w:t xml:space="preserve">, E., </w:t>
      </w:r>
      <w:proofErr w:type="spellStart"/>
      <w:r w:rsidRPr="008E2386">
        <w:rPr>
          <w:rFonts w:ascii="Times New Roman" w:eastAsia="Times New Roman" w:hAnsi="Times New Roman" w:cs="Times New Roman"/>
          <w:color w:val="222222"/>
          <w:sz w:val="24"/>
          <w:szCs w:val="24"/>
          <w:highlight w:val="white"/>
        </w:rPr>
        <w:t>Koronaki</w:t>
      </w:r>
      <w:proofErr w:type="spellEnd"/>
      <w:r w:rsidRPr="008E2386">
        <w:rPr>
          <w:rFonts w:ascii="Times New Roman" w:eastAsia="Times New Roman" w:hAnsi="Times New Roman" w:cs="Times New Roman"/>
          <w:color w:val="222222"/>
          <w:sz w:val="24"/>
          <w:szCs w:val="24"/>
          <w:highlight w:val="white"/>
        </w:rPr>
        <w:t xml:space="preserve">, A., Makri, C. and Zomer, T., 2021. Built environment of Britain in 2040: Scenarios and strategies. </w:t>
      </w:r>
      <w:r w:rsidRPr="008E2386">
        <w:rPr>
          <w:rFonts w:ascii="Times New Roman" w:eastAsia="Times New Roman" w:hAnsi="Times New Roman" w:cs="Times New Roman"/>
          <w:i/>
          <w:sz w:val="24"/>
          <w:szCs w:val="24"/>
        </w:rPr>
        <w:t>Sustainable cities and society</w:t>
      </w:r>
      <w:r w:rsidRPr="008E2386">
        <w:rPr>
          <w:rFonts w:ascii="Times New Roman" w:eastAsia="Times New Roman" w:hAnsi="Times New Roman" w:cs="Times New Roman"/>
          <w:sz w:val="24"/>
          <w:szCs w:val="24"/>
        </w:rPr>
        <w:t xml:space="preserve">, </w:t>
      </w:r>
      <w:r w:rsidRPr="008E2386">
        <w:rPr>
          <w:rFonts w:ascii="Times New Roman" w:eastAsia="Times New Roman" w:hAnsi="Times New Roman" w:cs="Times New Roman"/>
          <w:i/>
          <w:sz w:val="24"/>
          <w:szCs w:val="24"/>
        </w:rPr>
        <w:t>65</w:t>
      </w:r>
      <w:r w:rsidRPr="008E2386">
        <w:rPr>
          <w:rFonts w:ascii="Times New Roman" w:eastAsia="Times New Roman" w:hAnsi="Times New Roman" w:cs="Times New Roman"/>
          <w:sz w:val="24"/>
          <w:szCs w:val="24"/>
        </w:rPr>
        <w:t>, p.102645.</w:t>
      </w:r>
    </w:p>
    <w:p w14:paraId="1403C523" w14:textId="530799DC" w:rsidR="008E2386" w:rsidRPr="008E2386" w:rsidRDefault="00FB0276" w:rsidP="003F43B5">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w:t>
      </w:r>
      <w:r w:rsidR="008E2386" w:rsidRPr="008E2386">
        <w:rPr>
          <w:rFonts w:ascii="Times New Roman" w:eastAsia="Times New Roman" w:hAnsi="Times New Roman" w:cs="Times New Roman"/>
          <w:sz w:val="24"/>
          <w:szCs w:val="24"/>
        </w:rPr>
        <w:t>dr.undp.org, 2023</w:t>
      </w:r>
      <w:r>
        <w:rPr>
          <w:rFonts w:ascii="Times New Roman" w:eastAsia="Times New Roman" w:hAnsi="Times New Roman" w:cs="Times New Roman"/>
          <w:sz w:val="24"/>
          <w:szCs w:val="24"/>
        </w:rPr>
        <w:t xml:space="preserve">. </w:t>
      </w:r>
      <w:r w:rsidRPr="00FB0276">
        <w:rPr>
          <w:rFonts w:ascii="Times New Roman" w:eastAsia="Times New Roman" w:hAnsi="Times New Roman" w:cs="Times New Roman"/>
          <w:i/>
          <w:iCs/>
          <w:sz w:val="24"/>
          <w:szCs w:val="24"/>
        </w:rPr>
        <w:t>About us</w:t>
      </w:r>
      <w:r>
        <w:rPr>
          <w:rFonts w:ascii="Times New Roman" w:eastAsia="Times New Roman" w:hAnsi="Times New Roman" w:cs="Times New Roman"/>
          <w:sz w:val="24"/>
          <w:szCs w:val="24"/>
        </w:rPr>
        <w:t xml:space="preserve">. </w:t>
      </w:r>
      <w:r w:rsidR="008E2386" w:rsidRPr="008E2386">
        <w:rPr>
          <w:rFonts w:ascii="Times New Roman" w:eastAsia="Times New Roman" w:hAnsi="Times New Roman" w:cs="Times New Roman"/>
          <w:sz w:val="24"/>
          <w:szCs w:val="24"/>
        </w:rPr>
        <w:t>Available at:</w:t>
      </w:r>
      <w:hyperlink r:id="rId11">
        <w:r w:rsidR="008E2386" w:rsidRPr="008E2386">
          <w:rPr>
            <w:rFonts w:ascii="Times New Roman" w:eastAsia="Times New Roman" w:hAnsi="Times New Roman" w:cs="Times New Roman"/>
            <w:sz w:val="24"/>
            <w:szCs w:val="24"/>
          </w:rPr>
          <w:t xml:space="preserve"> </w:t>
        </w:r>
      </w:hyperlink>
      <w:hyperlink r:id="rId12">
        <w:r w:rsidR="008E2386" w:rsidRPr="008E2386">
          <w:rPr>
            <w:rFonts w:ascii="Times New Roman" w:eastAsia="Times New Roman" w:hAnsi="Times New Roman" w:cs="Times New Roman"/>
            <w:color w:val="1155CC"/>
            <w:sz w:val="24"/>
            <w:szCs w:val="24"/>
            <w:u w:val="single"/>
          </w:rPr>
          <w:t>https://hdr.undp.org/system/files/documents/global-report-document/hdr2021-22pdf_1.pdf</w:t>
        </w:r>
      </w:hyperlink>
      <w:r w:rsidR="009E08DB">
        <w:rPr>
          <w:rFonts w:ascii="Times New Roman" w:eastAsia="Times New Roman" w:hAnsi="Times New Roman" w:cs="Times New Roman"/>
          <w:color w:val="1155CC"/>
          <w:sz w:val="24"/>
          <w:szCs w:val="24"/>
        </w:rPr>
        <w:t xml:space="preserve"> </w:t>
      </w:r>
      <w:r w:rsidR="008E2386" w:rsidRPr="008E2386">
        <w:rPr>
          <w:rFonts w:ascii="Times New Roman" w:eastAsia="Times New Roman" w:hAnsi="Times New Roman" w:cs="Times New Roman"/>
          <w:sz w:val="24"/>
          <w:szCs w:val="24"/>
        </w:rPr>
        <w:t>[Accessed on 02.12.2023]</w:t>
      </w:r>
    </w:p>
    <w:p w14:paraId="6FAE8B21" w14:textId="77777777" w:rsidR="008E2386" w:rsidRPr="008E2386" w:rsidRDefault="008E2386" w:rsidP="003F43B5">
      <w:pPr>
        <w:pStyle w:val="Normal1"/>
        <w:spacing w:line="360" w:lineRule="auto"/>
        <w:jc w:val="both"/>
        <w:rPr>
          <w:rFonts w:ascii="Times New Roman" w:eastAsia="Times New Roman" w:hAnsi="Times New Roman" w:cs="Times New Roman"/>
          <w:sz w:val="24"/>
          <w:szCs w:val="24"/>
        </w:rPr>
      </w:pPr>
      <w:r w:rsidRPr="008E2386">
        <w:rPr>
          <w:rFonts w:ascii="Times New Roman" w:eastAsia="Times New Roman" w:hAnsi="Times New Roman" w:cs="Times New Roman"/>
          <w:color w:val="222222"/>
          <w:sz w:val="24"/>
          <w:szCs w:val="24"/>
          <w:highlight w:val="white"/>
        </w:rPr>
        <w:t xml:space="preserve">Hewitt, R.J., Bradley, N., Baggio </w:t>
      </w:r>
      <w:proofErr w:type="spellStart"/>
      <w:r w:rsidRPr="008E2386">
        <w:rPr>
          <w:rFonts w:ascii="Times New Roman" w:eastAsia="Times New Roman" w:hAnsi="Times New Roman" w:cs="Times New Roman"/>
          <w:color w:val="222222"/>
          <w:sz w:val="24"/>
          <w:szCs w:val="24"/>
          <w:highlight w:val="white"/>
        </w:rPr>
        <w:t>Compagnucci</w:t>
      </w:r>
      <w:proofErr w:type="spellEnd"/>
      <w:r w:rsidRPr="008E2386">
        <w:rPr>
          <w:rFonts w:ascii="Times New Roman" w:eastAsia="Times New Roman" w:hAnsi="Times New Roman" w:cs="Times New Roman"/>
          <w:color w:val="222222"/>
          <w:sz w:val="24"/>
          <w:szCs w:val="24"/>
          <w:highlight w:val="white"/>
        </w:rPr>
        <w:t xml:space="preserve">, A., </w:t>
      </w:r>
      <w:proofErr w:type="spellStart"/>
      <w:r w:rsidRPr="008E2386">
        <w:rPr>
          <w:rFonts w:ascii="Times New Roman" w:eastAsia="Times New Roman" w:hAnsi="Times New Roman" w:cs="Times New Roman"/>
          <w:color w:val="222222"/>
          <w:sz w:val="24"/>
          <w:szCs w:val="24"/>
          <w:highlight w:val="white"/>
        </w:rPr>
        <w:t>Barlagne</w:t>
      </w:r>
      <w:proofErr w:type="spellEnd"/>
      <w:r w:rsidRPr="008E2386">
        <w:rPr>
          <w:rFonts w:ascii="Times New Roman" w:eastAsia="Times New Roman" w:hAnsi="Times New Roman" w:cs="Times New Roman"/>
          <w:color w:val="222222"/>
          <w:sz w:val="24"/>
          <w:szCs w:val="24"/>
          <w:highlight w:val="white"/>
        </w:rPr>
        <w:t xml:space="preserve">, C., </w:t>
      </w:r>
      <w:proofErr w:type="spellStart"/>
      <w:r w:rsidRPr="008E2386">
        <w:rPr>
          <w:rFonts w:ascii="Times New Roman" w:eastAsia="Times New Roman" w:hAnsi="Times New Roman" w:cs="Times New Roman"/>
          <w:color w:val="222222"/>
          <w:sz w:val="24"/>
          <w:szCs w:val="24"/>
          <w:highlight w:val="white"/>
        </w:rPr>
        <w:t>Ceglarz</w:t>
      </w:r>
      <w:proofErr w:type="spellEnd"/>
      <w:r w:rsidRPr="008E2386">
        <w:rPr>
          <w:rFonts w:ascii="Times New Roman" w:eastAsia="Times New Roman" w:hAnsi="Times New Roman" w:cs="Times New Roman"/>
          <w:color w:val="222222"/>
          <w:sz w:val="24"/>
          <w:szCs w:val="24"/>
          <w:highlight w:val="white"/>
        </w:rPr>
        <w:t xml:space="preserve">, A., Cremades, R., McKeen, M., Otto, I.M. and Slee, B., 2019. Social innovation in community energy in Europe: A review of the evidence. </w:t>
      </w:r>
      <w:r w:rsidRPr="008E2386">
        <w:rPr>
          <w:rFonts w:ascii="Times New Roman" w:eastAsia="Times New Roman" w:hAnsi="Times New Roman" w:cs="Times New Roman"/>
          <w:i/>
          <w:sz w:val="24"/>
          <w:szCs w:val="24"/>
        </w:rPr>
        <w:t>Frontiers in Energy Research</w:t>
      </w:r>
      <w:r w:rsidRPr="008E2386">
        <w:rPr>
          <w:rFonts w:ascii="Times New Roman" w:eastAsia="Times New Roman" w:hAnsi="Times New Roman" w:cs="Times New Roman"/>
          <w:sz w:val="24"/>
          <w:szCs w:val="24"/>
        </w:rPr>
        <w:t xml:space="preserve">, </w:t>
      </w:r>
      <w:r w:rsidRPr="008E2386">
        <w:rPr>
          <w:rFonts w:ascii="Times New Roman" w:eastAsia="Times New Roman" w:hAnsi="Times New Roman" w:cs="Times New Roman"/>
          <w:i/>
          <w:sz w:val="24"/>
          <w:szCs w:val="24"/>
        </w:rPr>
        <w:t>7</w:t>
      </w:r>
      <w:r w:rsidRPr="008E2386">
        <w:rPr>
          <w:rFonts w:ascii="Times New Roman" w:eastAsia="Times New Roman" w:hAnsi="Times New Roman" w:cs="Times New Roman"/>
          <w:sz w:val="24"/>
          <w:szCs w:val="24"/>
        </w:rPr>
        <w:t>, p.31.</w:t>
      </w:r>
    </w:p>
    <w:p w14:paraId="161C72C4" w14:textId="206EE374" w:rsidR="008E2386" w:rsidRPr="008E2386" w:rsidRDefault="00FB0276" w:rsidP="003F43B5">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w:t>
      </w:r>
      <w:r w:rsidR="008E2386" w:rsidRPr="008E2386">
        <w:rPr>
          <w:rFonts w:ascii="Times New Roman" w:eastAsia="Times New Roman" w:hAnsi="Times New Roman" w:cs="Times New Roman"/>
          <w:sz w:val="24"/>
          <w:szCs w:val="24"/>
        </w:rPr>
        <w:t>abour.org.uk, 2023</w:t>
      </w:r>
      <w:r>
        <w:rPr>
          <w:rFonts w:ascii="Times New Roman" w:eastAsia="Times New Roman" w:hAnsi="Times New Roman" w:cs="Times New Roman"/>
          <w:sz w:val="24"/>
          <w:szCs w:val="24"/>
        </w:rPr>
        <w:t xml:space="preserve">. </w:t>
      </w:r>
      <w:r w:rsidRPr="00FB0276">
        <w:rPr>
          <w:rFonts w:ascii="Times New Roman" w:eastAsia="Times New Roman" w:hAnsi="Times New Roman" w:cs="Times New Roman"/>
          <w:i/>
          <w:iCs/>
          <w:sz w:val="24"/>
          <w:szCs w:val="24"/>
        </w:rPr>
        <w:t>About us</w:t>
      </w:r>
      <w:r>
        <w:rPr>
          <w:rFonts w:ascii="Times New Roman" w:eastAsia="Times New Roman" w:hAnsi="Times New Roman" w:cs="Times New Roman"/>
          <w:sz w:val="24"/>
          <w:szCs w:val="24"/>
        </w:rPr>
        <w:t xml:space="preserve">. </w:t>
      </w:r>
      <w:r w:rsidR="008E2386" w:rsidRPr="008E2386">
        <w:rPr>
          <w:rFonts w:ascii="Times New Roman" w:eastAsia="Times New Roman" w:hAnsi="Times New Roman" w:cs="Times New Roman"/>
          <w:sz w:val="24"/>
          <w:szCs w:val="24"/>
        </w:rPr>
        <w:t>Available at:</w:t>
      </w:r>
      <w:hyperlink r:id="rId13">
        <w:r w:rsidR="008E2386" w:rsidRPr="008E2386">
          <w:rPr>
            <w:rFonts w:ascii="Times New Roman" w:eastAsia="Times New Roman" w:hAnsi="Times New Roman" w:cs="Times New Roman"/>
            <w:sz w:val="24"/>
            <w:szCs w:val="24"/>
          </w:rPr>
          <w:t xml:space="preserve"> </w:t>
        </w:r>
      </w:hyperlink>
      <w:hyperlink r:id="rId14">
        <w:r w:rsidR="008E2386" w:rsidRPr="008E2386">
          <w:rPr>
            <w:rFonts w:ascii="Times New Roman" w:eastAsia="Times New Roman" w:hAnsi="Times New Roman" w:cs="Times New Roman"/>
            <w:color w:val="1155CC"/>
            <w:sz w:val="24"/>
            <w:szCs w:val="24"/>
            <w:u w:val="single"/>
          </w:rPr>
          <w:t>https://labour.org.uk/wp-content/uploads/2022/12/Commission-on-the-UKs-Future.pdf</w:t>
        </w:r>
      </w:hyperlink>
      <w:r w:rsidR="009E08DB">
        <w:rPr>
          <w:rFonts w:ascii="Times New Roman" w:eastAsia="Times New Roman" w:hAnsi="Times New Roman" w:cs="Times New Roman"/>
          <w:color w:val="1155CC"/>
          <w:sz w:val="24"/>
          <w:szCs w:val="24"/>
        </w:rPr>
        <w:t xml:space="preserve"> </w:t>
      </w:r>
      <w:r w:rsidR="008E2386" w:rsidRPr="008E2386">
        <w:rPr>
          <w:rFonts w:ascii="Times New Roman" w:eastAsia="Times New Roman" w:hAnsi="Times New Roman" w:cs="Times New Roman"/>
          <w:sz w:val="24"/>
          <w:szCs w:val="24"/>
        </w:rPr>
        <w:t>[Accessed on 02.12.2023]</w:t>
      </w:r>
    </w:p>
    <w:p w14:paraId="5C6B93C1" w14:textId="1229BD4C" w:rsidR="008E2386" w:rsidRPr="008E2386" w:rsidRDefault="00FB0276" w:rsidP="003F43B5">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w:t>
      </w:r>
      <w:r w:rsidR="008E2386" w:rsidRPr="008E2386">
        <w:rPr>
          <w:rFonts w:ascii="Times New Roman" w:eastAsia="Times New Roman" w:hAnsi="Times New Roman" w:cs="Times New Roman"/>
          <w:sz w:val="24"/>
          <w:szCs w:val="24"/>
        </w:rPr>
        <w:t>ocaltrust.org.uk, 2020</w:t>
      </w:r>
      <w:r>
        <w:rPr>
          <w:rFonts w:ascii="Times New Roman" w:eastAsia="Times New Roman" w:hAnsi="Times New Roman" w:cs="Times New Roman"/>
          <w:sz w:val="24"/>
          <w:szCs w:val="24"/>
        </w:rPr>
        <w:t xml:space="preserve">. </w:t>
      </w:r>
      <w:r w:rsidRPr="00FB0276">
        <w:rPr>
          <w:rFonts w:ascii="Times New Roman" w:eastAsia="Times New Roman" w:hAnsi="Times New Roman" w:cs="Times New Roman"/>
          <w:i/>
          <w:iCs/>
          <w:sz w:val="24"/>
          <w:szCs w:val="24"/>
        </w:rPr>
        <w:t>About us</w:t>
      </w:r>
      <w:r>
        <w:rPr>
          <w:rFonts w:ascii="Times New Roman" w:eastAsia="Times New Roman" w:hAnsi="Times New Roman" w:cs="Times New Roman"/>
          <w:sz w:val="24"/>
          <w:szCs w:val="24"/>
        </w:rPr>
        <w:t xml:space="preserve">. </w:t>
      </w:r>
      <w:r w:rsidR="008E2386" w:rsidRPr="008E2386">
        <w:rPr>
          <w:rFonts w:ascii="Times New Roman" w:eastAsia="Times New Roman" w:hAnsi="Times New Roman" w:cs="Times New Roman"/>
          <w:sz w:val="24"/>
          <w:szCs w:val="24"/>
        </w:rPr>
        <w:t>Available at:</w:t>
      </w:r>
      <w:hyperlink r:id="rId15">
        <w:r w:rsidR="008E2386" w:rsidRPr="008E2386">
          <w:rPr>
            <w:rFonts w:ascii="Times New Roman" w:eastAsia="Times New Roman" w:hAnsi="Times New Roman" w:cs="Times New Roman"/>
            <w:sz w:val="24"/>
            <w:szCs w:val="24"/>
          </w:rPr>
          <w:t xml:space="preserve"> </w:t>
        </w:r>
      </w:hyperlink>
      <w:hyperlink r:id="rId16">
        <w:r w:rsidR="008E2386" w:rsidRPr="008E2386">
          <w:rPr>
            <w:rFonts w:ascii="Times New Roman" w:eastAsia="Times New Roman" w:hAnsi="Times New Roman" w:cs="Times New Roman"/>
            <w:color w:val="1155CC"/>
            <w:sz w:val="24"/>
            <w:szCs w:val="24"/>
            <w:u w:val="single"/>
          </w:rPr>
          <w:t>https://localtrust.org.uk/wp-content/uploads/2019/06/local_trust_ec2020_countries_report.pdf</w:t>
        </w:r>
      </w:hyperlink>
      <w:r w:rsidR="008E2386" w:rsidRPr="008E2386">
        <w:rPr>
          <w:rFonts w:ascii="Times New Roman" w:eastAsia="Times New Roman" w:hAnsi="Times New Roman" w:cs="Times New Roman"/>
          <w:sz w:val="24"/>
          <w:szCs w:val="24"/>
        </w:rPr>
        <w:t xml:space="preserve"> [Accessed on 02.12.2023]</w:t>
      </w:r>
    </w:p>
    <w:p w14:paraId="2610490D" w14:textId="77777777" w:rsidR="008E2386" w:rsidRPr="008E2386" w:rsidRDefault="008E2386" w:rsidP="003F43B5">
      <w:pPr>
        <w:pStyle w:val="Normal1"/>
        <w:spacing w:line="360" w:lineRule="auto"/>
        <w:jc w:val="both"/>
        <w:rPr>
          <w:rFonts w:ascii="Times New Roman" w:eastAsia="Times New Roman" w:hAnsi="Times New Roman" w:cs="Times New Roman"/>
          <w:sz w:val="24"/>
          <w:szCs w:val="24"/>
        </w:rPr>
      </w:pPr>
      <w:r w:rsidRPr="008E2386">
        <w:rPr>
          <w:rFonts w:ascii="Times New Roman" w:eastAsia="Times New Roman" w:hAnsi="Times New Roman" w:cs="Times New Roman"/>
          <w:color w:val="222222"/>
          <w:sz w:val="24"/>
          <w:szCs w:val="24"/>
          <w:highlight w:val="white"/>
        </w:rPr>
        <w:t>Mert-</w:t>
      </w:r>
      <w:proofErr w:type="spellStart"/>
      <w:r w:rsidRPr="008E2386">
        <w:rPr>
          <w:rFonts w:ascii="Times New Roman" w:eastAsia="Times New Roman" w:hAnsi="Times New Roman" w:cs="Times New Roman"/>
          <w:color w:val="222222"/>
          <w:sz w:val="24"/>
          <w:szCs w:val="24"/>
          <w:highlight w:val="white"/>
        </w:rPr>
        <w:t>Cakal</w:t>
      </w:r>
      <w:proofErr w:type="spellEnd"/>
      <w:r w:rsidRPr="008E2386">
        <w:rPr>
          <w:rFonts w:ascii="Times New Roman" w:eastAsia="Times New Roman" w:hAnsi="Times New Roman" w:cs="Times New Roman"/>
          <w:color w:val="222222"/>
          <w:sz w:val="24"/>
          <w:szCs w:val="24"/>
          <w:highlight w:val="white"/>
        </w:rPr>
        <w:t xml:space="preserve">, T. and Miele, M., 2022. ‘Workable utopias’ for social change through inclusion and empowerment? Community supported agriculture (CSA) in Wales as social innovation. In </w:t>
      </w:r>
      <w:r w:rsidRPr="008E2386">
        <w:rPr>
          <w:rFonts w:ascii="Times New Roman" w:eastAsia="Times New Roman" w:hAnsi="Times New Roman" w:cs="Times New Roman"/>
          <w:i/>
          <w:sz w:val="24"/>
          <w:szCs w:val="24"/>
        </w:rPr>
        <w:t>Social Innovation and Sustainability Transition</w:t>
      </w:r>
      <w:r w:rsidRPr="008E2386">
        <w:rPr>
          <w:rFonts w:ascii="Times New Roman" w:eastAsia="Times New Roman" w:hAnsi="Times New Roman" w:cs="Times New Roman"/>
          <w:sz w:val="24"/>
          <w:szCs w:val="24"/>
        </w:rPr>
        <w:t xml:space="preserve"> (pp. 307-326). Cham: Springer Nature Switzerland.</w:t>
      </w:r>
    </w:p>
    <w:p w14:paraId="59CF4DD0" w14:textId="77777777" w:rsidR="008E2386" w:rsidRPr="008E2386" w:rsidRDefault="008E2386" w:rsidP="003F43B5">
      <w:pPr>
        <w:pStyle w:val="Normal1"/>
        <w:spacing w:line="360" w:lineRule="auto"/>
        <w:jc w:val="both"/>
        <w:rPr>
          <w:rFonts w:ascii="Times New Roman" w:eastAsia="Times New Roman" w:hAnsi="Times New Roman" w:cs="Times New Roman"/>
          <w:sz w:val="24"/>
          <w:szCs w:val="24"/>
        </w:rPr>
      </w:pPr>
      <w:r w:rsidRPr="008E2386">
        <w:rPr>
          <w:rFonts w:ascii="Times New Roman" w:eastAsia="Times New Roman" w:hAnsi="Times New Roman" w:cs="Times New Roman"/>
          <w:color w:val="222222"/>
          <w:sz w:val="24"/>
          <w:szCs w:val="24"/>
          <w:highlight w:val="white"/>
        </w:rPr>
        <w:t xml:space="preserve">Revell, P. and Dinnie, E., 2020. Community resilience and narratives of community empowerment in Scotland. </w:t>
      </w:r>
      <w:r w:rsidRPr="008E2386">
        <w:rPr>
          <w:rFonts w:ascii="Times New Roman" w:eastAsia="Times New Roman" w:hAnsi="Times New Roman" w:cs="Times New Roman"/>
          <w:i/>
          <w:sz w:val="24"/>
          <w:szCs w:val="24"/>
        </w:rPr>
        <w:t>Community Development Journal</w:t>
      </w:r>
      <w:r w:rsidRPr="008E2386">
        <w:rPr>
          <w:rFonts w:ascii="Times New Roman" w:eastAsia="Times New Roman" w:hAnsi="Times New Roman" w:cs="Times New Roman"/>
          <w:sz w:val="24"/>
          <w:szCs w:val="24"/>
        </w:rPr>
        <w:t xml:space="preserve">, </w:t>
      </w:r>
      <w:r w:rsidRPr="008E2386">
        <w:rPr>
          <w:rFonts w:ascii="Times New Roman" w:eastAsia="Times New Roman" w:hAnsi="Times New Roman" w:cs="Times New Roman"/>
          <w:i/>
          <w:sz w:val="24"/>
          <w:szCs w:val="24"/>
        </w:rPr>
        <w:t>55</w:t>
      </w:r>
      <w:r w:rsidRPr="008E2386">
        <w:rPr>
          <w:rFonts w:ascii="Times New Roman" w:eastAsia="Times New Roman" w:hAnsi="Times New Roman" w:cs="Times New Roman"/>
          <w:sz w:val="24"/>
          <w:szCs w:val="24"/>
        </w:rPr>
        <w:t>(2), pp.218-236.</w:t>
      </w:r>
    </w:p>
    <w:p w14:paraId="00E91974" w14:textId="77777777" w:rsidR="008E2386" w:rsidRPr="008E2386" w:rsidRDefault="008E2386" w:rsidP="003F43B5">
      <w:pPr>
        <w:pStyle w:val="Normal1"/>
        <w:spacing w:line="360" w:lineRule="auto"/>
        <w:jc w:val="both"/>
        <w:rPr>
          <w:rFonts w:ascii="Times New Roman" w:eastAsia="Times New Roman" w:hAnsi="Times New Roman" w:cs="Times New Roman"/>
          <w:sz w:val="24"/>
          <w:szCs w:val="24"/>
        </w:rPr>
      </w:pPr>
      <w:proofErr w:type="spellStart"/>
      <w:r w:rsidRPr="008E2386">
        <w:rPr>
          <w:rFonts w:ascii="Times New Roman" w:eastAsia="Times New Roman" w:hAnsi="Times New Roman" w:cs="Times New Roman"/>
          <w:color w:val="222222"/>
          <w:sz w:val="24"/>
          <w:szCs w:val="24"/>
          <w:highlight w:val="white"/>
        </w:rPr>
        <w:t>Sovacool</w:t>
      </w:r>
      <w:proofErr w:type="spellEnd"/>
      <w:r w:rsidRPr="008E2386">
        <w:rPr>
          <w:rFonts w:ascii="Times New Roman" w:eastAsia="Times New Roman" w:hAnsi="Times New Roman" w:cs="Times New Roman"/>
          <w:color w:val="222222"/>
          <w:sz w:val="24"/>
          <w:szCs w:val="24"/>
          <w:highlight w:val="white"/>
        </w:rPr>
        <w:t xml:space="preserve">, B.K., </w:t>
      </w:r>
      <w:proofErr w:type="spellStart"/>
      <w:r w:rsidRPr="008E2386">
        <w:rPr>
          <w:rFonts w:ascii="Times New Roman" w:eastAsia="Times New Roman" w:hAnsi="Times New Roman" w:cs="Times New Roman"/>
          <w:color w:val="222222"/>
          <w:sz w:val="24"/>
          <w:szCs w:val="24"/>
          <w:highlight w:val="white"/>
        </w:rPr>
        <w:t>Martiskainen</w:t>
      </w:r>
      <w:proofErr w:type="spellEnd"/>
      <w:r w:rsidRPr="008E2386">
        <w:rPr>
          <w:rFonts w:ascii="Times New Roman" w:eastAsia="Times New Roman" w:hAnsi="Times New Roman" w:cs="Times New Roman"/>
          <w:color w:val="222222"/>
          <w:sz w:val="24"/>
          <w:szCs w:val="24"/>
          <w:highlight w:val="white"/>
        </w:rPr>
        <w:t xml:space="preserve">, M., Hook, A. and Baker, L., 2019. Decarbonization and its discontents: a critical energy justice perspective on four low-carbon transitions. </w:t>
      </w:r>
      <w:r w:rsidRPr="008E2386">
        <w:rPr>
          <w:rFonts w:ascii="Times New Roman" w:eastAsia="Times New Roman" w:hAnsi="Times New Roman" w:cs="Times New Roman"/>
          <w:i/>
          <w:sz w:val="24"/>
          <w:szCs w:val="24"/>
        </w:rPr>
        <w:t>Climatic Change</w:t>
      </w:r>
      <w:r w:rsidRPr="008E2386">
        <w:rPr>
          <w:rFonts w:ascii="Times New Roman" w:eastAsia="Times New Roman" w:hAnsi="Times New Roman" w:cs="Times New Roman"/>
          <w:sz w:val="24"/>
          <w:szCs w:val="24"/>
        </w:rPr>
        <w:t xml:space="preserve">, </w:t>
      </w:r>
      <w:r w:rsidRPr="008E2386">
        <w:rPr>
          <w:rFonts w:ascii="Times New Roman" w:eastAsia="Times New Roman" w:hAnsi="Times New Roman" w:cs="Times New Roman"/>
          <w:i/>
          <w:sz w:val="24"/>
          <w:szCs w:val="24"/>
        </w:rPr>
        <w:t>155</w:t>
      </w:r>
      <w:r w:rsidRPr="008E2386">
        <w:rPr>
          <w:rFonts w:ascii="Times New Roman" w:eastAsia="Times New Roman" w:hAnsi="Times New Roman" w:cs="Times New Roman"/>
          <w:sz w:val="24"/>
          <w:szCs w:val="24"/>
        </w:rPr>
        <w:t>, pp.581-619.</w:t>
      </w:r>
    </w:p>
    <w:p w14:paraId="63757616" w14:textId="77777777" w:rsidR="008C339B" w:rsidRDefault="008C339B" w:rsidP="003F43B5">
      <w:pPr>
        <w:pStyle w:val="Normal1"/>
        <w:spacing w:line="360" w:lineRule="auto"/>
        <w:jc w:val="both"/>
        <w:rPr>
          <w:rFonts w:ascii="Times New Roman" w:eastAsia="Times New Roman" w:hAnsi="Times New Roman" w:cs="Times New Roman"/>
          <w:sz w:val="24"/>
          <w:szCs w:val="24"/>
        </w:rPr>
      </w:pPr>
    </w:p>
    <w:p w14:paraId="2C4016CA" w14:textId="77777777" w:rsidR="008C339B" w:rsidRDefault="008C339B" w:rsidP="003F43B5">
      <w:pPr>
        <w:pStyle w:val="Normal1"/>
        <w:spacing w:line="360" w:lineRule="auto"/>
        <w:jc w:val="both"/>
        <w:rPr>
          <w:rFonts w:ascii="Times New Roman" w:eastAsia="Times New Roman" w:hAnsi="Times New Roman" w:cs="Times New Roman"/>
          <w:b/>
          <w:sz w:val="24"/>
          <w:szCs w:val="24"/>
        </w:rPr>
      </w:pPr>
    </w:p>
    <w:p w14:paraId="31B71355" w14:textId="77777777" w:rsidR="008C339B" w:rsidRDefault="008C339B" w:rsidP="003F43B5">
      <w:pPr>
        <w:pStyle w:val="Normal1"/>
        <w:spacing w:line="360" w:lineRule="auto"/>
        <w:jc w:val="both"/>
        <w:rPr>
          <w:rFonts w:ascii="Times New Roman" w:eastAsia="Times New Roman" w:hAnsi="Times New Roman" w:cs="Times New Roman"/>
          <w:b/>
          <w:sz w:val="24"/>
          <w:szCs w:val="24"/>
        </w:rPr>
      </w:pPr>
    </w:p>
    <w:p w14:paraId="576D7673" w14:textId="77777777" w:rsidR="008C339B" w:rsidRDefault="008C339B" w:rsidP="003F43B5">
      <w:pPr>
        <w:pStyle w:val="Normal1"/>
        <w:spacing w:line="360" w:lineRule="auto"/>
        <w:jc w:val="both"/>
        <w:rPr>
          <w:rFonts w:ascii="Times New Roman" w:eastAsia="Times New Roman" w:hAnsi="Times New Roman" w:cs="Times New Roman"/>
          <w:b/>
          <w:sz w:val="24"/>
          <w:szCs w:val="24"/>
        </w:rPr>
      </w:pPr>
    </w:p>
    <w:sectPr w:rsidR="008C339B" w:rsidSect="00FD1836">
      <w:footerReference w:type="default" r:id="rId1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648CD5" w14:textId="77777777" w:rsidR="00756C61" w:rsidRDefault="00756C61" w:rsidP="00FD1836">
      <w:pPr>
        <w:spacing w:line="240" w:lineRule="auto"/>
      </w:pPr>
      <w:r>
        <w:separator/>
      </w:r>
    </w:p>
  </w:endnote>
  <w:endnote w:type="continuationSeparator" w:id="0">
    <w:p w14:paraId="3ECB56B6" w14:textId="77777777" w:rsidR="00756C61" w:rsidRDefault="00756C61" w:rsidP="00FD183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cs="Times New Roman"/>
        <w:sz w:val="20"/>
        <w:szCs w:val="20"/>
      </w:rPr>
      <w:id w:val="8290094"/>
      <w:docPartObj>
        <w:docPartGallery w:val="Page Numbers (Bottom of Page)"/>
        <w:docPartUnique/>
      </w:docPartObj>
    </w:sdtPr>
    <w:sdtContent>
      <w:p w14:paraId="780DDA10" w14:textId="77777777" w:rsidR="00FD1836" w:rsidRPr="00FD1836" w:rsidRDefault="003669AD">
        <w:pPr>
          <w:pStyle w:val="Footer"/>
          <w:jc w:val="right"/>
          <w:rPr>
            <w:rFonts w:cs="Times New Roman"/>
            <w:sz w:val="20"/>
            <w:szCs w:val="20"/>
          </w:rPr>
        </w:pPr>
        <w:r w:rsidRPr="00FD1836">
          <w:rPr>
            <w:rFonts w:cs="Times New Roman"/>
            <w:sz w:val="20"/>
            <w:szCs w:val="20"/>
          </w:rPr>
          <w:fldChar w:fldCharType="begin"/>
        </w:r>
        <w:r w:rsidR="00FD1836" w:rsidRPr="00FD1836">
          <w:rPr>
            <w:rFonts w:cs="Times New Roman"/>
            <w:sz w:val="20"/>
            <w:szCs w:val="20"/>
          </w:rPr>
          <w:instrText xml:space="preserve"> PAGE   \* MERGEFORMAT </w:instrText>
        </w:r>
        <w:r w:rsidRPr="00FD1836">
          <w:rPr>
            <w:rFonts w:cs="Times New Roman"/>
            <w:sz w:val="20"/>
            <w:szCs w:val="20"/>
          </w:rPr>
          <w:fldChar w:fldCharType="separate"/>
        </w:r>
        <w:r w:rsidR="00BE2E3E">
          <w:rPr>
            <w:rFonts w:cs="Times New Roman"/>
            <w:noProof/>
            <w:sz w:val="20"/>
            <w:szCs w:val="20"/>
          </w:rPr>
          <w:t>2</w:t>
        </w:r>
        <w:r w:rsidRPr="00FD1836">
          <w:rPr>
            <w:rFonts w:cs="Times New Roman"/>
            <w:sz w:val="20"/>
            <w:szCs w:val="20"/>
          </w:rPr>
          <w:fldChar w:fldCharType="end"/>
        </w:r>
      </w:p>
    </w:sdtContent>
  </w:sdt>
  <w:p w14:paraId="46739B76" w14:textId="77777777" w:rsidR="00FD1836" w:rsidRDefault="00FD18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7C8F94" w14:textId="77777777" w:rsidR="00756C61" w:rsidRDefault="00756C61" w:rsidP="00FD1836">
      <w:pPr>
        <w:spacing w:line="240" w:lineRule="auto"/>
      </w:pPr>
      <w:r>
        <w:separator/>
      </w:r>
    </w:p>
  </w:footnote>
  <w:footnote w:type="continuationSeparator" w:id="0">
    <w:p w14:paraId="2CD9F9EB" w14:textId="77777777" w:rsidR="00756C61" w:rsidRDefault="00756C61" w:rsidP="00FD1836">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8C339B"/>
    <w:rsid w:val="000B7A3B"/>
    <w:rsid w:val="001C55A5"/>
    <w:rsid w:val="00202A2F"/>
    <w:rsid w:val="002B2AA1"/>
    <w:rsid w:val="003669AD"/>
    <w:rsid w:val="00397477"/>
    <w:rsid w:val="003A2B71"/>
    <w:rsid w:val="003F43B5"/>
    <w:rsid w:val="00422BA2"/>
    <w:rsid w:val="004263C4"/>
    <w:rsid w:val="006322DA"/>
    <w:rsid w:val="00756C61"/>
    <w:rsid w:val="007D21A8"/>
    <w:rsid w:val="008C339B"/>
    <w:rsid w:val="008E2386"/>
    <w:rsid w:val="00994294"/>
    <w:rsid w:val="009E08DB"/>
    <w:rsid w:val="00A25483"/>
    <w:rsid w:val="00BE2E3E"/>
    <w:rsid w:val="00D17D10"/>
    <w:rsid w:val="00E515EE"/>
    <w:rsid w:val="00EF3A09"/>
    <w:rsid w:val="00F11C1F"/>
    <w:rsid w:val="00F30351"/>
    <w:rsid w:val="00F42BD8"/>
    <w:rsid w:val="00FB0276"/>
    <w:rsid w:val="00FD183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D9009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2A2F"/>
    <w:rPr>
      <w:rFonts w:ascii="Times New Roman" w:hAnsi="Times New Roman"/>
      <w:color w:val="000000" w:themeColor="text1"/>
      <w:sz w:val="24"/>
    </w:rPr>
  </w:style>
  <w:style w:type="paragraph" w:styleId="Heading1">
    <w:name w:val="heading 1"/>
    <w:basedOn w:val="Normal1"/>
    <w:next w:val="Normal1"/>
    <w:rsid w:val="00FD1836"/>
    <w:pPr>
      <w:keepNext/>
      <w:keepLines/>
      <w:spacing w:before="400" w:after="120" w:line="360" w:lineRule="auto"/>
      <w:jc w:val="both"/>
      <w:outlineLvl w:val="0"/>
    </w:pPr>
    <w:rPr>
      <w:rFonts w:ascii="Times New Roman" w:hAnsi="Times New Roman"/>
      <w:b/>
      <w:color w:val="000000" w:themeColor="text1"/>
      <w:sz w:val="24"/>
      <w:szCs w:val="40"/>
    </w:rPr>
  </w:style>
  <w:style w:type="paragraph" w:styleId="Heading2">
    <w:name w:val="heading 2"/>
    <w:basedOn w:val="Normal1"/>
    <w:next w:val="Normal1"/>
    <w:rsid w:val="008C339B"/>
    <w:pPr>
      <w:keepNext/>
      <w:keepLines/>
      <w:spacing w:before="360" w:after="120"/>
      <w:outlineLvl w:val="1"/>
    </w:pPr>
    <w:rPr>
      <w:sz w:val="32"/>
      <w:szCs w:val="32"/>
    </w:rPr>
  </w:style>
  <w:style w:type="paragraph" w:styleId="Heading3">
    <w:name w:val="heading 3"/>
    <w:basedOn w:val="Normal1"/>
    <w:next w:val="Normal1"/>
    <w:rsid w:val="008C339B"/>
    <w:pPr>
      <w:keepNext/>
      <w:keepLines/>
      <w:spacing w:before="320" w:after="80"/>
      <w:outlineLvl w:val="2"/>
    </w:pPr>
    <w:rPr>
      <w:color w:val="434343"/>
      <w:sz w:val="28"/>
      <w:szCs w:val="28"/>
    </w:rPr>
  </w:style>
  <w:style w:type="paragraph" w:styleId="Heading4">
    <w:name w:val="heading 4"/>
    <w:basedOn w:val="Normal1"/>
    <w:next w:val="Normal1"/>
    <w:rsid w:val="008C339B"/>
    <w:pPr>
      <w:keepNext/>
      <w:keepLines/>
      <w:spacing w:before="280" w:after="80"/>
      <w:outlineLvl w:val="3"/>
    </w:pPr>
    <w:rPr>
      <w:color w:val="666666"/>
      <w:sz w:val="24"/>
      <w:szCs w:val="24"/>
    </w:rPr>
  </w:style>
  <w:style w:type="paragraph" w:styleId="Heading5">
    <w:name w:val="heading 5"/>
    <w:basedOn w:val="Normal1"/>
    <w:next w:val="Normal1"/>
    <w:rsid w:val="008C339B"/>
    <w:pPr>
      <w:keepNext/>
      <w:keepLines/>
      <w:spacing w:before="240" w:after="80"/>
      <w:outlineLvl w:val="4"/>
    </w:pPr>
    <w:rPr>
      <w:color w:val="666666"/>
    </w:rPr>
  </w:style>
  <w:style w:type="paragraph" w:styleId="Heading6">
    <w:name w:val="heading 6"/>
    <w:basedOn w:val="Normal1"/>
    <w:next w:val="Normal1"/>
    <w:rsid w:val="008C339B"/>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8C339B"/>
  </w:style>
  <w:style w:type="paragraph" w:styleId="Title">
    <w:name w:val="Title"/>
    <w:basedOn w:val="Normal1"/>
    <w:next w:val="Normal1"/>
    <w:rsid w:val="008C339B"/>
    <w:pPr>
      <w:keepNext/>
      <w:keepLines/>
      <w:spacing w:after="60"/>
    </w:pPr>
    <w:rPr>
      <w:sz w:val="52"/>
      <w:szCs w:val="52"/>
    </w:rPr>
  </w:style>
  <w:style w:type="paragraph" w:styleId="Subtitle">
    <w:name w:val="Subtitle"/>
    <w:basedOn w:val="Normal1"/>
    <w:next w:val="Normal1"/>
    <w:rsid w:val="008C339B"/>
    <w:pPr>
      <w:keepNext/>
      <w:keepLines/>
      <w:spacing w:after="320"/>
    </w:pPr>
    <w:rPr>
      <w:color w:val="666666"/>
      <w:sz w:val="30"/>
      <w:szCs w:val="30"/>
    </w:rPr>
  </w:style>
  <w:style w:type="paragraph" w:styleId="Header">
    <w:name w:val="header"/>
    <w:basedOn w:val="Normal"/>
    <w:link w:val="HeaderChar"/>
    <w:uiPriority w:val="99"/>
    <w:unhideWhenUsed/>
    <w:rsid w:val="00FD1836"/>
    <w:pPr>
      <w:tabs>
        <w:tab w:val="center" w:pos="4680"/>
        <w:tab w:val="right" w:pos="9360"/>
      </w:tabs>
      <w:spacing w:line="240" w:lineRule="auto"/>
    </w:pPr>
  </w:style>
  <w:style w:type="character" w:customStyle="1" w:styleId="HeaderChar">
    <w:name w:val="Header Char"/>
    <w:basedOn w:val="DefaultParagraphFont"/>
    <w:link w:val="Header"/>
    <w:uiPriority w:val="99"/>
    <w:rsid w:val="00FD1836"/>
  </w:style>
  <w:style w:type="paragraph" w:styleId="Footer">
    <w:name w:val="footer"/>
    <w:basedOn w:val="Normal"/>
    <w:link w:val="FooterChar"/>
    <w:uiPriority w:val="99"/>
    <w:unhideWhenUsed/>
    <w:rsid w:val="00FD1836"/>
    <w:pPr>
      <w:tabs>
        <w:tab w:val="center" w:pos="4680"/>
        <w:tab w:val="right" w:pos="9360"/>
      </w:tabs>
      <w:spacing w:line="240" w:lineRule="auto"/>
    </w:pPr>
  </w:style>
  <w:style w:type="character" w:customStyle="1" w:styleId="FooterChar">
    <w:name w:val="Footer Char"/>
    <w:basedOn w:val="DefaultParagraphFont"/>
    <w:link w:val="Footer"/>
    <w:uiPriority w:val="99"/>
    <w:rsid w:val="00FD1836"/>
  </w:style>
  <w:style w:type="paragraph" w:styleId="TOCHeading">
    <w:name w:val="TOC Heading"/>
    <w:basedOn w:val="Heading1"/>
    <w:next w:val="Normal"/>
    <w:uiPriority w:val="39"/>
    <w:unhideWhenUsed/>
    <w:qFormat/>
    <w:rsid w:val="00FD1836"/>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FD1836"/>
    <w:pPr>
      <w:spacing w:after="100"/>
    </w:pPr>
  </w:style>
  <w:style w:type="character" w:styleId="Hyperlink">
    <w:name w:val="Hyperlink"/>
    <w:basedOn w:val="DefaultParagraphFont"/>
    <w:uiPriority w:val="99"/>
    <w:unhideWhenUsed/>
    <w:rsid w:val="00FD1836"/>
    <w:rPr>
      <w:color w:val="0000FF" w:themeColor="hyperlink"/>
      <w:u w:val="single"/>
    </w:rPr>
  </w:style>
  <w:style w:type="paragraph" w:styleId="BalloonText">
    <w:name w:val="Balloon Text"/>
    <w:basedOn w:val="Normal"/>
    <w:link w:val="BalloonTextChar"/>
    <w:uiPriority w:val="99"/>
    <w:semiHidden/>
    <w:unhideWhenUsed/>
    <w:rsid w:val="00FD183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D1836"/>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media/61fd3ca28fa8f5388e9781c6/Levelling_up_the_UK_white_paper.pdf" TargetMode="External"/><Relationship Id="rId13" Type="http://schemas.openxmlformats.org/officeDocument/2006/relationships/hyperlink" Target="https://labour.org.uk/wp-content/uploads/2022/12/Commission-on-the-UKs-Future.pdf"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hdr.undp.org/system/files/documents/global-report-document/hdr2021-22pdf_1.pdf"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localtrust.org.uk/wp-content/uploads/2019/06/local_trust_ec2020_countries_report.pdf"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hdr.undp.org/system/files/documents/global-report-document/hdr2021-22pdf_1.pdf" TargetMode="External"/><Relationship Id="rId5" Type="http://schemas.openxmlformats.org/officeDocument/2006/relationships/footnotes" Target="footnotes.xml"/><Relationship Id="rId15" Type="http://schemas.openxmlformats.org/officeDocument/2006/relationships/hyperlink" Target="https://localtrust.org.uk/wp-content/uploads/2019/06/local_trust_ec2020_countries_report.pdf" TargetMode="External"/><Relationship Id="rId10" Type="http://schemas.openxmlformats.org/officeDocument/2006/relationships/hyperlink" Target="https://assets.publishing.service.gov.uk/media/5b6b282440f0b62ec1fa611d/Civil_Society_Strategy_-_building_a_future_that_works_for_everyone.pdf"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assets.publishing.service.gov.uk/media/61fd3ca28fa8f5388e9781c6/Levelling_up_the_UK_white_paper.pdf" TargetMode="External"/><Relationship Id="rId14" Type="http://schemas.openxmlformats.org/officeDocument/2006/relationships/hyperlink" Target="https://labour.org.uk/wp-content/uploads/2022/12/Commission-on-the-UKs-Futur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file>

<file path=customXml/itemProps1.xml><?xml version="1.0" encoding="utf-8"?>
<ds:datastoreItem xmlns:ds="http://schemas.openxmlformats.org/officeDocument/2006/customXml" ds:itemID="{50487111-0C72-45D0-81B5-2235EA7493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2566</Words>
  <Characters>16762</Characters>
  <Application>Microsoft Office Word</Application>
  <DocSecurity>0</DocSecurity>
  <Lines>289</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2023-12-02T08:21:00Z</dcterms:created>
  <dcterms:modified xsi:type="dcterms:W3CDTF">2023-12-02T12:58:00Z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d9bb36b34067f7c50d0913c61037ed3c752d73d962d024f38198357d08291f61</vt:lpwstr>
  </property>
</Properties>
</file>