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AE33F9" w14:textId="687E8B7D" w:rsidR="00742089" w:rsidRPr="000436CA" w:rsidRDefault="000436CA" w:rsidP="000436CA">
      <w:pPr>
        <w:rPr>
          <w:rFonts w:cstheme="minorHAnsi"/>
          <w:sz w:val="24"/>
          <w:szCs w:val="24"/>
          <w:u w:val="single"/>
        </w:rPr>
      </w:pPr>
      <w:r w:rsidRPr="000436CA">
        <w:rPr>
          <w:rFonts w:cstheme="minorHAnsi"/>
          <w:sz w:val="24"/>
          <w:szCs w:val="24"/>
          <w:u w:val="single"/>
        </w:rPr>
        <w:t>From Maccabees to Masada: Jews, Christians, and Romans (167 BCE – 74 CE), HPRS5008/HPRS6008 Assessment 3: Take Home Exam: Question 1:</w:t>
      </w:r>
    </w:p>
    <w:p w14:paraId="59BA2183" w14:textId="7FF2478D" w:rsidR="000436CA" w:rsidRDefault="000436CA" w:rsidP="000436CA">
      <w:pPr>
        <w:jc w:val="center"/>
        <w:rPr>
          <w:rFonts w:cstheme="minorHAnsi"/>
          <w:sz w:val="24"/>
          <w:szCs w:val="24"/>
          <w:u w:val="single"/>
        </w:rPr>
      </w:pPr>
      <w:r w:rsidRPr="000436CA">
        <w:rPr>
          <w:rFonts w:cstheme="minorHAnsi"/>
          <w:sz w:val="24"/>
          <w:szCs w:val="24"/>
          <w:u w:val="single"/>
        </w:rPr>
        <w:t>“Critically outline the main themes presented in 1 and 2 Maccabees. In your answer, please also refer to the differences between 1 and 2 Maccabees.”</w:t>
      </w:r>
    </w:p>
    <w:p w14:paraId="0CAFD799" w14:textId="0B76A05E" w:rsidR="000436CA" w:rsidRDefault="000436CA" w:rsidP="000436CA">
      <w:pPr>
        <w:rPr>
          <w:rFonts w:cstheme="minorHAnsi"/>
        </w:rPr>
      </w:pPr>
    </w:p>
    <w:p w14:paraId="2D9A7760" w14:textId="0F23C696" w:rsidR="007A0213" w:rsidRDefault="00F747C6" w:rsidP="000436CA">
      <w:pPr>
        <w:rPr>
          <w:rFonts w:cstheme="minorHAnsi"/>
        </w:rPr>
      </w:pPr>
      <w:r>
        <w:rPr>
          <w:rFonts w:cstheme="minorHAnsi"/>
        </w:rPr>
        <w:t xml:space="preserve">Ancient Jerusalem was uniquely situated between three great kingdoms those of Persia, </w:t>
      </w:r>
      <w:r w:rsidR="00C13338">
        <w:rPr>
          <w:rFonts w:cstheme="minorHAnsi"/>
        </w:rPr>
        <w:t>Syria,</w:t>
      </w:r>
      <w:r>
        <w:rPr>
          <w:rFonts w:cstheme="minorHAnsi"/>
        </w:rPr>
        <w:t xml:space="preserve"> and Egypt. It was this unfortunate geographical location that was the root cause of many a turbulent time for the people living there. </w:t>
      </w:r>
      <w:r w:rsidR="00D86D7A">
        <w:rPr>
          <w:rFonts w:cstheme="minorHAnsi"/>
        </w:rPr>
        <w:t>C</w:t>
      </w:r>
      <w:r>
        <w:rPr>
          <w:rFonts w:cstheme="minorHAnsi"/>
        </w:rPr>
        <w:t>onsistent conflict of neighbouring kingdoms ensured that, although seemingly small and insignificant, Jerusalem played a key role in the geopolitical sphere</w:t>
      </w:r>
      <w:r w:rsidR="00D86D7A">
        <w:rPr>
          <w:rFonts w:cstheme="minorHAnsi"/>
        </w:rPr>
        <w:t xml:space="preserve"> </w:t>
      </w:r>
      <w:r>
        <w:rPr>
          <w:rFonts w:cstheme="minorHAnsi"/>
        </w:rPr>
        <w:t>east of the Mediterranean Sea.</w:t>
      </w:r>
      <w:r w:rsidR="00D86D7A">
        <w:rPr>
          <w:rFonts w:cstheme="minorHAnsi"/>
        </w:rPr>
        <w:t xml:space="preserve"> Jerusalem was frequently conquered by whichever neighbour was most successful at any given time. This everchanging political landscape led to a history that was </w:t>
      </w:r>
      <w:r w:rsidR="00C13338">
        <w:rPr>
          <w:rFonts w:cstheme="minorHAnsi"/>
        </w:rPr>
        <w:t xml:space="preserve">equally </w:t>
      </w:r>
      <w:r w:rsidR="00D86D7A">
        <w:rPr>
          <w:rFonts w:cstheme="minorHAnsi"/>
        </w:rPr>
        <w:t xml:space="preserve">as complex and inconsistent. </w:t>
      </w:r>
      <w:r w:rsidR="007A0213">
        <w:rPr>
          <w:rFonts w:cstheme="minorHAnsi"/>
        </w:rPr>
        <w:t xml:space="preserve">External fighting led to internal tragedy for Jerusalem as a prominent and strategic foothold. </w:t>
      </w:r>
      <w:r w:rsidR="00D86D7A">
        <w:rPr>
          <w:rFonts w:cstheme="minorHAnsi"/>
        </w:rPr>
        <w:t>Babylonian and Persian disputes led to the destruction of the first Temple of the Jewish people worshipping in Judea in Jerusalem in 587BCE.</w:t>
      </w:r>
      <w:r w:rsidR="00D86D7A">
        <w:rPr>
          <w:rStyle w:val="FootnoteReference"/>
          <w:rFonts w:cstheme="minorHAnsi"/>
        </w:rPr>
        <w:footnoteReference w:id="1"/>
      </w:r>
      <w:r w:rsidR="0028240D">
        <w:rPr>
          <w:rFonts w:cstheme="minorHAnsi"/>
        </w:rPr>
        <w:t xml:space="preserve"> Alexander the Great soon travelled east to conquer territory for the Greeks and in doing so </w:t>
      </w:r>
      <w:r w:rsidR="007A0213">
        <w:rPr>
          <w:rFonts w:cstheme="minorHAnsi"/>
        </w:rPr>
        <w:t>came to Jerusalem</w:t>
      </w:r>
      <w:r w:rsidR="0028240D">
        <w:rPr>
          <w:rFonts w:cstheme="minorHAnsi"/>
        </w:rPr>
        <w:t>.</w:t>
      </w:r>
      <w:r w:rsidR="0028240D">
        <w:rPr>
          <w:rStyle w:val="FootnoteReference"/>
          <w:rFonts w:cstheme="minorHAnsi"/>
        </w:rPr>
        <w:footnoteReference w:id="2"/>
      </w:r>
      <w:r w:rsidR="007A0213">
        <w:rPr>
          <w:rFonts w:cstheme="minorHAnsi"/>
        </w:rPr>
        <w:t xml:space="preserve"> Freedom was not a luxury received from this Macedonian king however as Greek presence replaced Persian. Following his death too relief was not felt by the Jewish as the Ptolemaic and Seleucid Empires encircled them. It is to this time period</w:t>
      </w:r>
      <w:r w:rsidR="00A02DD5">
        <w:rPr>
          <w:rFonts w:cstheme="minorHAnsi"/>
        </w:rPr>
        <w:t>,</w:t>
      </w:r>
      <w:r w:rsidR="007A0213">
        <w:rPr>
          <w:rFonts w:cstheme="minorHAnsi"/>
        </w:rPr>
        <w:t xml:space="preserve"> under the </w:t>
      </w:r>
      <w:r w:rsidR="00A02DD5">
        <w:rPr>
          <w:rFonts w:cstheme="minorHAnsi"/>
        </w:rPr>
        <w:t>yoke</w:t>
      </w:r>
      <w:r w:rsidR="007A0213">
        <w:rPr>
          <w:rFonts w:cstheme="minorHAnsi"/>
        </w:rPr>
        <w:t xml:space="preserve"> of the Seleucid Empire</w:t>
      </w:r>
      <w:r w:rsidR="00A02DD5">
        <w:rPr>
          <w:rFonts w:cstheme="minorHAnsi"/>
        </w:rPr>
        <w:t>,</w:t>
      </w:r>
      <w:r w:rsidR="007A0213">
        <w:rPr>
          <w:rFonts w:cstheme="minorHAnsi"/>
        </w:rPr>
        <w:t xml:space="preserve"> that we must now turn. </w:t>
      </w:r>
    </w:p>
    <w:p w14:paraId="44F6AD37" w14:textId="6936867A" w:rsidR="007A0213" w:rsidRDefault="00A02DD5" w:rsidP="000436CA">
      <w:pPr>
        <w:rPr>
          <w:rFonts w:cstheme="minorHAnsi"/>
        </w:rPr>
      </w:pPr>
      <w:r>
        <w:rPr>
          <w:rFonts w:cstheme="minorHAnsi"/>
        </w:rPr>
        <w:t>Antiochus IV Epiphanes was the Seleucid King from 175BCE to his death in 164BCE. Under this King the people of Jerusalem were subjected to</w:t>
      </w:r>
      <w:r w:rsidR="000E5609">
        <w:rPr>
          <w:rFonts w:cstheme="minorHAnsi"/>
        </w:rPr>
        <w:t xml:space="preserve"> mistreatment and</w:t>
      </w:r>
      <w:r>
        <w:rPr>
          <w:rFonts w:cstheme="minorHAnsi"/>
        </w:rPr>
        <w:t xml:space="preserve"> misfortune. Under this King these same people led a rebellion that ultimately </w:t>
      </w:r>
      <w:r w:rsidR="00C13338">
        <w:rPr>
          <w:rFonts w:cstheme="minorHAnsi"/>
        </w:rPr>
        <w:t>allowed for</w:t>
      </w:r>
      <w:r>
        <w:rPr>
          <w:rFonts w:cstheme="minorHAnsi"/>
        </w:rPr>
        <w:t xml:space="preserve"> the rebuilding and rededication of their most sacred place, The Second Temple. Our main and most utilised sources in tracing the causes and events of this uprising are the four </w:t>
      </w:r>
      <w:r w:rsidR="0052718F">
        <w:rPr>
          <w:rFonts w:cstheme="minorHAnsi"/>
        </w:rPr>
        <w:t>Maccabees, particularly 1 and 2. Context and a brief overview of the first two Maccabees will assist in understanding their shared themes and obvious dissimilarities.</w:t>
      </w:r>
      <w:r w:rsidR="00DA3636">
        <w:rPr>
          <w:rFonts w:cstheme="minorHAnsi"/>
        </w:rPr>
        <w:t xml:space="preserve"> 1 Maccabees was originally written in Hebrew, shows a developed awareness of Jerusalem’s geography and makes use of biblical material.</w:t>
      </w:r>
      <w:r w:rsidR="00DA3636">
        <w:rPr>
          <w:rStyle w:val="FootnoteReference"/>
          <w:rFonts w:cstheme="minorHAnsi"/>
        </w:rPr>
        <w:footnoteReference w:id="3"/>
      </w:r>
      <w:r w:rsidR="00DA3636">
        <w:rPr>
          <w:rFonts w:cstheme="minorHAnsi"/>
        </w:rPr>
        <w:t xml:space="preserve"> 2 Maccabees comes to us in Greek and was likely produced by a Jew of the diaspora located in Egypt.</w:t>
      </w:r>
      <w:r w:rsidR="00DA3636">
        <w:rPr>
          <w:rStyle w:val="FootnoteReference"/>
          <w:rFonts w:cstheme="minorHAnsi"/>
        </w:rPr>
        <w:footnoteReference w:id="4"/>
      </w:r>
      <w:r w:rsidR="00DA3636">
        <w:rPr>
          <w:rFonts w:cstheme="minorHAnsi"/>
        </w:rPr>
        <w:t xml:space="preserve"> </w:t>
      </w:r>
      <w:r w:rsidR="00EE3418">
        <w:rPr>
          <w:rFonts w:cstheme="minorHAnsi"/>
        </w:rPr>
        <w:t xml:space="preserve">1 Maccabees covers a period of forty years from </w:t>
      </w:r>
      <w:r w:rsidR="000E5609">
        <w:rPr>
          <w:rFonts w:cstheme="minorHAnsi"/>
        </w:rPr>
        <w:t xml:space="preserve">the succession of Antiochus IV all the way up until </w:t>
      </w:r>
      <w:r w:rsidR="000E5609" w:rsidRPr="000E5609">
        <w:rPr>
          <w:rFonts w:cstheme="minorHAnsi"/>
        </w:rPr>
        <w:t>Mattathias</w:t>
      </w:r>
      <w:r w:rsidR="000E5609">
        <w:rPr>
          <w:rFonts w:cstheme="minorHAnsi"/>
        </w:rPr>
        <w:t>’ grandson. 2 Maccabees whilst beginning with the same starting date, the succession of Antiochus IV, ends much sooner with the final victory of Judah.</w:t>
      </w:r>
      <w:r w:rsidR="000E5609">
        <w:rPr>
          <w:rStyle w:val="FootnoteReference"/>
          <w:rFonts w:cstheme="minorHAnsi"/>
        </w:rPr>
        <w:footnoteReference w:id="5"/>
      </w:r>
      <w:r w:rsidR="004C771A">
        <w:rPr>
          <w:rFonts w:cstheme="minorHAnsi"/>
        </w:rPr>
        <w:t xml:space="preserve"> The main focus of both is the struggle of Jewish people to regain their independence.</w:t>
      </w:r>
      <w:r w:rsidR="000C579B">
        <w:rPr>
          <w:rFonts w:cstheme="minorHAnsi"/>
        </w:rPr>
        <w:t xml:space="preserve"> Themes of Hellenization, early forms of guerrilla warfare, morality and dynasty are prevalent in both. Likewise, they both centre upon one main family and the role they played, Mattathias and his sons. Key events and characters are featured in both</w:t>
      </w:r>
      <w:r w:rsidR="00876624">
        <w:rPr>
          <w:rFonts w:cstheme="minorHAnsi"/>
        </w:rPr>
        <w:t>,</w:t>
      </w:r>
      <w:r w:rsidR="000C579B">
        <w:rPr>
          <w:rFonts w:cstheme="minorHAnsi"/>
        </w:rPr>
        <w:t xml:space="preserve"> though </w:t>
      </w:r>
      <w:r w:rsidR="00876624">
        <w:rPr>
          <w:rFonts w:cstheme="minorHAnsi"/>
        </w:rPr>
        <w:t>the treatment of such varies</w:t>
      </w:r>
      <w:r w:rsidR="000C579B">
        <w:rPr>
          <w:rFonts w:cstheme="minorHAnsi"/>
        </w:rPr>
        <w:t>. A closer analysis of these thematic similarities and differences will follow.</w:t>
      </w:r>
    </w:p>
    <w:p w14:paraId="33D83403" w14:textId="77777777" w:rsidR="00486C5D" w:rsidRDefault="00DA3636" w:rsidP="000436CA">
      <w:pPr>
        <w:rPr>
          <w:rFonts w:cstheme="minorHAnsi"/>
        </w:rPr>
      </w:pPr>
      <w:r>
        <w:rPr>
          <w:rFonts w:cstheme="minorHAnsi"/>
        </w:rPr>
        <w:t>One must not forget to look at 1 and 2 Maccabees as first and foremost written works.</w:t>
      </w:r>
      <w:r w:rsidR="00564A18">
        <w:rPr>
          <w:rFonts w:cstheme="minorHAnsi"/>
        </w:rPr>
        <w:t xml:space="preserve"> For this reason, it is important to consider how both are carefully crafted as texts. It was for a long time generally accepted that 1 and 2 Maccabees are stylistically very different and that this difference reflects authorial concern. Typically, it was argued that 1 Maccabees focused upon fact and as such </w:t>
      </w:r>
      <w:r w:rsidR="00564A18">
        <w:rPr>
          <w:rFonts w:cstheme="minorHAnsi"/>
        </w:rPr>
        <w:lastRenderedPageBreak/>
        <w:t>had a, “sober tone”,</w:t>
      </w:r>
      <w:r w:rsidR="00564A18">
        <w:rPr>
          <w:rStyle w:val="FootnoteReference"/>
          <w:rFonts w:cstheme="minorHAnsi"/>
        </w:rPr>
        <w:footnoteReference w:id="6"/>
      </w:r>
      <w:r w:rsidR="00564A18">
        <w:rPr>
          <w:rFonts w:cstheme="minorHAnsi"/>
        </w:rPr>
        <w:t xml:space="preserve"> that actively shied away from narrative and artistic, “flourishes”,</w:t>
      </w:r>
      <w:r w:rsidR="00564A18">
        <w:rPr>
          <w:rStyle w:val="FootnoteReference"/>
          <w:rFonts w:cstheme="minorHAnsi"/>
        </w:rPr>
        <w:footnoteReference w:id="7"/>
      </w:r>
      <w:r w:rsidR="00564A18">
        <w:rPr>
          <w:rFonts w:cstheme="minorHAnsi"/>
        </w:rPr>
        <w:t xml:space="preserve"> found in 2 Maccabees. </w:t>
      </w:r>
      <w:r w:rsidR="00891727">
        <w:rPr>
          <w:rFonts w:cstheme="minorHAnsi"/>
        </w:rPr>
        <w:t>This distinction went even further to suggest that 1 Maccabees was restrained and without emotion in contrast to 2 which is impassioned almost to the point of dramatics.</w:t>
      </w:r>
      <w:r w:rsidR="00891727">
        <w:rPr>
          <w:rStyle w:val="FootnoteReference"/>
          <w:rFonts w:cstheme="minorHAnsi"/>
        </w:rPr>
        <w:footnoteReference w:id="8"/>
      </w:r>
      <w:r w:rsidR="00891727">
        <w:rPr>
          <w:rFonts w:cstheme="minorHAnsi"/>
        </w:rPr>
        <w:t xml:space="preserve"> As a means of explaining this key </w:t>
      </w:r>
      <w:r w:rsidR="00DE1DDF">
        <w:rPr>
          <w:rFonts w:cstheme="minorHAnsi"/>
        </w:rPr>
        <w:t>stylistic</w:t>
      </w:r>
      <w:r w:rsidR="00891727">
        <w:rPr>
          <w:rFonts w:cstheme="minorHAnsi"/>
        </w:rPr>
        <w:t xml:space="preserve"> difference the notion of Hellenization became crucial. </w:t>
      </w:r>
      <w:r w:rsidR="00877308">
        <w:rPr>
          <w:rFonts w:cstheme="minorHAnsi"/>
        </w:rPr>
        <w:t>Given that 2 Maccabees was produced in Greek by a Jew living outside of Jerusalem it was seen to be the authors consolidation of their Greek literary and rhetorical practices with Jewish content.</w:t>
      </w:r>
      <w:r w:rsidR="00877308">
        <w:rPr>
          <w:rStyle w:val="FootnoteReference"/>
          <w:rFonts w:cstheme="minorHAnsi"/>
        </w:rPr>
        <w:footnoteReference w:id="9"/>
      </w:r>
      <w:r w:rsidR="00975769">
        <w:rPr>
          <w:rFonts w:cstheme="minorHAnsi"/>
        </w:rPr>
        <w:t xml:space="preserve"> </w:t>
      </w:r>
    </w:p>
    <w:p w14:paraId="27906E43" w14:textId="50D685A7" w:rsidR="0014758F" w:rsidRDefault="00276E5C" w:rsidP="00276E5C">
      <w:pPr>
        <w:rPr>
          <w:rFonts w:cstheme="minorHAnsi"/>
        </w:rPr>
      </w:pPr>
      <w:r>
        <w:rPr>
          <w:rFonts w:cstheme="minorHAnsi"/>
        </w:rPr>
        <w:t xml:space="preserve">Narrative schemes and patterns should also be considered. </w:t>
      </w:r>
      <w:r w:rsidR="00557BF2">
        <w:rPr>
          <w:rFonts w:cstheme="minorHAnsi"/>
        </w:rPr>
        <w:t>Both 1 and 2 Maccabees contain three key historical episodes. That of Antiochus IV’s treatment of Judea and its people including murder and theft of money</w:t>
      </w:r>
      <w:r w:rsidR="009C7228">
        <w:rPr>
          <w:rFonts w:cstheme="minorHAnsi"/>
        </w:rPr>
        <w:t>,</w:t>
      </w:r>
      <w:r w:rsidR="00557BF2">
        <w:rPr>
          <w:rStyle w:val="FootnoteReference"/>
          <w:rFonts w:cstheme="minorHAnsi"/>
        </w:rPr>
        <w:footnoteReference w:id="10"/>
      </w:r>
      <w:r w:rsidR="00557BF2">
        <w:rPr>
          <w:rFonts w:cstheme="minorHAnsi"/>
        </w:rPr>
        <w:t xml:space="preserve"> actions of Apollonius</w:t>
      </w:r>
      <w:r w:rsidR="009C7228">
        <w:rPr>
          <w:rFonts w:cstheme="minorHAnsi"/>
        </w:rPr>
        <w:t>,</w:t>
      </w:r>
      <w:r w:rsidR="00557BF2">
        <w:rPr>
          <w:rFonts w:cstheme="minorHAnsi"/>
        </w:rPr>
        <w:t xml:space="preserve"> and edicts.</w:t>
      </w:r>
      <w:r w:rsidR="00557BF2">
        <w:rPr>
          <w:rStyle w:val="FootnoteReference"/>
          <w:rFonts w:cstheme="minorHAnsi"/>
        </w:rPr>
        <w:footnoteReference w:id="11"/>
      </w:r>
      <w:r w:rsidR="00557BF2">
        <w:rPr>
          <w:rFonts w:cstheme="minorHAnsi"/>
        </w:rPr>
        <w:t xml:space="preserve"> In 1 Maccabees each episode is linked to some form of violation against Jewish custom. For example, Antiochus IV succession is tied to the looting of the temple. This, “sinful root” (1</w:t>
      </w:r>
      <w:r w:rsidR="002F0877">
        <w:rPr>
          <w:rFonts w:cstheme="minorHAnsi"/>
        </w:rPr>
        <w:t>:</w:t>
      </w:r>
      <w:r w:rsidR="00557BF2">
        <w:rPr>
          <w:rFonts w:cstheme="minorHAnsi"/>
        </w:rPr>
        <w:t>10) of a man was said to have, “arrogantly” (1</w:t>
      </w:r>
      <w:r w:rsidR="002F0877">
        <w:rPr>
          <w:rFonts w:cstheme="minorHAnsi"/>
        </w:rPr>
        <w:t>:</w:t>
      </w:r>
      <w:r w:rsidR="00557BF2">
        <w:rPr>
          <w:rFonts w:cstheme="minorHAnsi"/>
        </w:rPr>
        <w:t>21) remove</w:t>
      </w:r>
      <w:r w:rsidR="00730B80">
        <w:rPr>
          <w:rFonts w:cstheme="minorHAnsi"/>
        </w:rPr>
        <w:t>d</w:t>
      </w:r>
      <w:r w:rsidR="00557BF2">
        <w:rPr>
          <w:rFonts w:cstheme="minorHAnsi"/>
        </w:rPr>
        <w:t xml:space="preserve"> all the sacred objects from within the Temple. </w:t>
      </w:r>
      <w:r w:rsidR="002F0877">
        <w:rPr>
          <w:rFonts w:cstheme="minorHAnsi"/>
        </w:rPr>
        <w:t>Apollonius placement in Jerusalem leads directly on to the building of the Akra which is in turn described as being, “an ambush against the sanctuary” (1:36). Kingly edicts are linked to a complete and total upheaval of the Jewish way of life in accordance with the laws.</w:t>
      </w:r>
      <w:r w:rsidR="00D00441">
        <w:rPr>
          <w:rFonts w:cstheme="minorHAnsi"/>
        </w:rPr>
        <w:t xml:space="preserve"> Edicts that instruct the people of Jerusalem against their religious laws is seen to be, “evil in the land” (1:51). The connections made show the problem of outsiders interfering in Jewish affairs and the dangers of Greek presence in Jerusalem. It highlights anxieties of the author of 1 Maccabees with regards to keeping</w:t>
      </w:r>
      <w:r w:rsidR="0014758F">
        <w:rPr>
          <w:rFonts w:cstheme="minorHAnsi"/>
        </w:rPr>
        <w:t xml:space="preserve"> with the</w:t>
      </w:r>
      <w:r w:rsidR="00D00441">
        <w:rPr>
          <w:rFonts w:cstheme="minorHAnsi"/>
        </w:rPr>
        <w:t xml:space="preserve"> Jewish faith</w:t>
      </w:r>
      <w:r w:rsidR="0014758F">
        <w:rPr>
          <w:rFonts w:cstheme="minorHAnsi"/>
        </w:rPr>
        <w:t xml:space="preserve"> in a traditional capacity</w:t>
      </w:r>
      <w:r w:rsidR="00D00441">
        <w:rPr>
          <w:rFonts w:cstheme="minorHAnsi"/>
        </w:rPr>
        <w:t xml:space="preserve"> </w:t>
      </w:r>
      <w:r w:rsidR="0014758F">
        <w:rPr>
          <w:rFonts w:cstheme="minorHAnsi"/>
        </w:rPr>
        <w:t>when facing such adversity.</w:t>
      </w:r>
      <w:r w:rsidR="0014758F">
        <w:rPr>
          <w:rStyle w:val="FootnoteReference"/>
          <w:rFonts w:cstheme="minorHAnsi"/>
        </w:rPr>
        <w:footnoteReference w:id="12"/>
      </w:r>
      <w:r w:rsidR="0014758F">
        <w:rPr>
          <w:rFonts w:cstheme="minorHAnsi"/>
        </w:rPr>
        <w:t xml:space="preserve"> </w:t>
      </w:r>
      <w:r w:rsidR="004E3AC6">
        <w:rPr>
          <w:rFonts w:cstheme="minorHAnsi"/>
        </w:rPr>
        <w:t>But what of monetary theft? The anti-Seleucid sentiments of 1 Maccabees utilises the heavy taxation and Temple thievery in presenting the Greeks as not just greedy and cruel but also immoral. The</w:t>
      </w:r>
      <w:r w:rsidR="005209F7">
        <w:rPr>
          <w:rFonts w:cstheme="minorHAnsi"/>
        </w:rPr>
        <w:t>ir stealing is not in aid of a just cause but rather in building development and territorial gain.</w:t>
      </w:r>
      <w:r w:rsidR="005209F7">
        <w:rPr>
          <w:rStyle w:val="FootnoteReference"/>
          <w:rFonts w:cstheme="minorHAnsi"/>
        </w:rPr>
        <w:footnoteReference w:id="13"/>
      </w:r>
      <w:r w:rsidR="00247D7D">
        <w:rPr>
          <w:rFonts w:cstheme="minorHAnsi"/>
        </w:rPr>
        <w:t xml:space="preserve"> </w:t>
      </w:r>
      <w:r w:rsidR="00224525">
        <w:rPr>
          <w:rFonts w:cstheme="minorHAnsi"/>
        </w:rPr>
        <w:t>For 2 Maccabees a more tailored denunciation is required. The issue of money is not simply transferred to the Greek overseers but to the Jewish people themselves, corruption is the cause of their suffering. The high priests are the target of this particular narrative spin. Primarily they are accused of raising the tribune in attempts to buy the approval of the Seleucid empire and by extension their coveted position.</w:t>
      </w:r>
      <w:r w:rsidR="00224525">
        <w:rPr>
          <w:rStyle w:val="FootnoteReference"/>
          <w:rFonts w:cstheme="minorHAnsi"/>
        </w:rPr>
        <w:footnoteReference w:id="14"/>
      </w:r>
      <w:r w:rsidR="00224525">
        <w:rPr>
          <w:rFonts w:cstheme="minorHAnsi"/>
        </w:rPr>
        <w:t xml:space="preserve"> Clearly then the same themes can be included in both texts but implemented in very different ways for contrasting purposes. </w:t>
      </w:r>
    </w:p>
    <w:p w14:paraId="476055FA" w14:textId="77777777" w:rsidR="00AA6C2E" w:rsidRDefault="00975769" w:rsidP="000436CA">
      <w:pPr>
        <w:rPr>
          <w:rFonts w:cstheme="minorHAnsi"/>
        </w:rPr>
      </w:pPr>
      <w:r>
        <w:rPr>
          <w:rFonts w:cstheme="minorHAnsi"/>
        </w:rPr>
        <w:t>The actual purpose of both 1 and 2 Maccabees has also sparked much debate within scholarship.</w:t>
      </w:r>
      <w:r w:rsidR="005F0116">
        <w:rPr>
          <w:rFonts w:cstheme="minorHAnsi"/>
        </w:rPr>
        <w:t xml:space="preserve"> B</w:t>
      </w:r>
      <w:r>
        <w:rPr>
          <w:rFonts w:cstheme="minorHAnsi"/>
        </w:rPr>
        <w:t>oth may well be considered propagandistic material aiming to assist in the legitimisation of the Hasmonaean dynasty.</w:t>
      </w:r>
      <w:r>
        <w:rPr>
          <w:rStyle w:val="FootnoteReference"/>
          <w:rFonts w:cstheme="minorHAnsi"/>
        </w:rPr>
        <w:footnoteReference w:id="15"/>
      </w:r>
      <w:r>
        <w:rPr>
          <w:rFonts w:cstheme="minorHAnsi"/>
        </w:rPr>
        <w:t xml:space="preserve"> But it is reductionist to suggest this as the only reason for their publication. </w:t>
      </w:r>
      <w:r w:rsidR="00486C5D">
        <w:rPr>
          <w:rFonts w:cstheme="minorHAnsi"/>
        </w:rPr>
        <w:t>Some ways scholars have attempted to categorise these works include as theological history,</w:t>
      </w:r>
      <w:r w:rsidR="00486C5D">
        <w:rPr>
          <w:rStyle w:val="FootnoteReference"/>
          <w:rFonts w:cstheme="minorHAnsi"/>
        </w:rPr>
        <w:footnoteReference w:id="16"/>
      </w:r>
      <w:r w:rsidR="00486C5D">
        <w:rPr>
          <w:rFonts w:cstheme="minorHAnsi"/>
        </w:rPr>
        <w:t xml:space="preserve"> temple propaganda,</w:t>
      </w:r>
      <w:r w:rsidR="00486C5D">
        <w:rPr>
          <w:rStyle w:val="FootnoteReference"/>
          <w:rFonts w:cstheme="minorHAnsi"/>
        </w:rPr>
        <w:footnoteReference w:id="17"/>
      </w:r>
      <w:r w:rsidR="00486C5D">
        <w:rPr>
          <w:rFonts w:cstheme="minorHAnsi"/>
        </w:rPr>
        <w:t xml:space="preserve"> and for 2 Maccabees specifically, martyrdom theology.</w:t>
      </w:r>
      <w:r w:rsidR="00486C5D">
        <w:rPr>
          <w:rStyle w:val="FootnoteReference"/>
          <w:rFonts w:cstheme="minorHAnsi"/>
        </w:rPr>
        <w:footnoteReference w:id="18"/>
      </w:r>
      <w:r w:rsidR="00F05DF5">
        <w:rPr>
          <w:rFonts w:cstheme="minorHAnsi"/>
        </w:rPr>
        <w:t xml:space="preserve"> </w:t>
      </w:r>
      <w:r w:rsidR="00D82A94">
        <w:rPr>
          <w:rFonts w:cstheme="minorHAnsi"/>
        </w:rPr>
        <w:t xml:space="preserve">It is possible that both 1 and 2 Maccabees were intended to reiterate and reinforce ideologies found elsewhere in the </w:t>
      </w:r>
      <w:r w:rsidR="00D82A94">
        <w:rPr>
          <w:rFonts w:cstheme="minorHAnsi"/>
        </w:rPr>
        <w:lastRenderedPageBreak/>
        <w:t xml:space="preserve">Torah. For </w:t>
      </w:r>
      <w:r w:rsidR="00AA6C2E">
        <w:rPr>
          <w:rFonts w:cstheme="minorHAnsi"/>
        </w:rPr>
        <w:t>example,</w:t>
      </w:r>
      <w:r w:rsidR="00D82A94">
        <w:rPr>
          <w:rFonts w:cstheme="minorHAnsi"/>
        </w:rPr>
        <w:t xml:space="preserve"> a number of thematic similarities can be found throughout both with the Book of Deuteronomy. </w:t>
      </w:r>
      <w:r w:rsidR="00AA6C2E">
        <w:rPr>
          <w:rFonts w:cstheme="minorHAnsi"/>
        </w:rPr>
        <w:t xml:space="preserve">How to handle idolatry in Jerusalem is outlined early on in 1 Maccabees thus, </w:t>
      </w:r>
    </w:p>
    <w:p w14:paraId="4CE5CFB2" w14:textId="67B798C3" w:rsidR="000C579B" w:rsidRDefault="00AA6C2E" w:rsidP="00AA6C2E">
      <w:pPr>
        <w:ind w:left="720"/>
        <w:rPr>
          <w:rFonts w:cstheme="minorHAnsi"/>
        </w:rPr>
      </w:pPr>
      <w:r w:rsidRPr="00AA6C2E">
        <w:rPr>
          <w:rFonts w:cstheme="minorHAnsi"/>
        </w:rPr>
        <w:t>“When he had finished speaking these words, a Jew came forward in the sight of all to offer sacrifice on the altar in Modein, according to the king’s command. When Mattathias saw it, he burned with zeal and his heart was stirred. He gave vent to righteous anger; he ran and killed him on the altar.”</w:t>
      </w:r>
      <w:r>
        <w:rPr>
          <w:rFonts w:cstheme="minorHAnsi"/>
        </w:rPr>
        <w:t xml:space="preserve"> (1 Maccabees 2:23-25).</w:t>
      </w:r>
    </w:p>
    <w:p w14:paraId="1286B5CA" w14:textId="7367A4E0" w:rsidR="00FC43CF" w:rsidRDefault="00FA7E6F" w:rsidP="000436CA">
      <w:pPr>
        <w:rPr>
          <w:rFonts w:cstheme="minorHAnsi"/>
        </w:rPr>
      </w:pPr>
      <w:r>
        <w:rPr>
          <w:rFonts w:cstheme="minorHAnsi"/>
        </w:rPr>
        <w:t>A parallel account can be seen in Deuteronomy (13: 12-16) wherein similar instruction is given. Should people be led astray by others and attempt to worship unknown Gods it is the duty of their fellow kinsmen to kill them. 2 Maccabees likewise shares similarity with Deuteronomy though more so with book 32 overall. The theme of sin, punishment and reconciliation is expressed in both.</w:t>
      </w:r>
      <w:r>
        <w:rPr>
          <w:rStyle w:val="FootnoteReference"/>
          <w:rFonts w:cstheme="minorHAnsi"/>
        </w:rPr>
        <w:footnoteReference w:id="19"/>
      </w:r>
      <w:r>
        <w:rPr>
          <w:rFonts w:cstheme="minorHAnsi"/>
        </w:rPr>
        <w:t xml:space="preserve"> Whilst 1 and 2 Maccabees share their own unique themes with different </w:t>
      </w:r>
      <w:r w:rsidR="00F96ED3">
        <w:rPr>
          <w:rFonts w:cstheme="minorHAnsi"/>
        </w:rPr>
        <w:t>passages within the book of Deuteronomy there is one theme both possess. Potential for the few to achieve victory over the many despite being both smaller in number and less well equipped. Numerous instances of this notion occur within 1 Maccabees alongside 2 Maccabees that closely link to the theme as its present woven within the entirety of Deuteronomy.</w:t>
      </w:r>
      <w:r w:rsidR="00F96ED3">
        <w:rPr>
          <w:rStyle w:val="FootnoteReference"/>
          <w:rFonts w:cstheme="minorHAnsi"/>
        </w:rPr>
        <w:footnoteReference w:id="20"/>
      </w:r>
    </w:p>
    <w:p w14:paraId="61304C99" w14:textId="77777777" w:rsidR="003B1B0E" w:rsidRDefault="002B746C" w:rsidP="000436CA">
      <w:pPr>
        <w:rPr>
          <w:rFonts w:cstheme="minorHAnsi"/>
        </w:rPr>
      </w:pPr>
      <w:r>
        <w:rPr>
          <w:rFonts w:cstheme="minorHAnsi"/>
        </w:rPr>
        <w:t xml:space="preserve">As with any religious work the presence and interference of divinity is another theme to explore within both 1 and 2 Maccabees. Within the ancient world it was common practice to infer the role of divinity in the human experience as a reason and result of human actions. What is meant by this is the actions of humanity incur upon them the praise and punishment of divinity. For the Greeks and Egyptians this was a true fact of their religious belief system and a major factor in how and why they worshipped the way they did. For the Jewish this was no different. The wrath of God was exercised as a direct result of Jewish actions and inaction. In this way both 1 and 2 Maccabees try to uncover who is to blame for the sufferings of the Jews that led to a need for revolution in the first place. For 1 Maccabees it is better to place the blame on outside forces as previously discussed and show that for each of the Greeks transgressions against God punishment ensued. But for 2 Maccabees fault is shown to be with the Jewish community itself. It is the disloyalty of the high priests and the abandonment of the Jewish laws by the community in favour of Hellenic socio-political practices that caused the suffering of the Jews. </w:t>
      </w:r>
      <w:r w:rsidR="007D0ECA">
        <w:rPr>
          <w:rFonts w:cstheme="minorHAnsi"/>
        </w:rPr>
        <w:t>This can be seen in the particular emphasis placed on the introduction of the gymnasium at Judea and the effect this had on the community.</w:t>
      </w:r>
      <w:r w:rsidR="00204534">
        <w:rPr>
          <w:rStyle w:val="FootnoteReference"/>
          <w:rFonts w:cstheme="minorHAnsi"/>
        </w:rPr>
        <w:footnoteReference w:id="21"/>
      </w:r>
      <w:r w:rsidR="007D0ECA">
        <w:rPr>
          <w:rFonts w:cstheme="minorHAnsi"/>
        </w:rPr>
        <w:t xml:space="preserve"> For the Greeks, the gymnasium was not just a place to exercise, it was a central element of everyday masculinity and pivotal to social and political progression. This was the place meetings were held, education was given, agreements were made, and masculine power was flaunted. In order to acclimate within this Greek world Jewish men had to change not just morally and socially but also physically. The gymnasium was attended in the nude and marks of Jewish identity, such as circumcision, were removed in order to </w:t>
      </w:r>
      <w:r w:rsidR="007D0ECA">
        <w:rPr>
          <w:rFonts w:cstheme="minorHAnsi"/>
          <w:i/>
          <w:iCs/>
        </w:rPr>
        <w:t>fit in</w:t>
      </w:r>
      <w:r w:rsidR="007D0ECA">
        <w:rPr>
          <w:rFonts w:cstheme="minorHAnsi"/>
        </w:rPr>
        <w:t xml:space="preserve"> appropriately with Greek counterparts. Evidence of this is given in 1 Maccabees alike (1 Macc. 1:10-5)</w:t>
      </w:r>
      <w:r w:rsidR="00205CBD">
        <w:rPr>
          <w:rFonts w:cstheme="minorHAnsi"/>
        </w:rPr>
        <w:t xml:space="preserve">. This medical procedure is known as Epispasm and goes against Gods will in the most egregious manner. Elsewhere the act of circumcision is shown to be a covenant between God and Gods people and to break this was abhorrent (Genesis 17:10,14). </w:t>
      </w:r>
    </w:p>
    <w:p w14:paraId="49A1208C" w14:textId="4BAEE8DE" w:rsidR="006019E4" w:rsidRDefault="00D41DF7" w:rsidP="000436CA">
      <w:pPr>
        <w:rPr>
          <w:rFonts w:cstheme="minorHAnsi"/>
        </w:rPr>
      </w:pPr>
      <w:r>
        <w:rPr>
          <w:rFonts w:cstheme="minorHAnsi"/>
        </w:rPr>
        <w:t>Of course,</w:t>
      </w:r>
      <w:r w:rsidR="003B1B0E">
        <w:rPr>
          <w:rFonts w:cstheme="minorHAnsi"/>
        </w:rPr>
        <w:t xml:space="preserve"> for both 1 and 2 Maccabees the Temple plays a key role and remains a consistent theme throughout. Dealing with the time periods previously mentioned </w:t>
      </w:r>
      <w:r>
        <w:rPr>
          <w:rFonts w:cstheme="minorHAnsi"/>
        </w:rPr>
        <w:t>demanded such thematic inclusion given it covers in its entirety the revolution and rededication.</w:t>
      </w:r>
      <w:r w:rsidR="006019E4">
        <w:rPr>
          <w:rFonts w:cstheme="minorHAnsi"/>
        </w:rPr>
        <w:t xml:space="preserve"> The temple as a central theme includes two main episodes that are significant for both texts. The desecration and the rededication. These </w:t>
      </w:r>
      <w:r w:rsidR="006019E4">
        <w:rPr>
          <w:rFonts w:cstheme="minorHAnsi"/>
        </w:rPr>
        <w:lastRenderedPageBreak/>
        <w:t>paired passages work to give the temple theme a cyclical inclusion within the overall works.</w:t>
      </w:r>
      <w:r w:rsidR="006019E4">
        <w:rPr>
          <w:rStyle w:val="FootnoteReference"/>
          <w:rFonts w:cstheme="minorHAnsi"/>
        </w:rPr>
        <w:footnoteReference w:id="22"/>
      </w:r>
      <w:r w:rsidR="006019E4">
        <w:rPr>
          <w:rFonts w:cstheme="minorHAnsi"/>
        </w:rPr>
        <w:t xml:space="preserve">  For 1 Maccabees the complementary passages are thus,</w:t>
      </w:r>
    </w:p>
    <w:p w14:paraId="102858C7" w14:textId="6B76C0CA" w:rsidR="006019E4" w:rsidRDefault="006019E4" w:rsidP="006019E4">
      <w:pPr>
        <w:ind w:left="720"/>
        <w:rPr>
          <w:rFonts w:cstheme="minorHAnsi"/>
        </w:rPr>
      </w:pPr>
      <w:r>
        <w:rPr>
          <w:rFonts w:cstheme="minorHAnsi"/>
        </w:rPr>
        <w:t>“</w:t>
      </w:r>
      <w:r w:rsidRPr="006019E4">
        <w:rPr>
          <w:rFonts w:cstheme="minorHAnsi"/>
        </w:rPr>
        <w:t>forbid burnt offerings and sacrifices and drink offerings in the sanctuary, to profane sabbaths and festivals, to defile the sanctuary and the priests, to build altars and sacred precincts and shrines for idols, to sacrifice swine and other unclean animals, and to leave their sons uncircumcised</w:t>
      </w:r>
      <w:r>
        <w:rPr>
          <w:rFonts w:cstheme="minorHAnsi"/>
        </w:rPr>
        <w:t xml:space="preserve"> (…) </w:t>
      </w:r>
      <w:r w:rsidRPr="006019E4">
        <w:rPr>
          <w:rFonts w:cstheme="minorHAnsi"/>
        </w:rPr>
        <w:t>they erected a desolating sacrilege on the altar</w:t>
      </w:r>
      <w:r>
        <w:rPr>
          <w:rFonts w:cstheme="minorHAnsi"/>
        </w:rPr>
        <w:t>” (1 Macc. 1:45-</w:t>
      </w:r>
      <w:r w:rsidR="00F950B8">
        <w:rPr>
          <w:rFonts w:cstheme="minorHAnsi"/>
        </w:rPr>
        <w:t>48; 54)</w:t>
      </w:r>
    </w:p>
    <w:p w14:paraId="45CEEF68" w14:textId="513ACDB3" w:rsidR="00F950B8" w:rsidRDefault="00F950B8" w:rsidP="00F950B8">
      <w:pPr>
        <w:ind w:left="720"/>
        <w:rPr>
          <w:rFonts w:cstheme="minorHAnsi"/>
        </w:rPr>
      </w:pPr>
      <w:r>
        <w:rPr>
          <w:rFonts w:cstheme="minorHAnsi"/>
        </w:rPr>
        <w:t>“</w:t>
      </w:r>
      <w:r w:rsidRPr="00F950B8">
        <w:rPr>
          <w:rFonts w:cstheme="minorHAnsi"/>
        </w:rPr>
        <w:t>Judas and his brothers said, “See, our enemies are crushed; let us go up to cleanse the sanctuary and dedicate it.”</w:t>
      </w:r>
      <w:r>
        <w:rPr>
          <w:rFonts w:cstheme="minorHAnsi"/>
        </w:rPr>
        <w:t xml:space="preserve"> (…)</w:t>
      </w:r>
      <w:r w:rsidRPr="00F950B8">
        <w:rPr>
          <w:rFonts w:cstheme="minorHAnsi"/>
        </w:rPr>
        <w:t xml:space="preserve"> they saw the sanctuary desolate, the altar profaned, and the gates burned. </w:t>
      </w:r>
      <w:r>
        <w:rPr>
          <w:rFonts w:cstheme="minorHAnsi"/>
        </w:rPr>
        <w:t xml:space="preserve">(…) </w:t>
      </w:r>
      <w:r w:rsidRPr="00F950B8">
        <w:rPr>
          <w:rFonts w:cstheme="minorHAnsi"/>
        </w:rPr>
        <w:t xml:space="preserve">they tore their clothes and mourned with great lamentation; they sprinkled themselves with ashes and fell face down on the ground. </w:t>
      </w:r>
      <w:r>
        <w:rPr>
          <w:rFonts w:cstheme="minorHAnsi"/>
        </w:rPr>
        <w:t xml:space="preserve">(…) </w:t>
      </w:r>
      <w:r w:rsidRPr="00F950B8">
        <w:rPr>
          <w:rFonts w:cstheme="minorHAnsi"/>
        </w:rPr>
        <w:t>Then Judas detailed men to fight against those in the citadel until he had cleansed the sanctuary</w:t>
      </w:r>
      <w:r>
        <w:rPr>
          <w:rFonts w:cstheme="minorHAnsi"/>
        </w:rPr>
        <w:t>” (1 Macc. 4:36-42)</w:t>
      </w:r>
    </w:p>
    <w:p w14:paraId="57F2336D" w14:textId="014CA828" w:rsidR="00F950B8" w:rsidRDefault="00F950B8" w:rsidP="00F950B8">
      <w:pPr>
        <w:rPr>
          <w:rFonts w:cstheme="minorHAnsi"/>
        </w:rPr>
      </w:pPr>
      <w:r>
        <w:rPr>
          <w:rFonts w:cstheme="minorHAnsi"/>
        </w:rPr>
        <w:t>Similarly, in 2 Maccabees paired passages of desolation and dedication occur,</w:t>
      </w:r>
    </w:p>
    <w:p w14:paraId="62DA8E9D" w14:textId="07F6F1F0" w:rsidR="00F950B8" w:rsidRDefault="00F950B8" w:rsidP="00F950B8">
      <w:pPr>
        <w:ind w:left="720"/>
        <w:rPr>
          <w:rFonts w:cstheme="minorHAnsi"/>
        </w:rPr>
      </w:pPr>
      <w:r>
        <w:rPr>
          <w:rFonts w:cstheme="minorHAnsi"/>
        </w:rPr>
        <w:t>“</w:t>
      </w:r>
      <w:r w:rsidRPr="00F950B8">
        <w:rPr>
          <w:rFonts w:cstheme="minorHAnsi"/>
        </w:rPr>
        <w:t>He took the holy vessels with his polluted hands, and swept away with profane hands the votive offerings that other kings had made to enhance the glory and honor of the place</w:t>
      </w:r>
      <w:r>
        <w:rPr>
          <w:rFonts w:cstheme="minorHAnsi"/>
        </w:rPr>
        <w:t xml:space="preserve"> (…) </w:t>
      </w:r>
      <w:r w:rsidRPr="00F950B8">
        <w:rPr>
          <w:rFonts w:cstheme="minorHAnsi"/>
        </w:rPr>
        <w:t>he was disregarding the holy place</w:t>
      </w:r>
      <w:r>
        <w:rPr>
          <w:rFonts w:cstheme="minorHAnsi"/>
        </w:rPr>
        <w:t xml:space="preserve"> (…) </w:t>
      </w:r>
      <w:r w:rsidRPr="00F950B8">
        <w:rPr>
          <w:rFonts w:cstheme="minorHAnsi"/>
        </w:rPr>
        <w:t>the place itself shared in the misfortunes that befell the nation</w:t>
      </w:r>
      <w:r>
        <w:rPr>
          <w:rFonts w:cstheme="minorHAnsi"/>
        </w:rPr>
        <w:t xml:space="preserve"> ” (2 Macc. 5: 16-20)</w:t>
      </w:r>
    </w:p>
    <w:p w14:paraId="27AC2861" w14:textId="6B7E6189" w:rsidR="00F950B8" w:rsidRDefault="00F950B8" w:rsidP="00F950B8">
      <w:pPr>
        <w:ind w:left="720"/>
        <w:rPr>
          <w:rFonts w:cstheme="minorHAnsi"/>
        </w:rPr>
      </w:pPr>
      <w:r>
        <w:rPr>
          <w:rFonts w:cstheme="minorHAnsi"/>
        </w:rPr>
        <w:t>“</w:t>
      </w:r>
      <w:r w:rsidRPr="00F950B8">
        <w:rPr>
          <w:rFonts w:cstheme="minorHAnsi"/>
        </w:rPr>
        <w:t xml:space="preserve">Now Maccabeus and his followers, the Lord leading them on, recovered the temple and the city; they tore down the altars that had been built in the public square by the foreigners, and also destroyed the sacred precincts. They purified the </w:t>
      </w:r>
      <w:r w:rsidRPr="00F950B8">
        <w:rPr>
          <w:rFonts w:cstheme="minorHAnsi"/>
        </w:rPr>
        <w:t>sanctuary and</w:t>
      </w:r>
      <w:r w:rsidRPr="00F950B8">
        <w:rPr>
          <w:rFonts w:cstheme="minorHAnsi"/>
        </w:rPr>
        <w:t xml:space="preserve"> made another altar of sacrifice</w:t>
      </w:r>
      <w:r>
        <w:rPr>
          <w:rFonts w:cstheme="minorHAnsi"/>
        </w:rPr>
        <w:t>” (2 Macc. 10:1-5).</w:t>
      </w:r>
    </w:p>
    <w:p w14:paraId="6E241C98" w14:textId="477CA434" w:rsidR="00EF050E" w:rsidRDefault="00183B4C" w:rsidP="000436CA">
      <w:pPr>
        <w:rPr>
          <w:rFonts w:cstheme="minorHAnsi"/>
        </w:rPr>
      </w:pPr>
      <w:r>
        <w:rPr>
          <w:rFonts w:cstheme="minorHAnsi"/>
        </w:rPr>
        <w:t xml:space="preserve">Because of the fact that both works revolve centrally not only around the temple itself but the ruin and refoundation of the temple as a cyclical pattern has caused some scholars to argue that </w:t>
      </w:r>
      <w:r w:rsidR="00EF050E">
        <w:rPr>
          <w:rFonts w:cstheme="minorHAnsi"/>
        </w:rPr>
        <w:t>both 1 and 2 Maccabees are indeed complimentary.</w:t>
      </w:r>
      <w:r w:rsidR="00EF050E">
        <w:rPr>
          <w:rStyle w:val="FootnoteReference"/>
          <w:rFonts w:cstheme="minorHAnsi"/>
        </w:rPr>
        <w:footnoteReference w:id="23"/>
      </w:r>
      <w:r w:rsidR="00EF050E">
        <w:rPr>
          <w:rFonts w:cstheme="minorHAnsi"/>
        </w:rPr>
        <w:t xml:space="preserve"> </w:t>
      </w:r>
    </w:p>
    <w:p w14:paraId="13B431B0" w14:textId="62553582" w:rsidR="00A677B6" w:rsidRDefault="00A677B6" w:rsidP="000436CA">
      <w:pPr>
        <w:rPr>
          <w:rFonts w:cstheme="minorHAnsi"/>
        </w:rPr>
      </w:pPr>
      <w:r>
        <w:rPr>
          <w:rFonts w:cstheme="minorHAnsi"/>
        </w:rPr>
        <w:t xml:space="preserve">Thematically 2 Maccabees contains one element significantly lacking in that of 1 Maccabees, life after death. The notion that death is not the end of one’s experience appears multiple times in 2 Maccabees. Some examples include, “raise us up to an everlasting renewal of life” (7:9), “I got these from Heaven (…) from him I hope to get them back” (7:10-11) and, “for you there will be no resurrection to life” (7:14). It is perhaps curious that this theme is present in 2 Maccabees alone but the reason for such inclusion is made clear through another theme also </w:t>
      </w:r>
      <w:r w:rsidR="00235070">
        <w:rPr>
          <w:rFonts w:cstheme="minorHAnsi"/>
        </w:rPr>
        <w:t>present more keenly</w:t>
      </w:r>
      <w:r>
        <w:rPr>
          <w:rFonts w:cstheme="minorHAnsi"/>
        </w:rPr>
        <w:t xml:space="preserve"> </w:t>
      </w:r>
      <w:r w:rsidR="00235070">
        <w:rPr>
          <w:rFonts w:cstheme="minorHAnsi"/>
        </w:rPr>
        <w:t>in</w:t>
      </w:r>
      <w:r>
        <w:rPr>
          <w:rFonts w:cstheme="minorHAnsi"/>
        </w:rPr>
        <w:t xml:space="preserve"> 2 Maccabees, martyrdom. </w:t>
      </w:r>
      <w:r w:rsidR="00592236">
        <w:rPr>
          <w:rFonts w:cstheme="minorHAnsi"/>
        </w:rPr>
        <w:t>Whilst in 1 Maccabees martyrs do appear, they are not seen in a particularly favourable light. Their sacrifice is not seen heroically but rather as pointless acts failing to enact any real, valuable, tangible change.</w:t>
      </w:r>
      <w:r w:rsidR="00592236">
        <w:rPr>
          <w:rStyle w:val="FootnoteReference"/>
          <w:rFonts w:cstheme="minorHAnsi"/>
        </w:rPr>
        <w:footnoteReference w:id="24"/>
      </w:r>
      <w:r w:rsidR="00592236">
        <w:rPr>
          <w:rFonts w:cstheme="minorHAnsi"/>
        </w:rPr>
        <w:t xml:space="preserve"> Death of a martyr achieves only that and nothing more for the living left behind. This notion is not shared by 2 Maccabees where multiple examples of martyrdom are given and glorified. </w:t>
      </w:r>
      <w:r w:rsidR="00211E3D">
        <w:rPr>
          <w:rFonts w:cstheme="minorHAnsi"/>
        </w:rPr>
        <w:t>Examples include Eleazar (6:18-31) and the mother and her seven sons (</w:t>
      </w:r>
      <w:r w:rsidR="00FC749C">
        <w:rPr>
          <w:rFonts w:cstheme="minorHAnsi"/>
        </w:rPr>
        <w:t>7:1-41</w:t>
      </w:r>
      <w:r w:rsidR="00211E3D">
        <w:rPr>
          <w:rFonts w:cstheme="minorHAnsi"/>
        </w:rPr>
        <w:t>). It is important that people do not self-sacrifice in vain and it is for this reason the notion of divine deliverance in death is developed.</w:t>
      </w:r>
      <w:r w:rsidR="000648A8">
        <w:rPr>
          <w:rStyle w:val="FootnoteReference"/>
          <w:rFonts w:cstheme="minorHAnsi"/>
        </w:rPr>
        <w:footnoteReference w:id="25"/>
      </w:r>
      <w:r w:rsidR="00E60722">
        <w:rPr>
          <w:rFonts w:cstheme="minorHAnsi"/>
        </w:rPr>
        <w:t xml:space="preserve"> </w:t>
      </w:r>
      <w:r w:rsidR="00E60722" w:rsidRPr="00E60722">
        <w:rPr>
          <w:rFonts w:cstheme="minorHAnsi"/>
        </w:rPr>
        <w:t xml:space="preserve">2 Maccabees uses the death of martyrs as a momentum for challenge and change. It is the sacrifice of those willing to shed their own blood for their faith that gains for the Jewish people once more the assistance of God. Schwarez points out </w:t>
      </w:r>
      <w:r w:rsidR="00E60722" w:rsidRPr="00E60722">
        <w:rPr>
          <w:rFonts w:cstheme="minorHAnsi"/>
        </w:rPr>
        <w:lastRenderedPageBreak/>
        <w:t>that the removed nature of Jews of the diaspora from actual fighting and threat allows a level of low risk glorification in this manner.</w:t>
      </w:r>
    </w:p>
    <w:p w14:paraId="79F2B4DC" w14:textId="1882EE20" w:rsidR="00E60722" w:rsidRDefault="00E60722" w:rsidP="000436CA">
      <w:pPr>
        <w:rPr>
          <w:rFonts w:cstheme="minorHAnsi"/>
        </w:rPr>
      </w:pPr>
      <w:r>
        <w:rPr>
          <w:rFonts w:cstheme="minorHAnsi"/>
        </w:rPr>
        <w:t xml:space="preserve">1 and 2 Maccabees share in the same story and it is due to this that they contain some inevitable and unavoidable overlap in terms of thematic content. Their use of the Temple in a cyclical way, the presence of divinity, similarity to episodes in Deuteronomy and the inclusion of the Hasmonean dynasty show all the ways in which the two works utilise similar themes throughout. But that is not to say they are the exact same. As shown, both have unique elements and approaches to their content for contextual, </w:t>
      </w:r>
      <w:r w:rsidR="00B53E38">
        <w:rPr>
          <w:rFonts w:cstheme="minorHAnsi"/>
        </w:rPr>
        <w:t>personal,</w:t>
      </w:r>
      <w:r>
        <w:rPr>
          <w:rFonts w:cstheme="minorHAnsi"/>
        </w:rPr>
        <w:t xml:space="preserve"> and literary reasons. </w:t>
      </w:r>
    </w:p>
    <w:p w14:paraId="782C8441" w14:textId="77777777" w:rsidR="00B53E38" w:rsidRDefault="00B53E38" w:rsidP="000436CA">
      <w:pPr>
        <w:rPr>
          <w:rFonts w:cstheme="minorHAnsi"/>
        </w:rPr>
      </w:pPr>
    </w:p>
    <w:p w14:paraId="455922EA" w14:textId="4868D126" w:rsidR="000436CA" w:rsidRPr="00EF050E" w:rsidRDefault="00FC43CF" w:rsidP="000436CA">
      <w:pPr>
        <w:rPr>
          <w:rFonts w:cstheme="minorHAnsi"/>
        </w:rPr>
      </w:pPr>
      <w:r w:rsidRPr="00FC43CF">
        <w:rPr>
          <w:rFonts w:cstheme="minorHAnsi"/>
          <w:sz w:val="24"/>
          <w:szCs w:val="24"/>
          <w:u w:val="single"/>
        </w:rPr>
        <w:t>Bibliography:</w:t>
      </w:r>
    </w:p>
    <w:p w14:paraId="550FE0A9" w14:textId="5A85C7F9" w:rsidR="00FC43CF" w:rsidRPr="00FC43CF" w:rsidRDefault="00FC43CF" w:rsidP="000436CA">
      <w:pPr>
        <w:rPr>
          <w:rFonts w:cstheme="minorHAnsi"/>
          <w:sz w:val="24"/>
          <w:szCs w:val="24"/>
          <w:u w:val="single"/>
        </w:rPr>
      </w:pPr>
      <w:r w:rsidRPr="00FC43CF">
        <w:rPr>
          <w:rFonts w:cstheme="minorHAnsi"/>
          <w:sz w:val="24"/>
          <w:szCs w:val="24"/>
          <w:u w:val="single"/>
        </w:rPr>
        <w:t>Ancient Sources:</w:t>
      </w:r>
    </w:p>
    <w:p w14:paraId="777CE4BB" w14:textId="77777777" w:rsidR="00FC43CF" w:rsidRDefault="00FC43CF" w:rsidP="00FC43CF">
      <w:r w:rsidRPr="00C7446B">
        <w:t>1 Maccabees, Holy Bible: New Revised Standard Version</w:t>
      </w:r>
      <w:r>
        <w:t xml:space="preserve">. Available at: </w:t>
      </w:r>
      <w:hyperlink r:id="rId6" w:history="1">
        <w:r>
          <w:rPr>
            <w:rStyle w:val="Hyperlink"/>
          </w:rPr>
          <w:t>https://www.biblegateway.com/passage/?search=1+Maccabees+1&amp;version=NRSV</w:t>
        </w:r>
      </w:hyperlink>
      <w:r>
        <w:t>. [Accessed: 20/05/2020].</w:t>
      </w:r>
    </w:p>
    <w:p w14:paraId="59557BD0" w14:textId="71F6007D" w:rsidR="00FC43CF" w:rsidRDefault="00FC43CF" w:rsidP="000436CA">
      <w:r>
        <w:t>2</w:t>
      </w:r>
      <w:r w:rsidRPr="00C7446B">
        <w:t xml:space="preserve"> Maccabees, Holy Bible: New Revised Standard Version</w:t>
      </w:r>
      <w:r>
        <w:t xml:space="preserve">. Available at: </w:t>
      </w:r>
      <w:hyperlink r:id="rId7" w:history="1">
        <w:r>
          <w:rPr>
            <w:rStyle w:val="Hyperlink"/>
          </w:rPr>
          <w:t>https://www.biblegateway.com/passage/?search=2%20Maccabees%201&amp;version=NRSV</w:t>
        </w:r>
      </w:hyperlink>
      <w:r>
        <w:t>. [Accessed: 18/05/2020].</w:t>
      </w:r>
    </w:p>
    <w:p w14:paraId="057DA477" w14:textId="11467634" w:rsidR="00B53E38" w:rsidRDefault="00B53E38" w:rsidP="000436CA">
      <w:r>
        <w:t>Deuteronomy, Holy Bible</w:t>
      </w:r>
      <w:r w:rsidRPr="00C7446B">
        <w:t>: New Revised Standard Version</w:t>
      </w:r>
      <w:r>
        <w:t>. Available at:</w:t>
      </w:r>
      <w:r>
        <w:t xml:space="preserve"> </w:t>
      </w:r>
      <w:hyperlink r:id="rId8" w:history="1">
        <w:r>
          <w:rPr>
            <w:rStyle w:val="Hyperlink"/>
          </w:rPr>
          <w:t>https://www.biblegateway.com/passage/?search=Deuteronomy+1&amp;version=NRSV</w:t>
        </w:r>
      </w:hyperlink>
      <w:r>
        <w:t xml:space="preserve">. [Accessed: </w:t>
      </w:r>
      <w:r w:rsidR="002E2381">
        <w:t>10/06/2020].</w:t>
      </w:r>
    </w:p>
    <w:p w14:paraId="57316056" w14:textId="75A26201" w:rsidR="002E2381" w:rsidRPr="00FC43CF" w:rsidRDefault="002E2381" w:rsidP="000436CA">
      <w:r>
        <w:t xml:space="preserve">Genesis, </w:t>
      </w:r>
      <w:r>
        <w:t>Holy Bible</w:t>
      </w:r>
      <w:r w:rsidRPr="00C7446B">
        <w:t>: New Revised Standard Version</w:t>
      </w:r>
      <w:r>
        <w:t>. Available at:</w:t>
      </w:r>
      <w:r>
        <w:t xml:space="preserve"> </w:t>
      </w:r>
      <w:hyperlink r:id="rId9" w:history="1">
        <w:r>
          <w:rPr>
            <w:rStyle w:val="Hyperlink"/>
          </w:rPr>
          <w:t>https://www.biblegateway.com/passage/?search=Genesis+1&amp;version=NRSV</w:t>
        </w:r>
      </w:hyperlink>
      <w:r>
        <w:t>. [Accessed: 10/06/2020].</w:t>
      </w:r>
    </w:p>
    <w:p w14:paraId="0B28BE09" w14:textId="001D0CA5" w:rsidR="00FC43CF" w:rsidRDefault="00FC43CF" w:rsidP="000436CA">
      <w:pPr>
        <w:rPr>
          <w:rFonts w:cstheme="minorHAnsi"/>
          <w:sz w:val="24"/>
          <w:szCs w:val="24"/>
          <w:u w:val="single"/>
        </w:rPr>
      </w:pPr>
      <w:r w:rsidRPr="00FC43CF">
        <w:rPr>
          <w:rFonts w:cstheme="minorHAnsi"/>
          <w:sz w:val="24"/>
          <w:szCs w:val="24"/>
          <w:u w:val="single"/>
        </w:rPr>
        <w:t>Modern Scholarship:</w:t>
      </w:r>
    </w:p>
    <w:p w14:paraId="1A455F0B" w14:textId="77777777" w:rsidR="00E568F2" w:rsidRDefault="00E568F2">
      <w:r>
        <w:rPr>
          <w:rFonts w:cstheme="minorHAnsi"/>
        </w:rPr>
        <w:t xml:space="preserve">Abramson, H. (2015). </w:t>
      </w:r>
      <w:r>
        <w:rPr>
          <w:rFonts w:cstheme="minorHAnsi"/>
          <w:i/>
          <w:iCs/>
        </w:rPr>
        <w:t xml:space="preserve">Who was Judah Maccabee? (Jewish Biography as History) by Dr. Henry Abramson. </w:t>
      </w:r>
      <w:r>
        <w:rPr>
          <w:rFonts w:cstheme="minorHAnsi"/>
        </w:rPr>
        <w:t xml:space="preserve">[video]. Available at: </w:t>
      </w:r>
      <w:hyperlink r:id="rId10" w:history="1">
        <w:r>
          <w:rPr>
            <w:rStyle w:val="Hyperlink"/>
          </w:rPr>
          <w:t>https://www.youtube.com/watch?v=qZAFWNpH-O8</w:t>
        </w:r>
      </w:hyperlink>
      <w:r>
        <w:t>. [Accessed on: 3.06.2020].</w:t>
      </w:r>
    </w:p>
    <w:p w14:paraId="725BED7A" w14:textId="77777777" w:rsidR="00E568F2" w:rsidRPr="00045F99" w:rsidRDefault="00E568F2">
      <w:pPr>
        <w:rPr>
          <w:rFonts w:cstheme="minorHAnsi"/>
        </w:rPr>
      </w:pPr>
      <w:r>
        <w:t xml:space="preserve">Beitavichaivideo. (2016). </w:t>
      </w:r>
      <w:r>
        <w:rPr>
          <w:i/>
          <w:iCs/>
        </w:rPr>
        <w:t>The Hasmonean Episode: From Rebellion to Kingdom</w:t>
      </w:r>
      <w:r>
        <w:t xml:space="preserve">. [video]. Available at: </w:t>
      </w:r>
      <w:hyperlink r:id="rId11" w:history="1">
        <w:r>
          <w:rPr>
            <w:rStyle w:val="Hyperlink"/>
          </w:rPr>
          <w:t>https://www.youtube.com/watch?v=_p2IYPssktA</w:t>
        </w:r>
      </w:hyperlink>
      <w:r>
        <w:t>. [Accessed on: 6.06.2020].</w:t>
      </w:r>
    </w:p>
    <w:p w14:paraId="4BB26246" w14:textId="77777777" w:rsidR="00E568F2" w:rsidRDefault="00E568F2" w:rsidP="000436CA">
      <w:pPr>
        <w:rPr>
          <w:rFonts w:cstheme="minorHAnsi"/>
        </w:rPr>
      </w:pPr>
      <w:r>
        <w:rPr>
          <w:rFonts w:cstheme="minorHAnsi"/>
        </w:rPr>
        <w:t xml:space="preserve">Berthelot, K. (2007). ‘The Biblical Conquest and the Hasmonean Wars’, in Xeravits, G.; Zsengell’r, J. (ed.). </w:t>
      </w:r>
      <w:r>
        <w:rPr>
          <w:rFonts w:cstheme="minorHAnsi"/>
          <w:i/>
          <w:iCs/>
        </w:rPr>
        <w:t xml:space="preserve">The Books of the Maccabees: History, Theology, Ideology: Papers of the Second International Conference on the Deuterocanonical Books. </w:t>
      </w:r>
      <w:r>
        <w:rPr>
          <w:rFonts w:cstheme="minorHAnsi"/>
        </w:rPr>
        <w:t>BRILL.</w:t>
      </w:r>
    </w:p>
    <w:p w14:paraId="171E4A80" w14:textId="77777777" w:rsidR="00D86D7A" w:rsidRDefault="00D86D7A" w:rsidP="000436CA">
      <w:pPr>
        <w:rPr>
          <w:rFonts w:cstheme="minorHAnsi"/>
        </w:rPr>
      </w:pPr>
      <w:r>
        <w:rPr>
          <w:rFonts w:cstheme="minorHAnsi"/>
        </w:rPr>
        <w:t xml:space="preserve">Cohen, S.J.D. (1987). </w:t>
      </w:r>
      <w:r>
        <w:rPr>
          <w:rFonts w:cstheme="minorHAnsi"/>
          <w:i/>
          <w:iCs/>
        </w:rPr>
        <w:t xml:space="preserve">From the Maccabees to the Mishnah. </w:t>
      </w:r>
      <w:r>
        <w:rPr>
          <w:rFonts w:cstheme="minorHAnsi"/>
        </w:rPr>
        <w:t xml:space="preserve">Westminster Press. </w:t>
      </w:r>
    </w:p>
    <w:p w14:paraId="5A103A7D" w14:textId="001CD583" w:rsidR="00E568F2" w:rsidRPr="00E568F2" w:rsidRDefault="00E568F2" w:rsidP="000436CA">
      <w:pPr>
        <w:rPr>
          <w:rFonts w:cstheme="minorHAnsi"/>
        </w:rPr>
      </w:pPr>
      <w:r>
        <w:rPr>
          <w:rFonts w:cstheme="minorHAnsi"/>
        </w:rPr>
        <w:t xml:space="preserve">Duggan, M.W. (2015). ‘1 Maccabees: Emotions of Life and Death in Narrative and Lament’, in Reif, S.C.; Egger-Wenzel, R. (ed.). </w:t>
      </w:r>
      <w:r>
        <w:rPr>
          <w:rFonts w:cstheme="minorHAnsi"/>
          <w:i/>
          <w:iCs/>
        </w:rPr>
        <w:t xml:space="preserve">Ancient Jewish Prayers and Emotions. </w:t>
      </w:r>
      <w:r>
        <w:rPr>
          <w:rFonts w:cstheme="minorHAnsi"/>
        </w:rPr>
        <w:t xml:space="preserve">De Gruyter. </w:t>
      </w:r>
    </w:p>
    <w:p w14:paraId="26A00FDD" w14:textId="77777777" w:rsidR="00E568F2" w:rsidRDefault="00E568F2" w:rsidP="000436CA">
      <w:pPr>
        <w:rPr>
          <w:rFonts w:cstheme="minorHAnsi"/>
        </w:rPr>
      </w:pPr>
      <w:r>
        <w:rPr>
          <w:rFonts w:cstheme="minorHAnsi"/>
        </w:rPr>
        <w:t xml:space="preserve">Harrington, D.J. (2012). </w:t>
      </w:r>
      <w:r>
        <w:rPr>
          <w:rFonts w:cstheme="minorHAnsi"/>
          <w:i/>
          <w:iCs/>
        </w:rPr>
        <w:t xml:space="preserve">First and Second Maccabees. </w:t>
      </w:r>
      <w:r>
        <w:rPr>
          <w:rFonts w:cstheme="minorHAnsi"/>
        </w:rPr>
        <w:t xml:space="preserve">Liturgical Press. </w:t>
      </w:r>
    </w:p>
    <w:p w14:paraId="658D5F22" w14:textId="77777777" w:rsidR="00E568F2" w:rsidRPr="00C7446B" w:rsidRDefault="00E568F2" w:rsidP="00FC43CF">
      <w:pPr>
        <w:rPr>
          <w:i/>
          <w:iCs/>
        </w:rPr>
      </w:pPr>
      <w:r>
        <w:t xml:space="preserve">Himmelfarb, M. (1998). ‘Judaism and Hellenism in 2 Maccabees. </w:t>
      </w:r>
      <w:r>
        <w:rPr>
          <w:i/>
          <w:iCs/>
        </w:rPr>
        <w:t xml:space="preserve">Poetics Today. </w:t>
      </w:r>
      <w:r>
        <w:t xml:space="preserve">19. 1. 19-40.  </w:t>
      </w:r>
    </w:p>
    <w:p w14:paraId="7B8790FC" w14:textId="77777777" w:rsidR="00E568F2" w:rsidRDefault="00E568F2" w:rsidP="00FC43CF">
      <w:r>
        <w:lastRenderedPageBreak/>
        <w:t xml:space="preserve">Honigman, S. (2014). </w:t>
      </w:r>
      <w:r w:rsidRPr="00C7446B">
        <w:rPr>
          <w:i/>
          <w:iCs/>
        </w:rPr>
        <w:t>Tales of High Priests and Taxes: The Books of the Maccabees and the Judean Rebellion Against Antiochos IV.</w:t>
      </w:r>
      <w:r>
        <w:rPr>
          <w:i/>
          <w:iCs/>
        </w:rPr>
        <w:t xml:space="preserve"> </w:t>
      </w:r>
      <w:r>
        <w:t>University of California Press.</w:t>
      </w:r>
    </w:p>
    <w:p w14:paraId="1AD21A7F" w14:textId="77777777" w:rsidR="00E568F2" w:rsidRPr="00222282" w:rsidRDefault="00E568F2" w:rsidP="000436CA">
      <w:pPr>
        <w:rPr>
          <w:rFonts w:cstheme="minorHAnsi"/>
        </w:rPr>
      </w:pPr>
      <w:r>
        <w:rPr>
          <w:rFonts w:cstheme="minorHAnsi"/>
        </w:rPr>
        <w:t xml:space="preserve">Simkovich, M.Z. (2011). ‘Greek Influence on the Composition of 2 Maccabees’, </w:t>
      </w:r>
      <w:r>
        <w:rPr>
          <w:rFonts w:cstheme="minorHAnsi"/>
          <w:i/>
          <w:iCs/>
        </w:rPr>
        <w:t xml:space="preserve">Journal for the Study of Judaism in the Persian, Hellenistic, and Roman Period. </w:t>
      </w:r>
      <w:r>
        <w:rPr>
          <w:rFonts w:cstheme="minorHAnsi"/>
        </w:rPr>
        <w:t>42. 3. 293-310. BRILL.</w:t>
      </w:r>
      <w:r>
        <w:rPr>
          <w:rFonts w:cstheme="minorHAnsi"/>
          <w:i/>
          <w:iCs/>
        </w:rPr>
        <w:t xml:space="preserve"> </w:t>
      </w:r>
    </w:p>
    <w:p w14:paraId="094F32DC" w14:textId="77777777" w:rsidR="00E568F2" w:rsidRDefault="00E568F2">
      <w:r>
        <w:t xml:space="preserve">Stevenson, J. (2017). </w:t>
      </w:r>
      <w:r>
        <w:rPr>
          <w:i/>
          <w:iCs/>
        </w:rPr>
        <w:t xml:space="preserve">History of Civilization 28: The Maccabees. </w:t>
      </w:r>
      <w:r>
        <w:t xml:space="preserve">[video]. Available at: </w:t>
      </w:r>
      <w:hyperlink r:id="rId12" w:history="1">
        <w:r>
          <w:rPr>
            <w:rStyle w:val="Hyperlink"/>
          </w:rPr>
          <w:t>https://www.youtube.com/watch?v=F2qFH38QkWQ</w:t>
        </w:r>
      </w:hyperlink>
      <w:r>
        <w:t>. [Accessed on: 27.05.2020].</w:t>
      </w:r>
    </w:p>
    <w:sectPr w:rsidR="00E568F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6A560A" w14:textId="77777777" w:rsidR="00926660" w:rsidRDefault="00926660" w:rsidP="000436CA">
      <w:pPr>
        <w:spacing w:after="0" w:line="240" w:lineRule="auto"/>
      </w:pPr>
      <w:r>
        <w:separator/>
      </w:r>
    </w:p>
  </w:endnote>
  <w:endnote w:type="continuationSeparator" w:id="0">
    <w:p w14:paraId="7659533A" w14:textId="77777777" w:rsidR="00926660" w:rsidRDefault="00926660" w:rsidP="000436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5D4C1D" w14:textId="77777777" w:rsidR="00926660" w:rsidRDefault="00926660" w:rsidP="000436CA">
      <w:pPr>
        <w:spacing w:after="0" w:line="240" w:lineRule="auto"/>
      </w:pPr>
      <w:r>
        <w:separator/>
      </w:r>
    </w:p>
  </w:footnote>
  <w:footnote w:type="continuationSeparator" w:id="0">
    <w:p w14:paraId="62BC11BB" w14:textId="77777777" w:rsidR="00926660" w:rsidRDefault="00926660" w:rsidP="000436CA">
      <w:pPr>
        <w:spacing w:after="0" w:line="240" w:lineRule="auto"/>
      </w:pPr>
      <w:r>
        <w:continuationSeparator/>
      </w:r>
    </w:p>
  </w:footnote>
  <w:footnote w:id="1">
    <w:p w14:paraId="3C7D6480" w14:textId="143F66F1" w:rsidR="00FA7E6F" w:rsidRDefault="00FA7E6F">
      <w:pPr>
        <w:pStyle w:val="FootnoteText"/>
      </w:pPr>
      <w:r>
        <w:rPr>
          <w:rStyle w:val="FootnoteReference"/>
        </w:rPr>
        <w:footnoteRef/>
      </w:r>
      <w:r>
        <w:t xml:space="preserve"> Cohan. (1987).</w:t>
      </w:r>
    </w:p>
  </w:footnote>
  <w:footnote w:id="2">
    <w:p w14:paraId="6422EABB" w14:textId="202738F8" w:rsidR="00FA7E6F" w:rsidRDefault="00FA7E6F">
      <w:pPr>
        <w:pStyle w:val="FootnoteText"/>
      </w:pPr>
      <w:r>
        <w:rPr>
          <w:rStyle w:val="FootnoteReference"/>
        </w:rPr>
        <w:footnoteRef/>
      </w:r>
      <w:r>
        <w:t xml:space="preserve"> Ibid. </w:t>
      </w:r>
    </w:p>
  </w:footnote>
  <w:footnote w:id="3">
    <w:p w14:paraId="3F196357" w14:textId="2EB88E28" w:rsidR="00FA7E6F" w:rsidRDefault="00FA7E6F">
      <w:pPr>
        <w:pStyle w:val="FootnoteText"/>
      </w:pPr>
      <w:r>
        <w:rPr>
          <w:rStyle w:val="FootnoteReference"/>
        </w:rPr>
        <w:footnoteRef/>
      </w:r>
      <w:r>
        <w:t xml:space="preserve"> Schwarez. (2018).</w:t>
      </w:r>
    </w:p>
  </w:footnote>
  <w:footnote w:id="4">
    <w:p w14:paraId="7A6D4205" w14:textId="36F90689" w:rsidR="00FA7E6F" w:rsidRDefault="00FA7E6F">
      <w:pPr>
        <w:pStyle w:val="FootnoteText"/>
      </w:pPr>
      <w:r>
        <w:rPr>
          <w:rStyle w:val="FootnoteReference"/>
        </w:rPr>
        <w:footnoteRef/>
      </w:r>
      <w:r>
        <w:t xml:space="preserve"> Ibid.; 2 Maccabees. 2:1-9.</w:t>
      </w:r>
    </w:p>
  </w:footnote>
  <w:footnote w:id="5">
    <w:p w14:paraId="746903EA" w14:textId="1985F3E2" w:rsidR="00FA7E6F" w:rsidRDefault="00FA7E6F">
      <w:pPr>
        <w:pStyle w:val="FootnoteText"/>
      </w:pPr>
      <w:r>
        <w:rPr>
          <w:rStyle w:val="FootnoteReference"/>
        </w:rPr>
        <w:footnoteRef/>
      </w:r>
      <w:r>
        <w:t xml:space="preserve"> Ibid. </w:t>
      </w:r>
    </w:p>
  </w:footnote>
  <w:footnote w:id="6">
    <w:p w14:paraId="4FB1283A" w14:textId="6FEFD8E9" w:rsidR="00FA7E6F" w:rsidRDefault="00FA7E6F">
      <w:pPr>
        <w:pStyle w:val="FootnoteText"/>
      </w:pPr>
      <w:r>
        <w:rPr>
          <w:rStyle w:val="FootnoteReference"/>
        </w:rPr>
        <w:footnoteRef/>
      </w:r>
      <w:r>
        <w:t xml:space="preserve"> Honigman. (2014). 65.</w:t>
      </w:r>
    </w:p>
  </w:footnote>
  <w:footnote w:id="7">
    <w:p w14:paraId="00F67A1E" w14:textId="32596BDF" w:rsidR="00FA7E6F" w:rsidRDefault="00FA7E6F">
      <w:pPr>
        <w:pStyle w:val="FootnoteText"/>
      </w:pPr>
      <w:r>
        <w:rPr>
          <w:rStyle w:val="FootnoteReference"/>
        </w:rPr>
        <w:footnoteRef/>
      </w:r>
      <w:r>
        <w:t xml:space="preserve"> Ibid.</w:t>
      </w:r>
    </w:p>
  </w:footnote>
  <w:footnote w:id="8">
    <w:p w14:paraId="2DE2B73A" w14:textId="143E11F7" w:rsidR="00FA7E6F" w:rsidRDefault="00FA7E6F">
      <w:pPr>
        <w:pStyle w:val="FootnoteText"/>
      </w:pPr>
      <w:r>
        <w:rPr>
          <w:rStyle w:val="FootnoteReference"/>
        </w:rPr>
        <w:footnoteRef/>
      </w:r>
      <w:r>
        <w:t xml:space="preserve"> Schwarez. (2018).</w:t>
      </w:r>
    </w:p>
  </w:footnote>
  <w:footnote w:id="9">
    <w:p w14:paraId="61441EDA" w14:textId="1275C34D" w:rsidR="00FA7E6F" w:rsidRDefault="00FA7E6F">
      <w:pPr>
        <w:pStyle w:val="FootnoteText"/>
      </w:pPr>
      <w:r>
        <w:rPr>
          <w:rStyle w:val="FootnoteReference"/>
        </w:rPr>
        <w:footnoteRef/>
      </w:r>
      <w:r>
        <w:t xml:space="preserve"> Himmelfarb. (1998). </w:t>
      </w:r>
    </w:p>
  </w:footnote>
  <w:footnote w:id="10">
    <w:p w14:paraId="68FB793F" w14:textId="6CA84244" w:rsidR="00FA7E6F" w:rsidRDefault="00FA7E6F">
      <w:pPr>
        <w:pStyle w:val="FootnoteText"/>
      </w:pPr>
      <w:r>
        <w:rPr>
          <w:rStyle w:val="FootnoteReference"/>
        </w:rPr>
        <w:footnoteRef/>
      </w:r>
      <w:r>
        <w:t xml:space="preserve"> 1 Maccabees. 1:20-24; 2 Maccabees 5:11-16.</w:t>
      </w:r>
    </w:p>
  </w:footnote>
  <w:footnote w:id="11">
    <w:p w14:paraId="5206349D" w14:textId="084861FD" w:rsidR="00FA7E6F" w:rsidRDefault="00FA7E6F">
      <w:pPr>
        <w:pStyle w:val="FootnoteText"/>
      </w:pPr>
      <w:r>
        <w:rPr>
          <w:rStyle w:val="FootnoteReference"/>
        </w:rPr>
        <w:footnoteRef/>
      </w:r>
      <w:r>
        <w:t xml:space="preserve"> 1 Macc. 1:29-35; 2 Macc. 5:21-26.; 6:1.</w:t>
      </w:r>
    </w:p>
  </w:footnote>
  <w:footnote w:id="12">
    <w:p w14:paraId="0B0275C0" w14:textId="6D800200" w:rsidR="00FA7E6F" w:rsidRDefault="00FA7E6F">
      <w:pPr>
        <w:pStyle w:val="FootnoteText"/>
      </w:pPr>
      <w:r>
        <w:rPr>
          <w:rStyle w:val="FootnoteReference"/>
        </w:rPr>
        <w:footnoteRef/>
      </w:r>
      <w:r>
        <w:t xml:space="preserve"> Honigman. (2014). 235-6.</w:t>
      </w:r>
    </w:p>
  </w:footnote>
  <w:footnote w:id="13">
    <w:p w14:paraId="014C73B4" w14:textId="3530C326" w:rsidR="00FA7E6F" w:rsidRDefault="00FA7E6F">
      <w:pPr>
        <w:pStyle w:val="FootnoteText"/>
      </w:pPr>
      <w:r>
        <w:rPr>
          <w:rStyle w:val="FootnoteReference"/>
        </w:rPr>
        <w:footnoteRef/>
      </w:r>
      <w:r>
        <w:t xml:space="preserve"> Ibid. 280.</w:t>
      </w:r>
    </w:p>
  </w:footnote>
  <w:footnote w:id="14">
    <w:p w14:paraId="74AB831F" w14:textId="6CF4018B" w:rsidR="00FA7E6F" w:rsidRDefault="00FA7E6F">
      <w:pPr>
        <w:pStyle w:val="FootnoteText"/>
      </w:pPr>
      <w:r>
        <w:rPr>
          <w:rStyle w:val="FootnoteReference"/>
        </w:rPr>
        <w:footnoteRef/>
      </w:r>
      <w:r>
        <w:t xml:space="preserve"> 2 Macc. 2:4-8; 10:25-45; 15:3.; Honigman. (2014). 280.</w:t>
      </w:r>
    </w:p>
  </w:footnote>
  <w:footnote w:id="15">
    <w:p w14:paraId="5A519CF2" w14:textId="04B5400E" w:rsidR="00FA7E6F" w:rsidRDefault="00FA7E6F">
      <w:pPr>
        <w:pStyle w:val="FootnoteText"/>
      </w:pPr>
      <w:r>
        <w:rPr>
          <w:rStyle w:val="FootnoteReference"/>
        </w:rPr>
        <w:footnoteRef/>
      </w:r>
      <w:r>
        <w:t xml:space="preserve"> Honigman. (2014). 69.</w:t>
      </w:r>
    </w:p>
  </w:footnote>
  <w:footnote w:id="16">
    <w:p w14:paraId="564A7531" w14:textId="0D9EA5B3" w:rsidR="00FA7E6F" w:rsidRDefault="00FA7E6F">
      <w:pPr>
        <w:pStyle w:val="FootnoteText"/>
      </w:pPr>
      <w:r>
        <w:rPr>
          <w:rStyle w:val="FootnoteReference"/>
        </w:rPr>
        <w:footnoteRef/>
      </w:r>
      <w:r>
        <w:t xml:space="preserve"> George Nickelburg. </w:t>
      </w:r>
    </w:p>
  </w:footnote>
  <w:footnote w:id="17">
    <w:p w14:paraId="7CC75023" w14:textId="5763E67E" w:rsidR="00FA7E6F" w:rsidRDefault="00FA7E6F">
      <w:pPr>
        <w:pStyle w:val="FootnoteText"/>
      </w:pPr>
      <w:r>
        <w:rPr>
          <w:rStyle w:val="FootnoteReference"/>
        </w:rPr>
        <w:footnoteRef/>
      </w:r>
      <w:r>
        <w:t xml:space="preserve"> Robert Doran</w:t>
      </w:r>
    </w:p>
  </w:footnote>
  <w:footnote w:id="18">
    <w:p w14:paraId="26C629C2" w14:textId="2E90C87C" w:rsidR="00FA7E6F" w:rsidRDefault="00FA7E6F">
      <w:pPr>
        <w:pStyle w:val="FootnoteText"/>
      </w:pPr>
      <w:r>
        <w:rPr>
          <w:rStyle w:val="FootnoteReference"/>
        </w:rPr>
        <w:footnoteRef/>
      </w:r>
      <w:r>
        <w:t xml:space="preserve"> Jan Willem Van Henten. </w:t>
      </w:r>
    </w:p>
  </w:footnote>
  <w:footnote w:id="19">
    <w:p w14:paraId="6AB966F4" w14:textId="72EE3E45" w:rsidR="00FA7E6F" w:rsidRDefault="00FA7E6F">
      <w:pPr>
        <w:pStyle w:val="FootnoteText"/>
      </w:pPr>
      <w:r>
        <w:rPr>
          <w:rStyle w:val="FootnoteReference"/>
        </w:rPr>
        <w:footnoteRef/>
      </w:r>
      <w:r>
        <w:t xml:space="preserve"> Berthelot. (2007). 52.</w:t>
      </w:r>
    </w:p>
  </w:footnote>
  <w:footnote w:id="20">
    <w:p w14:paraId="6A2D280C" w14:textId="5609D274" w:rsidR="00F96ED3" w:rsidRDefault="00F96ED3">
      <w:pPr>
        <w:pStyle w:val="FootnoteText"/>
      </w:pPr>
      <w:r>
        <w:rPr>
          <w:rStyle w:val="FootnoteReference"/>
        </w:rPr>
        <w:footnoteRef/>
      </w:r>
      <w:r>
        <w:t xml:space="preserve"> 1 Macc. 3:18-22; 4:8-11; 4:30-33; 2 Macc.; Deut. 7:17-24; 20:1-4.; Berthelot. (2007). 51-52.</w:t>
      </w:r>
    </w:p>
  </w:footnote>
  <w:footnote w:id="21">
    <w:p w14:paraId="182275DB" w14:textId="6E063666" w:rsidR="00204534" w:rsidRDefault="00204534">
      <w:pPr>
        <w:pStyle w:val="FootnoteText"/>
      </w:pPr>
      <w:r>
        <w:rPr>
          <w:rStyle w:val="FootnoteReference"/>
        </w:rPr>
        <w:footnoteRef/>
      </w:r>
      <w:r>
        <w:t xml:space="preserve"> 1 Macc. 1:10-5; 2 Macc. 4:9-17.</w:t>
      </w:r>
    </w:p>
  </w:footnote>
  <w:footnote w:id="22">
    <w:p w14:paraId="3CFB6BF1" w14:textId="5242EEDD" w:rsidR="006019E4" w:rsidRDefault="006019E4">
      <w:pPr>
        <w:pStyle w:val="FootnoteText"/>
      </w:pPr>
      <w:r>
        <w:rPr>
          <w:rStyle w:val="FootnoteReference"/>
        </w:rPr>
        <w:footnoteRef/>
      </w:r>
      <w:r>
        <w:t xml:space="preserve"> Homigman. (2014). 183.</w:t>
      </w:r>
    </w:p>
  </w:footnote>
  <w:footnote w:id="23">
    <w:p w14:paraId="0F5A7626" w14:textId="060E82A3" w:rsidR="00EF050E" w:rsidRDefault="00EF050E">
      <w:pPr>
        <w:pStyle w:val="FootnoteText"/>
      </w:pPr>
      <w:r>
        <w:rPr>
          <w:rStyle w:val="FootnoteReference"/>
        </w:rPr>
        <w:footnoteRef/>
      </w:r>
      <w:r>
        <w:t xml:space="preserve"> Ibid. 183.</w:t>
      </w:r>
    </w:p>
  </w:footnote>
  <w:footnote w:id="24">
    <w:p w14:paraId="5718D3A1" w14:textId="414C8852" w:rsidR="00592236" w:rsidRDefault="00592236">
      <w:pPr>
        <w:pStyle w:val="FootnoteText"/>
      </w:pPr>
      <w:r>
        <w:rPr>
          <w:rStyle w:val="FootnoteReference"/>
        </w:rPr>
        <w:footnoteRef/>
      </w:r>
      <w:r>
        <w:t xml:space="preserve"> </w:t>
      </w:r>
      <w:r>
        <w:t>Schwarez. (2018).</w:t>
      </w:r>
    </w:p>
  </w:footnote>
  <w:footnote w:id="25">
    <w:p w14:paraId="02C84786" w14:textId="783035C9" w:rsidR="000648A8" w:rsidRDefault="000648A8">
      <w:pPr>
        <w:pStyle w:val="FootnoteText"/>
      </w:pPr>
      <w:r>
        <w:rPr>
          <w:rStyle w:val="FootnoteReference"/>
        </w:rPr>
        <w:footnoteRef/>
      </w:r>
      <w:r>
        <w:t xml:space="preserve"> </w:t>
      </w:r>
      <w:r w:rsidR="00592236">
        <w:t xml:space="preserve">Ibid.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F941B" w14:textId="432DD2CC" w:rsidR="00FA7E6F" w:rsidRDefault="00FA7E6F">
    <w:pPr>
      <w:pStyle w:val="Header"/>
    </w:pPr>
    <w:r>
      <w:ptab w:relativeTo="margin" w:alignment="center" w:leader="none"/>
    </w:r>
    <w:r>
      <w:ptab w:relativeTo="margin" w:alignment="right" w:leader="none"/>
    </w:r>
    <w:r>
      <w:t>Sophie Taylor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6CA"/>
    <w:rsid w:val="000436CA"/>
    <w:rsid w:val="00045F99"/>
    <w:rsid w:val="000648A8"/>
    <w:rsid w:val="00094F5A"/>
    <w:rsid w:val="000C579B"/>
    <w:rsid w:val="000E5609"/>
    <w:rsid w:val="0014758F"/>
    <w:rsid w:val="00183B4C"/>
    <w:rsid w:val="00204534"/>
    <w:rsid w:val="00205CBD"/>
    <w:rsid w:val="00211E3D"/>
    <w:rsid w:val="00222282"/>
    <w:rsid w:val="00224525"/>
    <w:rsid w:val="00235070"/>
    <w:rsid w:val="00247D7D"/>
    <w:rsid w:val="00276E5C"/>
    <w:rsid w:val="0028240D"/>
    <w:rsid w:val="002B746C"/>
    <w:rsid w:val="002E2381"/>
    <w:rsid w:val="002E6D5C"/>
    <w:rsid w:val="002F0877"/>
    <w:rsid w:val="003B1B0E"/>
    <w:rsid w:val="00486C5D"/>
    <w:rsid w:val="004C771A"/>
    <w:rsid w:val="004E3AC6"/>
    <w:rsid w:val="005021CB"/>
    <w:rsid w:val="005209F7"/>
    <w:rsid w:val="0052718F"/>
    <w:rsid w:val="00546927"/>
    <w:rsid w:val="00557BF2"/>
    <w:rsid w:val="0056417A"/>
    <w:rsid w:val="00564A18"/>
    <w:rsid w:val="00592236"/>
    <w:rsid w:val="005F0116"/>
    <w:rsid w:val="006019E4"/>
    <w:rsid w:val="00676905"/>
    <w:rsid w:val="00730B80"/>
    <w:rsid w:val="00742089"/>
    <w:rsid w:val="007A0213"/>
    <w:rsid w:val="007D0ECA"/>
    <w:rsid w:val="00876624"/>
    <w:rsid w:val="00877308"/>
    <w:rsid w:val="00891727"/>
    <w:rsid w:val="00926660"/>
    <w:rsid w:val="00975769"/>
    <w:rsid w:val="009C7228"/>
    <w:rsid w:val="00A02DD5"/>
    <w:rsid w:val="00A23834"/>
    <w:rsid w:val="00A271F2"/>
    <w:rsid w:val="00A677B6"/>
    <w:rsid w:val="00AA6C2E"/>
    <w:rsid w:val="00B53E38"/>
    <w:rsid w:val="00C13338"/>
    <w:rsid w:val="00CD76BB"/>
    <w:rsid w:val="00D00441"/>
    <w:rsid w:val="00D41DF7"/>
    <w:rsid w:val="00D82A94"/>
    <w:rsid w:val="00D86D7A"/>
    <w:rsid w:val="00DA3636"/>
    <w:rsid w:val="00DE1DDF"/>
    <w:rsid w:val="00E568F2"/>
    <w:rsid w:val="00E60722"/>
    <w:rsid w:val="00EE3418"/>
    <w:rsid w:val="00EF050E"/>
    <w:rsid w:val="00F05DF5"/>
    <w:rsid w:val="00F747C6"/>
    <w:rsid w:val="00F950B8"/>
    <w:rsid w:val="00F96ED3"/>
    <w:rsid w:val="00FA7E6F"/>
    <w:rsid w:val="00FC43CF"/>
    <w:rsid w:val="00FC749C"/>
    <w:rsid w:val="00FD7ECB"/>
    <w:rsid w:val="00FF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2FC89"/>
  <w15:chartTrackingRefBased/>
  <w15:docId w15:val="{8FB65E2A-EFE7-4142-8117-7E5B2CE2A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F08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6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6CA"/>
  </w:style>
  <w:style w:type="paragraph" w:styleId="Footer">
    <w:name w:val="footer"/>
    <w:basedOn w:val="Normal"/>
    <w:link w:val="FooterChar"/>
    <w:uiPriority w:val="99"/>
    <w:unhideWhenUsed/>
    <w:rsid w:val="000436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6CA"/>
  </w:style>
  <w:style w:type="character" w:styleId="Hyperlink">
    <w:name w:val="Hyperlink"/>
    <w:basedOn w:val="DefaultParagraphFont"/>
    <w:uiPriority w:val="99"/>
    <w:semiHidden/>
    <w:unhideWhenUsed/>
    <w:rsid w:val="00FC43CF"/>
    <w:rPr>
      <w:color w:val="0000FF"/>
      <w:u w:val="single"/>
    </w:rPr>
  </w:style>
  <w:style w:type="paragraph" w:styleId="FootnoteText">
    <w:name w:val="footnote text"/>
    <w:basedOn w:val="Normal"/>
    <w:link w:val="FootnoteTextChar"/>
    <w:uiPriority w:val="99"/>
    <w:semiHidden/>
    <w:unhideWhenUsed/>
    <w:rsid w:val="00D86D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6D7A"/>
    <w:rPr>
      <w:sz w:val="20"/>
      <w:szCs w:val="20"/>
    </w:rPr>
  </w:style>
  <w:style w:type="character" w:styleId="FootnoteReference">
    <w:name w:val="footnote reference"/>
    <w:basedOn w:val="DefaultParagraphFont"/>
    <w:uiPriority w:val="99"/>
    <w:semiHidden/>
    <w:unhideWhenUsed/>
    <w:rsid w:val="00D86D7A"/>
    <w:rPr>
      <w:vertAlign w:val="superscript"/>
    </w:rPr>
  </w:style>
  <w:style w:type="character" w:customStyle="1" w:styleId="Heading2Char">
    <w:name w:val="Heading 2 Char"/>
    <w:basedOn w:val="DefaultParagraphFont"/>
    <w:link w:val="Heading2"/>
    <w:uiPriority w:val="9"/>
    <w:rsid w:val="002F087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01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Deuteronomy+1&amp;version=NRSV"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iblegateway.com/passage/?search=2%20Maccabees%201&amp;version=NRSV" TargetMode="External"/><Relationship Id="rId12" Type="http://schemas.openxmlformats.org/officeDocument/2006/relationships/hyperlink" Target="https://www.youtube.com/watch?v=F2qFH38QkWQ"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blegateway.com/passage/?search=1+Maccabees+1&amp;version=NRSV" TargetMode="External"/><Relationship Id="rId11" Type="http://schemas.openxmlformats.org/officeDocument/2006/relationships/hyperlink" Target="https://www.youtube.com/watch?v=_p2IYPssktA"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youtube.com/watch?v=qZAFWNpH-O8" TargetMode="External"/><Relationship Id="rId4" Type="http://schemas.openxmlformats.org/officeDocument/2006/relationships/footnotes" Target="footnotes.xml"/><Relationship Id="rId9" Type="http://schemas.openxmlformats.org/officeDocument/2006/relationships/hyperlink" Target="https://www.biblegateway.com/passage/?search=Genesis+1&amp;version=NRSV"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292</TotalTime>
  <Pages>6</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345</cp:revision>
  <dcterms:created xsi:type="dcterms:W3CDTF">2020-06-12T12:35:00Z</dcterms:created>
  <dcterms:modified xsi:type="dcterms:W3CDTF">2020-06-13T14:21:00Z</dcterms:modified>
</cp:coreProperties>
</file>