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6C402" w14:textId="77777777" w:rsidR="00E424AB" w:rsidRPr="006B1EF7" w:rsidRDefault="00E424AB" w:rsidP="00E424AB">
      <w:pPr>
        <w:pStyle w:val="Title"/>
        <w:jc w:val="center"/>
        <w:rPr>
          <w:sz w:val="24"/>
          <w:szCs w:val="24"/>
          <w:lang w:val="en-GB"/>
        </w:rPr>
      </w:pPr>
      <w:r w:rsidRPr="006B1EF7">
        <w:rPr>
          <w:noProof/>
          <w:sz w:val="24"/>
          <w:szCs w:val="24"/>
          <w:lang w:val="en-GB"/>
        </w:rPr>
        <w:drawing>
          <wp:inline distT="114300" distB="114300" distL="114300" distR="114300" wp14:anchorId="7F36EB02" wp14:editId="78E2B1D8">
            <wp:extent cx="3086100" cy="9906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86100" cy="990600"/>
                    </a:xfrm>
                    <a:prstGeom prst="rect">
                      <a:avLst/>
                    </a:prstGeom>
                    <a:ln/>
                  </pic:spPr>
                </pic:pic>
              </a:graphicData>
            </a:graphic>
          </wp:inline>
        </w:drawing>
      </w:r>
    </w:p>
    <w:p w14:paraId="3C3A73BE" w14:textId="77777777" w:rsidR="00E424AB" w:rsidRDefault="00E424AB" w:rsidP="00E424AB">
      <w:pPr>
        <w:pStyle w:val="Title"/>
        <w:jc w:val="center"/>
        <w:rPr>
          <w:sz w:val="40"/>
          <w:szCs w:val="40"/>
          <w:lang w:val="en-GB"/>
        </w:rPr>
      </w:pPr>
      <w:r w:rsidRPr="00F91782">
        <w:rPr>
          <w:sz w:val="40"/>
          <w:szCs w:val="40"/>
          <w:lang w:val="en-GB"/>
        </w:rPr>
        <w:t>MSc Public Health and Social Care in Practice</w:t>
      </w:r>
    </w:p>
    <w:p w14:paraId="64F64CA3" w14:textId="77777777" w:rsidR="00F91782" w:rsidRPr="00F91782" w:rsidRDefault="00F91782" w:rsidP="00F91782">
      <w:pPr>
        <w:rPr>
          <w:lang w:val="en-GB"/>
        </w:rPr>
      </w:pPr>
    </w:p>
    <w:p w14:paraId="31FB250A" w14:textId="513F4F22" w:rsidR="00F91782" w:rsidRPr="00F91782" w:rsidRDefault="006C1789" w:rsidP="00F91782">
      <w:pPr>
        <w:pStyle w:val="Title"/>
        <w:jc w:val="center"/>
        <w:rPr>
          <w:sz w:val="40"/>
          <w:szCs w:val="40"/>
          <w:lang w:val="en-GB"/>
        </w:rPr>
      </w:pPr>
      <w:r w:rsidRPr="00F91782">
        <w:rPr>
          <w:sz w:val="40"/>
          <w:szCs w:val="40"/>
          <w:lang w:val="en-GB"/>
        </w:rPr>
        <w:t xml:space="preserve">Quality Assurance and Service Improvements </w:t>
      </w:r>
      <w:r w:rsidR="00E424AB" w:rsidRPr="00F91782">
        <w:rPr>
          <w:sz w:val="40"/>
          <w:szCs w:val="40"/>
          <w:lang w:val="en-GB"/>
        </w:rPr>
        <w:t>(LCHS700</w:t>
      </w:r>
      <w:r w:rsidR="007D508A" w:rsidRPr="00F91782">
        <w:rPr>
          <w:sz w:val="40"/>
          <w:szCs w:val="40"/>
          <w:lang w:val="en-GB"/>
        </w:rPr>
        <w:t>6</w:t>
      </w:r>
      <w:r w:rsidR="00E424AB" w:rsidRPr="00F91782">
        <w:rPr>
          <w:sz w:val="40"/>
          <w:szCs w:val="40"/>
          <w:lang w:val="en-GB"/>
        </w:rPr>
        <w:t>)</w:t>
      </w:r>
    </w:p>
    <w:p w14:paraId="536B5CDF" w14:textId="77777777" w:rsidR="00F91782" w:rsidRPr="00F91782" w:rsidRDefault="00F91782" w:rsidP="00F91782">
      <w:pPr>
        <w:rPr>
          <w:lang w:val="en-GB"/>
        </w:rPr>
      </w:pPr>
    </w:p>
    <w:p w14:paraId="0D83129F" w14:textId="04CBB920" w:rsidR="00F91782" w:rsidRDefault="00E424AB" w:rsidP="00F91782">
      <w:pPr>
        <w:jc w:val="center"/>
        <w:rPr>
          <w:sz w:val="40"/>
          <w:szCs w:val="40"/>
          <w:lang w:val="en-GB"/>
        </w:rPr>
      </w:pPr>
      <w:r w:rsidRPr="00F91782">
        <w:rPr>
          <w:sz w:val="40"/>
          <w:szCs w:val="40"/>
          <w:lang w:val="en-GB"/>
        </w:rPr>
        <w:t>Ass</w:t>
      </w:r>
      <w:r w:rsidR="00BE2AF0" w:rsidRPr="00F91782">
        <w:rPr>
          <w:sz w:val="40"/>
          <w:szCs w:val="40"/>
          <w:lang w:val="en-GB"/>
        </w:rPr>
        <w:t>ignment</w:t>
      </w:r>
      <w:r w:rsidRPr="00F91782">
        <w:rPr>
          <w:sz w:val="40"/>
          <w:szCs w:val="40"/>
          <w:lang w:val="en-GB"/>
        </w:rPr>
        <w:t xml:space="preserve"> </w:t>
      </w:r>
      <w:r w:rsidR="00BE2AF0" w:rsidRPr="00F91782">
        <w:rPr>
          <w:sz w:val="40"/>
          <w:szCs w:val="40"/>
          <w:lang w:val="en-GB"/>
        </w:rPr>
        <w:t xml:space="preserve">Title- </w:t>
      </w:r>
      <w:r w:rsidRPr="00F91782">
        <w:rPr>
          <w:sz w:val="40"/>
          <w:szCs w:val="40"/>
          <w:lang w:val="en-GB"/>
        </w:rPr>
        <w:t>COMPONENT 2 SERVICE IMPROVEMENT REPORT</w:t>
      </w:r>
    </w:p>
    <w:p w14:paraId="3186E39C" w14:textId="77777777" w:rsidR="00F91782" w:rsidRPr="00F91782" w:rsidRDefault="00F91782" w:rsidP="00E424AB">
      <w:pPr>
        <w:jc w:val="center"/>
        <w:rPr>
          <w:sz w:val="40"/>
          <w:szCs w:val="40"/>
          <w:lang w:val="en-GB"/>
        </w:rPr>
      </w:pPr>
    </w:p>
    <w:p w14:paraId="2F6F9243" w14:textId="52F18961" w:rsidR="00E424AB" w:rsidRPr="00F91782" w:rsidRDefault="00E424AB" w:rsidP="00E424AB">
      <w:pPr>
        <w:pStyle w:val="Title"/>
        <w:jc w:val="center"/>
        <w:rPr>
          <w:sz w:val="40"/>
          <w:szCs w:val="40"/>
          <w:lang w:val="en-GB"/>
        </w:rPr>
      </w:pPr>
      <w:r w:rsidRPr="00F91782">
        <w:rPr>
          <w:sz w:val="40"/>
          <w:szCs w:val="40"/>
          <w:lang w:val="en-GB"/>
        </w:rPr>
        <w:t xml:space="preserve">Student Name- </w:t>
      </w:r>
      <w:r w:rsidR="00BE2AF0" w:rsidRPr="00F91782">
        <w:rPr>
          <w:sz w:val="40"/>
          <w:szCs w:val="40"/>
          <w:lang w:val="en-GB"/>
        </w:rPr>
        <w:t>Isha Patel</w:t>
      </w:r>
    </w:p>
    <w:p w14:paraId="664AF12D" w14:textId="761E5D08" w:rsidR="00E424AB" w:rsidRPr="00F91782" w:rsidRDefault="00E424AB" w:rsidP="00E424AB">
      <w:pPr>
        <w:pStyle w:val="Title"/>
        <w:jc w:val="center"/>
        <w:rPr>
          <w:sz w:val="40"/>
          <w:szCs w:val="40"/>
          <w:lang w:val="en-GB"/>
        </w:rPr>
      </w:pPr>
      <w:r w:rsidRPr="00F91782">
        <w:rPr>
          <w:sz w:val="40"/>
          <w:szCs w:val="40"/>
          <w:lang w:val="en-GB"/>
        </w:rPr>
        <w:t xml:space="preserve">Student ID- </w:t>
      </w:r>
      <w:r w:rsidR="00BE2AF0" w:rsidRPr="00F91782">
        <w:rPr>
          <w:sz w:val="40"/>
          <w:szCs w:val="40"/>
          <w:lang w:val="en-GB"/>
        </w:rPr>
        <w:t>2503804</w:t>
      </w:r>
    </w:p>
    <w:p w14:paraId="4DD4109E" w14:textId="7C02C3C4" w:rsidR="00E424AB" w:rsidRPr="00F91782" w:rsidRDefault="00E424AB" w:rsidP="00BE2AF0">
      <w:pPr>
        <w:pStyle w:val="Title"/>
        <w:jc w:val="center"/>
        <w:rPr>
          <w:sz w:val="40"/>
          <w:szCs w:val="40"/>
          <w:lang w:val="en-GB"/>
        </w:rPr>
      </w:pPr>
      <w:r w:rsidRPr="00F91782">
        <w:rPr>
          <w:sz w:val="40"/>
          <w:szCs w:val="40"/>
          <w:lang w:val="en-GB"/>
        </w:rPr>
        <w:t>Lecturer Name-</w:t>
      </w:r>
      <w:r w:rsidR="00BE2AF0" w:rsidRPr="00F91782">
        <w:rPr>
          <w:sz w:val="40"/>
          <w:szCs w:val="40"/>
          <w:lang w:val="en-GB"/>
        </w:rPr>
        <w:t xml:space="preserve"> Dr. Fahad Khan</w:t>
      </w:r>
    </w:p>
    <w:p w14:paraId="5B8E5A9C" w14:textId="74788E00" w:rsidR="00E424AB" w:rsidRPr="00F91782" w:rsidRDefault="00E424AB" w:rsidP="00E424AB">
      <w:pPr>
        <w:pStyle w:val="Title"/>
        <w:jc w:val="center"/>
        <w:rPr>
          <w:sz w:val="40"/>
          <w:szCs w:val="40"/>
          <w:lang w:val="en-GB"/>
        </w:rPr>
      </w:pPr>
      <w:r w:rsidRPr="00F91782">
        <w:rPr>
          <w:sz w:val="40"/>
          <w:szCs w:val="40"/>
          <w:lang w:val="en-GB"/>
        </w:rPr>
        <w:t>Submission Date- 2</w:t>
      </w:r>
      <w:r w:rsidR="00DF11CF" w:rsidRPr="00F91782">
        <w:rPr>
          <w:sz w:val="40"/>
          <w:szCs w:val="40"/>
          <w:lang w:val="en-GB"/>
        </w:rPr>
        <w:t xml:space="preserve"> April</w:t>
      </w:r>
      <w:r w:rsidRPr="00F91782">
        <w:rPr>
          <w:sz w:val="40"/>
          <w:szCs w:val="40"/>
          <w:lang w:val="en-GB"/>
        </w:rPr>
        <w:t xml:space="preserve"> 2026</w:t>
      </w:r>
    </w:p>
    <w:p w14:paraId="6C36E930" w14:textId="77777777" w:rsidR="0022419A" w:rsidRPr="00F91782" w:rsidRDefault="0022419A">
      <w:pPr>
        <w:rPr>
          <w:rFonts w:eastAsia="Times New Roman"/>
          <w:b/>
          <w:bCs/>
          <w:sz w:val="40"/>
          <w:szCs w:val="40"/>
          <w:lang w:val="en-GB"/>
        </w:rPr>
      </w:pPr>
      <w:r w:rsidRPr="00F91782">
        <w:rPr>
          <w:rFonts w:eastAsia="Times New Roman"/>
          <w:b/>
          <w:bCs/>
          <w:sz w:val="40"/>
          <w:szCs w:val="40"/>
          <w:lang w:val="en-GB"/>
        </w:rPr>
        <w:br w:type="page"/>
      </w:r>
    </w:p>
    <w:sdt>
      <w:sdtPr>
        <w:rPr>
          <w:rFonts w:ascii="Arial" w:eastAsia="Arial" w:hAnsi="Arial" w:cs="Arial"/>
          <w:color w:val="auto"/>
          <w:sz w:val="22"/>
          <w:szCs w:val="22"/>
          <w:lang w:val="en-GB" w:eastAsia="en-IN"/>
        </w:rPr>
        <w:id w:val="201920940"/>
        <w:docPartObj>
          <w:docPartGallery w:val="Table of Contents"/>
          <w:docPartUnique/>
        </w:docPartObj>
      </w:sdtPr>
      <w:sdtEndPr>
        <w:rPr>
          <w:b/>
          <w:bCs/>
          <w:noProof/>
        </w:rPr>
      </w:sdtEndPr>
      <w:sdtContent>
        <w:p w14:paraId="571DCD15" w14:textId="20DE2A2F" w:rsidR="00A64016" w:rsidRPr="006B1EF7" w:rsidRDefault="00A64016">
          <w:pPr>
            <w:pStyle w:val="TOCHeading"/>
            <w:rPr>
              <w:rFonts w:ascii="Arial" w:hAnsi="Arial" w:cs="Arial"/>
              <w:b/>
              <w:bCs/>
              <w:color w:val="000000" w:themeColor="text1"/>
              <w:sz w:val="24"/>
              <w:szCs w:val="24"/>
              <w:lang w:val="en-GB"/>
            </w:rPr>
          </w:pPr>
          <w:r w:rsidRPr="006B1EF7">
            <w:rPr>
              <w:rFonts w:ascii="Arial" w:hAnsi="Arial" w:cs="Arial"/>
              <w:b/>
              <w:bCs/>
              <w:color w:val="000000" w:themeColor="text1"/>
              <w:sz w:val="24"/>
              <w:szCs w:val="24"/>
              <w:lang w:val="en-GB"/>
            </w:rPr>
            <w:t>Table of Contents</w:t>
          </w:r>
        </w:p>
        <w:p w14:paraId="40DFB32A" w14:textId="03EFA219" w:rsidR="00A64016" w:rsidRPr="006B1EF7" w:rsidRDefault="00A64016">
          <w:pPr>
            <w:pStyle w:val="TOC1"/>
            <w:tabs>
              <w:tab w:val="right" w:leader="dot" w:pos="9350"/>
            </w:tabs>
            <w:rPr>
              <w:rFonts w:asciiTheme="minorHAnsi" w:eastAsiaTheme="minorEastAsia" w:hAnsiTheme="minorHAnsi" w:cstheme="minorBidi"/>
              <w:noProof/>
              <w:kern w:val="2"/>
              <w:sz w:val="24"/>
              <w:szCs w:val="30"/>
              <w:lang w:val="en-GB" w:bidi="bn-IN"/>
              <w14:ligatures w14:val="standardContextual"/>
            </w:rPr>
          </w:pPr>
          <w:r w:rsidRPr="006B1EF7">
            <w:rPr>
              <w:lang w:val="en-GB"/>
            </w:rPr>
            <w:fldChar w:fldCharType="begin"/>
          </w:r>
          <w:r w:rsidRPr="006B1EF7">
            <w:rPr>
              <w:lang w:val="en-GB"/>
            </w:rPr>
            <w:instrText xml:space="preserve"> TOC \o "1-3" \h \z \u </w:instrText>
          </w:r>
          <w:r w:rsidRPr="006B1EF7">
            <w:rPr>
              <w:lang w:val="en-GB"/>
            </w:rPr>
            <w:fldChar w:fldCharType="separate"/>
          </w:r>
          <w:hyperlink w:anchor="_Toc224564048" w:history="1">
            <w:r w:rsidRPr="006B1EF7">
              <w:rPr>
                <w:rStyle w:val="Hyperlink"/>
                <w:noProof/>
                <w:lang w:val="en-GB"/>
              </w:rPr>
              <w:t>1. Introduction</w:t>
            </w:r>
            <w:r w:rsidRPr="006B1EF7">
              <w:rPr>
                <w:noProof/>
                <w:webHidden/>
                <w:lang w:val="en-GB"/>
              </w:rPr>
              <w:tab/>
            </w:r>
            <w:r w:rsidRPr="006B1EF7">
              <w:rPr>
                <w:noProof/>
                <w:webHidden/>
                <w:lang w:val="en-GB"/>
              </w:rPr>
              <w:fldChar w:fldCharType="begin"/>
            </w:r>
            <w:r w:rsidRPr="006B1EF7">
              <w:rPr>
                <w:noProof/>
                <w:webHidden/>
                <w:lang w:val="en-GB"/>
              </w:rPr>
              <w:instrText xml:space="preserve"> PAGEREF _Toc224564048 \h </w:instrText>
            </w:r>
            <w:r w:rsidRPr="006B1EF7">
              <w:rPr>
                <w:noProof/>
                <w:webHidden/>
                <w:lang w:val="en-GB"/>
              </w:rPr>
            </w:r>
            <w:r w:rsidRPr="006B1EF7">
              <w:rPr>
                <w:noProof/>
                <w:webHidden/>
                <w:lang w:val="en-GB"/>
              </w:rPr>
              <w:fldChar w:fldCharType="separate"/>
            </w:r>
            <w:r w:rsidRPr="006B1EF7">
              <w:rPr>
                <w:noProof/>
                <w:webHidden/>
                <w:lang w:val="en-GB"/>
              </w:rPr>
              <w:t>3</w:t>
            </w:r>
            <w:r w:rsidRPr="006B1EF7">
              <w:rPr>
                <w:noProof/>
                <w:webHidden/>
                <w:lang w:val="en-GB"/>
              </w:rPr>
              <w:fldChar w:fldCharType="end"/>
            </w:r>
          </w:hyperlink>
        </w:p>
        <w:p w14:paraId="60E9311E" w14:textId="3F40ED36" w:rsidR="00A64016" w:rsidRPr="006B1EF7" w:rsidRDefault="00A64016">
          <w:pPr>
            <w:pStyle w:val="TOC1"/>
            <w:tabs>
              <w:tab w:val="right" w:leader="dot" w:pos="9350"/>
            </w:tabs>
            <w:rPr>
              <w:rFonts w:asciiTheme="minorHAnsi" w:eastAsiaTheme="minorEastAsia" w:hAnsiTheme="minorHAnsi" w:cstheme="minorBidi"/>
              <w:noProof/>
              <w:kern w:val="2"/>
              <w:sz w:val="24"/>
              <w:szCs w:val="30"/>
              <w:lang w:val="en-GB" w:bidi="bn-IN"/>
              <w14:ligatures w14:val="standardContextual"/>
            </w:rPr>
          </w:pPr>
          <w:hyperlink w:anchor="_Toc224564049" w:history="1">
            <w:r w:rsidRPr="006B1EF7">
              <w:rPr>
                <w:rStyle w:val="Hyperlink"/>
                <w:noProof/>
                <w:lang w:val="en-GB"/>
              </w:rPr>
              <w:t>2. Main body</w:t>
            </w:r>
            <w:r w:rsidRPr="006B1EF7">
              <w:rPr>
                <w:noProof/>
                <w:webHidden/>
                <w:lang w:val="en-GB"/>
              </w:rPr>
              <w:tab/>
            </w:r>
            <w:r w:rsidRPr="006B1EF7">
              <w:rPr>
                <w:noProof/>
                <w:webHidden/>
                <w:lang w:val="en-GB"/>
              </w:rPr>
              <w:fldChar w:fldCharType="begin"/>
            </w:r>
            <w:r w:rsidRPr="006B1EF7">
              <w:rPr>
                <w:noProof/>
                <w:webHidden/>
                <w:lang w:val="en-GB"/>
              </w:rPr>
              <w:instrText xml:space="preserve"> PAGEREF _Toc224564049 \h </w:instrText>
            </w:r>
            <w:r w:rsidRPr="006B1EF7">
              <w:rPr>
                <w:noProof/>
                <w:webHidden/>
                <w:lang w:val="en-GB"/>
              </w:rPr>
            </w:r>
            <w:r w:rsidRPr="006B1EF7">
              <w:rPr>
                <w:noProof/>
                <w:webHidden/>
                <w:lang w:val="en-GB"/>
              </w:rPr>
              <w:fldChar w:fldCharType="separate"/>
            </w:r>
            <w:r w:rsidRPr="006B1EF7">
              <w:rPr>
                <w:noProof/>
                <w:webHidden/>
                <w:lang w:val="en-GB"/>
              </w:rPr>
              <w:t>4</w:t>
            </w:r>
            <w:r w:rsidRPr="006B1EF7">
              <w:rPr>
                <w:noProof/>
                <w:webHidden/>
                <w:lang w:val="en-GB"/>
              </w:rPr>
              <w:fldChar w:fldCharType="end"/>
            </w:r>
          </w:hyperlink>
        </w:p>
        <w:p w14:paraId="6D0E2416" w14:textId="7722D6D0" w:rsidR="00A64016" w:rsidRPr="006B1EF7" w:rsidRDefault="00A64016">
          <w:pPr>
            <w:pStyle w:val="TOC2"/>
            <w:tabs>
              <w:tab w:val="right" w:leader="dot" w:pos="9350"/>
            </w:tabs>
            <w:rPr>
              <w:rFonts w:asciiTheme="minorHAnsi" w:eastAsiaTheme="minorEastAsia" w:hAnsiTheme="minorHAnsi" w:cstheme="minorBidi"/>
              <w:noProof/>
              <w:kern w:val="2"/>
              <w:sz w:val="24"/>
              <w:szCs w:val="30"/>
              <w:lang w:val="en-GB" w:bidi="bn-IN"/>
              <w14:ligatures w14:val="standardContextual"/>
            </w:rPr>
          </w:pPr>
          <w:hyperlink w:anchor="_Toc224564050" w:history="1">
            <w:r w:rsidRPr="006B1EF7">
              <w:rPr>
                <w:rStyle w:val="Hyperlink"/>
                <w:noProof/>
                <w:lang w:val="en-GB"/>
              </w:rPr>
              <w:t>2.1 The Donabedian model</w:t>
            </w:r>
            <w:r w:rsidRPr="006B1EF7">
              <w:rPr>
                <w:noProof/>
                <w:webHidden/>
                <w:lang w:val="en-GB"/>
              </w:rPr>
              <w:tab/>
            </w:r>
            <w:r w:rsidRPr="006B1EF7">
              <w:rPr>
                <w:noProof/>
                <w:webHidden/>
                <w:lang w:val="en-GB"/>
              </w:rPr>
              <w:fldChar w:fldCharType="begin"/>
            </w:r>
            <w:r w:rsidRPr="006B1EF7">
              <w:rPr>
                <w:noProof/>
                <w:webHidden/>
                <w:lang w:val="en-GB"/>
              </w:rPr>
              <w:instrText xml:space="preserve"> PAGEREF _Toc224564050 \h </w:instrText>
            </w:r>
            <w:r w:rsidRPr="006B1EF7">
              <w:rPr>
                <w:noProof/>
                <w:webHidden/>
                <w:lang w:val="en-GB"/>
              </w:rPr>
            </w:r>
            <w:r w:rsidRPr="006B1EF7">
              <w:rPr>
                <w:noProof/>
                <w:webHidden/>
                <w:lang w:val="en-GB"/>
              </w:rPr>
              <w:fldChar w:fldCharType="separate"/>
            </w:r>
            <w:r w:rsidRPr="006B1EF7">
              <w:rPr>
                <w:noProof/>
                <w:webHidden/>
                <w:lang w:val="en-GB"/>
              </w:rPr>
              <w:t>4</w:t>
            </w:r>
            <w:r w:rsidRPr="006B1EF7">
              <w:rPr>
                <w:noProof/>
                <w:webHidden/>
                <w:lang w:val="en-GB"/>
              </w:rPr>
              <w:fldChar w:fldCharType="end"/>
            </w:r>
          </w:hyperlink>
        </w:p>
        <w:p w14:paraId="528B582D" w14:textId="759C4E30" w:rsidR="00A64016" w:rsidRPr="006B1EF7" w:rsidRDefault="00A64016">
          <w:pPr>
            <w:pStyle w:val="TOC2"/>
            <w:tabs>
              <w:tab w:val="right" w:leader="dot" w:pos="9350"/>
            </w:tabs>
            <w:rPr>
              <w:rFonts w:asciiTheme="minorHAnsi" w:eastAsiaTheme="minorEastAsia" w:hAnsiTheme="minorHAnsi" w:cstheme="minorBidi"/>
              <w:noProof/>
              <w:kern w:val="2"/>
              <w:sz w:val="24"/>
              <w:szCs w:val="30"/>
              <w:lang w:val="en-GB" w:bidi="bn-IN"/>
              <w14:ligatures w14:val="standardContextual"/>
            </w:rPr>
          </w:pPr>
          <w:hyperlink w:anchor="_Toc224564051" w:history="1">
            <w:r w:rsidRPr="006B1EF7">
              <w:rPr>
                <w:rStyle w:val="Hyperlink"/>
                <w:noProof/>
                <w:lang w:val="en-GB"/>
              </w:rPr>
              <w:t>2.2 Fishbone diagram</w:t>
            </w:r>
            <w:r w:rsidRPr="006B1EF7">
              <w:rPr>
                <w:noProof/>
                <w:webHidden/>
                <w:lang w:val="en-GB"/>
              </w:rPr>
              <w:tab/>
            </w:r>
            <w:r w:rsidRPr="006B1EF7">
              <w:rPr>
                <w:noProof/>
                <w:webHidden/>
                <w:lang w:val="en-GB"/>
              </w:rPr>
              <w:fldChar w:fldCharType="begin"/>
            </w:r>
            <w:r w:rsidRPr="006B1EF7">
              <w:rPr>
                <w:noProof/>
                <w:webHidden/>
                <w:lang w:val="en-GB"/>
              </w:rPr>
              <w:instrText xml:space="preserve"> PAGEREF _Toc224564051 \h </w:instrText>
            </w:r>
            <w:r w:rsidRPr="006B1EF7">
              <w:rPr>
                <w:noProof/>
                <w:webHidden/>
                <w:lang w:val="en-GB"/>
              </w:rPr>
            </w:r>
            <w:r w:rsidRPr="006B1EF7">
              <w:rPr>
                <w:noProof/>
                <w:webHidden/>
                <w:lang w:val="en-GB"/>
              </w:rPr>
              <w:fldChar w:fldCharType="separate"/>
            </w:r>
            <w:r w:rsidRPr="006B1EF7">
              <w:rPr>
                <w:noProof/>
                <w:webHidden/>
                <w:lang w:val="en-GB"/>
              </w:rPr>
              <w:t>5</w:t>
            </w:r>
            <w:r w:rsidRPr="006B1EF7">
              <w:rPr>
                <w:noProof/>
                <w:webHidden/>
                <w:lang w:val="en-GB"/>
              </w:rPr>
              <w:fldChar w:fldCharType="end"/>
            </w:r>
          </w:hyperlink>
        </w:p>
        <w:p w14:paraId="46C29DAC" w14:textId="5E7B22A2" w:rsidR="00A64016" w:rsidRPr="006B1EF7" w:rsidRDefault="00A64016">
          <w:pPr>
            <w:pStyle w:val="TOC2"/>
            <w:tabs>
              <w:tab w:val="right" w:leader="dot" w:pos="9350"/>
            </w:tabs>
            <w:rPr>
              <w:rFonts w:asciiTheme="minorHAnsi" w:eastAsiaTheme="minorEastAsia" w:hAnsiTheme="minorHAnsi" w:cstheme="minorBidi"/>
              <w:noProof/>
              <w:kern w:val="2"/>
              <w:sz w:val="24"/>
              <w:szCs w:val="30"/>
              <w:lang w:val="en-GB" w:bidi="bn-IN"/>
              <w14:ligatures w14:val="standardContextual"/>
            </w:rPr>
          </w:pPr>
          <w:hyperlink w:anchor="_Toc224564052" w:history="1">
            <w:r w:rsidRPr="006B1EF7">
              <w:rPr>
                <w:rStyle w:val="Hyperlink"/>
                <w:noProof/>
                <w:lang w:val="en-GB"/>
              </w:rPr>
              <w:t>2.3 SWOT analysis</w:t>
            </w:r>
            <w:r w:rsidRPr="006B1EF7">
              <w:rPr>
                <w:noProof/>
                <w:webHidden/>
                <w:lang w:val="en-GB"/>
              </w:rPr>
              <w:tab/>
            </w:r>
            <w:r w:rsidRPr="006B1EF7">
              <w:rPr>
                <w:noProof/>
                <w:webHidden/>
                <w:lang w:val="en-GB"/>
              </w:rPr>
              <w:fldChar w:fldCharType="begin"/>
            </w:r>
            <w:r w:rsidRPr="006B1EF7">
              <w:rPr>
                <w:noProof/>
                <w:webHidden/>
                <w:lang w:val="en-GB"/>
              </w:rPr>
              <w:instrText xml:space="preserve"> PAGEREF _Toc224564052 \h </w:instrText>
            </w:r>
            <w:r w:rsidRPr="006B1EF7">
              <w:rPr>
                <w:noProof/>
                <w:webHidden/>
                <w:lang w:val="en-GB"/>
              </w:rPr>
            </w:r>
            <w:r w:rsidRPr="006B1EF7">
              <w:rPr>
                <w:noProof/>
                <w:webHidden/>
                <w:lang w:val="en-GB"/>
              </w:rPr>
              <w:fldChar w:fldCharType="separate"/>
            </w:r>
            <w:r w:rsidRPr="006B1EF7">
              <w:rPr>
                <w:noProof/>
                <w:webHidden/>
                <w:lang w:val="en-GB"/>
              </w:rPr>
              <w:t>6</w:t>
            </w:r>
            <w:r w:rsidRPr="006B1EF7">
              <w:rPr>
                <w:noProof/>
                <w:webHidden/>
                <w:lang w:val="en-GB"/>
              </w:rPr>
              <w:fldChar w:fldCharType="end"/>
            </w:r>
          </w:hyperlink>
        </w:p>
        <w:p w14:paraId="3327BBD5" w14:textId="7208A8FE" w:rsidR="00A64016" w:rsidRPr="006B1EF7" w:rsidRDefault="00A64016">
          <w:pPr>
            <w:pStyle w:val="TOC2"/>
            <w:tabs>
              <w:tab w:val="right" w:leader="dot" w:pos="9350"/>
            </w:tabs>
            <w:rPr>
              <w:rFonts w:asciiTheme="minorHAnsi" w:eastAsiaTheme="minorEastAsia" w:hAnsiTheme="minorHAnsi" w:cstheme="minorBidi"/>
              <w:noProof/>
              <w:kern w:val="2"/>
              <w:sz w:val="24"/>
              <w:szCs w:val="30"/>
              <w:lang w:val="en-GB" w:bidi="bn-IN"/>
              <w14:ligatures w14:val="standardContextual"/>
            </w:rPr>
          </w:pPr>
          <w:hyperlink w:anchor="_Toc224564053" w:history="1">
            <w:r w:rsidRPr="006B1EF7">
              <w:rPr>
                <w:rStyle w:val="Hyperlink"/>
                <w:noProof/>
                <w:lang w:val="en-GB"/>
              </w:rPr>
              <w:t>2.4 PDSA</w:t>
            </w:r>
            <w:r w:rsidRPr="006B1EF7">
              <w:rPr>
                <w:noProof/>
                <w:webHidden/>
                <w:lang w:val="en-GB"/>
              </w:rPr>
              <w:tab/>
            </w:r>
            <w:r w:rsidRPr="006B1EF7">
              <w:rPr>
                <w:noProof/>
                <w:webHidden/>
                <w:lang w:val="en-GB"/>
              </w:rPr>
              <w:fldChar w:fldCharType="begin"/>
            </w:r>
            <w:r w:rsidRPr="006B1EF7">
              <w:rPr>
                <w:noProof/>
                <w:webHidden/>
                <w:lang w:val="en-GB"/>
              </w:rPr>
              <w:instrText xml:space="preserve"> PAGEREF _Toc224564053 \h </w:instrText>
            </w:r>
            <w:r w:rsidRPr="006B1EF7">
              <w:rPr>
                <w:noProof/>
                <w:webHidden/>
                <w:lang w:val="en-GB"/>
              </w:rPr>
            </w:r>
            <w:r w:rsidRPr="006B1EF7">
              <w:rPr>
                <w:noProof/>
                <w:webHidden/>
                <w:lang w:val="en-GB"/>
              </w:rPr>
              <w:fldChar w:fldCharType="separate"/>
            </w:r>
            <w:r w:rsidRPr="006B1EF7">
              <w:rPr>
                <w:noProof/>
                <w:webHidden/>
                <w:lang w:val="en-GB"/>
              </w:rPr>
              <w:t>6</w:t>
            </w:r>
            <w:r w:rsidRPr="006B1EF7">
              <w:rPr>
                <w:noProof/>
                <w:webHidden/>
                <w:lang w:val="en-GB"/>
              </w:rPr>
              <w:fldChar w:fldCharType="end"/>
            </w:r>
          </w:hyperlink>
        </w:p>
        <w:p w14:paraId="165DA6E2" w14:textId="538CCCC3" w:rsidR="00A64016" w:rsidRPr="006B1EF7" w:rsidRDefault="00A64016">
          <w:pPr>
            <w:pStyle w:val="TOC2"/>
            <w:tabs>
              <w:tab w:val="right" w:leader="dot" w:pos="9350"/>
            </w:tabs>
            <w:rPr>
              <w:rFonts w:asciiTheme="minorHAnsi" w:eastAsiaTheme="minorEastAsia" w:hAnsiTheme="minorHAnsi" w:cstheme="minorBidi"/>
              <w:noProof/>
              <w:kern w:val="2"/>
              <w:sz w:val="24"/>
              <w:szCs w:val="30"/>
              <w:lang w:val="en-GB" w:bidi="bn-IN"/>
              <w14:ligatures w14:val="standardContextual"/>
            </w:rPr>
          </w:pPr>
          <w:hyperlink w:anchor="_Toc224564054" w:history="1">
            <w:r w:rsidRPr="006B1EF7">
              <w:rPr>
                <w:rStyle w:val="Hyperlink"/>
                <w:noProof/>
                <w:lang w:val="en-GB"/>
              </w:rPr>
              <w:t>2.5 Kotter’s change model</w:t>
            </w:r>
            <w:r w:rsidRPr="006B1EF7">
              <w:rPr>
                <w:noProof/>
                <w:webHidden/>
                <w:lang w:val="en-GB"/>
              </w:rPr>
              <w:tab/>
            </w:r>
            <w:r w:rsidRPr="006B1EF7">
              <w:rPr>
                <w:noProof/>
                <w:webHidden/>
                <w:lang w:val="en-GB"/>
              </w:rPr>
              <w:fldChar w:fldCharType="begin"/>
            </w:r>
            <w:r w:rsidRPr="006B1EF7">
              <w:rPr>
                <w:noProof/>
                <w:webHidden/>
                <w:lang w:val="en-GB"/>
              </w:rPr>
              <w:instrText xml:space="preserve"> PAGEREF _Toc224564054 \h </w:instrText>
            </w:r>
            <w:r w:rsidRPr="006B1EF7">
              <w:rPr>
                <w:noProof/>
                <w:webHidden/>
                <w:lang w:val="en-GB"/>
              </w:rPr>
            </w:r>
            <w:r w:rsidRPr="006B1EF7">
              <w:rPr>
                <w:noProof/>
                <w:webHidden/>
                <w:lang w:val="en-GB"/>
              </w:rPr>
              <w:fldChar w:fldCharType="separate"/>
            </w:r>
            <w:r w:rsidRPr="006B1EF7">
              <w:rPr>
                <w:noProof/>
                <w:webHidden/>
                <w:lang w:val="en-GB"/>
              </w:rPr>
              <w:t>7</w:t>
            </w:r>
            <w:r w:rsidRPr="006B1EF7">
              <w:rPr>
                <w:noProof/>
                <w:webHidden/>
                <w:lang w:val="en-GB"/>
              </w:rPr>
              <w:fldChar w:fldCharType="end"/>
            </w:r>
          </w:hyperlink>
        </w:p>
        <w:p w14:paraId="21D7F10A" w14:textId="798E2C02" w:rsidR="00A64016" w:rsidRPr="006B1EF7" w:rsidRDefault="00A64016">
          <w:pPr>
            <w:pStyle w:val="TOC1"/>
            <w:tabs>
              <w:tab w:val="right" w:leader="dot" w:pos="9350"/>
            </w:tabs>
            <w:rPr>
              <w:rFonts w:asciiTheme="minorHAnsi" w:eastAsiaTheme="minorEastAsia" w:hAnsiTheme="minorHAnsi" w:cstheme="minorBidi"/>
              <w:noProof/>
              <w:kern w:val="2"/>
              <w:sz w:val="24"/>
              <w:szCs w:val="30"/>
              <w:lang w:val="en-GB" w:bidi="bn-IN"/>
              <w14:ligatures w14:val="standardContextual"/>
            </w:rPr>
          </w:pPr>
          <w:hyperlink w:anchor="_Toc224564055" w:history="1">
            <w:r w:rsidRPr="006B1EF7">
              <w:rPr>
                <w:rStyle w:val="Hyperlink"/>
                <w:noProof/>
                <w:lang w:val="en-GB"/>
              </w:rPr>
              <w:t>3. Recommendation</w:t>
            </w:r>
            <w:r w:rsidRPr="006B1EF7">
              <w:rPr>
                <w:noProof/>
                <w:webHidden/>
                <w:lang w:val="en-GB"/>
              </w:rPr>
              <w:tab/>
            </w:r>
            <w:r w:rsidRPr="006B1EF7">
              <w:rPr>
                <w:noProof/>
                <w:webHidden/>
                <w:lang w:val="en-GB"/>
              </w:rPr>
              <w:fldChar w:fldCharType="begin"/>
            </w:r>
            <w:r w:rsidRPr="006B1EF7">
              <w:rPr>
                <w:noProof/>
                <w:webHidden/>
                <w:lang w:val="en-GB"/>
              </w:rPr>
              <w:instrText xml:space="preserve"> PAGEREF _Toc224564055 \h </w:instrText>
            </w:r>
            <w:r w:rsidRPr="006B1EF7">
              <w:rPr>
                <w:noProof/>
                <w:webHidden/>
                <w:lang w:val="en-GB"/>
              </w:rPr>
            </w:r>
            <w:r w:rsidRPr="006B1EF7">
              <w:rPr>
                <w:noProof/>
                <w:webHidden/>
                <w:lang w:val="en-GB"/>
              </w:rPr>
              <w:fldChar w:fldCharType="separate"/>
            </w:r>
            <w:r w:rsidRPr="006B1EF7">
              <w:rPr>
                <w:noProof/>
                <w:webHidden/>
                <w:lang w:val="en-GB"/>
              </w:rPr>
              <w:t>8</w:t>
            </w:r>
            <w:r w:rsidRPr="006B1EF7">
              <w:rPr>
                <w:noProof/>
                <w:webHidden/>
                <w:lang w:val="en-GB"/>
              </w:rPr>
              <w:fldChar w:fldCharType="end"/>
            </w:r>
          </w:hyperlink>
        </w:p>
        <w:p w14:paraId="7446C44D" w14:textId="21501C52" w:rsidR="00A64016" w:rsidRPr="006B1EF7" w:rsidRDefault="00A64016">
          <w:pPr>
            <w:pStyle w:val="TOC2"/>
            <w:tabs>
              <w:tab w:val="right" w:leader="dot" w:pos="9350"/>
            </w:tabs>
            <w:rPr>
              <w:rFonts w:asciiTheme="minorHAnsi" w:eastAsiaTheme="minorEastAsia" w:hAnsiTheme="minorHAnsi" w:cstheme="minorBidi"/>
              <w:noProof/>
              <w:kern w:val="2"/>
              <w:sz w:val="24"/>
              <w:szCs w:val="30"/>
              <w:lang w:val="en-GB" w:bidi="bn-IN"/>
              <w14:ligatures w14:val="standardContextual"/>
            </w:rPr>
          </w:pPr>
          <w:hyperlink w:anchor="_Toc224564056" w:history="1">
            <w:r w:rsidRPr="006B1EF7">
              <w:rPr>
                <w:rStyle w:val="Hyperlink"/>
                <w:noProof/>
                <w:lang w:val="en-GB"/>
              </w:rPr>
              <w:t>3.1 Benchmark table</w:t>
            </w:r>
            <w:r w:rsidRPr="006B1EF7">
              <w:rPr>
                <w:noProof/>
                <w:webHidden/>
                <w:lang w:val="en-GB"/>
              </w:rPr>
              <w:tab/>
            </w:r>
            <w:r w:rsidRPr="006B1EF7">
              <w:rPr>
                <w:noProof/>
                <w:webHidden/>
                <w:lang w:val="en-GB"/>
              </w:rPr>
              <w:fldChar w:fldCharType="begin"/>
            </w:r>
            <w:r w:rsidRPr="006B1EF7">
              <w:rPr>
                <w:noProof/>
                <w:webHidden/>
                <w:lang w:val="en-GB"/>
              </w:rPr>
              <w:instrText xml:space="preserve"> PAGEREF _Toc224564056 \h </w:instrText>
            </w:r>
            <w:r w:rsidRPr="006B1EF7">
              <w:rPr>
                <w:noProof/>
                <w:webHidden/>
                <w:lang w:val="en-GB"/>
              </w:rPr>
            </w:r>
            <w:r w:rsidRPr="006B1EF7">
              <w:rPr>
                <w:noProof/>
                <w:webHidden/>
                <w:lang w:val="en-GB"/>
              </w:rPr>
              <w:fldChar w:fldCharType="separate"/>
            </w:r>
            <w:r w:rsidRPr="006B1EF7">
              <w:rPr>
                <w:noProof/>
                <w:webHidden/>
                <w:lang w:val="en-GB"/>
              </w:rPr>
              <w:t>9</w:t>
            </w:r>
            <w:r w:rsidRPr="006B1EF7">
              <w:rPr>
                <w:noProof/>
                <w:webHidden/>
                <w:lang w:val="en-GB"/>
              </w:rPr>
              <w:fldChar w:fldCharType="end"/>
            </w:r>
          </w:hyperlink>
        </w:p>
        <w:p w14:paraId="59E5BC9A" w14:textId="59BB0254" w:rsidR="00A64016" w:rsidRPr="006B1EF7" w:rsidRDefault="00A64016">
          <w:pPr>
            <w:pStyle w:val="TOC1"/>
            <w:tabs>
              <w:tab w:val="right" w:leader="dot" w:pos="9350"/>
            </w:tabs>
            <w:rPr>
              <w:rFonts w:asciiTheme="minorHAnsi" w:eastAsiaTheme="minorEastAsia" w:hAnsiTheme="minorHAnsi" w:cstheme="minorBidi"/>
              <w:noProof/>
              <w:kern w:val="2"/>
              <w:sz w:val="24"/>
              <w:szCs w:val="30"/>
              <w:lang w:val="en-GB" w:bidi="bn-IN"/>
              <w14:ligatures w14:val="standardContextual"/>
            </w:rPr>
          </w:pPr>
          <w:hyperlink w:anchor="_Toc224564057" w:history="1">
            <w:r w:rsidRPr="006B1EF7">
              <w:rPr>
                <w:rStyle w:val="Hyperlink"/>
                <w:noProof/>
                <w:lang w:val="en-GB"/>
              </w:rPr>
              <w:t>4. Conclusion</w:t>
            </w:r>
            <w:r w:rsidRPr="006B1EF7">
              <w:rPr>
                <w:noProof/>
                <w:webHidden/>
                <w:lang w:val="en-GB"/>
              </w:rPr>
              <w:tab/>
            </w:r>
            <w:r w:rsidRPr="006B1EF7">
              <w:rPr>
                <w:noProof/>
                <w:webHidden/>
                <w:lang w:val="en-GB"/>
              </w:rPr>
              <w:fldChar w:fldCharType="begin"/>
            </w:r>
            <w:r w:rsidRPr="006B1EF7">
              <w:rPr>
                <w:noProof/>
                <w:webHidden/>
                <w:lang w:val="en-GB"/>
              </w:rPr>
              <w:instrText xml:space="preserve"> PAGEREF _Toc224564057 \h </w:instrText>
            </w:r>
            <w:r w:rsidRPr="006B1EF7">
              <w:rPr>
                <w:noProof/>
                <w:webHidden/>
                <w:lang w:val="en-GB"/>
              </w:rPr>
            </w:r>
            <w:r w:rsidRPr="006B1EF7">
              <w:rPr>
                <w:noProof/>
                <w:webHidden/>
                <w:lang w:val="en-GB"/>
              </w:rPr>
              <w:fldChar w:fldCharType="separate"/>
            </w:r>
            <w:r w:rsidRPr="006B1EF7">
              <w:rPr>
                <w:noProof/>
                <w:webHidden/>
                <w:lang w:val="en-GB"/>
              </w:rPr>
              <w:t>10</w:t>
            </w:r>
            <w:r w:rsidRPr="006B1EF7">
              <w:rPr>
                <w:noProof/>
                <w:webHidden/>
                <w:lang w:val="en-GB"/>
              </w:rPr>
              <w:fldChar w:fldCharType="end"/>
            </w:r>
          </w:hyperlink>
        </w:p>
        <w:p w14:paraId="5D8138E2" w14:textId="40DE61D6" w:rsidR="00A64016" w:rsidRPr="006B1EF7" w:rsidRDefault="00A64016">
          <w:pPr>
            <w:pStyle w:val="TOC1"/>
            <w:tabs>
              <w:tab w:val="right" w:leader="dot" w:pos="9350"/>
            </w:tabs>
            <w:rPr>
              <w:rFonts w:asciiTheme="minorHAnsi" w:eastAsiaTheme="minorEastAsia" w:hAnsiTheme="minorHAnsi" w:cstheme="minorBidi"/>
              <w:noProof/>
              <w:kern w:val="2"/>
              <w:sz w:val="24"/>
              <w:szCs w:val="30"/>
              <w:lang w:val="en-GB" w:bidi="bn-IN"/>
              <w14:ligatures w14:val="standardContextual"/>
            </w:rPr>
          </w:pPr>
          <w:hyperlink w:anchor="_Toc224564058" w:history="1">
            <w:r w:rsidRPr="006B1EF7">
              <w:rPr>
                <w:rStyle w:val="Hyperlink"/>
                <w:noProof/>
                <w:lang w:val="en-GB"/>
              </w:rPr>
              <w:t>References</w:t>
            </w:r>
            <w:r w:rsidRPr="006B1EF7">
              <w:rPr>
                <w:noProof/>
                <w:webHidden/>
                <w:lang w:val="en-GB"/>
              </w:rPr>
              <w:tab/>
            </w:r>
            <w:r w:rsidRPr="006B1EF7">
              <w:rPr>
                <w:noProof/>
                <w:webHidden/>
                <w:lang w:val="en-GB"/>
              </w:rPr>
              <w:fldChar w:fldCharType="begin"/>
            </w:r>
            <w:r w:rsidRPr="006B1EF7">
              <w:rPr>
                <w:noProof/>
                <w:webHidden/>
                <w:lang w:val="en-GB"/>
              </w:rPr>
              <w:instrText xml:space="preserve"> PAGEREF _Toc224564058 \h </w:instrText>
            </w:r>
            <w:r w:rsidRPr="006B1EF7">
              <w:rPr>
                <w:noProof/>
                <w:webHidden/>
                <w:lang w:val="en-GB"/>
              </w:rPr>
            </w:r>
            <w:r w:rsidRPr="006B1EF7">
              <w:rPr>
                <w:noProof/>
                <w:webHidden/>
                <w:lang w:val="en-GB"/>
              </w:rPr>
              <w:fldChar w:fldCharType="separate"/>
            </w:r>
            <w:r w:rsidRPr="006B1EF7">
              <w:rPr>
                <w:noProof/>
                <w:webHidden/>
                <w:lang w:val="en-GB"/>
              </w:rPr>
              <w:t>11</w:t>
            </w:r>
            <w:r w:rsidRPr="006B1EF7">
              <w:rPr>
                <w:noProof/>
                <w:webHidden/>
                <w:lang w:val="en-GB"/>
              </w:rPr>
              <w:fldChar w:fldCharType="end"/>
            </w:r>
          </w:hyperlink>
        </w:p>
        <w:p w14:paraId="2D51813C" w14:textId="2E5C2AAE" w:rsidR="00A64016" w:rsidRPr="006B1EF7" w:rsidRDefault="00A64016">
          <w:pPr>
            <w:rPr>
              <w:lang w:val="en-GB"/>
            </w:rPr>
          </w:pPr>
          <w:r w:rsidRPr="006B1EF7">
            <w:rPr>
              <w:b/>
              <w:bCs/>
              <w:noProof/>
              <w:lang w:val="en-GB"/>
            </w:rPr>
            <w:fldChar w:fldCharType="end"/>
          </w:r>
        </w:p>
      </w:sdtContent>
    </w:sdt>
    <w:p w14:paraId="1827E37E" w14:textId="77777777" w:rsidR="0022419A" w:rsidRPr="006B1EF7" w:rsidRDefault="0022419A" w:rsidP="00A64016">
      <w:pPr>
        <w:spacing w:line="360" w:lineRule="auto"/>
        <w:rPr>
          <w:rFonts w:eastAsia="Times New Roman"/>
          <w:b/>
          <w:bCs/>
          <w:sz w:val="32"/>
          <w:szCs w:val="32"/>
          <w:lang w:val="en-GB"/>
        </w:rPr>
      </w:pPr>
    </w:p>
    <w:p w14:paraId="75B10216" w14:textId="77777777" w:rsidR="0022419A" w:rsidRPr="006B1EF7" w:rsidRDefault="0022419A" w:rsidP="0022419A">
      <w:pPr>
        <w:spacing w:line="360" w:lineRule="auto"/>
        <w:jc w:val="both"/>
        <w:rPr>
          <w:rFonts w:eastAsia="Times New Roman"/>
          <w:b/>
          <w:bCs/>
          <w:lang w:val="en-GB"/>
        </w:rPr>
      </w:pPr>
      <w:r w:rsidRPr="006B1EF7">
        <w:rPr>
          <w:rFonts w:eastAsia="Times New Roman"/>
          <w:b/>
          <w:bCs/>
          <w:lang w:val="en-GB"/>
        </w:rPr>
        <w:br w:type="page"/>
      </w:r>
    </w:p>
    <w:p w14:paraId="00000001" w14:textId="6A706A75" w:rsidR="00515E3E" w:rsidRPr="009A343F" w:rsidRDefault="007E3C52" w:rsidP="00165EB2">
      <w:pPr>
        <w:pStyle w:val="Heading1"/>
        <w:spacing w:before="240" w:after="240" w:line="360" w:lineRule="auto"/>
        <w:jc w:val="both"/>
        <w:rPr>
          <w:b w:val="0"/>
          <w:color w:val="000000" w:themeColor="text1"/>
          <w:sz w:val="22"/>
          <w:szCs w:val="22"/>
          <w:lang w:val="en-GB"/>
        </w:rPr>
      </w:pPr>
      <w:bookmarkStart w:id="0" w:name="_Toc224564048"/>
      <w:r w:rsidRPr="009A343F">
        <w:rPr>
          <w:color w:val="000000" w:themeColor="text1"/>
          <w:sz w:val="22"/>
          <w:szCs w:val="22"/>
          <w:lang w:val="en-GB"/>
        </w:rPr>
        <w:lastRenderedPageBreak/>
        <w:t>1. Introduction</w:t>
      </w:r>
      <w:bookmarkEnd w:id="0"/>
      <w:r w:rsidRPr="009A343F">
        <w:rPr>
          <w:color w:val="000000" w:themeColor="text1"/>
          <w:sz w:val="22"/>
          <w:szCs w:val="22"/>
          <w:lang w:val="en-GB"/>
        </w:rPr>
        <w:t xml:space="preserve"> </w:t>
      </w:r>
    </w:p>
    <w:p w14:paraId="00000002" w14:textId="77777777" w:rsidR="00515E3E" w:rsidRPr="009A343F" w:rsidRDefault="007E3C52"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The incident of Lucy Letby in the neonatal unit of Countess of Chester Hospital which is under the National Health Service (NHS) is one of the most critical patient-safety disasters in the contemporary healthcare of the UK. The case is that between 2015 and 2016, there were disproportionately high rates of neonatal deaths and unexplainable infant collapses in the neonatal intensive care unit (NICU) of the hospital (Whiteing, 2024). Despite the fact that some clinicians were concerned about deviant clinical patterns and the potential relationship between adverse incidents and specific staff shifts, organisational responses were sluggish and disjointed. Regarding quality improvement, the present case reveals that harm in healthcare systems may be caused not only due to individual misconduct but also because of systemic flaws in the system of governance, communication and safety surveillance.</w:t>
      </w:r>
    </w:p>
    <w:p w14:paraId="00000003" w14:textId="7503F21E" w:rsidR="00515E3E" w:rsidRPr="009A343F" w:rsidRDefault="007E3C52"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 xml:space="preserve">The quality assurance processes in health and social care systems are to identify abnormal patterns at an early stage, decrease risks and avoid harm to vulnerable patients (Srinivas </w:t>
      </w:r>
      <w:r w:rsidRPr="009A343F">
        <w:rPr>
          <w:rFonts w:eastAsia="Times New Roman"/>
          <w:i/>
          <w:iCs/>
          <w:color w:val="000000" w:themeColor="text1"/>
          <w:lang w:val="en-GB"/>
        </w:rPr>
        <w:t>et al</w:t>
      </w:r>
      <w:r w:rsidRPr="009A343F">
        <w:rPr>
          <w:rFonts w:eastAsia="Times New Roman"/>
          <w:color w:val="000000" w:themeColor="text1"/>
          <w:lang w:val="en-GB"/>
        </w:rPr>
        <w:t>, 2022). Neonates are one of the most vulnerable groups of patients as they are left fully under the care of the health care systems. The failure of quality assurance mechanisms may lead to profound effects in the form of patient safety, organisational reputation and trust of healthcare institutions by the populace (Senyapar, 2024). Thus, the case under analysis needs to be analysed in the systems perspective to comprehend how the combination of various organisational failures can enable unsafe conditions. The systems-based approach pays attention to structural and organisational aspects that lead to poor outcomes as opposed to blaming individuals. In the present case, it is possible to note several root causes on the levels of the healthcare system. First, the inadequacy of incident reporting and monitoring systems implied that serendipitous clinical events were documented but not analysed in groups to help discover novel trends of neonatal injuries. In the absence of a proper trend analysis, warning signs have been missed. Second, delayed action was also facilitated by leadership and governance failures. The top management failed to take prompt action on the issue by raising concerns and did not conduct their independent investigations even after clinicians warned them severally.</w:t>
      </w:r>
      <w:r w:rsidR="00C10300" w:rsidRPr="009A343F">
        <w:rPr>
          <w:rFonts w:eastAsia="Times New Roman"/>
          <w:color w:val="000000" w:themeColor="text1"/>
          <w:lang w:val="en-GB"/>
        </w:rPr>
        <w:t xml:space="preserve"> The problems experienced in Countess of Chester Hospital are not unique to the National Health Service. Equivalent systemic problems were pointed out in earlier significant patient-safety scandals, including the Mid Staffordshire NHS Foundation Trust disaster and the Morecambe Bay maternity scandals. These incidences exposed repeated issues of governance supervision, growth of incidences and corporate culture where employee issues were either not addressed or poorly addressed. The frequency of these failures implies that the patient safety crises in the NHS </w:t>
      </w:r>
      <w:r w:rsidR="00C10300" w:rsidRPr="009A343F">
        <w:rPr>
          <w:rFonts w:eastAsia="Times New Roman"/>
          <w:color w:val="000000" w:themeColor="text1"/>
          <w:lang w:val="en-GB"/>
        </w:rPr>
        <w:lastRenderedPageBreak/>
        <w:t>are not limited to personal negligence, but the weaknesses in the system are frequent. Thus, the Lucy Letby case needs to be analysed in the systems-based perspective in order to see the bigger structural weaknesses in healthcare organisations.</w:t>
      </w:r>
    </w:p>
    <w:p w14:paraId="00000006" w14:textId="24A2F75D" w:rsidR="00515E3E" w:rsidRPr="009A343F" w:rsidRDefault="007E3C52"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 xml:space="preserve">Third, organisational culture was an important factor. There </w:t>
      </w:r>
      <w:r w:rsidR="00C10300" w:rsidRPr="009A343F">
        <w:rPr>
          <w:rFonts w:eastAsia="Times New Roman"/>
          <w:color w:val="000000" w:themeColor="text1"/>
          <w:lang w:val="en-GB"/>
        </w:rPr>
        <w:t>were</w:t>
      </w:r>
      <w:r w:rsidRPr="009A343F">
        <w:rPr>
          <w:rFonts w:eastAsia="Times New Roman"/>
          <w:color w:val="000000" w:themeColor="text1"/>
          <w:lang w:val="en-GB"/>
        </w:rPr>
        <w:t xml:space="preserve"> less psychological safety and effective whistle-blowing practices that would encourage staff to come forward and report their concerns. Clinicians also experienced a lack of support when they were raising safety concerns, which reduced the organisation to take actions fast when risks arose. Lastly, the neonatal unit was further undermined by the pressure of operations such as staff shortage, excessive patient workload and scarce clinical supervision. These circumstances provided the premises in which safety monitoring systems were incapable of performing efficiently. The design of the effective service improvement strategies relies on the understanding of these root causes. This report seeks to evaluate system failures in the case of the discussed issue by applying systematic quality improvement models and organisational analysis solutions to the case and outlining evidence-based solutions that could be implemented to enhance patient safety and quality assurance in healthcare organisations. </w:t>
      </w:r>
    </w:p>
    <w:p w14:paraId="00000007" w14:textId="77777777" w:rsidR="00515E3E" w:rsidRPr="009A343F" w:rsidRDefault="007E3C52" w:rsidP="00165EB2">
      <w:pPr>
        <w:pStyle w:val="Heading1"/>
        <w:spacing w:before="240" w:after="240" w:line="360" w:lineRule="auto"/>
        <w:jc w:val="both"/>
        <w:rPr>
          <w:color w:val="000000" w:themeColor="text1"/>
          <w:sz w:val="22"/>
          <w:szCs w:val="22"/>
          <w:lang w:val="en-GB"/>
        </w:rPr>
      </w:pPr>
      <w:bookmarkStart w:id="1" w:name="_Toc224564049"/>
      <w:r w:rsidRPr="009A343F">
        <w:rPr>
          <w:color w:val="000000" w:themeColor="text1"/>
          <w:sz w:val="22"/>
          <w:szCs w:val="22"/>
          <w:lang w:val="en-GB"/>
        </w:rPr>
        <w:t>2. Main body</w:t>
      </w:r>
      <w:bookmarkEnd w:id="1"/>
      <w:r w:rsidRPr="009A343F">
        <w:rPr>
          <w:color w:val="000000" w:themeColor="text1"/>
          <w:sz w:val="22"/>
          <w:szCs w:val="22"/>
          <w:lang w:val="en-GB"/>
        </w:rPr>
        <w:t xml:space="preserve"> </w:t>
      </w:r>
    </w:p>
    <w:p w14:paraId="00000008" w14:textId="77777777" w:rsidR="00515E3E" w:rsidRPr="009A343F" w:rsidRDefault="007E3C52" w:rsidP="00165EB2">
      <w:pPr>
        <w:pStyle w:val="Heading2"/>
        <w:spacing w:before="240" w:after="240" w:line="360" w:lineRule="auto"/>
        <w:jc w:val="both"/>
        <w:rPr>
          <w:b w:val="0"/>
          <w:color w:val="000000" w:themeColor="text1"/>
          <w:szCs w:val="22"/>
          <w:lang w:val="en-GB"/>
        </w:rPr>
      </w:pPr>
      <w:bookmarkStart w:id="2" w:name="_Toc224564050"/>
      <w:r w:rsidRPr="009A343F">
        <w:rPr>
          <w:color w:val="000000" w:themeColor="text1"/>
          <w:szCs w:val="22"/>
          <w:lang w:val="en-GB"/>
        </w:rPr>
        <w:t>2.1 The Donabedian model</w:t>
      </w:r>
      <w:bookmarkEnd w:id="2"/>
    </w:p>
    <w:p w14:paraId="00000009" w14:textId="1BBE1E91" w:rsidR="00515E3E" w:rsidRDefault="007E3C52"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 xml:space="preserve">A well-known model that has been applied in the assessment of quality of healthcare services is the Donabedian Model developed by Avedis Donabedian. The model describes that three components are related to assess the quality of healthcare in terms of structure, process and outcome (Yang </w:t>
      </w:r>
      <w:r w:rsidRPr="009A343F">
        <w:rPr>
          <w:rFonts w:eastAsia="Times New Roman"/>
          <w:i/>
          <w:iCs/>
          <w:color w:val="000000" w:themeColor="text1"/>
          <w:lang w:val="en-GB"/>
        </w:rPr>
        <w:t>et al</w:t>
      </w:r>
      <w:r w:rsidRPr="009A343F">
        <w:rPr>
          <w:rFonts w:eastAsia="Times New Roman"/>
          <w:color w:val="000000" w:themeColor="text1"/>
          <w:lang w:val="en-GB"/>
        </w:rPr>
        <w:t xml:space="preserve">., 2025). These elements offer a formal way of comprehending how organizational circumstances and practices of care delivery affect the patient safety and health outcomes. The application of this model to the case in which Lucy Letby was working at Countess of Chester Hospital assists in determining the systemic vulnerabilities that have caused the failure in patient safety. </w:t>
      </w:r>
    </w:p>
    <w:p w14:paraId="0BC50466" w14:textId="67A76755" w:rsidR="00733A88" w:rsidRDefault="00963669" w:rsidP="00165EB2">
      <w:pPr>
        <w:spacing w:before="240" w:after="240" w:line="360" w:lineRule="auto"/>
        <w:jc w:val="both"/>
        <w:rPr>
          <w:rFonts w:eastAsia="Times New Roman"/>
          <w:color w:val="000000" w:themeColor="text1"/>
          <w:lang w:val="en-GB"/>
        </w:rPr>
      </w:pPr>
      <w:r>
        <w:rPr>
          <w:rFonts w:eastAsia="Times New Roman"/>
          <w:noProof/>
          <w:color w:val="000000" w:themeColor="text1"/>
          <w:lang w:val="en-GB"/>
        </w:rPr>
        <mc:AlternateContent>
          <mc:Choice Requires="wps">
            <w:drawing>
              <wp:anchor distT="0" distB="0" distL="114300" distR="114300" simplePos="0" relativeHeight="251659264" behindDoc="0" locked="0" layoutInCell="1" allowOverlap="1" wp14:anchorId="089D954F" wp14:editId="02654D07">
                <wp:simplePos x="0" y="0"/>
                <wp:positionH relativeFrom="margin">
                  <wp:align>right</wp:align>
                </wp:positionH>
                <wp:positionV relativeFrom="paragraph">
                  <wp:posOffset>19713</wp:posOffset>
                </wp:positionV>
                <wp:extent cx="5931590" cy="1454564"/>
                <wp:effectExtent l="0" t="0" r="12065" b="12700"/>
                <wp:wrapNone/>
                <wp:docPr id="1991291550" name="Rectangle 1"/>
                <wp:cNvGraphicFramePr/>
                <a:graphic xmlns:a="http://schemas.openxmlformats.org/drawingml/2006/main">
                  <a:graphicData uri="http://schemas.microsoft.com/office/word/2010/wordprocessingShape">
                    <wps:wsp>
                      <wps:cNvSpPr/>
                      <wps:spPr>
                        <a:xfrm>
                          <a:off x="0" y="0"/>
                          <a:ext cx="5931590" cy="1454564"/>
                        </a:xfrm>
                        <a:prstGeom prst="rect">
                          <a:avLst/>
                        </a:prstGeom>
                      </wps:spPr>
                      <wps:style>
                        <a:lnRef idx="2">
                          <a:schemeClr val="dk1"/>
                        </a:lnRef>
                        <a:fillRef idx="1">
                          <a:schemeClr val="lt1"/>
                        </a:fillRef>
                        <a:effectRef idx="0">
                          <a:schemeClr val="dk1"/>
                        </a:effectRef>
                        <a:fontRef idx="minor">
                          <a:schemeClr val="dk1"/>
                        </a:fontRef>
                      </wps:style>
                      <wps:txbx>
                        <w:txbxContent>
                          <w:p w14:paraId="7F248EA1" w14:textId="77777777" w:rsidR="007D71DE" w:rsidRPr="007D71DE" w:rsidRDefault="007D71DE" w:rsidP="007D71DE">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9D954F" id="Rectangle 1" o:spid="_x0000_s1026" style="position:absolute;left:0;text-align:left;margin-left:415.85pt;margin-top:1.55pt;width:467.05pt;height:114.5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" fillcolor="white [3201]" strokecolor="black [3200]" strokeweight="2pt">
                <v:textbox>
                  <w:txbxContent>
                    <w:p w14:paraId="7F248EA1" w14:textId="77777777" w:rsidR="007D71DE" w:rsidRPr="007D71DE" w:rsidRDefault="007D71DE" w:rsidP="007D71DE">
                      <w:pPr>
                        <w:jc w:val="center"/>
                        <w:rPr>
                          <w:lang w:val="en-GB"/>
                        </w:rPr>
                      </w:pPr>
                    </w:p>
                  </w:txbxContent>
                </v:textbox>
                <w10:wrap anchorx="margin"/>
              </v:rect>
            </w:pict>
          </mc:Fallback>
        </mc:AlternateContent>
      </w:r>
      <w:r w:rsidR="007D71DE">
        <w:rPr>
          <w:rFonts w:eastAsia="Times New Roman"/>
          <w:noProof/>
          <w:color w:val="000000" w:themeColor="text1"/>
          <w:lang w:val="en-GB"/>
        </w:rPr>
        <mc:AlternateContent>
          <mc:Choice Requires="wps">
            <w:drawing>
              <wp:anchor distT="0" distB="0" distL="114300" distR="114300" simplePos="0" relativeHeight="251664384" behindDoc="0" locked="0" layoutInCell="1" allowOverlap="1" wp14:anchorId="7001A20A" wp14:editId="21C0EF41">
                <wp:simplePos x="0" y="0"/>
                <wp:positionH relativeFrom="column">
                  <wp:posOffset>4406513</wp:posOffset>
                </wp:positionH>
                <wp:positionV relativeFrom="paragraph">
                  <wp:posOffset>195000</wp:posOffset>
                </wp:positionV>
                <wp:extent cx="1398849" cy="1139245"/>
                <wp:effectExtent l="57150" t="19050" r="68580" b="99060"/>
                <wp:wrapNone/>
                <wp:docPr id="1763165468" name="Oval 2"/>
                <wp:cNvGraphicFramePr/>
                <a:graphic xmlns:a="http://schemas.openxmlformats.org/drawingml/2006/main">
                  <a:graphicData uri="http://schemas.microsoft.com/office/word/2010/wordprocessingShape">
                    <wps:wsp>
                      <wps:cNvSpPr/>
                      <wps:spPr>
                        <a:xfrm>
                          <a:off x="0" y="0"/>
                          <a:ext cx="1398849" cy="1139245"/>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CE62715" w14:textId="5B934BCF" w:rsidR="007D71DE" w:rsidRPr="007D71DE" w:rsidRDefault="007D71DE" w:rsidP="007D71DE">
                            <w:pPr>
                              <w:jc w:val="center"/>
                              <w:rPr>
                                <w:sz w:val="32"/>
                                <w:szCs w:val="32"/>
                                <w:lang w:val="en-GB"/>
                              </w:rPr>
                            </w:pPr>
                            <w:r w:rsidRPr="007D71DE">
                              <w:rPr>
                                <w:sz w:val="32"/>
                                <w:szCs w:val="32"/>
                                <w:lang w:val="en-GB"/>
                              </w:rPr>
                              <w:t>outcome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01A20A" id="Oval 2" o:spid="_x0000_s1027" style="position:absolute;left:0;text-align:left;margin-left:346.95pt;margin-top:15.35pt;width:110.15pt;height:8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" fillcolor="#4f81bd [3204]" strokecolor="#4579b8 [3044]">
                <v:fill color2="#a7bfde [1620]" rotate="t" angle="180" focus="100%" type="gradient">
                  <o:fill v:ext="view" type="gradientUnscaled"/>
                </v:fill>
                <v:shadow on="t" color="black" opacity="22937f" origin=",.5" offset="0,.63889mm"/>
                <v:textbox>
                  <w:txbxContent>
                    <w:p w14:paraId="5CE62715" w14:textId="5B934BCF" w:rsidR="007D71DE" w:rsidRPr="007D71DE" w:rsidRDefault="007D71DE" w:rsidP="007D71DE">
                      <w:pPr>
                        <w:jc w:val="center"/>
                        <w:rPr>
                          <w:sz w:val="32"/>
                          <w:szCs w:val="32"/>
                          <w:lang w:val="en-GB"/>
                        </w:rPr>
                      </w:pPr>
                      <w:r w:rsidRPr="007D71DE">
                        <w:rPr>
                          <w:sz w:val="32"/>
                          <w:szCs w:val="32"/>
                          <w:lang w:val="en-GB"/>
                        </w:rPr>
                        <w:t>outcome</w:t>
                      </w:r>
                    </w:p>
                  </w:txbxContent>
                </v:textbox>
              </v:oval>
            </w:pict>
          </mc:Fallback>
        </mc:AlternateContent>
      </w:r>
      <w:r w:rsidR="007D71DE">
        <w:rPr>
          <w:rFonts w:eastAsia="Times New Roman"/>
          <w:noProof/>
          <w:color w:val="000000" w:themeColor="text1"/>
          <w:lang w:val="en-GB"/>
        </w:rPr>
        <mc:AlternateContent>
          <mc:Choice Requires="wps">
            <w:drawing>
              <wp:anchor distT="0" distB="0" distL="114300" distR="114300" simplePos="0" relativeHeight="251662336" behindDoc="0" locked="0" layoutInCell="1" allowOverlap="1" wp14:anchorId="5CFFF561" wp14:editId="5D15282E">
                <wp:simplePos x="0" y="0"/>
                <wp:positionH relativeFrom="margin">
                  <wp:posOffset>2227856</wp:posOffset>
                </wp:positionH>
                <wp:positionV relativeFrom="paragraph">
                  <wp:posOffset>202952</wp:posOffset>
                </wp:positionV>
                <wp:extent cx="1504315" cy="1091703"/>
                <wp:effectExtent l="57150" t="19050" r="76835" b="89535"/>
                <wp:wrapNone/>
                <wp:docPr id="1847436853" name="Oval 2"/>
                <wp:cNvGraphicFramePr/>
                <a:graphic xmlns:a="http://schemas.openxmlformats.org/drawingml/2006/main">
                  <a:graphicData uri="http://schemas.microsoft.com/office/word/2010/wordprocessingShape">
                    <wps:wsp>
                      <wps:cNvSpPr/>
                      <wps:spPr>
                        <a:xfrm>
                          <a:off x="0" y="0"/>
                          <a:ext cx="1504315" cy="1091703"/>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79812F27" w14:textId="132CEBDE" w:rsidR="007D71DE" w:rsidRPr="007D71DE" w:rsidRDefault="007D71DE" w:rsidP="007D71DE">
                            <w:pPr>
                              <w:jc w:val="center"/>
                              <w:rPr>
                                <w:sz w:val="32"/>
                                <w:szCs w:val="32"/>
                                <w:lang w:val="en-GB"/>
                              </w:rPr>
                            </w:pPr>
                            <w:r w:rsidRPr="007D71DE">
                              <w:rPr>
                                <w:sz w:val="32"/>
                                <w:szCs w:val="32"/>
                                <w:lang w:val="en-GB"/>
                              </w:rPr>
                              <w:t>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FFF561" id="_x0000_s1028" style="position:absolute;left:0;text-align:left;margin-left:175.4pt;margin-top:16pt;width:118.45pt;height:85.9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" fillcolor="#4f81bd [3204]" strokecolor="#4579b8 [3044]">
                <v:fill color2="#a7bfde [1620]" rotate="t" angle="180" focus="100%" type="gradient">
                  <o:fill v:ext="view" type="gradientUnscaled"/>
                </v:fill>
                <v:shadow on="t" color="black" opacity="22937f" origin=",.5" offset="0,.63889mm"/>
                <v:textbox>
                  <w:txbxContent>
                    <w:p w14:paraId="79812F27" w14:textId="132CEBDE" w:rsidR="007D71DE" w:rsidRPr="007D71DE" w:rsidRDefault="007D71DE" w:rsidP="007D71DE">
                      <w:pPr>
                        <w:jc w:val="center"/>
                        <w:rPr>
                          <w:sz w:val="32"/>
                          <w:szCs w:val="32"/>
                          <w:lang w:val="en-GB"/>
                        </w:rPr>
                      </w:pPr>
                      <w:r w:rsidRPr="007D71DE">
                        <w:rPr>
                          <w:sz w:val="32"/>
                          <w:szCs w:val="32"/>
                          <w:lang w:val="en-GB"/>
                        </w:rPr>
                        <w:t>process</w:t>
                      </w:r>
                    </w:p>
                  </w:txbxContent>
                </v:textbox>
                <w10:wrap anchorx="margin"/>
              </v:oval>
            </w:pict>
          </mc:Fallback>
        </mc:AlternateContent>
      </w:r>
      <w:r w:rsidR="007D71DE">
        <w:rPr>
          <w:rFonts w:eastAsia="Times New Roman"/>
          <w:noProof/>
          <w:color w:val="000000" w:themeColor="text1"/>
          <w:lang w:val="en-GB"/>
        </w:rPr>
        <mc:AlternateContent>
          <mc:Choice Requires="wps">
            <w:drawing>
              <wp:anchor distT="0" distB="0" distL="114300" distR="114300" simplePos="0" relativeHeight="251660288" behindDoc="0" locked="0" layoutInCell="1" allowOverlap="1" wp14:anchorId="5F7CB7DA" wp14:editId="57DDCE73">
                <wp:simplePos x="0" y="0"/>
                <wp:positionH relativeFrom="margin">
                  <wp:posOffset>104858</wp:posOffset>
                </wp:positionH>
                <wp:positionV relativeFrom="paragraph">
                  <wp:posOffset>226805</wp:posOffset>
                </wp:positionV>
                <wp:extent cx="1517015" cy="1067739"/>
                <wp:effectExtent l="57150" t="19050" r="83185" b="94615"/>
                <wp:wrapNone/>
                <wp:docPr id="157327014" name="Oval 2"/>
                <wp:cNvGraphicFramePr/>
                <a:graphic xmlns:a="http://schemas.openxmlformats.org/drawingml/2006/main">
                  <a:graphicData uri="http://schemas.microsoft.com/office/word/2010/wordprocessingShape">
                    <wps:wsp>
                      <wps:cNvSpPr/>
                      <wps:spPr>
                        <a:xfrm>
                          <a:off x="0" y="0"/>
                          <a:ext cx="1517015" cy="1067739"/>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60632DB8" w14:textId="626C65CB" w:rsidR="007D71DE" w:rsidRPr="007D71DE" w:rsidRDefault="007D71DE" w:rsidP="007D71DE">
                            <w:pPr>
                              <w:jc w:val="center"/>
                              <w:rPr>
                                <w:sz w:val="32"/>
                                <w:szCs w:val="32"/>
                                <w:lang w:val="en-GB"/>
                              </w:rPr>
                            </w:pPr>
                            <w:r w:rsidRPr="007D71DE">
                              <w:rPr>
                                <w:sz w:val="32"/>
                                <w:szCs w:val="32"/>
                                <w:lang w:val="en-GB"/>
                              </w:rPr>
                              <w:t>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7CB7DA" id="_x0000_s1029" style="position:absolute;left:0;text-align:left;margin-left:8.25pt;margin-top:17.85pt;width:119.45pt;height:84.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" fillcolor="#4f81bd [3204]" strokecolor="#4579b8 [3044]">
                <v:fill color2="#a7bfde [1620]" rotate="t" angle="180" focus="100%" type="gradient">
                  <o:fill v:ext="view" type="gradientUnscaled"/>
                </v:fill>
                <v:shadow on="t" color="black" opacity="22937f" origin=",.5" offset="0,.63889mm"/>
                <v:textbox>
                  <w:txbxContent>
                    <w:p w14:paraId="60632DB8" w14:textId="626C65CB" w:rsidR="007D71DE" w:rsidRPr="007D71DE" w:rsidRDefault="007D71DE" w:rsidP="007D71DE">
                      <w:pPr>
                        <w:jc w:val="center"/>
                        <w:rPr>
                          <w:sz w:val="32"/>
                          <w:szCs w:val="32"/>
                          <w:lang w:val="en-GB"/>
                        </w:rPr>
                      </w:pPr>
                      <w:r w:rsidRPr="007D71DE">
                        <w:rPr>
                          <w:sz w:val="32"/>
                          <w:szCs w:val="32"/>
                          <w:lang w:val="en-GB"/>
                        </w:rPr>
                        <w:t>structure</w:t>
                      </w:r>
                    </w:p>
                  </w:txbxContent>
                </v:textbox>
                <w10:wrap anchorx="margin"/>
              </v:oval>
            </w:pict>
          </mc:Fallback>
        </mc:AlternateContent>
      </w:r>
    </w:p>
    <w:p w14:paraId="42C589CD" w14:textId="392471A4" w:rsidR="00733A88" w:rsidRDefault="007D71DE" w:rsidP="00165EB2">
      <w:pPr>
        <w:spacing w:before="240" w:after="240" w:line="360" w:lineRule="auto"/>
        <w:jc w:val="both"/>
        <w:rPr>
          <w:rFonts w:eastAsia="Times New Roman"/>
          <w:color w:val="000000" w:themeColor="text1"/>
          <w:lang w:val="en-GB"/>
        </w:rPr>
      </w:pPr>
      <w:r>
        <w:rPr>
          <w:rFonts w:eastAsia="Times New Roman"/>
          <w:noProof/>
          <w:color w:val="000000" w:themeColor="text1"/>
          <w:lang w:val="en-GB"/>
        </w:rPr>
        <mc:AlternateContent>
          <mc:Choice Requires="wps">
            <w:drawing>
              <wp:anchor distT="0" distB="0" distL="114300" distR="114300" simplePos="0" relativeHeight="251667456" behindDoc="0" locked="0" layoutInCell="1" allowOverlap="1" wp14:anchorId="43FD65FF" wp14:editId="1929B557">
                <wp:simplePos x="0" y="0"/>
                <wp:positionH relativeFrom="column">
                  <wp:posOffset>3800503</wp:posOffset>
                </wp:positionH>
                <wp:positionV relativeFrom="paragraph">
                  <wp:posOffset>125840</wp:posOffset>
                </wp:positionV>
                <wp:extent cx="564487" cy="484632"/>
                <wp:effectExtent l="57150" t="38100" r="83820" b="86995"/>
                <wp:wrapNone/>
                <wp:docPr id="1921500409" name="Arrow: Right 4"/>
                <wp:cNvGraphicFramePr/>
                <a:graphic xmlns:a="http://schemas.openxmlformats.org/drawingml/2006/main">
                  <a:graphicData uri="http://schemas.microsoft.com/office/word/2010/wordprocessingShape">
                    <wps:wsp>
                      <wps:cNvSpPr/>
                      <wps:spPr>
                        <a:xfrm>
                          <a:off x="0" y="0"/>
                          <a:ext cx="564487" cy="484632"/>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F2519B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299.25pt;margin-top:9.9pt;width:44.45pt;height:38.1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" adj="12328" fillcolor="#4f81bd [3204]" strokecolor="#4579b8 [3044]">
                <v:fill color2="#a7bfde [1620]" rotate="t" angle="180" focus="100%" type="gradient">
                  <o:fill v:ext="view" type="gradientUnscaled"/>
                </v:fill>
                <v:shadow on="t" color="black" opacity="22937f" origin=",.5" offset="0,.63889mm"/>
              </v:shape>
            </w:pict>
          </mc:Fallback>
        </mc:AlternateContent>
      </w:r>
      <w:r>
        <w:rPr>
          <w:rFonts w:eastAsia="Times New Roman"/>
          <w:noProof/>
          <w:color w:val="000000" w:themeColor="text1"/>
          <w:lang w:val="en-GB"/>
        </w:rPr>
        <mc:AlternateContent>
          <mc:Choice Requires="wps">
            <w:drawing>
              <wp:anchor distT="0" distB="0" distL="114300" distR="114300" simplePos="0" relativeHeight="251665408" behindDoc="0" locked="0" layoutInCell="1" allowOverlap="1" wp14:anchorId="4926FD9E" wp14:editId="0DBCE913">
                <wp:simplePos x="0" y="0"/>
                <wp:positionH relativeFrom="column">
                  <wp:posOffset>1677698</wp:posOffset>
                </wp:positionH>
                <wp:positionV relativeFrom="paragraph">
                  <wp:posOffset>149722</wp:posOffset>
                </wp:positionV>
                <wp:extent cx="517690" cy="484505"/>
                <wp:effectExtent l="57150" t="38100" r="73025" b="86995"/>
                <wp:wrapNone/>
                <wp:docPr id="268845270" name="Arrow: Right 4"/>
                <wp:cNvGraphicFramePr/>
                <a:graphic xmlns:a="http://schemas.openxmlformats.org/drawingml/2006/main">
                  <a:graphicData uri="http://schemas.microsoft.com/office/word/2010/wordprocessingShape">
                    <wps:wsp>
                      <wps:cNvSpPr/>
                      <wps:spPr>
                        <a:xfrm>
                          <a:off x="0" y="0"/>
                          <a:ext cx="517690" cy="48450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40788D0" id="Arrow: Right 4" o:spid="_x0000_s1026" type="#_x0000_t13" style="position:absolute;margin-left:132.1pt;margin-top:11.8pt;width:40.75pt;height:38.1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" adj="11492" fillcolor="#4f81bd [3204]" strokecolor="#4579b8 [3044]">
                <v:fill color2="#a7bfde [1620]" rotate="t" angle="180" focus="100%" type="gradient">
                  <o:fill v:ext="view" type="gradientUnscaled"/>
                </v:fill>
                <v:shadow on="t" color="black" opacity="22937f" origin=",.5" offset="0,.63889mm"/>
              </v:shape>
            </w:pict>
          </mc:Fallback>
        </mc:AlternateContent>
      </w:r>
    </w:p>
    <w:p w14:paraId="6B29F17E" w14:textId="0B50B4BC" w:rsidR="00733A88" w:rsidRPr="009A343F" w:rsidRDefault="00963669" w:rsidP="00165EB2">
      <w:pPr>
        <w:spacing w:before="240" w:after="240" w:line="360" w:lineRule="auto"/>
        <w:jc w:val="both"/>
        <w:rPr>
          <w:rFonts w:eastAsia="Times New Roman"/>
          <w:color w:val="000000" w:themeColor="text1"/>
          <w:lang w:val="en-GB"/>
        </w:rPr>
      </w:pPr>
      <w:r>
        <w:rPr>
          <w:rFonts w:eastAsia="Times New Roman"/>
          <w:noProof/>
          <w:color w:val="000000" w:themeColor="text1"/>
          <w:lang w:val="en-GB"/>
        </w:rPr>
        <mc:AlternateContent>
          <mc:Choice Requires="wps">
            <w:drawing>
              <wp:anchor distT="0" distB="0" distL="114300" distR="114300" simplePos="0" relativeHeight="251668480" behindDoc="0" locked="0" layoutInCell="1" allowOverlap="1" wp14:anchorId="75277604" wp14:editId="228FF064">
                <wp:simplePos x="0" y="0"/>
                <wp:positionH relativeFrom="column">
                  <wp:posOffset>1621818</wp:posOffset>
                </wp:positionH>
                <wp:positionV relativeFrom="paragraph">
                  <wp:posOffset>728069</wp:posOffset>
                </wp:positionV>
                <wp:extent cx="2544418" cy="524787"/>
                <wp:effectExtent l="0" t="0" r="27940" b="27940"/>
                <wp:wrapNone/>
                <wp:docPr id="1176821571" name="Text Box 7"/>
                <wp:cNvGraphicFramePr/>
                <a:graphic xmlns:a="http://schemas.openxmlformats.org/drawingml/2006/main">
                  <a:graphicData uri="http://schemas.microsoft.com/office/word/2010/wordprocessingShape">
                    <wps:wsp>
                      <wps:cNvSpPr txBox="1"/>
                      <wps:spPr>
                        <a:xfrm>
                          <a:off x="0" y="0"/>
                          <a:ext cx="2544418" cy="524787"/>
                        </a:xfrm>
                        <a:prstGeom prst="rect">
                          <a:avLst/>
                        </a:prstGeom>
                        <a:solidFill>
                          <a:schemeClr val="lt1"/>
                        </a:solidFill>
                        <a:ln w="6350">
                          <a:solidFill>
                            <a:prstClr val="black"/>
                          </a:solidFill>
                        </a:ln>
                      </wps:spPr>
                      <wps:txbx>
                        <w:txbxContent>
                          <w:p w14:paraId="5532677F" w14:textId="79617790" w:rsidR="00963669" w:rsidRPr="00B64D50" w:rsidRDefault="00963669">
                            <w:pPr>
                              <w:rPr>
                                <w:b/>
                                <w:bCs/>
                                <w:lang w:val="en-GB"/>
                              </w:rPr>
                            </w:pPr>
                            <w:r w:rsidRPr="00B64D50">
                              <w:rPr>
                                <w:b/>
                                <w:bCs/>
                                <w:lang w:val="en-GB"/>
                              </w:rPr>
                              <w:t>Figure 1: The Donabedian Model</w:t>
                            </w:r>
                          </w:p>
                          <w:p w14:paraId="185702DA" w14:textId="1E0F02CC" w:rsidR="00963669" w:rsidRPr="00B64D50" w:rsidRDefault="00B64D50">
                            <w:pPr>
                              <w:rPr>
                                <w:lang w:val="en-GB"/>
                              </w:rPr>
                            </w:pPr>
                            <w:r w:rsidRPr="00B64D50">
                              <w:rPr>
                                <w:lang w:val="en-GB"/>
                              </w:rPr>
                              <w:t xml:space="preserve">     </w:t>
                            </w:r>
                            <w:r>
                              <w:rPr>
                                <w:lang w:val="en-GB"/>
                              </w:rPr>
                              <w:t xml:space="preserve">    </w:t>
                            </w:r>
                            <w:r w:rsidRPr="00B64D50">
                              <w:rPr>
                                <w:lang w:val="en-GB"/>
                              </w:rPr>
                              <w:t xml:space="preserve"> </w:t>
                            </w:r>
                            <w:r w:rsidR="00963669" w:rsidRPr="00B64D50">
                              <w:rPr>
                                <w:lang w:val="en-GB"/>
                              </w:rPr>
                              <w:t>(source: self-Created)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277604" id="_x0000_t202" coordsize="21600,21600" o:spt="202" path="m,l,21600r21600,l21600,xe">
                <v:stroke joinstyle="miter"/>
                <v:path gradientshapeok="t" o:connecttype="rect"/>
              </v:shapetype>
              <v:shape id="Text Box 7" o:spid="_x0000_s1030" type="#_x0000_t202" style="position:absolute;left:0;text-align:left;margin-left:127.7pt;margin-top:57.35pt;width:200.35pt;height:4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" fillcolor="white [3201]" strokeweight=".5pt">
                <v:textbox>
                  <w:txbxContent>
                    <w:p w14:paraId="5532677F" w14:textId="79617790" w:rsidR="00963669" w:rsidRPr="00B64D50" w:rsidRDefault="00963669">
                      <w:pPr>
                        <w:rPr>
                          <w:b/>
                          <w:bCs/>
                          <w:lang w:val="en-GB"/>
                        </w:rPr>
                      </w:pPr>
                      <w:r w:rsidRPr="00B64D50">
                        <w:rPr>
                          <w:b/>
                          <w:bCs/>
                          <w:lang w:val="en-GB"/>
                        </w:rPr>
                        <w:t>Figure 1: The Donabedian Model</w:t>
                      </w:r>
                    </w:p>
                    <w:p w14:paraId="185702DA" w14:textId="1E0F02CC" w:rsidR="00963669" w:rsidRPr="00B64D50" w:rsidRDefault="00B64D50">
                      <w:pPr>
                        <w:rPr>
                          <w:lang w:val="en-GB"/>
                        </w:rPr>
                      </w:pPr>
                      <w:r w:rsidRPr="00B64D50">
                        <w:rPr>
                          <w:lang w:val="en-GB"/>
                        </w:rPr>
                        <w:t xml:space="preserve">     </w:t>
                      </w:r>
                      <w:r>
                        <w:rPr>
                          <w:lang w:val="en-GB"/>
                        </w:rPr>
                        <w:t xml:space="preserve">    </w:t>
                      </w:r>
                      <w:r w:rsidRPr="00B64D50">
                        <w:rPr>
                          <w:lang w:val="en-GB"/>
                        </w:rPr>
                        <w:t xml:space="preserve"> </w:t>
                      </w:r>
                      <w:r w:rsidR="00963669" w:rsidRPr="00B64D50">
                        <w:rPr>
                          <w:lang w:val="en-GB"/>
                        </w:rPr>
                        <w:t>(source: self-Created)</w:t>
                      </w:r>
                    </w:p>
                  </w:txbxContent>
                </v:textbox>
              </v:shape>
            </w:pict>
          </mc:Fallback>
        </mc:AlternateContent>
      </w:r>
    </w:p>
    <w:p w14:paraId="0000000A" w14:textId="77777777" w:rsidR="00515E3E" w:rsidRPr="009A343F" w:rsidRDefault="007E3C52"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lastRenderedPageBreak/>
        <w:t xml:space="preserve">The first factor is the structure which is the organizational setup where healthcare is offered. These are staffing levels, systems in governance, organisational culture and availability of resources. Structural issues that were present in the neonatal unit of the hospital were staffing pressures and lack of effective oversight mechanisms. It was also reported that there were weak areas in leadership response and governance structures and that led to the fact that the concerns expressed by clinicians about the unusual cases in the neonatal practice were not sufficiently tackled. Also, lack of protection of whistle-blowing decreased employee confidence to raise safety issues which further undermined the organisational framework to bow to the protection of patient safety. </w:t>
      </w:r>
    </w:p>
    <w:p w14:paraId="7A5884D6" w14:textId="77777777" w:rsidR="004B6419" w:rsidRDefault="007E3C52"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 xml:space="preserve">The second component is the process which is associated with the way and methods of providing healthcare services. This involves internal communication between employees, clinical decision-making, incident reporting and monitoring systems (Pereira de Souza </w:t>
      </w:r>
      <w:r w:rsidRPr="009A343F">
        <w:rPr>
          <w:rFonts w:eastAsia="Times New Roman"/>
          <w:i/>
          <w:iCs/>
          <w:color w:val="000000" w:themeColor="text1"/>
          <w:lang w:val="en-GB"/>
        </w:rPr>
        <w:t>et al</w:t>
      </w:r>
      <w:r w:rsidRPr="009A343F">
        <w:rPr>
          <w:rFonts w:eastAsia="Times New Roman"/>
          <w:color w:val="000000" w:themeColor="text1"/>
          <w:lang w:val="en-GB"/>
        </w:rPr>
        <w:t>., 2021). The instances of neonatal collapse were reported here but they were not tabulated to identify patterns. There was the failure to carry out early root cause analysis or carry out independent clinical investigations and thus preventing early identification of the potential risks. Thus, the procedures that were designed to guarantee patient safety, failed to work efficiently.</w:t>
      </w:r>
    </w:p>
    <w:p w14:paraId="0000000B" w14:textId="30ED0A71" w:rsidR="00515E3E" w:rsidRPr="004B6419" w:rsidRDefault="007E3C52"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The third element is outcome that means the ultimate data of healthcare services and consists of patient health data and organizational performance. In this case, results were devastating with a number of neonatal fatality and a great deal of family suffering. The case also led to a reputational loss to the hospital and the concern of overall patient safety governance in the National Health Service. Overall, the Donabedian Model illustrates that the flaws in organisational structure and care processes may have a direct impact on healthcare outcomes.</w:t>
      </w:r>
    </w:p>
    <w:p w14:paraId="0000000C" w14:textId="77777777" w:rsidR="00515E3E" w:rsidRPr="009A343F" w:rsidRDefault="007E3C52" w:rsidP="00165EB2">
      <w:pPr>
        <w:pStyle w:val="Heading2"/>
        <w:spacing w:before="240" w:after="240" w:line="360" w:lineRule="auto"/>
        <w:jc w:val="both"/>
        <w:rPr>
          <w:color w:val="000000" w:themeColor="text1"/>
          <w:szCs w:val="22"/>
          <w:lang w:val="en-GB"/>
        </w:rPr>
      </w:pPr>
      <w:bookmarkStart w:id="3" w:name="_Toc224564051"/>
      <w:r w:rsidRPr="009A343F">
        <w:rPr>
          <w:color w:val="000000" w:themeColor="text1"/>
          <w:szCs w:val="22"/>
          <w:lang w:val="en-GB"/>
        </w:rPr>
        <w:t>2.2 Fishbone diagram</w:t>
      </w:r>
      <w:bookmarkEnd w:id="3"/>
    </w:p>
    <w:p w14:paraId="0000000D" w14:textId="3C637C3E" w:rsidR="00515E3E" w:rsidRPr="009A343F" w:rsidRDefault="007E3C52"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 xml:space="preserve">A cause-and-effect diagram is an alternative term used to refer to the Fishbone Diagram which is a popular quality management instrument that is applied in the identification of the root cause of complex issues within organisations (Kumah </w:t>
      </w:r>
      <w:r w:rsidRPr="009A343F">
        <w:rPr>
          <w:rFonts w:eastAsia="Times New Roman"/>
          <w:i/>
          <w:iCs/>
          <w:color w:val="000000" w:themeColor="text1"/>
          <w:lang w:val="en-GB"/>
        </w:rPr>
        <w:t>et al.</w:t>
      </w:r>
      <w:r w:rsidRPr="009A343F">
        <w:rPr>
          <w:rFonts w:eastAsia="Times New Roman"/>
          <w:color w:val="000000" w:themeColor="text1"/>
          <w:lang w:val="en-GB"/>
        </w:rPr>
        <w:t>, 2024). It can be developed by Kaoru Ishikawa and assists an organisation in analysing various factors which can cause a particular problem. In the medical environment, this instrument is widely employed to examine the cases of patient safety and systemic flaws. Using the case of Lucy Letby Countess of Chester Hospital, the Fishbone Diagram would offer a systematic approach to comprehending the organisational failures that resulted in the neonatal safety crisis.</w:t>
      </w:r>
      <w:r w:rsidR="00FF524F" w:rsidRPr="009A343F">
        <w:rPr>
          <w:rFonts w:eastAsia="Times New Roman"/>
          <w:color w:val="000000" w:themeColor="text1"/>
          <w:lang w:val="en-GB"/>
        </w:rPr>
        <w:t xml:space="preserve"> A fishbone diagram was chosen to be used in </w:t>
      </w:r>
      <w:r w:rsidR="00FF524F" w:rsidRPr="009A343F">
        <w:rPr>
          <w:rFonts w:eastAsia="Times New Roman"/>
          <w:color w:val="000000" w:themeColor="text1"/>
          <w:lang w:val="en-GB"/>
        </w:rPr>
        <w:lastRenderedPageBreak/>
        <w:t>the analysis since it allows identification of numerous interconnected root causes in a complex system like healthcare organisations. The Fishbone framework can be used to group the contributing factors into themes, unlike the linear analytical tools that can only group the contributing factors into a single theme. This renders it especially applicable to patient-safety studies in which any adverse event is unlikely to be caused by any single factor but rather by a set of systemic frailties.</w:t>
      </w:r>
    </w:p>
    <w:p w14:paraId="36E1BD41" w14:textId="114F5E72" w:rsidR="00E65619" w:rsidRPr="009A343F" w:rsidRDefault="00E65619" w:rsidP="00E65619">
      <w:pPr>
        <w:spacing w:before="240" w:after="240" w:line="360" w:lineRule="auto"/>
        <w:jc w:val="center"/>
        <w:rPr>
          <w:rFonts w:eastAsia="Times New Roman"/>
          <w:color w:val="000000" w:themeColor="text1"/>
          <w:lang w:val="en-GB"/>
        </w:rPr>
      </w:pPr>
      <w:r w:rsidRPr="009A343F">
        <w:rPr>
          <w:rFonts w:eastAsia="Times New Roman"/>
          <w:noProof/>
          <w:color w:val="000000" w:themeColor="text1"/>
          <w:lang w:val="en-GB"/>
        </w:rPr>
        <w:drawing>
          <wp:inline distT="0" distB="0" distL="0" distR="0" wp14:anchorId="2CE6F0E0" wp14:editId="692C6A0A">
            <wp:extent cx="4497291" cy="3937000"/>
            <wp:effectExtent l="19050" t="19050" r="17780" b="25400"/>
            <wp:docPr id="1697861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861892" name=""/>
                    <pic:cNvPicPr/>
                  </pic:nvPicPr>
                  <pic:blipFill>
                    <a:blip r:embed="rId9"/>
                    <a:stretch>
                      <a:fillRect/>
                    </a:stretch>
                  </pic:blipFill>
                  <pic:spPr>
                    <a:xfrm>
                      <a:off x="0" y="0"/>
                      <a:ext cx="4506252" cy="3944845"/>
                    </a:xfrm>
                    <a:prstGeom prst="rect">
                      <a:avLst/>
                    </a:prstGeom>
                    <a:ln>
                      <a:solidFill>
                        <a:schemeClr val="tx1"/>
                      </a:solidFill>
                    </a:ln>
                  </pic:spPr>
                </pic:pic>
              </a:graphicData>
            </a:graphic>
          </wp:inline>
        </w:drawing>
      </w:r>
    </w:p>
    <w:p w14:paraId="11FA8011" w14:textId="07DAAE57" w:rsidR="00E65619" w:rsidRPr="009A343F" w:rsidRDefault="00E65619" w:rsidP="00E65619">
      <w:pPr>
        <w:spacing w:before="240" w:after="240" w:line="360" w:lineRule="auto"/>
        <w:jc w:val="center"/>
        <w:rPr>
          <w:rFonts w:eastAsia="Times New Roman"/>
          <w:b/>
          <w:bCs/>
          <w:color w:val="000000" w:themeColor="text1"/>
          <w:lang w:val="en-GB"/>
        </w:rPr>
      </w:pPr>
      <w:r w:rsidRPr="009A343F">
        <w:rPr>
          <w:rFonts w:eastAsia="Times New Roman"/>
          <w:b/>
          <w:bCs/>
          <w:color w:val="000000" w:themeColor="text1"/>
          <w:lang w:val="en-GB"/>
        </w:rPr>
        <w:t xml:space="preserve">Figure </w:t>
      </w:r>
      <w:r w:rsidR="00B64D50">
        <w:rPr>
          <w:rFonts w:eastAsia="Times New Roman"/>
          <w:b/>
          <w:bCs/>
          <w:color w:val="000000" w:themeColor="text1"/>
          <w:lang w:val="en-GB"/>
        </w:rPr>
        <w:t>2</w:t>
      </w:r>
      <w:r w:rsidRPr="009A343F">
        <w:rPr>
          <w:rFonts w:eastAsia="Times New Roman"/>
          <w:b/>
          <w:bCs/>
          <w:color w:val="000000" w:themeColor="text1"/>
          <w:lang w:val="en-GB"/>
        </w:rPr>
        <w:t>: Fishbone Diagram</w:t>
      </w:r>
    </w:p>
    <w:p w14:paraId="577C24FD" w14:textId="635152F3" w:rsidR="00E65619" w:rsidRPr="009A343F" w:rsidRDefault="00E65619" w:rsidP="00E65619">
      <w:pPr>
        <w:spacing w:before="240" w:after="240" w:line="360" w:lineRule="auto"/>
        <w:jc w:val="center"/>
        <w:rPr>
          <w:rFonts w:eastAsia="Times New Roman"/>
          <w:color w:val="000000" w:themeColor="text1"/>
          <w:lang w:val="en-GB"/>
        </w:rPr>
      </w:pPr>
      <w:r w:rsidRPr="009A343F">
        <w:rPr>
          <w:rFonts w:eastAsia="Times New Roman"/>
          <w:color w:val="000000" w:themeColor="text1"/>
          <w:lang w:val="en-GB"/>
        </w:rPr>
        <w:t>(Source: Self-developed)</w:t>
      </w:r>
    </w:p>
    <w:p w14:paraId="0000000E" w14:textId="77777777" w:rsidR="00515E3E" w:rsidRPr="009A343F" w:rsidRDefault="007E3C52"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A significant group of causal factors is associated with leadership and management. According to BBC News (2023),</w:t>
      </w:r>
      <w:r w:rsidRPr="009A343F">
        <w:rPr>
          <w:rFonts w:eastAsia="Times New Roman"/>
          <w:i/>
          <w:iCs/>
          <w:color w:val="000000" w:themeColor="text1"/>
          <w:lang w:val="en-GB"/>
        </w:rPr>
        <w:t xml:space="preserve"> </w:t>
      </w:r>
      <w:r w:rsidRPr="009A343F">
        <w:rPr>
          <w:rFonts w:eastAsia="Times New Roman"/>
          <w:color w:val="000000" w:themeColor="text1"/>
          <w:lang w:val="en-GB"/>
        </w:rPr>
        <w:t xml:space="preserve">the leadership at the hospital failed to act appropriately on recurrent complaints by the clinicians about uncharacteristic neonatal fatalities. The lapse of time on escalation and immediate independent research resulted in the situation persisting over a long period of time. Organisational culture was also another reason because some employees were afraid of job retribution and poor whistle-blowing policies in their organisations. It did not encourage them to speak out with safety issues. The problem was also caused by workforce </w:t>
      </w:r>
      <w:r w:rsidRPr="009A343F">
        <w:rPr>
          <w:rFonts w:eastAsia="Times New Roman"/>
          <w:color w:val="000000" w:themeColor="text1"/>
          <w:lang w:val="en-GB"/>
        </w:rPr>
        <w:lastRenderedPageBreak/>
        <w:t xml:space="preserve">pressures. It was reported that the staffing of the neonatal unit has been insufficient and overburdened. Thus, it cuts clinical supervision and raises the chance of safety events. Moreover, there were poor systems and processes in the hospital. Clinical incidents were reported but they are not analyzed in a collective way and this would not allow the detection of the abnormal trends early. </w:t>
      </w:r>
    </w:p>
    <w:p w14:paraId="00000010" w14:textId="2FC26F7F" w:rsidR="00515E3E" w:rsidRPr="009A343F" w:rsidRDefault="007E3C52"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Lastly, there were governance and policy shortcomings that did not make the hospital respond in the most effective way on safety issues. Altogether, this Fishbone Diagram shows that the crisis was caused by a number of interdependent organisational failures and not by one specific factor.</w:t>
      </w:r>
    </w:p>
    <w:p w14:paraId="00000011" w14:textId="56EE1282" w:rsidR="00515E3E" w:rsidRPr="009A343F" w:rsidRDefault="007E3C52" w:rsidP="00165EB2">
      <w:pPr>
        <w:pStyle w:val="Heading2"/>
        <w:spacing w:before="240" w:after="240" w:line="360" w:lineRule="auto"/>
        <w:jc w:val="both"/>
        <w:rPr>
          <w:color w:val="000000" w:themeColor="text1"/>
          <w:szCs w:val="22"/>
          <w:lang w:val="en-GB"/>
        </w:rPr>
      </w:pPr>
      <w:bookmarkStart w:id="4" w:name="_Toc224564052"/>
      <w:r w:rsidRPr="009A343F">
        <w:rPr>
          <w:color w:val="000000" w:themeColor="text1"/>
          <w:szCs w:val="22"/>
          <w:lang w:val="en-GB"/>
        </w:rPr>
        <w:t>2.3 SWOT analysis</w:t>
      </w:r>
      <w:bookmarkEnd w:id="4"/>
    </w:p>
    <w:tbl>
      <w:tblPr>
        <w:tblStyle w:val="TableGrid"/>
        <w:tblW w:w="0" w:type="auto"/>
        <w:tblLook w:val="04A0" w:firstRow="1" w:lastRow="0" w:firstColumn="1" w:lastColumn="0" w:noHBand="0" w:noVBand="1"/>
      </w:tblPr>
      <w:tblGrid>
        <w:gridCol w:w="4784"/>
        <w:gridCol w:w="4566"/>
      </w:tblGrid>
      <w:tr w:rsidR="00D9466E" w:rsidRPr="00D9466E" w14:paraId="78347C73" w14:textId="77777777" w:rsidTr="004F45B7">
        <w:tc>
          <w:tcPr>
            <w:tcW w:w="0" w:type="auto"/>
            <w:hideMark/>
          </w:tcPr>
          <w:p w14:paraId="2ED9719C" w14:textId="77777777" w:rsidR="004F45B7" w:rsidRPr="00D9466E" w:rsidRDefault="004F45B7" w:rsidP="004F45B7">
            <w:pPr>
              <w:spacing w:before="240" w:after="240" w:line="360" w:lineRule="auto"/>
              <w:jc w:val="both"/>
              <w:rPr>
                <w:rFonts w:eastAsia="Times New Roman"/>
                <w:b/>
                <w:bCs/>
                <w:color w:val="000000" w:themeColor="text1"/>
                <w:lang w:val="en-IN"/>
              </w:rPr>
            </w:pPr>
            <w:r w:rsidRPr="00D9466E">
              <w:rPr>
                <w:rFonts w:eastAsia="Times New Roman"/>
                <w:b/>
                <w:bCs/>
                <w:color w:val="000000" w:themeColor="text1"/>
                <w:lang w:val="en-IN"/>
              </w:rPr>
              <w:t>Strengths</w:t>
            </w:r>
          </w:p>
        </w:tc>
        <w:tc>
          <w:tcPr>
            <w:tcW w:w="0" w:type="auto"/>
            <w:hideMark/>
          </w:tcPr>
          <w:p w14:paraId="66E8488F" w14:textId="77777777" w:rsidR="004F45B7" w:rsidRPr="00D9466E" w:rsidRDefault="004F45B7" w:rsidP="004F45B7">
            <w:pPr>
              <w:spacing w:before="240" w:after="240" w:line="360" w:lineRule="auto"/>
              <w:jc w:val="both"/>
              <w:rPr>
                <w:rFonts w:eastAsia="Times New Roman"/>
                <w:b/>
                <w:bCs/>
                <w:color w:val="000000" w:themeColor="text1"/>
                <w:lang w:val="en-IN"/>
              </w:rPr>
            </w:pPr>
            <w:r w:rsidRPr="00D9466E">
              <w:rPr>
                <w:rFonts w:eastAsia="Times New Roman"/>
                <w:b/>
                <w:bCs/>
                <w:color w:val="000000" w:themeColor="text1"/>
                <w:lang w:val="en-IN"/>
              </w:rPr>
              <w:t>Weaknesses</w:t>
            </w:r>
          </w:p>
        </w:tc>
      </w:tr>
      <w:tr w:rsidR="00D9466E" w:rsidRPr="00D9466E" w14:paraId="6F6B0CAE" w14:textId="77777777" w:rsidTr="004F45B7">
        <w:tc>
          <w:tcPr>
            <w:tcW w:w="0" w:type="auto"/>
            <w:hideMark/>
          </w:tcPr>
          <w:p w14:paraId="10973434" w14:textId="736E62DF" w:rsidR="004F45B7" w:rsidRPr="00D9466E" w:rsidRDefault="004F45B7" w:rsidP="00E66808">
            <w:pPr>
              <w:spacing w:before="240" w:after="240" w:line="360" w:lineRule="auto"/>
              <w:jc w:val="both"/>
              <w:rPr>
                <w:rFonts w:eastAsia="Times New Roman"/>
                <w:color w:val="000000" w:themeColor="text1"/>
                <w:lang w:val="en-IN"/>
              </w:rPr>
            </w:pPr>
            <w:r w:rsidRPr="00D9466E">
              <w:rPr>
                <w:rFonts w:eastAsia="Times New Roman"/>
                <w:color w:val="000000" w:themeColor="text1"/>
                <w:lang w:val="en-IN"/>
              </w:rPr>
              <w:t>The hospital operated within the NHS framework, which provides established clinical guidelines, regulatory oversight, and trained healthcare professionals. This offered a strong structural foundation for safe neonatal care and quality monitoring.</w:t>
            </w:r>
            <w:r w:rsidR="00F07B77" w:rsidRPr="00D9466E">
              <w:rPr>
                <w:rFonts w:eastAsia="Times New Roman"/>
                <w:color w:val="000000" w:themeColor="text1"/>
                <w:lang w:val="en-IN"/>
              </w:rPr>
              <w:t xml:space="preserve"> </w:t>
            </w:r>
          </w:p>
        </w:tc>
        <w:tc>
          <w:tcPr>
            <w:tcW w:w="0" w:type="auto"/>
            <w:hideMark/>
          </w:tcPr>
          <w:p w14:paraId="13BA5C13" w14:textId="297DC80C" w:rsidR="004F45B7" w:rsidRPr="00D9466E" w:rsidRDefault="004F45B7" w:rsidP="00E66808">
            <w:pPr>
              <w:spacing w:before="240" w:after="240" w:line="360" w:lineRule="auto"/>
              <w:jc w:val="both"/>
              <w:rPr>
                <w:rFonts w:eastAsia="Times New Roman"/>
                <w:color w:val="000000" w:themeColor="text1"/>
                <w:lang w:val="en-IN"/>
              </w:rPr>
            </w:pPr>
            <w:r w:rsidRPr="00D9466E">
              <w:rPr>
                <w:rFonts w:eastAsia="Times New Roman"/>
                <w:color w:val="000000" w:themeColor="text1"/>
                <w:lang w:val="en-IN"/>
              </w:rPr>
              <w:t>Leadership response to repeated safety concerns was slow and defensive. Incident reporting systems were present but not effectively analysed to identify patterns</w:t>
            </w:r>
            <w:r w:rsidR="00D9708D" w:rsidRPr="00D9466E">
              <w:rPr>
                <w:rFonts w:eastAsia="Times New Roman"/>
                <w:color w:val="000000" w:themeColor="text1"/>
                <w:lang w:val="en-IN"/>
              </w:rPr>
              <w:t xml:space="preserve">. Besides, there are also </w:t>
            </w:r>
            <w:r w:rsidRPr="00D9466E">
              <w:rPr>
                <w:rFonts w:eastAsia="Times New Roman"/>
                <w:color w:val="000000" w:themeColor="text1"/>
                <w:lang w:val="en-IN"/>
              </w:rPr>
              <w:t xml:space="preserve">whistleblowing mechanisms </w:t>
            </w:r>
            <w:r w:rsidR="0027320B" w:rsidRPr="00D9466E">
              <w:rPr>
                <w:rFonts w:eastAsia="Times New Roman"/>
                <w:color w:val="000000" w:themeColor="text1"/>
                <w:lang w:val="en-IN"/>
              </w:rPr>
              <w:t xml:space="preserve">which </w:t>
            </w:r>
            <w:r w:rsidRPr="00D9466E">
              <w:rPr>
                <w:rFonts w:eastAsia="Times New Roman"/>
                <w:color w:val="000000" w:themeColor="text1"/>
                <w:lang w:val="en-IN"/>
              </w:rPr>
              <w:t>were perceived as unsafe, discouraging staff from escalating concerns.</w:t>
            </w:r>
          </w:p>
        </w:tc>
      </w:tr>
      <w:tr w:rsidR="00D9466E" w:rsidRPr="00D9466E" w14:paraId="5DAE1CC9" w14:textId="77777777" w:rsidTr="00E66808">
        <w:tc>
          <w:tcPr>
            <w:tcW w:w="0" w:type="auto"/>
            <w:hideMark/>
          </w:tcPr>
          <w:p w14:paraId="4261DB38" w14:textId="77777777" w:rsidR="00E66808" w:rsidRPr="00D9466E" w:rsidRDefault="00E66808" w:rsidP="00E66808">
            <w:pPr>
              <w:spacing w:line="360" w:lineRule="auto"/>
              <w:jc w:val="both"/>
              <w:rPr>
                <w:rFonts w:eastAsia="Times New Roman"/>
                <w:b/>
                <w:bCs/>
                <w:color w:val="000000" w:themeColor="text1"/>
                <w:lang w:val="en-IN"/>
              </w:rPr>
            </w:pPr>
            <w:r w:rsidRPr="00D9466E">
              <w:rPr>
                <w:rFonts w:eastAsia="Times New Roman"/>
                <w:b/>
                <w:bCs/>
                <w:color w:val="000000" w:themeColor="text1"/>
                <w:lang w:val="en-IN"/>
              </w:rPr>
              <w:t>Opportunities</w:t>
            </w:r>
          </w:p>
        </w:tc>
        <w:tc>
          <w:tcPr>
            <w:tcW w:w="0" w:type="auto"/>
            <w:hideMark/>
          </w:tcPr>
          <w:p w14:paraId="3F23DBA5" w14:textId="77777777" w:rsidR="00E66808" w:rsidRPr="00D9466E" w:rsidRDefault="00E66808" w:rsidP="00E66808">
            <w:pPr>
              <w:spacing w:line="360" w:lineRule="auto"/>
              <w:jc w:val="both"/>
              <w:rPr>
                <w:rFonts w:eastAsia="Times New Roman"/>
                <w:b/>
                <w:bCs/>
                <w:color w:val="000000" w:themeColor="text1"/>
                <w:lang w:val="en-IN"/>
              </w:rPr>
            </w:pPr>
            <w:r w:rsidRPr="00D9466E">
              <w:rPr>
                <w:rFonts w:eastAsia="Times New Roman"/>
                <w:b/>
                <w:bCs/>
                <w:color w:val="000000" w:themeColor="text1"/>
                <w:lang w:val="en-IN"/>
              </w:rPr>
              <w:t>Threats</w:t>
            </w:r>
          </w:p>
        </w:tc>
      </w:tr>
      <w:tr w:rsidR="00D9466E" w:rsidRPr="00D9466E" w14:paraId="38BF195C" w14:textId="77777777" w:rsidTr="00E66808">
        <w:trPr>
          <w:trHeight w:val="2050"/>
        </w:trPr>
        <w:tc>
          <w:tcPr>
            <w:tcW w:w="0" w:type="auto"/>
            <w:hideMark/>
          </w:tcPr>
          <w:p w14:paraId="7B932EAC" w14:textId="5970365F" w:rsidR="00E66808" w:rsidRPr="00D9466E" w:rsidRDefault="00E66808" w:rsidP="00E66808">
            <w:pPr>
              <w:spacing w:line="360" w:lineRule="auto"/>
              <w:jc w:val="both"/>
              <w:rPr>
                <w:rFonts w:eastAsia="Times New Roman"/>
                <w:color w:val="000000" w:themeColor="text1"/>
                <w:lang w:val="en-IN"/>
              </w:rPr>
            </w:pPr>
            <w:r w:rsidRPr="00D9466E">
              <w:rPr>
                <w:rFonts w:eastAsia="Times New Roman"/>
                <w:color w:val="000000" w:themeColor="text1"/>
                <w:lang w:val="en-IN"/>
              </w:rPr>
              <w:t>The organisation had opportunities to strengthen digital incident-monitoring systems, enhance clinical governance, introduce stronger staff support and whistleblowing protections. Implementing multidisciplinary mortality reviews and data analytics could have improved early detection of abnormal clinical trends.</w:t>
            </w:r>
          </w:p>
        </w:tc>
        <w:tc>
          <w:tcPr>
            <w:tcW w:w="0" w:type="auto"/>
            <w:hideMark/>
          </w:tcPr>
          <w:p w14:paraId="58726CA7" w14:textId="77777777" w:rsidR="00E66808" w:rsidRPr="00D9466E" w:rsidRDefault="00E66808" w:rsidP="00E66808">
            <w:pPr>
              <w:spacing w:line="360" w:lineRule="auto"/>
              <w:jc w:val="both"/>
              <w:rPr>
                <w:rFonts w:eastAsia="Times New Roman"/>
                <w:color w:val="000000" w:themeColor="text1"/>
                <w:lang w:val="en-IN"/>
              </w:rPr>
            </w:pPr>
            <w:r w:rsidRPr="00D9466E">
              <w:rPr>
                <w:rFonts w:eastAsia="Times New Roman"/>
                <w:color w:val="000000" w:themeColor="text1"/>
                <w:lang w:val="en-IN"/>
              </w:rPr>
              <w:t>The incident led to severe reputational damage, legal consequences, loss of public trust, and increased regulatory scrutiny. Continued governance failures also posed risks of further patient harm and long-term erosion of confidence in neonatal services within the organisation and the wider NHS.</w:t>
            </w:r>
          </w:p>
        </w:tc>
      </w:tr>
    </w:tbl>
    <w:p w14:paraId="3D491491" w14:textId="4065603D" w:rsidR="00883B66" w:rsidRPr="00D9466E" w:rsidRDefault="00E66808" w:rsidP="00883B66">
      <w:pPr>
        <w:spacing w:before="240" w:after="240" w:line="360" w:lineRule="auto"/>
        <w:jc w:val="center"/>
        <w:rPr>
          <w:rFonts w:eastAsia="Times New Roman"/>
          <w:b/>
          <w:bCs/>
          <w:color w:val="000000" w:themeColor="text1"/>
          <w:lang w:val="en-GB"/>
        </w:rPr>
      </w:pPr>
      <w:r w:rsidRPr="00D9466E">
        <w:rPr>
          <w:rFonts w:eastAsia="Times New Roman"/>
          <w:b/>
          <w:bCs/>
          <w:color w:val="000000" w:themeColor="text1"/>
          <w:lang w:val="en-GB"/>
        </w:rPr>
        <w:t>Table</w:t>
      </w:r>
      <w:r w:rsidR="00883B66" w:rsidRPr="00D9466E">
        <w:rPr>
          <w:rFonts w:eastAsia="Times New Roman"/>
          <w:b/>
          <w:bCs/>
          <w:color w:val="000000" w:themeColor="text1"/>
          <w:lang w:val="en-GB"/>
        </w:rPr>
        <w:t xml:space="preserve"> 1: SWOT analysis table</w:t>
      </w:r>
    </w:p>
    <w:p w14:paraId="39FD7CCA" w14:textId="4D846031" w:rsidR="00883B66" w:rsidRPr="00D9466E" w:rsidRDefault="00883B66" w:rsidP="00883B66">
      <w:pPr>
        <w:spacing w:before="240" w:after="240" w:line="360" w:lineRule="auto"/>
        <w:jc w:val="center"/>
        <w:rPr>
          <w:rFonts w:eastAsia="Times New Roman"/>
          <w:color w:val="000000" w:themeColor="text1"/>
          <w:lang w:val="en-GB"/>
        </w:rPr>
      </w:pPr>
      <w:r w:rsidRPr="00D9466E">
        <w:rPr>
          <w:rFonts w:eastAsia="Times New Roman"/>
          <w:color w:val="000000" w:themeColor="text1"/>
          <w:lang w:val="en-GB"/>
        </w:rPr>
        <w:lastRenderedPageBreak/>
        <w:t>(Source: Self-developed)</w:t>
      </w:r>
    </w:p>
    <w:p w14:paraId="00000013" w14:textId="338F2CE8" w:rsidR="00515E3E" w:rsidRPr="009A343F" w:rsidRDefault="007E3C52"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 xml:space="preserve">In terms of strength, the hospital is implemented within the National Health Service that ensures the presence of the developed policies of patient safety, high-qualified clinical staff and regulatory frameworks aimed at ensuring the safety of healthcare quality (NHS England, 2022). Such systems offer a basis of enhancing safety and governance. Some weaknesses were however visible. The reaction of the leadership towards the concerns of clinicians was slow and defensive and incident reporting systems were not effectively utilised in the identification of the patterns of the neonatal harm. Also, the poor culture of whistle blowing hindered open communication and minimised the probability of early intervention. In spite of these weaknesses, the areas of improvement existed. Healthcare organisations can increase the power of data monitoring, improve clinical governance and the capabilities of whistleblowing that can make the staff feel free to report the matters of their concern to enhance patient safety (Ekpenyong </w:t>
      </w:r>
      <w:r w:rsidRPr="009A343F">
        <w:rPr>
          <w:rFonts w:eastAsia="Times New Roman"/>
          <w:i/>
          <w:iCs/>
          <w:color w:val="000000" w:themeColor="text1"/>
          <w:lang w:val="en-GB"/>
        </w:rPr>
        <w:t>et al</w:t>
      </w:r>
      <w:r w:rsidRPr="009A343F">
        <w:rPr>
          <w:rFonts w:eastAsia="Times New Roman"/>
          <w:color w:val="000000" w:themeColor="text1"/>
          <w:lang w:val="en-GB"/>
        </w:rPr>
        <w:t>., 2021).</w:t>
      </w:r>
    </w:p>
    <w:p w14:paraId="00000014" w14:textId="1D661D44" w:rsidR="0022419A" w:rsidRPr="009A343F" w:rsidRDefault="007E3C52"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Lastly, reputational damage, legal ramifications and a decrease in the trust that people place in healthcare institutions were all threats. These are the threats that underscore the need to reinforce the systems of governance and quality assurance. In general, the SWOT analysis assists in revealing those areas that require strategic compensation to improve safety and accountability of the organisation</w:t>
      </w:r>
      <w:r w:rsidR="00605237">
        <w:rPr>
          <w:rFonts w:eastAsia="Times New Roman"/>
          <w:color w:val="000000" w:themeColor="text1"/>
          <w:lang w:val="en-GB"/>
        </w:rPr>
        <w:t xml:space="preserve"> (</w:t>
      </w:r>
      <w:r w:rsidR="00605237" w:rsidRPr="009A343F">
        <w:rPr>
          <w:rFonts w:eastAsia="Times New Roman"/>
          <w:color w:val="000000" w:themeColor="text1"/>
          <w:lang w:val="en-GB"/>
        </w:rPr>
        <w:t>Farag, 2025</w:t>
      </w:r>
      <w:r w:rsidR="00605237">
        <w:rPr>
          <w:rFonts w:eastAsia="Times New Roman"/>
          <w:color w:val="000000" w:themeColor="text1"/>
          <w:lang w:val="en-GB"/>
        </w:rPr>
        <w:t>)</w:t>
      </w:r>
      <w:r w:rsidRPr="009A343F">
        <w:rPr>
          <w:rFonts w:eastAsia="Times New Roman"/>
          <w:color w:val="000000" w:themeColor="text1"/>
          <w:lang w:val="en-GB"/>
        </w:rPr>
        <w:t xml:space="preserve">. </w:t>
      </w:r>
    </w:p>
    <w:p w14:paraId="042DD0A3" w14:textId="77777777" w:rsidR="00CF29EC" w:rsidRPr="009A343F" w:rsidRDefault="00CF29EC" w:rsidP="00165EB2">
      <w:pPr>
        <w:pStyle w:val="Heading2"/>
        <w:spacing w:before="240" w:after="240" w:line="360" w:lineRule="auto"/>
        <w:jc w:val="both"/>
        <w:rPr>
          <w:color w:val="000000" w:themeColor="text1"/>
          <w:szCs w:val="22"/>
          <w:lang w:val="en-GB"/>
        </w:rPr>
      </w:pPr>
      <w:bookmarkStart w:id="5" w:name="_Toc224564053"/>
      <w:r w:rsidRPr="009A343F">
        <w:rPr>
          <w:color w:val="000000" w:themeColor="text1"/>
          <w:szCs w:val="22"/>
          <w:lang w:val="en-GB"/>
        </w:rPr>
        <w:t>2.4 PDSA</w:t>
      </w:r>
      <w:bookmarkEnd w:id="5"/>
      <w:r w:rsidRPr="009A343F">
        <w:rPr>
          <w:color w:val="000000" w:themeColor="text1"/>
          <w:szCs w:val="22"/>
          <w:lang w:val="en-GB"/>
        </w:rPr>
        <w:t> </w:t>
      </w:r>
    </w:p>
    <w:p w14:paraId="65B5A4B6" w14:textId="77777777" w:rsidR="00C11E49" w:rsidRPr="009A343F" w:rsidRDefault="00CF29EC" w:rsidP="00C23EA5">
      <w:pPr>
        <w:spacing w:line="360" w:lineRule="auto"/>
        <w:jc w:val="both"/>
        <w:rPr>
          <w:rFonts w:eastAsia="Times New Roman"/>
          <w:color w:val="000000" w:themeColor="text1"/>
          <w:lang w:val="en-GB"/>
        </w:rPr>
      </w:pPr>
      <w:r w:rsidRPr="009A343F">
        <w:rPr>
          <w:rFonts w:eastAsia="Times New Roman"/>
          <w:color w:val="000000" w:themeColor="text1"/>
          <w:lang w:val="en-GB"/>
        </w:rPr>
        <w:t xml:space="preserve">The Plan-Do-Study-Act (PDSA) cycle is a quality improvement model also known to be commonly used in healthcare systems as a way of executing and appraising service improvements in an organised and ongoing way (Wongsala </w:t>
      </w:r>
      <w:r w:rsidRPr="009A343F">
        <w:rPr>
          <w:rFonts w:eastAsia="Times New Roman"/>
          <w:i/>
          <w:iCs/>
          <w:color w:val="000000" w:themeColor="text1"/>
          <w:lang w:val="en-GB"/>
        </w:rPr>
        <w:t xml:space="preserve">et al. </w:t>
      </w:r>
      <w:r w:rsidRPr="009A343F">
        <w:rPr>
          <w:rFonts w:eastAsia="Times New Roman"/>
          <w:color w:val="000000" w:themeColor="text1"/>
          <w:lang w:val="en-GB"/>
        </w:rPr>
        <w:t xml:space="preserve">2024). Within the context of the Lucy Letby case of the Countess of Chester Hospital, the PDSA model could be applied further to improve the governance of patient safety and reporting of incidents in the neonatal unit. </w:t>
      </w:r>
      <w:r w:rsidR="00C11E49" w:rsidRPr="009A343F">
        <w:rPr>
          <w:rFonts w:eastAsia="Times New Roman"/>
          <w:color w:val="000000" w:themeColor="text1"/>
          <w:lang w:val="en-GB"/>
        </w:rPr>
        <w:t>The PDSA model has been selected since it facilitates the implementation of continuous and evidence-based improvement by conducting testable interventions in actual clinical settings. Conversely, the PDAS variation is not as frequently utilised in the literature on healthcare and does not have the solid evidence base that PDSA has in NHS quality-improvement programmes. The cyclical learning method of PDSA makes sure the patient-safety interventions are tried, tested and improved prior to large-scale implementation, which minimises any possibility of an unintended consequence.</w:t>
      </w:r>
    </w:p>
    <w:p w14:paraId="6CA9A021" w14:textId="047CCD36" w:rsidR="00CF29EC" w:rsidRPr="009A343F" w:rsidRDefault="00CF29EC"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lastRenderedPageBreak/>
        <w:t>The planning phase suggests defining the main safety issue, which in this scenario is associated with the inability of the quality assurance systems in the hospital to react successfully to the uncommon trends of neonatal mortality and clinical crashes. At this phase, the healthcare leaders would set clear goals, including the enhancement of the early clinical trend’s identification and the enhancement of the staff concern escalation pathways.</w:t>
      </w:r>
    </w:p>
    <w:p w14:paraId="390F575D" w14:textId="591E9D49" w:rsidR="002A56A5" w:rsidRPr="009A343F" w:rsidRDefault="002A56A5" w:rsidP="004F7C40">
      <w:pPr>
        <w:spacing w:before="240" w:after="240" w:line="360" w:lineRule="auto"/>
        <w:jc w:val="center"/>
        <w:rPr>
          <w:rFonts w:eastAsia="Times New Roman"/>
          <w:color w:val="000000" w:themeColor="text1"/>
          <w:lang w:val="en-GB"/>
        </w:rPr>
      </w:pPr>
      <w:r w:rsidRPr="009A343F">
        <w:rPr>
          <w:rFonts w:eastAsia="Times New Roman"/>
          <w:noProof/>
          <w:color w:val="000000" w:themeColor="text1"/>
          <w:lang w:val="en-GB"/>
        </w:rPr>
        <w:drawing>
          <wp:inline distT="0" distB="0" distL="0" distR="0" wp14:anchorId="0684D516" wp14:editId="0752889D">
            <wp:extent cx="3495675" cy="4243691"/>
            <wp:effectExtent l="19050" t="19050" r="9525" b="24130"/>
            <wp:docPr id="1082688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688565" name=""/>
                    <pic:cNvPicPr/>
                  </pic:nvPicPr>
                  <pic:blipFill>
                    <a:blip r:embed="rId10"/>
                    <a:stretch>
                      <a:fillRect/>
                    </a:stretch>
                  </pic:blipFill>
                  <pic:spPr>
                    <a:xfrm>
                      <a:off x="0" y="0"/>
                      <a:ext cx="3502526" cy="4252008"/>
                    </a:xfrm>
                    <a:prstGeom prst="rect">
                      <a:avLst/>
                    </a:prstGeom>
                    <a:ln>
                      <a:solidFill>
                        <a:schemeClr val="tx1"/>
                      </a:solidFill>
                    </a:ln>
                  </pic:spPr>
                </pic:pic>
              </a:graphicData>
            </a:graphic>
          </wp:inline>
        </w:drawing>
      </w:r>
    </w:p>
    <w:p w14:paraId="5A2136EA" w14:textId="1386E1B8" w:rsidR="004F7C40" w:rsidRPr="009A343F" w:rsidRDefault="004F7C40" w:rsidP="004F7C40">
      <w:pPr>
        <w:spacing w:before="240" w:after="240" w:line="360" w:lineRule="auto"/>
        <w:jc w:val="center"/>
        <w:rPr>
          <w:rFonts w:eastAsia="Times New Roman"/>
          <w:b/>
          <w:bCs/>
          <w:color w:val="000000" w:themeColor="text1"/>
          <w:lang w:val="en-GB"/>
        </w:rPr>
      </w:pPr>
      <w:r w:rsidRPr="009A343F">
        <w:rPr>
          <w:rFonts w:eastAsia="Times New Roman"/>
          <w:b/>
          <w:bCs/>
          <w:color w:val="000000" w:themeColor="text1"/>
          <w:lang w:val="en-GB"/>
        </w:rPr>
        <w:t xml:space="preserve">Figure </w:t>
      </w:r>
      <w:r w:rsidR="00B64D50">
        <w:rPr>
          <w:rFonts w:eastAsia="Times New Roman"/>
          <w:b/>
          <w:bCs/>
          <w:color w:val="000000" w:themeColor="text1"/>
          <w:lang w:val="en-GB"/>
        </w:rPr>
        <w:t>3</w:t>
      </w:r>
      <w:r w:rsidRPr="009A343F">
        <w:rPr>
          <w:rFonts w:eastAsia="Times New Roman"/>
          <w:b/>
          <w:bCs/>
          <w:color w:val="000000" w:themeColor="text1"/>
          <w:lang w:val="en-GB"/>
        </w:rPr>
        <w:t>: PDSA Model</w:t>
      </w:r>
    </w:p>
    <w:p w14:paraId="1E00AC04" w14:textId="40E9A4C7" w:rsidR="004F7C40" w:rsidRPr="009A343F" w:rsidRDefault="004F7C40" w:rsidP="004F7C40">
      <w:pPr>
        <w:spacing w:before="240" w:after="240" w:line="360" w:lineRule="auto"/>
        <w:jc w:val="center"/>
        <w:rPr>
          <w:rFonts w:eastAsia="Times New Roman"/>
          <w:color w:val="000000" w:themeColor="text1"/>
          <w:lang w:val="en-GB"/>
        </w:rPr>
      </w:pPr>
      <w:r w:rsidRPr="009A343F">
        <w:rPr>
          <w:rFonts w:eastAsia="Times New Roman"/>
          <w:color w:val="000000" w:themeColor="text1"/>
          <w:lang w:val="en-GB"/>
        </w:rPr>
        <w:t>(Source: Self-developed)</w:t>
      </w:r>
    </w:p>
    <w:p w14:paraId="4271048E" w14:textId="405FF66F" w:rsidR="00CF29EC" w:rsidRPr="009A343F" w:rsidRDefault="00212F94"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The do phase is supposed to introduce pilot measures that might include better monitoring of neonatal outcomes, development of an improved incident reporting strategy, and development of multidisciplinary safety review meetings (Zhong et al. 2023). Such initiatives would be implemented in the neonatal unit and evaluated to gauge their functionality</w:t>
      </w:r>
      <w:r w:rsidR="00CF29EC" w:rsidRPr="009A343F">
        <w:rPr>
          <w:rFonts w:eastAsia="Times New Roman"/>
          <w:color w:val="000000" w:themeColor="text1"/>
          <w:lang w:val="en-GB"/>
        </w:rPr>
        <w:t xml:space="preserve">. During the study phase, incident reports, mortality reviews and staff feedback data would be analysed to show whether the interventions led to an improvement in patient safety and responsiveness of the </w:t>
      </w:r>
      <w:r w:rsidR="00CF29EC" w:rsidRPr="009A343F">
        <w:rPr>
          <w:rFonts w:eastAsia="Times New Roman"/>
          <w:color w:val="000000" w:themeColor="text1"/>
          <w:lang w:val="en-GB"/>
        </w:rPr>
        <w:lastRenderedPageBreak/>
        <w:t>organisation. Lastly, the act stage entails modifying effective strategies and incorporating them into the normal clinical governance processes. It is the cyclical nature of this process that allows healthcare organisations to foster an organisational culture of a constant learning process, and that the quality assurance systems can mitigate the occurrence of future patient safety failures.</w:t>
      </w:r>
    </w:p>
    <w:p w14:paraId="04C88B17" w14:textId="77777777" w:rsidR="00CF29EC" w:rsidRPr="009A343F" w:rsidRDefault="00CF29EC" w:rsidP="00165EB2">
      <w:pPr>
        <w:pStyle w:val="Heading2"/>
        <w:spacing w:before="240" w:after="240" w:line="360" w:lineRule="auto"/>
        <w:jc w:val="both"/>
        <w:rPr>
          <w:color w:val="000000" w:themeColor="text1"/>
          <w:szCs w:val="22"/>
          <w:lang w:val="en-GB"/>
        </w:rPr>
      </w:pPr>
      <w:bookmarkStart w:id="6" w:name="_Toc224564054"/>
      <w:r w:rsidRPr="009A343F">
        <w:rPr>
          <w:color w:val="000000" w:themeColor="text1"/>
          <w:szCs w:val="22"/>
          <w:lang w:val="en-GB"/>
        </w:rPr>
        <w:t>2.5 Kotter’s change model</w:t>
      </w:r>
      <w:bookmarkEnd w:id="6"/>
      <w:r w:rsidRPr="009A343F">
        <w:rPr>
          <w:color w:val="000000" w:themeColor="text1"/>
          <w:szCs w:val="22"/>
          <w:lang w:val="en-GB"/>
        </w:rPr>
        <w:t> </w:t>
      </w:r>
    </w:p>
    <w:p w14:paraId="1C8C9A1E" w14:textId="77777777" w:rsidR="00CF29EC" w:rsidRPr="009A343F" w:rsidRDefault="00CF29EC"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 xml:space="preserve">Service improvement within a healthcare organisation may necessitate the application of efficient change management. In this regard, the Eight-Step Change Model developed by Kotter offers a systematic methodology that directs the change process within an organisation (Mouazen </w:t>
      </w:r>
      <w:r w:rsidRPr="009A343F">
        <w:rPr>
          <w:rFonts w:eastAsia="Times New Roman"/>
          <w:i/>
          <w:iCs/>
          <w:color w:val="000000" w:themeColor="text1"/>
          <w:lang w:val="en-GB"/>
        </w:rPr>
        <w:t>et al</w:t>
      </w:r>
      <w:r w:rsidRPr="009A343F">
        <w:rPr>
          <w:rFonts w:eastAsia="Times New Roman"/>
          <w:color w:val="000000" w:themeColor="text1"/>
          <w:lang w:val="en-GB"/>
        </w:rPr>
        <w:t>. 2024). With all the failures that are found at the Countess of Chester Hospital, the model proposed by Kotter can help to establish a more effective patient safety culture and better governance systems. The first level is the generation of a sense of urgency, whereby the seriousness of the patient safety failures and the fact that an immediate organisational reform is required are recognised. The clinical events and neonatal deaths demonstrate the necessity to reinforce the quality assurance procedures to avoid future injuries.</w:t>
      </w:r>
    </w:p>
    <w:p w14:paraId="5901438B" w14:textId="77777777" w:rsidR="00CF29EC" w:rsidRPr="009A343F" w:rsidRDefault="00CF29EC"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 xml:space="preserve">The second step will involve the establishment of a guiding coalition that will involve the senior clinicians, hospital management, patient safety experts and regulatory representatives who will work together to spearhead the improvement process. The coalition would also help build credibility and ensure that changes are won across the organisation. Next, leaders should formulate and share a vision of change by putting emphasis on transparency, better incident reporting, and more robust governance structures. Communication is effective in making all the healthcare staff aware of their roles in keeping patients safe (Sarkhosh </w:t>
      </w:r>
      <w:r w:rsidRPr="009A343F">
        <w:rPr>
          <w:rFonts w:eastAsia="Times New Roman"/>
          <w:i/>
          <w:iCs/>
          <w:color w:val="000000" w:themeColor="text1"/>
          <w:lang w:val="en-GB"/>
        </w:rPr>
        <w:t>et al</w:t>
      </w:r>
      <w:r w:rsidRPr="009A343F">
        <w:rPr>
          <w:rFonts w:eastAsia="Times New Roman"/>
          <w:color w:val="000000" w:themeColor="text1"/>
          <w:lang w:val="en-GB"/>
        </w:rPr>
        <w:t>. 2022). The last phases of the Kotter model entail enabling employees to take initiative, producing short-term gains, stabilising the gains, and entrenching the new behaviours in organisational culture. Adhering to this model, healthcare organisations will be able to introduce sustainable service enhancements and establish a culture of accountability and focus on patient safety.</w:t>
      </w:r>
    </w:p>
    <w:p w14:paraId="208912C0" w14:textId="77777777" w:rsidR="00CF29EC" w:rsidRPr="009A343F" w:rsidRDefault="00CF29EC" w:rsidP="00165EB2">
      <w:pPr>
        <w:pStyle w:val="Heading1"/>
        <w:spacing w:before="240" w:after="240" w:line="360" w:lineRule="auto"/>
        <w:jc w:val="both"/>
        <w:rPr>
          <w:color w:val="000000" w:themeColor="text1"/>
          <w:sz w:val="22"/>
          <w:szCs w:val="22"/>
          <w:lang w:val="en-GB"/>
        </w:rPr>
      </w:pPr>
      <w:bookmarkStart w:id="7" w:name="_Toc224564055"/>
      <w:r w:rsidRPr="009A343F">
        <w:rPr>
          <w:color w:val="000000" w:themeColor="text1"/>
          <w:sz w:val="22"/>
          <w:szCs w:val="22"/>
          <w:lang w:val="en-GB"/>
        </w:rPr>
        <w:t>3. Recommendation</w:t>
      </w:r>
      <w:bookmarkEnd w:id="7"/>
      <w:r w:rsidRPr="009A343F">
        <w:rPr>
          <w:color w:val="000000" w:themeColor="text1"/>
          <w:sz w:val="22"/>
          <w:szCs w:val="22"/>
          <w:lang w:val="en-GB"/>
        </w:rPr>
        <w:t> </w:t>
      </w:r>
    </w:p>
    <w:p w14:paraId="45A10EC4" w14:textId="77777777" w:rsidR="00CF29EC" w:rsidRPr="009A343F" w:rsidRDefault="00CF29EC"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 xml:space="preserve">The case analysis of the Lucy Letby incident at the Countess of Chester Hospital shows that the causes of patient safety failures were not only limited to individual misconduct but were highly tied to the systemic limitations. These limitations mainly involve the area of governance, incident reporting, leadership responsiveness, and organisational culture. Consequently, successful service enhancement would need a detailed collection of suggestions that would cover these </w:t>
      </w:r>
      <w:r w:rsidRPr="009A343F">
        <w:rPr>
          <w:rFonts w:eastAsia="Times New Roman"/>
          <w:color w:val="000000" w:themeColor="text1"/>
          <w:lang w:val="en-GB"/>
        </w:rPr>
        <w:lastRenderedPageBreak/>
        <w:t>structural and operational shortcomings. The recommendations below are to enhance the governance of patient safety, increase the ability to detect early risks and to support a transparency and accountability culture in healthcare organisations.</w:t>
      </w:r>
    </w:p>
    <w:p w14:paraId="4EC045D3" w14:textId="77777777" w:rsidR="00CF29EC" w:rsidRPr="009A343F" w:rsidRDefault="00CF29EC"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 xml:space="preserve">To begin with, the first suggestion is the enhancement of incident reporting and early warning systems in the neonatal units. To raise the number of identified abnormal trends in clinical accidents, mortality, and patient outcomes, healthcare organisations are expected to install unified, digital patient safety surveillance systems (Alizadeh-Dizaj et al. 2025). The information on clinical events, incident reports, and mortality reviews should be analysed logically through organising frequent patient safety meetings to identify arising risks. It is possible to establish multidisciplinary safety review boards of clinicians, nurses, patient safety officers, and quality managers to make sure that the safety concerns are reviewed together instead of being discussed informally (Aqtam </w:t>
      </w:r>
      <w:r w:rsidRPr="009A343F">
        <w:rPr>
          <w:rFonts w:eastAsia="Times New Roman"/>
          <w:i/>
          <w:iCs/>
          <w:color w:val="000000" w:themeColor="text1"/>
          <w:lang w:val="en-GB"/>
        </w:rPr>
        <w:t>et al.</w:t>
      </w:r>
      <w:r w:rsidRPr="009A343F">
        <w:rPr>
          <w:rFonts w:eastAsia="Times New Roman"/>
          <w:color w:val="000000" w:themeColor="text1"/>
          <w:lang w:val="en-GB"/>
        </w:rPr>
        <w:t xml:space="preserve"> 2026). These strategies would greatly help the organisation to detect abnormal clinical trends and to instantly undertake early investigations before the risks develop into serious patient safety emergencies.</w:t>
      </w:r>
    </w:p>
    <w:p w14:paraId="41439A93" w14:textId="77777777" w:rsidR="00CF29EC" w:rsidRPr="009A343F" w:rsidRDefault="00CF29EC"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 xml:space="preserve">The second recommendation is to enhance leadership accountability and governance systems in healthcare institutions. Leadership is fundamental in ensuring that the quality assurance systems are highly maintained and that the clinical concerns are taken care of within the right time (Akase and Kpera, 2024). Healthcare organisations should put in place governance policies that require the top management to act instantaneously on the safety alerts that are raised by clinicians (Kim </w:t>
      </w:r>
      <w:r w:rsidRPr="009A343F">
        <w:rPr>
          <w:rFonts w:eastAsia="Times New Roman"/>
          <w:i/>
          <w:iCs/>
          <w:color w:val="000000" w:themeColor="text1"/>
          <w:lang w:val="en-GB"/>
        </w:rPr>
        <w:t>et al.</w:t>
      </w:r>
      <w:r w:rsidRPr="009A343F">
        <w:rPr>
          <w:rFonts w:eastAsia="Times New Roman"/>
          <w:color w:val="000000" w:themeColor="text1"/>
          <w:lang w:val="en-GB"/>
        </w:rPr>
        <w:t xml:space="preserve"> 2023). Furthermore, hospitals must enhance the regulatory tools by external control institutions and patient safety officers so that organisational reaction to safety issues is evident and based on evidence.</w:t>
      </w:r>
    </w:p>
    <w:p w14:paraId="598DDAF5" w14:textId="77777777" w:rsidR="00CF29EC" w:rsidRPr="009A343F" w:rsidRDefault="00CF29EC"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 xml:space="preserve">The third important suggestion is that a good organisational culture that encourages the existence of psychological safety and whistleblowing should be created. The healthcare personnel should have confidence that they will not face professional retaliation and marginalisation due to reporting safety issues. Hospitals need to establish anonymous channels where employees can express their concerns. Patient safety culture, ethical responsibility, and clinical accountability training programs should also be introduced regularly to promote open communication between healthcare professionals (Glarcher and Vaismoradi, 2025). Psychological safety in clinical teams can be a beneficial type of promotion, as it will allow the hospital to monitor threats that are likely to arise sooner than in other situations. The fourth practice is the enhancement of the workforce and clinical oversight in neonatal units. Problems with staffing and overworking may lead to the </w:t>
      </w:r>
      <w:r w:rsidRPr="009A343F">
        <w:rPr>
          <w:rFonts w:eastAsia="Times New Roman"/>
          <w:color w:val="000000" w:themeColor="text1"/>
          <w:lang w:val="en-GB"/>
        </w:rPr>
        <w:lastRenderedPageBreak/>
        <w:t xml:space="preserve">inability of healthcare professionals to ensure proper patient monitoring and safety practices (Jeleff </w:t>
      </w:r>
      <w:r w:rsidRPr="009A343F">
        <w:rPr>
          <w:rFonts w:eastAsia="Times New Roman"/>
          <w:i/>
          <w:iCs/>
          <w:color w:val="000000" w:themeColor="text1"/>
          <w:lang w:val="en-GB"/>
        </w:rPr>
        <w:t>et al</w:t>
      </w:r>
      <w:r w:rsidRPr="009A343F">
        <w:rPr>
          <w:rFonts w:eastAsia="Times New Roman"/>
          <w:color w:val="000000" w:themeColor="text1"/>
          <w:lang w:val="en-GB"/>
        </w:rPr>
        <w:t>. 2022). </w:t>
      </w:r>
    </w:p>
    <w:p w14:paraId="3215D5E0" w14:textId="77777777" w:rsidR="00CF29EC" w:rsidRPr="00CC58F2" w:rsidRDefault="00CF29EC" w:rsidP="00165EB2">
      <w:pPr>
        <w:pStyle w:val="Heading2"/>
        <w:spacing w:before="240" w:after="240" w:line="360" w:lineRule="auto"/>
        <w:jc w:val="both"/>
        <w:rPr>
          <w:color w:val="000000" w:themeColor="text1"/>
          <w:szCs w:val="22"/>
          <w:lang w:val="en-GB"/>
        </w:rPr>
      </w:pPr>
      <w:bookmarkStart w:id="8" w:name="_Toc224564056"/>
      <w:r w:rsidRPr="00CC58F2">
        <w:rPr>
          <w:color w:val="000000" w:themeColor="text1"/>
          <w:szCs w:val="22"/>
          <w:lang w:val="en-GB"/>
        </w:rPr>
        <w:t>3.1 Benchmark table</w:t>
      </w:r>
      <w:bookmarkEnd w:id="8"/>
    </w:p>
    <w:tbl>
      <w:tblPr>
        <w:tblStyle w:val="TableGrid"/>
        <w:tblW w:w="0" w:type="auto"/>
        <w:tblLook w:val="04A0" w:firstRow="1" w:lastRow="0" w:firstColumn="1" w:lastColumn="0" w:noHBand="0" w:noVBand="1"/>
      </w:tblPr>
      <w:tblGrid>
        <w:gridCol w:w="2824"/>
        <w:gridCol w:w="3583"/>
        <w:gridCol w:w="2943"/>
      </w:tblGrid>
      <w:tr w:rsidR="00CC58F2" w:rsidRPr="00CC58F2" w14:paraId="3C6062C8" w14:textId="77777777" w:rsidTr="00C1037E">
        <w:tc>
          <w:tcPr>
            <w:tcW w:w="0" w:type="auto"/>
            <w:hideMark/>
          </w:tcPr>
          <w:p w14:paraId="6648CE57" w14:textId="77777777" w:rsidR="00C1037E" w:rsidRPr="00CC58F2" w:rsidRDefault="00C1037E" w:rsidP="00C1037E">
            <w:pPr>
              <w:spacing w:before="240" w:after="240" w:line="360" w:lineRule="auto"/>
              <w:jc w:val="center"/>
              <w:rPr>
                <w:rFonts w:eastAsia="Times New Roman"/>
                <w:b/>
                <w:bCs/>
                <w:color w:val="000000" w:themeColor="text1"/>
                <w:lang w:val="en-IN"/>
              </w:rPr>
            </w:pPr>
            <w:r w:rsidRPr="00CC58F2">
              <w:rPr>
                <w:rFonts w:eastAsia="Times New Roman"/>
                <w:b/>
                <w:bCs/>
                <w:color w:val="000000" w:themeColor="text1"/>
                <w:lang w:val="en-IN"/>
              </w:rPr>
              <w:t>National Standard / Benchmark</w:t>
            </w:r>
          </w:p>
        </w:tc>
        <w:tc>
          <w:tcPr>
            <w:tcW w:w="0" w:type="auto"/>
            <w:hideMark/>
          </w:tcPr>
          <w:p w14:paraId="1220CA4E" w14:textId="77777777" w:rsidR="00C1037E" w:rsidRPr="00CC58F2" w:rsidRDefault="00C1037E" w:rsidP="00C1037E">
            <w:pPr>
              <w:spacing w:before="240" w:after="240" w:line="360" w:lineRule="auto"/>
              <w:jc w:val="center"/>
              <w:rPr>
                <w:rFonts w:eastAsia="Times New Roman"/>
                <w:b/>
                <w:bCs/>
                <w:color w:val="000000" w:themeColor="text1"/>
                <w:lang w:val="en-IN"/>
              </w:rPr>
            </w:pPr>
            <w:r w:rsidRPr="00CC58F2">
              <w:rPr>
                <w:rFonts w:eastAsia="Times New Roman"/>
                <w:b/>
                <w:bCs/>
                <w:color w:val="000000" w:themeColor="text1"/>
                <w:lang w:val="en-IN"/>
              </w:rPr>
              <w:t>Organisational Performance</w:t>
            </w:r>
          </w:p>
        </w:tc>
        <w:tc>
          <w:tcPr>
            <w:tcW w:w="0" w:type="auto"/>
            <w:hideMark/>
          </w:tcPr>
          <w:p w14:paraId="0EFDDEFE" w14:textId="77777777" w:rsidR="00C1037E" w:rsidRPr="00CC58F2" w:rsidRDefault="00C1037E" w:rsidP="00C1037E">
            <w:pPr>
              <w:spacing w:before="240" w:after="240" w:line="360" w:lineRule="auto"/>
              <w:jc w:val="center"/>
              <w:rPr>
                <w:rFonts w:eastAsia="Times New Roman"/>
                <w:b/>
                <w:bCs/>
                <w:color w:val="000000" w:themeColor="text1"/>
                <w:lang w:val="en-IN"/>
              </w:rPr>
            </w:pPr>
            <w:r w:rsidRPr="00CC58F2">
              <w:rPr>
                <w:rFonts w:eastAsia="Times New Roman"/>
                <w:b/>
                <w:bCs/>
                <w:color w:val="000000" w:themeColor="text1"/>
                <w:lang w:val="en-IN"/>
              </w:rPr>
              <w:t>Identified Gap in Practice</w:t>
            </w:r>
          </w:p>
        </w:tc>
      </w:tr>
      <w:tr w:rsidR="00CC58F2" w:rsidRPr="00CC58F2" w14:paraId="6528A722" w14:textId="77777777" w:rsidTr="00C1037E">
        <w:tc>
          <w:tcPr>
            <w:tcW w:w="0" w:type="auto"/>
            <w:hideMark/>
          </w:tcPr>
          <w:p w14:paraId="58BA6873" w14:textId="77777777" w:rsidR="00C1037E" w:rsidRPr="00CC58F2" w:rsidRDefault="00C1037E" w:rsidP="00C1037E">
            <w:pPr>
              <w:spacing w:before="240" w:after="240" w:line="360" w:lineRule="auto"/>
              <w:jc w:val="both"/>
              <w:rPr>
                <w:rFonts w:eastAsia="Times New Roman"/>
                <w:color w:val="000000" w:themeColor="text1"/>
                <w:lang w:val="en-IN"/>
              </w:rPr>
            </w:pPr>
            <w:r w:rsidRPr="00CC58F2">
              <w:rPr>
                <w:rFonts w:eastAsia="Times New Roman"/>
                <w:color w:val="000000" w:themeColor="text1"/>
                <w:lang w:val="en-IN"/>
              </w:rPr>
              <w:t>Whistleblowing policies should allow healthcare staff to safely report concerns without fear of retaliation (BBC News, 2023).</w:t>
            </w:r>
          </w:p>
        </w:tc>
        <w:tc>
          <w:tcPr>
            <w:tcW w:w="0" w:type="auto"/>
            <w:hideMark/>
          </w:tcPr>
          <w:p w14:paraId="0245DCCC" w14:textId="5029DD30" w:rsidR="00C1037E" w:rsidRPr="00CC58F2" w:rsidRDefault="00C1037E" w:rsidP="00C1037E">
            <w:pPr>
              <w:spacing w:before="240" w:after="240" w:line="360" w:lineRule="auto"/>
              <w:jc w:val="both"/>
              <w:rPr>
                <w:rFonts w:eastAsia="Times New Roman"/>
                <w:color w:val="000000" w:themeColor="text1"/>
                <w:lang w:val="en-IN"/>
              </w:rPr>
            </w:pPr>
            <w:r w:rsidRPr="00CC58F2">
              <w:rPr>
                <w:rFonts w:eastAsia="Times New Roman"/>
                <w:color w:val="000000" w:themeColor="text1"/>
                <w:lang w:val="en-IN"/>
              </w:rPr>
              <w:t>The organisation had whistleblowing policies in place; however, they were not effectively implemented or trusted by staff</w:t>
            </w:r>
            <w:r w:rsidR="00D2349A">
              <w:rPr>
                <w:rFonts w:eastAsia="Times New Roman"/>
                <w:color w:val="000000" w:themeColor="text1"/>
                <w:lang w:val="en-IN"/>
              </w:rPr>
              <w:t xml:space="preserve"> (</w:t>
            </w:r>
            <w:r w:rsidR="00D2349A" w:rsidRPr="00D2349A">
              <w:rPr>
                <w:rFonts w:eastAsia="Times New Roman"/>
                <w:color w:val="000000" w:themeColor="text1"/>
              </w:rPr>
              <w:t>Need for Whistleblowing and Its Policies: A Literature Review, 2022)</w:t>
            </w:r>
            <w:r w:rsidR="00D2349A">
              <w:rPr>
                <w:rFonts w:eastAsia="Times New Roman"/>
                <w:color w:val="000000" w:themeColor="text1"/>
              </w:rPr>
              <w:t>.</w:t>
            </w:r>
          </w:p>
        </w:tc>
        <w:tc>
          <w:tcPr>
            <w:tcW w:w="0" w:type="auto"/>
            <w:hideMark/>
          </w:tcPr>
          <w:p w14:paraId="4D34297E" w14:textId="77777777" w:rsidR="00C1037E" w:rsidRPr="00CC58F2" w:rsidRDefault="00C1037E" w:rsidP="00C1037E">
            <w:pPr>
              <w:spacing w:before="240" w:after="240" w:line="360" w:lineRule="auto"/>
              <w:jc w:val="both"/>
              <w:rPr>
                <w:rFonts w:eastAsia="Times New Roman"/>
                <w:color w:val="000000" w:themeColor="text1"/>
                <w:lang w:val="en-IN"/>
              </w:rPr>
            </w:pPr>
            <w:r w:rsidRPr="00CC58F2">
              <w:rPr>
                <w:rFonts w:eastAsia="Times New Roman"/>
                <w:color w:val="000000" w:themeColor="text1"/>
                <w:lang w:val="en-IN"/>
              </w:rPr>
              <w:t>Staff reportedly felt unsafe raising concerns due to a defensive leadership culture and fear of organisational consequences (Mahase, 2022).</w:t>
            </w:r>
          </w:p>
        </w:tc>
      </w:tr>
      <w:tr w:rsidR="00CC58F2" w:rsidRPr="00CC58F2" w14:paraId="5E6BF939" w14:textId="77777777" w:rsidTr="00C1037E">
        <w:tc>
          <w:tcPr>
            <w:tcW w:w="0" w:type="auto"/>
            <w:hideMark/>
          </w:tcPr>
          <w:p w14:paraId="63A0A475" w14:textId="77777777" w:rsidR="00C1037E" w:rsidRPr="00CC58F2" w:rsidRDefault="00C1037E" w:rsidP="00C1037E">
            <w:pPr>
              <w:spacing w:before="240" w:after="240" w:line="360" w:lineRule="auto"/>
              <w:jc w:val="both"/>
              <w:rPr>
                <w:rFonts w:eastAsia="Times New Roman"/>
                <w:color w:val="000000" w:themeColor="text1"/>
                <w:lang w:val="en-IN"/>
              </w:rPr>
            </w:pPr>
            <w:r w:rsidRPr="00CC58F2">
              <w:rPr>
                <w:rFonts w:eastAsia="Times New Roman"/>
                <w:color w:val="000000" w:themeColor="text1"/>
                <w:lang w:val="en-IN"/>
              </w:rPr>
              <w:t>Incident reporting systems should support early detection and escalation of abnormal clinical trends (Parliament.uk, 2026).</w:t>
            </w:r>
          </w:p>
        </w:tc>
        <w:tc>
          <w:tcPr>
            <w:tcW w:w="0" w:type="auto"/>
            <w:hideMark/>
          </w:tcPr>
          <w:p w14:paraId="24D205EE" w14:textId="2589AC15" w:rsidR="00C1037E" w:rsidRPr="00CC58F2" w:rsidRDefault="00C1037E" w:rsidP="00C1037E">
            <w:pPr>
              <w:spacing w:before="240" w:after="240" w:line="360" w:lineRule="auto"/>
              <w:jc w:val="both"/>
              <w:rPr>
                <w:rFonts w:eastAsia="Times New Roman"/>
                <w:color w:val="000000" w:themeColor="text1"/>
                <w:lang w:val="en-IN"/>
              </w:rPr>
            </w:pPr>
            <w:r w:rsidRPr="00CC58F2">
              <w:rPr>
                <w:rFonts w:eastAsia="Times New Roman"/>
                <w:color w:val="000000" w:themeColor="text1"/>
                <w:lang w:val="en-IN"/>
              </w:rPr>
              <w:t>Incident reporting systems were operational, but data was not analysed holistically to detect emerging safety patterns</w:t>
            </w:r>
            <w:r w:rsidR="00D2349A">
              <w:rPr>
                <w:rFonts w:eastAsia="Times New Roman"/>
                <w:color w:val="000000" w:themeColor="text1"/>
                <w:lang w:val="en-IN"/>
              </w:rPr>
              <w:t xml:space="preserve"> </w:t>
            </w:r>
            <w:r w:rsidR="00D2349A" w:rsidRPr="00D2349A">
              <w:rPr>
                <w:rFonts w:eastAsia="Times New Roman"/>
                <w:color w:val="000000" w:themeColor="text1"/>
              </w:rPr>
              <w:t>(Knight, 2004)</w:t>
            </w:r>
            <w:r w:rsidR="00D2349A">
              <w:rPr>
                <w:rFonts w:eastAsia="Times New Roman"/>
                <w:color w:val="000000" w:themeColor="text1"/>
              </w:rPr>
              <w:t>.</w:t>
            </w:r>
          </w:p>
        </w:tc>
        <w:tc>
          <w:tcPr>
            <w:tcW w:w="0" w:type="auto"/>
            <w:hideMark/>
          </w:tcPr>
          <w:p w14:paraId="283A44BE" w14:textId="496C5B44" w:rsidR="00C1037E" w:rsidRPr="00CC58F2" w:rsidRDefault="00C1037E" w:rsidP="00C1037E">
            <w:pPr>
              <w:spacing w:before="240" w:after="240" w:line="360" w:lineRule="auto"/>
              <w:jc w:val="both"/>
              <w:rPr>
                <w:rFonts w:eastAsia="Times New Roman"/>
                <w:color w:val="000000" w:themeColor="text1"/>
                <w:lang w:val="en-IN"/>
              </w:rPr>
            </w:pPr>
            <w:r w:rsidRPr="00CC58F2">
              <w:rPr>
                <w:rFonts w:eastAsia="Times New Roman"/>
                <w:color w:val="000000" w:themeColor="text1"/>
                <w:lang w:val="en-IN"/>
              </w:rPr>
              <w:t>Clinical incidents were recorded but not systematically analysed to identify patterns of neonatal harm</w:t>
            </w:r>
            <w:r w:rsidR="00D2349A">
              <w:rPr>
                <w:rFonts w:eastAsia="Times New Roman"/>
                <w:color w:val="000000" w:themeColor="text1"/>
                <w:lang w:val="en-IN"/>
              </w:rPr>
              <w:t xml:space="preserve"> </w:t>
            </w:r>
            <w:r w:rsidR="00D2349A" w:rsidRPr="00D2349A">
              <w:rPr>
                <w:rFonts w:eastAsia="Times New Roman"/>
                <w:color w:val="000000" w:themeColor="text1"/>
              </w:rPr>
              <w:t>(Williams, 1997)</w:t>
            </w:r>
            <w:r w:rsidR="00D2349A">
              <w:rPr>
                <w:rFonts w:eastAsia="Times New Roman"/>
                <w:color w:val="000000" w:themeColor="text1"/>
              </w:rPr>
              <w:t>.</w:t>
            </w:r>
          </w:p>
        </w:tc>
      </w:tr>
      <w:tr w:rsidR="00CC58F2" w:rsidRPr="00CC58F2" w14:paraId="791296D5" w14:textId="77777777" w:rsidTr="00C1037E">
        <w:tc>
          <w:tcPr>
            <w:tcW w:w="0" w:type="auto"/>
            <w:hideMark/>
          </w:tcPr>
          <w:p w14:paraId="6F44F57E" w14:textId="2B186A77" w:rsidR="00C1037E" w:rsidRPr="00B64D50" w:rsidRDefault="00C1037E" w:rsidP="00C1037E">
            <w:pPr>
              <w:spacing w:before="240" w:after="240" w:line="360" w:lineRule="auto"/>
              <w:jc w:val="both"/>
              <w:rPr>
                <w:rFonts w:eastAsia="Times New Roman"/>
                <w:color w:val="000000" w:themeColor="text1"/>
                <w:lang w:val="en-IN"/>
              </w:rPr>
            </w:pPr>
            <w:r w:rsidRPr="00B64D50">
              <w:rPr>
                <w:rFonts w:eastAsia="Times New Roman"/>
                <w:color w:val="000000" w:themeColor="text1"/>
                <w:lang w:val="en-IN"/>
              </w:rPr>
              <w:t>Clinical governance frameworks require timely investigation when serious safety concerns arise</w:t>
            </w:r>
            <w:r w:rsidR="00D2349A">
              <w:rPr>
                <w:rFonts w:eastAsia="Times New Roman"/>
                <w:color w:val="000000" w:themeColor="text1"/>
                <w:lang w:val="en-IN"/>
              </w:rPr>
              <w:t xml:space="preserve"> </w:t>
            </w:r>
            <w:r w:rsidR="00B64D50" w:rsidRPr="00B64D50">
              <w:rPr>
                <w:rFonts w:eastAsia="Times New Roman"/>
                <w:color w:val="000000" w:themeColor="text1"/>
              </w:rPr>
              <w:t>(Wise, 1998)</w:t>
            </w:r>
            <w:r w:rsidR="00D2349A">
              <w:rPr>
                <w:rFonts w:eastAsia="Times New Roman"/>
                <w:color w:val="000000" w:themeColor="text1"/>
              </w:rPr>
              <w:t>.</w:t>
            </w:r>
          </w:p>
        </w:tc>
        <w:tc>
          <w:tcPr>
            <w:tcW w:w="0" w:type="auto"/>
            <w:hideMark/>
          </w:tcPr>
          <w:p w14:paraId="438AD14B" w14:textId="382078F2" w:rsidR="00C1037E" w:rsidRPr="00CC58F2" w:rsidRDefault="00C1037E" w:rsidP="00C1037E">
            <w:pPr>
              <w:spacing w:before="240" w:after="240" w:line="360" w:lineRule="auto"/>
              <w:jc w:val="both"/>
              <w:rPr>
                <w:rFonts w:eastAsia="Times New Roman"/>
                <w:color w:val="000000" w:themeColor="text1"/>
                <w:lang w:val="en-IN"/>
              </w:rPr>
            </w:pPr>
            <w:r w:rsidRPr="00CC58F2">
              <w:rPr>
                <w:rFonts w:eastAsia="Times New Roman"/>
                <w:color w:val="000000" w:themeColor="text1"/>
                <w:lang w:val="en-IN"/>
              </w:rPr>
              <w:t>Governance structures existed, yet leadership response was delayed and escalation procedures were not followed promptly</w:t>
            </w:r>
            <w:r w:rsidR="00D2349A">
              <w:rPr>
                <w:rFonts w:eastAsia="Times New Roman"/>
                <w:color w:val="000000" w:themeColor="text1"/>
                <w:lang w:val="en-IN"/>
              </w:rPr>
              <w:t xml:space="preserve"> </w:t>
            </w:r>
            <w:r w:rsidR="00D2349A" w:rsidRPr="00D2349A">
              <w:rPr>
                <w:rFonts w:eastAsia="Times New Roman"/>
                <w:color w:val="000000" w:themeColor="text1"/>
              </w:rPr>
              <w:t>(Ghulam Kalsoom and Zámečník, 2023)</w:t>
            </w:r>
            <w:r w:rsidR="00D2349A">
              <w:rPr>
                <w:rFonts w:eastAsia="Times New Roman"/>
                <w:color w:val="000000" w:themeColor="text1"/>
              </w:rPr>
              <w:t>.</w:t>
            </w:r>
          </w:p>
        </w:tc>
        <w:tc>
          <w:tcPr>
            <w:tcW w:w="0" w:type="auto"/>
            <w:hideMark/>
          </w:tcPr>
          <w:p w14:paraId="3F8C0117" w14:textId="3FF7EFAF" w:rsidR="00C1037E" w:rsidRPr="00CC58F2" w:rsidRDefault="00C1037E" w:rsidP="00C1037E">
            <w:pPr>
              <w:spacing w:before="240" w:after="240" w:line="360" w:lineRule="auto"/>
              <w:jc w:val="both"/>
              <w:rPr>
                <w:rFonts w:eastAsia="Times New Roman"/>
                <w:color w:val="000000" w:themeColor="text1"/>
                <w:lang w:val="en-IN"/>
              </w:rPr>
            </w:pPr>
            <w:r w:rsidRPr="00CC58F2">
              <w:rPr>
                <w:rFonts w:eastAsia="Times New Roman"/>
                <w:color w:val="000000" w:themeColor="text1"/>
                <w:lang w:val="en-IN"/>
              </w:rPr>
              <w:t>Leadership responses to repeated safety warnings were delayed, preventing early intervention</w:t>
            </w:r>
            <w:r w:rsidR="00D2349A">
              <w:rPr>
                <w:rFonts w:eastAsia="Times New Roman"/>
                <w:color w:val="000000" w:themeColor="text1"/>
                <w:lang w:val="en-IN"/>
              </w:rPr>
              <w:t xml:space="preserve"> </w:t>
            </w:r>
            <w:r w:rsidR="00D2349A" w:rsidRPr="00D2349A">
              <w:rPr>
                <w:rFonts w:eastAsia="Times New Roman"/>
                <w:color w:val="000000" w:themeColor="text1"/>
              </w:rPr>
              <w:t>(Kawabe and Miyamoto, 2008)</w:t>
            </w:r>
            <w:r w:rsidR="00D2349A">
              <w:rPr>
                <w:rFonts w:eastAsia="Times New Roman"/>
                <w:color w:val="000000" w:themeColor="text1"/>
              </w:rPr>
              <w:t>.</w:t>
            </w:r>
          </w:p>
        </w:tc>
      </w:tr>
      <w:tr w:rsidR="00CC58F2" w:rsidRPr="00CC58F2" w14:paraId="003BDB02" w14:textId="77777777" w:rsidTr="00C1037E">
        <w:tc>
          <w:tcPr>
            <w:tcW w:w="0" w:type="auto"/>
            <w:hideMark/>
          </w:tcPr>
          <w:p w14:paraId="59317485" w14:textId="5658E365" w:rsidR="00C1037E" w:rsidRPr="00CC58F2" w:rsidRDefault="00C1037E" w:rsidP="00C1037E">
            <w:pPr>
              <w:spacing w:before="240" w:after="240" w:line="360" w:lineRule="auto"/>
              <w:jc w:val="both"/>
              <w:rPr>
                <w:rFonts w:eastAsia="Times New Roman"/>
                <w:color w:val="000000" w:themeColor="text1"/>
                <w:lang w:val="en-IN"/>
              </w:rPr>
            </w:pPr>
            <w:r w:rsidRPr="00CC58F2">
              <w:rPr>
                <w:rFonts w:eastAsia="Times New Roman"/>
                <w:color w:val="000000" w:themeColor="text1"/>
                <w:lang w:val="en-IN"/>
              </w:rPr>
              <w:t>Adequate staffing and supervision should be ensured in neonatal care settings</w:t>
            </w:r>
            <w:r w:rsidR="00D2349A">
              <w:rPr>
                <w:rFonts w:eastAsia="Times New Roman"/>
                <w:color w:val="000000" w:themeColor="text1"/>
                <w:lang w:val="en-IN"/>
              </w:rPr>
              <w:t xml:space="preserve"> </w:t>
            </w:r>
            <w:r w:rsidR="00D2349A" w:rsidRPr="00D2349A">
              <w:rPr>
                <w:rFonts w:eastAsia="Times New Roman"/>
                <w:color w:val="000000" w:themeColor="text1"/>
              </w:rPr>
              <w:t>(Ashe, 2018)</w:t>
            </w:r>
            <w:r w:rsidR="00D2349A">
              <w:rPr>
                <w:rFonts w:eastAsia="Times New Roman"/>
                <w:color w:val="000000" w:themeColor="text1"/>
              </w:rPr>
              <w:t>.</w:t>
            </w:r>
          </w:p>
        </w:tc>
        <w:tc>
          <w:tcPr>
            <w:tcW w:w="0" w:type="auto"/>
            <w:hideMark/>
          </w:tcPr>
          <w:p w14:paraId="594FF7FE" w14:textId="13E1925D" w:rsidR="00C1037E" w:rsidRPr="00CC58F2" w:rsidRDefault="00C1037E" w:rsidP="00C1037E">
            <w:pPr>
              <w:spacing w:before="240" w:after="240" w:line="360" w:lineRule="auto"/>
              <w:jc w:val="both"/>
              <w:rPr>
                <w:rFonts w:eastAsia="Times New Roman"/>
                <w:color w:val="000000" w:themeColor="text1"/>
                <w:lang w:val="en-IN"/>
              </w:rPr>
            </w:pPr>
            <w:r w:rsidRPr="00CC58F2">
              <w:rPr>
                <w:rFonts w:eastAsia="Times New Roman"/>
                <w:color w:val="000000" w:themeColor="text1"/>
                <w:lang w:val="en-IN"/>
              </w:rPr>
              <w:t xml:space="preserve">The neonatal unit experienced workforce shortages and high workload, which affected </w:t>
            </w:r>
            <w:r w:rsidRPr="00CC58F2">
              <w:rPr>
                <w:rFonts w:eastAsia="Times New Roman"/>
                <w:color w:val="000000" w:themeColor="text1"/>
                <w:lang w:val="en-IN"/>
              </w:rPr>
              <w:lastRenderedPageBreak/>
              <w:t>supervision and monitoring of patients</w:t>
            </w:r>
            <w:r w:rsidR="00D2349A">
              <w:rPr>
                <w:rFonts w:eastAsia="Times New Roman"/>
                <w:color w:val="000000" w:themeColor="text1"/>
                <w:lang w:val="en-IN"/>
              </w:rPr>
              <w:t xml:space="preserve"> </w:t>
            </w:r>
            <w:r w:rsidR="00D2349A" w:rsidRPr="00D2349A">
              <w:rPr>
                <w:rFonts w:eastAsia="Times New Roman"/>
                <w:color w:val="000000" w:themeColor="text1"/>
              </w:rPr>
              <w:t>(Watson, 2024)</w:t>
            </w:r>
            <w:r w:rsidR="00D2349A">
              <w:rPr>
                <w:rFonts w:eastAsia="Times New Roman"/>
                <w:color w:val="000000" w:themeColor="text1"/>
              </w:rPr>
              <w:t>.</w:t>
            </w:r>
          </w:p>
        </w:tc>
        <w:tc>
          <w:tcPr>
            <w:tcW w:w="0" w:type="auto"/>
            <w:hideMark/>
          </w:tcPr>
          <w:p w14:paraId="6BE9B7C4" w14:textId="0B2FD4FC" w:rsidR="00C1037E" w:rsidRPr="00CC58F2" w:rsidRDefault="00C1037E" w:rsidP="00C1037E">
            <w:pPr>
              <w:spacing w:before="240" w:after="240" w:line="360" w:lineRule="auto"/>
              <w:jc w:val="both"/>
              <w:rPr>
                <w:rFonts w:eastAsia="Times New Roman"/>
                <w:color w:val="000000" w:themeColor="text1"/>
                <w:lang w:val="en-IN"/>
              </w:rPr>
            </w:pPr>
            <w:r w:rsidRPr="00CC58F2">
              <w:rPr>
                <w:rFonts w:eastAsia="Times New Roman"/>
                <w:color w:val="000000" w:themeColor="text1"/>
                <w:lang w:val="en-IN"/>
              </w:rPr>
              <w:lastRenderedPageBreak/>
              <w:t>Operational pressures and staffing shortages reduced effective patient monitoring and safety oversight</w:t>
            </w:r>
            <w:r w:rsidR="00D2349A">
              <w:rPr>
                <w:rFonts w:eastAsia="Times New Roman"/>
                <w:color w:val="000000" w:themeColor="text1"/>
                <w:lang w:val="en-IN"/>
              </w:rPr>
              <w:t xml:space="preserve"> </w:t>
            </w:r>
            <w:r w:rsidR="00D2349A" w:rsidRPr="00D2349A">
              <w:rPr>
                <w:rFonts w:eastAsia="Times New Roman"/>
                <w:color w:val="000000" w:themeColor="text1"/>
              </w:rPr>
              <w:lastRenderedPageBreak/>
              <w:t>(Abcejo and Methangkool, 2023)</w:t>
            </w:r>
            <w:r w:rsidR="00D2349A">
              <w:rPr>
                <w:rFonts w:eastAsia="Times New Roman"/>
                <w:color w:val="000000" w:themeColor="text1"/>
              </w:rPr>
              <w:t>.</w:t>
            </w:r>
          </w:p>
        </w:tc>
      </w:tr>
    </w:tbl>
    <w:p w14:paraId="5A8C9606" w14:textId="2D704B19" w:rsidR="00CF29EC" w:rsidRPr="009A343F" w:rsidRDefault="00CF29EC" w:rsidP="00F95456">
      <w:pPr>
        <w:spacing w:before="240" w:after="240" w:line="360" w:lineRule="auto"/>
        <w:jc w:val="center"/>
        <w:rPr>
          <w:rFonts w:eastAsia="Times New Roman"/>
          <w:color w:val="000000" w:themeColor="text1"/>
          <w:lang w:val="en-GB"/>
        </w:rPr>
      </w:pPr>
      <w:r w:rsidRPr="009A343F">
        <w:rPr>
          <w:rFonts w:eastAsia="Times New Roman"/>
          <w:b/>
          <w:bCs/>
          <w:color w:val="000000" w:themeColor="text1"/>
          <w:lang w:val="en-GB"/>
        </w:rPr>
        <w:lastRenderedPageBreak/>
        <w:t>Table 1: Benchmark Table</w:t>
      </w:r>
    </w:p>
    <w:p w14:paraId="5E644626" w14:textId="77777777" w:rsidR="00CF29EC" w:rsidRPr="009A343F" w:rsidRDefault="00CF29EC" w:rsidP="00F95456">
      <w:pPr>
        <w:spacing w:before="240" w:after="240" w:line="360" w:lineRule="auto"/>
        <w:jc w:val="center"/>
        <w:rPr>
          <w:rFonts w:eastAsia="Times New Roman"/>
          <w:color w:val="000000" w:themeColor="text1"/>
          <w:lang w:val="en-GB"/>
        </w:rPr>
      </w:pPr>
      <w:r w:rsidRPr="009A343F">
        <w:rPr>
          <w:rFonts w:eastAsia="Times New Roman"/>
          <w:color w:val="000000" w:themeColor="text1"/>
          <w:lang w:val="en-GB"/>
        </w:rPr>
        <w:t>(Source: Self-developed)</w:t>
      </w:r>
    </w:p>
    <w:p w14:paraId="47E3F96B" w14:textId="77777777" w:rsidR="00CF29EC" w:rsidRPr="009A343F" w:rsidRDefault="00CF29EC" w:rsidP="00165EB2">
      <w:pPr>
        <w:pStyle w:val="Heading1"/>
        <w:spacing w:before="240" w:after="240" w:line="360" w:lineRule="auto"/>
        <w:jc w:val="both"/>
        <w:rPr>
          <w:color w:val="000000" w:themeColor="text1"/>
          <w:sz w:val="22"/>
          <w:szCs w:val="22"/>
          <w:lang w:val="en-GB"/>
        </w:rPr>
      </w:pPr>
      <w:bookmarkStart w:id="9" w:name="_Toc224564057"/>
      <w:r w:rsidRPr="009A343F">
        <w:rPr>
          <w:color w:val="000000" w:themeColor="text1"/>
          <w:sz w:val="22"/>
          <w:szCs w:val="22"/>
          <w:lang w:val="en-GB"/>
        </w:rPr>
        <w:t>4. Conclusion</w:t>
      </w:r>
      <w:bookmarkEnd w:id="9"/>
    </w:p>
    <w:p w14:paraId="2DD32F3F" w14:textId="77777777" w:rsidR="00956BEF" w:rsidRPr="009A343F" w:rsidRDefault="00CF29EC"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 xml:space="preserve">One of the largest patient safety failures related to the National Health Service in recent years is the Lucy Letby case at the Countess of Chester Hospital. The case analysis shows that harm to patients in healthcare organisations is attributed to a single </w:t>
      </w:r>
      <w:r w:rsidR="00EE2EFC" w:rsidRPr="009A343F">
        <w:rPr>
          <w:rFonts w:eastAsia="Times New Roman"/>
          <w:color w:val="000000" w:themeColor="text1"/>
          <w:lang w:val="en-GB"/>
        </w:rPr>
        <w:t>issue but</w:t>
      </w:r>
      <w:r w:rsidRPr="009A343F">
        <w:rPr>
          <w:rFonts w:eastAsia="Times New Roman"/>
          <w:color w:val="000000" w:themeColor="text1"/>
          <w:lang w:val="en-GB"/>
        </w:rPr>
        <w:t xml:space="preserve"> is mostly due to the systemic weaknesses that are interdependent. In this case, the lack of leadership control, poor incident reporting frameworks, weak governance systems, and the absence of psychological safety at the organisation level led to the continued existence of an unsafe situation in the neonatal unit. </w:t>
      </w:r>
      <w:r w:rsidR="00C10C17" w:rsidRPr="009A343F">
        <w:rPr>
          <w:rFonts w:eastAsia="Times New Roman"/>
          <w:color w:val="000000" w:themeColor="text1"/>
          <w:lang w:val="en-GB"/>
        </w:rPr>
        <w:t xml:space="preserve">These quality improvement models </w:t>
      </w:r>
      <w:r w:rsidR="00EE2EFC" w:rsidRPr="009A343F">
        <w:rPr>
          <w:rFonts w:eastAsia="Times New Roman"/>
          <w:color w:val="000000" w:themeColor="text1"/>
          <w:lang w:val="en-GB"/>
        </w:rPr>
        <w:t>were</w:t>
      </w:r>
      <w:r w:rsidR="00C10C17" w:rsidRPr="009A343F">
        <w:rPr>
          <w:rFonts w:eastAsia="Times New Roman"/>
          <w:color w:val="000000" w:themeColor="text1"/>
          <w:lang w:val="en-GB"/>
        </w:rPr>
        <w:t xml:space="preserve"> the Donabedian Model, Fishbone Diagram, SWOT analysis, PDSA cycle and Kotter Change Model whereby the structural, procedural, and cultural issues facilitating the risk to pass unnoticed were found out. The importance of good governance mechanisms, good communication and systemic monitoring mechanisms has been highlighted in these analytical tools to promote high standards of patient safety.</w:t>
      </w:r>
    </w:p>
    <w:p w14:paraId="476A22C1" w14:textId="5BECFDD8" w:rsidR="00CF29EC" w:rsidRPr="009A343F" w:rsidRDefault="00C10C17" w:rsidP="00165EB2">
      <w:pPr>
        <w:spacing w:before="240" w:after="240" w:line="360" w:lineRule="auto"/>
        <w:jc w:val="both"/>
        <w:rPr>
          <w:rFonts w:eastAsia="Times New Roman"/>
          <w:color w:val="000000" w:themeColor="text1"/>
          <w:lang w:val="en-GB"/>
        </w:rPr>
      </w:pPr>
      <w:r w:rsidRPr="009A343F">
        <w:rPr>
          <w:rFonts w:eastAsia="Times New Roman"/>
          <w:color w:val="000000" w:themeColor="text1"/>
          <w:lang w:val="en-GB"/>
        </w:rPr>
        <w:t>The recommendations provided in the present report indicate that the incident surveillance, leadership accountability, whistleblowing and appropriate staffing and clinical supervision need to be improved.</w:t>
      </w:r>
      <w:r w:rsidR="00CF29EC" w:rsidRPr="009A343F">
        <w:rPr>
          <w:rFonts w:eastAsia="Times New Roman"/>
          <w:color w:val="000000" w:themeColor="text1"/>
          <w:lang w:val="en-GB"/>
        </w:rPr>
        <w:t xml:space="preserve"> These strategies could be implemented using systematic quality improvement models that could assist healthcare organisations to build safer clinical environments, improve organisational learning, and regain the confidence of individuals in the healthcare services. Finally, the proactive and open governance of patient safety is needed for sustainable service improvement.</w:t>
      </w:r>
    </w:p>
    <w:p w14:paraId="1095C1CA" w14:textId="77777777" w:rsidR="002A6B7A" w:rsidRDefault="002A6B7A">
      <w:pPr>
        <w:rPr>
          <w:b/>
          <w:lang w:val="en-GB"/>
        </w:rPr>
      </w:pPr>
      <w:bookmarkStart w:id="10" w:name="_Toc224564058"/>
      <w:r>
        <w:rPr>
          <w:lang w:val="en-GB"/>
        </w:rPr>
        <w:br w:type="page"/>
      </w:r>
    </w:p>
    <w:p w14:paraId="36655459" w14:textId="612CABD6" w:rsidR="00551F58" w:rsidRPr="00566BE4" w:rsidRDefault="0022419A" w:rsidP="00566BE4">
      <w:pPr>
        <w:pStyle w:val="Heading1"/>
        <w:spacing w:before="240" w:after="240" w:line="360" w:lineRule="auto"/>
        <w:jc w:val="both"/>
        <w:rPr>
          <w:sz w:val="22"/>
          <w:szCs w:val="22"/>
          <w:lang w:val="en-GB"/>
        </w:rPr>
      </w:pPr>
      <w:r w:rsidRPr="006B1EF7">
        <w:rPr>
          <w:sz w:val="22"/>
          <w:szCs w:val="22"/>
          <w:lang w:val="en-GB"/>
        </w:rPr>
        <w:lastRenderedPageBreak/>
        <w:t>References</w:t>
      </w:r>
      <w:bookmarkEnd w:id="10"/>
    </w:p>
    <w:p w14:paraId="6861B0B9" w14:textId="60C456AC" w:rsidR="00551F58" w:rsidRPr="006B1EF7" w:rsidRDefault="00551F58" w:rsidP="00165EB2">
      <w:pPr>
        <w:spacing w:before="240" w:after="240" w:line="360" w:lineRule="auto"/>
        <w:jc w:val="both"/>
        <w:rPr>
          <w:lang w:val="en-GB"/>
        </w:rPr>
      </w:pPr>
      <w:r w:rsidRPr="006B1EF7">
        <w:rPr>
          <w:lang w:val="en-GB"/>
        </w:rPr>
        <w:t>Akase, S. and Kpera, T., 2024. Ensuring Accuracy, Ensuring Life; a Crucial Role of Quality Management Systems in Medical Laboratories. ScienceOpen Preprints.</w:t>
      </w:r>
    </w:p>
    <w:p w14:paraId="06C5939C" w14:textId="4F3E5D04" w:rsidR="00551F58" w:rsidRPr="006B1EF7" w:rsidRDefault="00551F58" w:rsidP="00165EB2">
      <w:pPr>
        <w:spacing w:before="240" w:after="240" w:line="360" w:lineRule="auto"/>
        <w:jc w:val="both"/>
        <w:rPr>
          <w:lang w:val="en-GB"/>
        </w:rPr>
      </w:pPr>
      <w:r w:rsidRPr="006B1EF7">
        <w:rPr>
          <w:lang w:val="en-GB"/>
        </w:rPr>
        <w:t>Alizadeh-Dizaj, G., Damanabi, S., Hejazi, M.E., Raoofi, S. and Kalankesh, L.R., 2025. Implementation of patient safety monitoring systems in hospitals: a systematic review. BMJ Health &amp; Care Informatics, 32(1), p.e101392.</w:t>
      </w:r>
      <w:r w:rsidR="00D2349A" w:rsidRPr="006B1EF7">
        <w:rPr>
          <w:lang w:val="en-GB"/>
        </w:rPr>
        <w:t xml:space="preserve"> </w:t>
      </w:r>
    </w:p>
    <w:p w14:paraId="64BC7873" w14:textId="16281E57" w:rsidR="00551F58" w:rsidRPr="006B1EF7" w:rsidRDefault="00551F58" w:rsidP="00165EB2">
      <w:pPr>
        <w:spacing w:before="240" w:after="240" w:line="360" w:lineRule="auto"/>
        <w:jc w:val="both"/>
        <w:rPr>
          <w:lang w:val="en-GB"/>
        </w:rPr>
      </w:pPr>
      <w:r w:rsidRPr="006B1EF7">
        <w:rPr>
          <w:lang w:val="en-GB"/>
        </w:rPr>
        <w:t>Aqtam, I., Shouli, M., Tumeh, E. and Ayed, A., 2026. Formal vs. informal authority: A mixed-methods study of nursing leadership and patient safety in Palestinian hospitals. Nursing Outlook, 74(2), p.102702.</w:t>
      </w:r>
      <w:r w:rsidR="00D2349A" w:rsidRPr="006B1EF7">
        <w:rPr>
          <w:lang w:val="en-GB"/>
        </w:rPr>
        <w:t xml:space="preserve"> </w:t>
      </w:r>
    </w:p>
    <w:p w14:paraId="2D65B722" w14:textId="0D99CFD9" w:rsidR="00551F58" w:rsidRPr="006B1EF7" w:rsidRDefault="00551F58" w:rsidP="00165EB2">
      <w:pPr>
        <w:spacing w:before="240" w:after="240" w:line="360" w:lineRule="auto"/>
        <w:jc w:val="both"/>
        <w:rPr>
          <w:lang w:val="en-GB"/>
        </w:rPr>
      </w:pPr>
      <w:r w:rsidRPr="006B1EF7">
        <w:rPr>
          <w:lang w:val="en-GB"/>
        </w:rPr>
        <w:t xml:space="preserve">Ekpenyong, M.S., Nyashanu, M., Ibrahim, A. and Serrant, L., 2021. Perceived barriers to whistle blowing in healthcare amongst healthcare professionals: An integrative review. </w:t>
      </w:r>
      <w:r w:rsidRPr="006B1EF7">
        <w:rPr>
          <w:i/>
          <w:iCs/>
          <w:lang w:val="en-GB"/>
        </w:rPr>
        <w:t>International Journal of Human Rights in Healthcare</w:t>
      </w:r>
      <w:r w:rsidRPr="006B1EF7">
        <w:rPr>
          <w:lang w:val="en-GB"/>
        </w:rPr>
        <w:t xml:space="preserve">, </w:t>
      </w:r>
      <w:r w:rsidRPr="006B1EF7">
        <w:rPr>
          <w:i/>
          <w:iCs/>
          <w:lang w:val="en-GB"/>
        </w:rPr>
        <w:t>14</w:t>
      </w:r>
      <w:r w:rsidRPr="006B1EF7">
        <w:rPr>
          <w:lang w:val="en-GB"/>
        </w:rPr>
        <w:t>(1), pp.10-27.</w:t>
      </w:r>
      <w:r w:rsidR="00D2349A" w:rsidRPr="006B1EF7">
        <w:rPr>
          <w:lang w:val="en-GB"/>
        </w:rPr>
        <w:t xml:space="preserve"> </w:t>
      </w:r>
    </w:p>
    <w:p w14:paraId="322F67A6" w14:textId="1813F274" w:rsidR="00551F58" w:rsidRPr="006B1EF7" w:rsidRDefault="00551F58" w:rsidP="00165EB2">
      <w:pPr>
        <w:spacing w:before="240" w:after="240" w:line="360" w:lineRule="auto"/>
        <w:jc w:val="both"/>
        <w:rPr>
          <w:lang w:val="en-GB"/>
        </w:rPr>
      </w:pPr>
      <w:r w:rsidRPr="006B1EF7">
        <w:rPr>
          <w:lang w:val="en-GB"/>
        </w:rPr>
        <w:t xml:space="preserve">Farag, M.I.H., 2025. The role of SWOT analysis in enhancing business growth and long-term management sustainability. </w:t>
      </w:r>
      <w:r w:rsidRPr="006B1EF7">
        <w:rPr>
          <w:i/>
          <w:iCs/>
          <w:lang w:val="en-GB"/>
        </w:rPr>
        <w:t>Management Science Advances</w:t>
      </w:r>
      <w:r w:rsidRPr="006B1EF7">
        <w:rPr>
          <w:lang w:val="en-GB"/>
        </w:rPr>
        <w:t xml:space="preserve">, </w:t>
      </w:r>
      <w:r w:rsidRPr="006B1EF7">
        <w:rPr>
          <w:i/>
          <w:iCs/>
          <w:lang w:val="en-GB"/>
        </w:rPr>
        <w:t>2</w:t>
      </w:r>
      <w:r w:rsidRPr="006B1EF7">
        <w:rPr>
          <w:lang w:val="en-GB"/>
        </w:rPr>
        <w:t>(1), pp.304-329.</w:t>
      </w:r>
      <w:r w:rsidR="00F91782" w:rsidRPr="006B1EF7">
        <w:rPr>
          <w:lang w:val="en-GB"/>
        </w:rPr>
        <w:t xml:space="preserve"> </w:t>
      </w:r>
    </w:p>
    <w:p w14:paraId="5FA80C0B" w14:textId="1F1818D1" w:rsidR="00551F58" w:rsidRPr="006B1EF7" w:rsidRDefault="00551F58" w:rsidP="00165EB2">
      <w:pPr>
        <w:spacing w:before="240" w:after="240" w:line="360" w:lineRule="auto"/>
        <w:jc w:val="both"/>
        <w:rPr>
          <w:lang w:val="en-GB"/>
        </w:rPr>
      </w:pPr>
      <w:r w:rsidRPr="006B1EF7">
        <w:rPr>
          <w:lang w:val="en-GB"/>
        </w:rPr>
        <w:t>Glarcher, M. and Vaismoradi, M., 2025. Promoting just culture in nursing education: A systematic integrative review on enhancing patient safety. Nurse education today, 152, p.106776.</w:t>
      </w:r>
      <w:r w:rsidR="00F91782" w:rsidRPr="006B1EF7">
        <w:rPr>
          <w:lang w:val="en-GB"/>
        </w:rPr>
        <w:t xml:space="preserve"> </w:t>
      </w:r>
    </w:p>
    <w:p w14:paraId="4CE2D970" w14:textId="77777777" w:rsidR="00551F58" w:rsidRPr="006B1EF7" w:rsidRDefault="00551F58" w:rsidP="00165EB2">
      <w:pPr>
        <w:spacing w:before="240" w:after="240" w:line="360" w:lineRule="auto"/>
        <w:jc w:val="both"/>
        <w:rPr>
          <w:lang w:val="en-GB"/>
        </w:rPr>
      </w:pPr>
      <w:r w:rsidRPr="006B1EF7">
        <w:rPr>
          <w:lang w:val="en-GB"/>
        </w:rPr>
        <w:t xml:space="preserve">Hospital bosses ignored months of doctors’ warnings about Lucy Letby., 2023. </w:t>
      </w:r>
      <w:r w:rsidRPr="006B1EF7">
        <w:rPr>
          <w:i/>
          <w:iCs/>
          <w:lang w:val="en-GB"/>
        </w:rPr>
        <w:t>BBC News</w:t>
      </w:r>
      <w:r w:rsidRPr="006B1EF7">
        <w:rPr>
          <w:lang w:val="en-GB"/>
        </w:rPr>
        <w:t xml:space="preserve">. [online] 18 Aug. Available at: </w:t>
      </w:r>
      <w:hyperlink r:id="rId11" w:history="1">
        <w:r w:rsidRPr="006B1EF7">
          <w:rPr>
            <w:rStyle w:val="Hyperlink"/>
            <w:lang w:val="en-GB"/>
          </w:rPr>
          <w:t>https://www.bbc.com/news/uk-66120934</w:t>
        </w:r>
      </w:hyperlink>
      <w:r w:rsidRPr="006B1EF7">
        <w:rPr>
          <w:lang w:val="en-GB"/>
        </w:rPr>
        <w:t>.</w:t>
      </w:r>
    </w:p>
    <w:p w14:paraId="35BC768E" w14:textId="229F9A5F" w:rsidR="00551F58" w:rsidRPr="006B1EF7" w:rsidRDefault="00551F58" w:rsidP="00165EB2">
      <w:pPr>
        <w:spacing w:before="240" w:after="240" w:line="360" w:lineRule="auto"/>
        <w:jc w:val="both"/>
        <w:rPr>
          <w:lang w:val="en-GB"/>
        </w:rPr>
      </w:pPr>
      <w:r w:rsidRPr="006B1EF7">
        <w:rPr>
          <w:lang w:val="en-GB"/>
        </w:rPr>
        <w:t>Jeleff, M., Traugott, M., Jirovsky-Platter, E., Jordakieva, G. and Kutalek, R., 2022. Occupational challenges of healthcare workers during the COVID-19 pandemic: a qualitative study. BMJ open, 12(3), p.e054516.</w:t>
      </w:r>
      <w:r w:rsidR="00F91782" w:rsidRPr="006B1EF7">
        <w:rPr>
          <w:lang w:val="en-GB"/>
        </w:rPr>
        <w:t xml:space="preserve"> </w:t>
      </w:r>
    </w:p>
    <w:p w14:paraId="1A1CE966" w14:textId="5F7CE14D" w:rsidR="00551F58" w:rsidRPr="006B1EF7" w:rsidRDefault="00551F58" w:rsidP="00165EB2">
      <w:pPr>
        <w:spacing w:before="240" w:after="240" w:line="360" w:lineRule="auto"/>
        <w:jc w:val="both"/>
        <w:rPr>
          <w:lang w:val="en-GB"/>
        </w:rPr>
      </w:pPr>
      <w:r w:rsidRPr="006B1EF7">
        <w:rPr>
          <w:lang w:val="en-GB"/>
        </w:rPr>
        <w:t>Kim, J.Y., Boag, W., Gulamali, F., Hasan, A., Hogg, H.D.J., Lifson, M., Mulligan, D., Patel, M., Raji, I.D., Sehgal, A. and Shaw, K., 2023, June. Organizational governance of emerging technologies: AI adoption in healthcare. In proceedings of the 2023 ACM conference on fairness, accountability, and transparency (pp. 1396-1417).</w:t>
      </w:r>
      <w:r w:rsidR="00F91782" w:rsidRPr="006B1EF7">
        <w:rPr>
          <w:lang w:val="en-GB"/>
        </w:rPr>
        <w:t xml:space="preserve"> </w:t>
      </w:r>
    </w:p>
    <w:p w14:paraId="6232B04A" w14:textId="1FA3B20B" w:rsidR="00551F58" w:rsidRPr="006B1EF7" w:rsidRDefault="00551F58" w:rsidP="00165EB2">
      <w:pPr>
        <w:spacing w:before="240" w:after="240" w:line="360" w:lineRule="auto"/>
        <w:jc w:val="both"/>
        <w:rPr>
          <w:lang w:val="en-GB"/>
        </w:rPr>
      </w:pPr>
      <w:r w:rsidRPr="006B1EF7">
        <w:rPr>
          <w:lang w:val="en-GB"/>
        </w:rPr>
        <w:t xml:space="preserve">Kumah, A., Nwogu, C.N., Issah, A.R., Obot, E., Kanamitie, D.T., Sifa, J.S. and Aidoo, L.A., 2024. Cause-and-effect (fishbone) diagram: a tool for generating and organizing quality improvement ideas. </w:t>
      </w:r>
      <w:r w:rsidRPr="006B1EF7">
        <w:rPr>
          <w:i/>
          <w:iCs/>
          <w:lang w:val="en-GB"/>
        </w:rPr>
        <w:t>Global Journal on Quality and Safety in Healthcare</w:t>
      </w:r>
      <w:r w:rsidRPr="006B1EF7">
        <w:rPr>
          <w:lang w:val="en-GB"/>
        </w:rPr>
        <w:t xml:space="preserve">, </w:t>
      </w:r>
      <w:r w:rsidRPr="006B1EF7">
        <w:rPr>
          <w:i/>
          <w:iCs/>
          <w:lang w:val="en-GB"/>
        </w:rPr>
        <w:t>7</w:t>
      </w:r>
      <w:r w:rsidRPr="006B1EF7">
        <w:rPr>
          <w:lang w:val="en-GB"/>
        </w:rPr>
        <w:t>(2), pp.85-87.</w:t>
      </w:r>
      <w:r w:rsidR="00F91782" w:rsidRPr="006B1EF7">
        <w:rPr>
          <w:lang w:val="en-GB"/>
        </w:rPr>
        <w:t xml:space="preserve"> </w:t>
      </w:r>
    </w:p>
    <w:p w14:paraId="4DA1F69A" w14:textId="77777777" w:rsidR="00551F58" w:rsidRPr="006B1EF7" w:rsidRDefault="00551F58" w:rsidP="00165EB2">
      <w:pPr>
        <w:spacing w:before="240" w:after="240" w:line="360" w:lineRule="auto"/>
        <w:jc w:val="both"/>
        <w:rPr>
          <w:lang w:val="en-GB"/>
        </w:rPr>
      </w:pPr>
      <w:r w:rsidRPr="006B1EF7">
        <w:rPr>
          <w:lang w:val="en-GB"/>
        </w:rPr>
        <w:lastRenderedPageBreak/>
        <w:t>Mahase, E. (2022). Ethnic minority staff felt ‘vulnerable’ during pandemic, says senior leader. BMJ, p.o1715</w:t>
      </w:r>
    </w:p>
    <w:p w14:paraId="597E451D" w14:textId="111D0364" w:rsidR="00551F58" w:rsidRPr="006B1EF7" w:rsidRDefault="00551F58" w:rsidP="00165EB2">
      <w:pPr>
        <w:spacing w:before="240" w:after="240" w:line="360" w:lineRule="auto"/>
        <w:jc w:val="both"/>
        <w:rPr>
          <w:lang w:val="en-GB"/>
        </w:rPr>
      </w:pPr>
      <w:r w:rsidRPr="006B1EF7">
        <w:rPr>
          <w:lang w:val="en-GB"/>
        </w:rPr>
        <w:t>Mouazen, A.M., Hernández-Lara, A.B., Abdallah, F., Ramadan, M., Chahine, J., Baydoun, H. and Bou Zakhem, N., 2024. Transformational and transactional leaders and their role in implementing the Kotter change management model ensuring sustainable change: An empirical study. Sustainability, 16(1), p.16.</w:t>
      </w:r>
      <w:r w:rsidR="00F91782" w:rsidRPr="006B1EF7">
        <w:rPr>
          <w:lang w:val="en-GB"/>
        </w:rPr>
        <w:t xml:space="preserve"> </w:t>
      </w:r>
    </w:p>
    <w:p w14:paraId="5C2E5B33" w14:textId="77777777" w:rsidR="00551F58" w:rsidRPr="006B1EF7" w:rsidRDefault="00551F58" w:rsidP="00165EB2">
      <w:pPr>
        <w:spacing w:before="240" w:after="240" w:line="360" w:lineRule="auto"/>
        <w:jc w:val="both"/>
        <w:rPr>
          <w:lang w:val="en-GB"/>
        </w:rPr>
      </w:pPr>
      <w:r w:rsidRPr="006B1EF7">
        <w:rPr>
          <w:lang w:val="en-GB"/>
        </w:rPr>
        <w:t xml:space="preserve">NHS England., 2022. </w:t>
      </w:r>
      <w:r w:rsidRPr="006B1EF7">
        <w:rPr>
          <w:i/>
          <w:iCs/>
          <w:lang w:val="en-GB"/>
        </w:rPr>
        <w:t>Governance, Patient Safety and Quality</w:t>
      </w:r>
      <w:r w:rsidRPr="006B1EF7">
        <w:rPr>
          <w:lang w:val="en-GB"/>
        </w:rPr>
        <w:t xml:space="preserve">. [online] NHS England. Available at: </w:t>
      </w:r>
      <w:hyperlink r:id="rId12" w:history="1">
        <w:r w:rsidRPr="006B1EF7">
          <w:rPr>
            <w:rStyle w:val="Hyperlink"/>
            <w:lang w:val="en-GB"/>
          </w:rPr>
          <w:t>https://www.england.nhs.uk/mat-transformation/matrons-handbook/governance-patient-safety-and-quality/</w:t>
        </w:r>
      </w:hyperlink>
      <w:r w:rsidRPr="006B1EF7">
        <w:rPr>
          <w:lang w:val="en-GB"/>
        </w:rPr>
        <w:t>.</w:t>
      </w:r>
    </w:p>
    <w:p w14:paraId="796DA26B" w14:textId="77777777" w:rsidR="00551F58" w:rsidRPr="006B1EF7" w:rsidRDefault="00551F58" w:rsidP="00165EB2">
      <w:pPr>
        <w:spacing w:before="240" w:after="240" w:line="360" w:lineRule="auto"/>
        <w:jc w:val="both"/>
        <w:rPr>
          <w:lang w:val="en-GB"/>
        </w:rPr>
      </w:pPr>
      <w:r w:rsidRPr="006B1EF7">
        <w:rPr>
          <w:lang w:val="en-GB"/>
        </w:rPr>
        <w:t>Parliament.uk (2026). Countess of Chester Hospital Inquiry - Hansard - UK Parliament. [online] Parliament.uk. Available at: https://hansard.parliament.uk/lords/2023-09-05/debates/156B62CB-7E00-4F9B-B5E4-64DFC91414A4/CountessOfChesterHospitalInquiry [Accessed 1 Feb. 2026].</w:t>
      </w:r>
    </w:p>
    <w:p w14:paraId="7DFCDC7A" w14:textId="280A6052" w:rsidR="00551F58" w:rsidRPr="006B1EF7" w:rsidRDefault="00551F58" w:rsidP="00165EB2">
      <w:pPr>
        <w:spacing w:before="240" w:after="240" w:line="360" w:lineRule="auto"/>
        <w:jc w:val="both"/>
        <w:rPr>
          <w:lang w:val="en-GB"/>
        </w:rPr>
      </w:pPr>
      <w:r w:rsidRPr="006B1EF7">
        <w:rPr>
          <w:lang w:val="en-GB"/>
        </w:rPr>
        <w:t xml:space="preserve">Pereira de Souza, V., Baroni, R., Choo, C.W., Castro, J.M.D. and Barbosa, R.R., 2021. Knowledge management in health care: an integrative and result-driven clinical staff management model. </w:t>
      </w:r>
      <w:r w:rsidRPr="006B1EF7">
        <w:rPr>
          <w:i/>
          <w:iCs/>
          <w:lang w:val="en-GB"/>
        </w:rPr>
        <w:t>Journal of Knowledge Management</w:t>
      </w:r>
      <w:r w:rsidRPr="006B1EF7">
        <w:rPr>
          <w:lang w:val="en-GB"/>
        </w:rPr>
        <w:t xml:space="preserve">, </w:t>
      </w:r>
      <w:r w:rsidRPr="006B1EF7">
        <w:rPr>
          <w:i/>
          <w:iCs/>
          <w:lang w:val="en-GB"/>
        </w:rPr>
        <w:t>25</w:t>
      </w:r>
      <w:r w:rsidRPr="006B1EF7">
        <w:rPr>
          <w:lang w:val="en-GB"/>
        </w:rPr>
        <w:t>(5), pp.1241-1262.</w:t>
      </w:r>
      <w:r w:rsidR="00F91782" w:rsidRPr="006B1EF7">
        <w:rPr>
          <w:lang w:val="en-GB"/>
        </w:rPr>
        <w:t xml:space="preserve"> </w:t>
      </w:r>
    </w:p>
    <w:p w14:paraId="68A32D07" w14:textId="6492AAC8" w:rsidR="00551F58" w:rsidRPr="006B1EF7" w:rsidRDefault="00551F58" w:rsidP="00165EB2">
      <w:pPr>
        <w:spacing w:before="240" w:after="240" w:line="360" w:lineRule="auto"/>
        <w:jc w:val="both"/>
        <w:rPr>
          <w:lang w:val="en-GB"/>
        </w:rPr>
      </w:pPr>
      <w:r w:rsidRPr="006B1EF7">
        <w:rPr>
          <w:lang w:val="en-GB"/>
        </w:rPr>
        <w:t>Sarkhosh, S., Abdi, Z. and Ravaghi, H., 2022. Engaging patients in patient safety: a qualitative study examining healthcare managers and providers’ perspectives. BMC nursing, 21(1), p.374.</w:t>
      </w:r>
      <w:r w:rsidR="00F91782" w:rsidRPr="006B1EF7">
        <w:rPr>
          <w:lang w:val="en-GB"/>
        </w:rPr>
        <w:t xml:space="preserve"> </w:t>
      </w:r>
    </w:p>
    <w:p w14:paraId="5703575C" w14:textId="77777777" w:rsidR="00551F58" w:rsidRPr="006B1EF7" w:rsidRDefault="00551F58" w:rsidP="00165EB2">
      <w:pPr>
        <w:spacing w:before="240" w:after="240" w:line="360" w:lineRule="auto"/>
        <w:jc w:val="both"/>
        <w:rPr>
          <w:lang w:val="en-GB"/>
        </w:rPr>
      </w:pPr>
      <w:r w:rsidRPr="006B1EF7">
        <w:rPr>
          <w:lang w:val="en-GB"/>
        </w:rPr>
        <w:t xml:space="preserve">Senyapar, H.N., 2024. Healthcare branding and reputation management strategies for organizational success. </w:t>
      </w:r>
      <w:r w:rsidRPr="006B1EF7">
        <w:rPr>
          <w:i/>
          <w:iCs/>
          <w:lang w:val="en-GB"/>
        </w:rPr>
        <w:t>Technium Soc. Sci. J.</w:t>
      </w:r>
      <w:r w:rsidRPr="006B1EF7">
        <w:rPr>
          <w:lang w:val="en-GB"/>
        </w:rPr>
        <w:t xml:space="preserve">, </w:t>
      </w:r>
      <w:r w:rsidRPr="006B1EF7">
        <w:rPr>
          <w:i/>
          <w:iCs/>
          <w:lang w:val="en-GB"/>
        </w:rPr>
        <w:t>55</w:t>
      </w:r>
      <w:r w:rsidRPr="006B1EF7">
        <w:rPr>
          <w:lang w:val="en-GB"/>
        </w:rPr>
        <w:t>, p.26.</w:t>
      </w:r>
      <w:hyperlink r:id="rId13" w:history="1">
        <w:r w:rsidRPr="006B1EF7">
          <w:rPr>
            <w:rStyle w:val="Hyperlink"/>
            <w:lang w:val="en-GB"/>
          </w:rPr>
          <w:t>https://www.researchgate.net/profile/H-Nurguel-Durmus-Senyapar/publication/378858532_Healthcare_Branding_and_Reputation_Management_Strategies_for_Organizational_Success/links/65ee0f2e9ab2af0ef8aea469/Healthcare-Branding-and-Reputation-Management-Strategies-for-Organizational-Success.pdf</w:t>
        </w:r>
      </w:hyperlink>
    </w:p>
    <w:p w14:paraId="363B3AE4" w14:textId="77777777" w:rsidR="00551F58" w:rsidRPr="006B1EF7" w:rsidRDefault="00551F58" w:rsidP="00165EB2">
      <w:pPr>
        <w:spacing w:before="240" w:after="240" w:line="360" w:lineRule="auto"/>
        <w:jc w:val="both"/>
        <w:rPr>
          <w:lang w:val="en-GB"/>
        </w:rPr>
      </w:pPr>
      <w:r w:rsidRPr="006B1EF7">
        <w:rPr>
          <w:lang w:val="en-GB"/>
        </w:rPr>
        <w:t xml:space="preserve">Srinivas, N., Mandaloju, N. and Nadimpalli, S.V., 2022. Managing Risk in Medical Software: A Quality Assurance Framework for Healthcare Technology. </w:t>
      </w:r>
      <w:r w:rsidRPr="006B1EF7">
        <w:rPr>
          <w:i/>
          <w:iCs/>
          <w:lang w:val="en-GB"/>
        </w:rPr>
        <w:t>The Computertech</w:t>
      </w:r>
      <w:r w:rsidRPr="006B1EF7">
        <w:rPr>
          <w:lang w:val="en-GB"/>
        </w:rPr>
        <w:t>, pp.1-12.</w:t>
      </w:r>
      <w:hyperlink r:id="rId14" w:history="1">
        <w:r w:rsidRPr="006B1EF7">
          <w:rPr>
            <w:rStyle w:val="Hyperlink"/>
            <w:lang w:val="en-GB"/>
          </w:rPr>
          <w:t>http://yuktabpublisher.com/index.php/TCT/article/download/209/151</w:t>
        </w:r>
      </w:hyperlink>
    </w:p>
    <w:p w14:paraId="194F07D6" w14:textId="6ECAA106" w:rsidR="00551F58" w:rsidRPr="006B1EF7" w:rsidRDefault="00551F58" w:rsidP="00165EB2">
      <w:pPr>
        <w:spacing w:before="240" w:after="240" w:line="360" w:lineRule="auto"/>
        <w:jc w:val="both"/>
        <w:rPr>
          <w:lang w:val="en-GB"/>
        </w:rPr>
      </w:pPr>
      <w:r w:rsidRPr="006B1EF7">
        <w:rPr>
          <w:lang w:val="en-GB"/>
        </w:rPr>
        <w:t xml:space="preserve">Whiteing, P., 2024. Lucy Letby inquiry could be a missed opportunity if it does not look at the wider issue. </w:t>
      </w:r>
      <w:r w:rsidRPr="006B1EF7">
        <w:rPr>
          <w:i/>
          <w:iCs/>
          <w:lang w:val="en-GB"/>
        </w:rPr>
        <w:t>Journal of Patient Safety and Risk Management</w:t>
      </w:r>
      <w:r w:rsidRPr="006B1EF7">
        <w:rPr>
          <w:lang w:val="en-GB"/>
        </w:rPr>
        <w:t xml:space="preserve">, </w:t>
      </w:r>
      <w:r w:rsidRPr="006B1EF7">
        <w:rPr>
          <w:i/>
          <w:iCs/>
          <w:lang w:val="en-GB"/>
        </w:rPr>
        <w:t>29</w:t>
      </w:r>
      <w:r w:rsidRPr="006B1EF7">
        <w:rPr>
          <w:lang w:val="en-GB"/>
        </w:rPr>
        <w:t>(1), pp.5-7.</w:t>
      </w:r>
      <w:r w:rsidR="00F91782" w:rsidRPr="006B1EF7">
        <w:rPr>
          <w:lang w:val="en-GB"/>
        </w:rPr>
        <w:t xml:space="preserve"> </w:t>
      </w:r>
    </w:p>
    <w:p w14:paraId="07EC4967" w14:textId="31619975" w:rsidR="00551F58" w:rsidRPr="006B1EF7" w:rsidRDefault="00551F58" w:rsidP="00165EB2">
      <w:pPr>
        <w:spacing w:before="240" w:after="240" w:line="360" w:lineRule="auto"/>
        <w:jc w:val="both"/>
        <w:rPr>
          <w:lang w:val="en-GB"/>
        </w:rPr>
      </w:pPr>
      <w:r w:rsidRPr="006B1EF7">
        <w:rPr>
          <w:lang w:val="en-GB"/>
        </w:rPr>
        <w:lastRenderedPageBreak/>
        <w:t>Wongsala, M., Rosendahl, S., Anbäcken, E.M., Manasatchakun, P. and Holmgren, J., 2024. Experiences of lifestyle changes among Thai older adults six months after applying the Plan-Do-Study-Act (PDSA) cycle. BMC geriatrics, 24(1), p.902.</w:t>
      </w:r>
      <w:r w:rsidR="00F91782" w:rsidRPr="006B1EF7">
        <w:rPr>
          <w:lang w:val="en-GB"/>
        </w:rPr>
        <w:t xml:space="preserve"> </w:t>
      </w:r>
    </w:p>
    <w:p w14:paraId="0EC8B1CA" w14:textId="7062D25D" w:rsidR="00551F58" w:rsidRPr="006B1EF7" w:rsidRDefault="00551F58" w:rsidP="00165EB2">
      <w:pPr>
        <w:spacing w:before="240" w:after="240" w:line="360" w:lineRule="auto"/>
        <w:jc w:val="both"/>
        <w:rPr>
          <w:lang w:val="en-GB"/>
        </w:rPr>
      </w:pPr>
      <w:r w:rsidRPr="006B1EF7">
        <w:rPr>
          <w:lang w:val="en-GB"/>
        </w:rPr>
        <w:t>Yang, J., Liu, F., Yang, C., Wei, J., Ma, Y., Xu, L., Xie, J. and Wang, J., 2025. Application of Donabedian Three</w:t>
      </w:r>
      <w:r w:rsidRPr="006B1EF7">
        <w:rPr>
          <w:rFonts w:ascii="Cambria Math" w:hAnsi="Cambria Math" w:cs="Cambria Math"/>
          <w:lang w:val="en-GB"/>
        </w:rPr>
        <w:t>‐</w:t>
      </w:r>
      <w:r w:rsidRPr="006B1EF7">
        <w:rPr>
          <w:lang w:val="en-GB"/>
        </w:rPr>
        <w:t xml:space="preserve">Dimensional Model in Outpatient Care Quality: A Scoping Review. </w:t>
      </w:r>
      <w:r w:rsidRPr="006B1EF7">
        <w:rPr>
          <w:i/>
          <w:iCs/>
          <w:lang w:val="en-GB"/>
        </w:rPr>
        <w:t>Journal of nursing management</w:t>
      </w:r>
      <w:r w:rsidRPr="006B1EF7">
        <w:rPr>
          <w:lang w:val="en-GB"/>
        </w:rPr>
        <w:t xml:space="preserve">, </w:t>
      </w:r>
      <w:r w:rsidRPr="006B1EF7">
        <w:rPr>
          <w:i/>
          <w:iCs/>
          <w:lang w:val="en-GB"/>
        </w:rPr>
        <w:t>2025</w:t>
      </w:r>
      <w:r w:rsidRPr="006B1EF7">
        <w:rPr>
          <w:lang w:val="en-GB"/>
        </w:rPr>
        <w:t>(1), p.6893336.</w:t>
      </w:r>
      <w:r w:rsidR="00F91782" w:rsidRPr="006B1EF7">
        <w:rPr>
          <w:lang w:val="en-GB"/>
        </w:rPr>
        <w:t xml:space="preserve"> </w:t>
      </w:r>
    </w:p>
    <w:p w14:paraId="44593CCB" w14:textId="544A2E54" w:rsidR="00551F58" w:rsidRPr="006B1EF7" w:rsidRDefault="00551F58" w:rsidP="00165EB2">
      <w:pPr>
        <w:spacing w:before="240" w:after="240" w:line="360" w:lineRule="auto"/>
        <w:jc w:val="both"/>
        <w:rPr>
          <w:lang w:val="en-GB"/>
        </w:rPr>
      </w:pPr>
      <w:r w:rsidRPr="006B1EF7">
        <w:rPr>
          <w:lang w:val="en-GB"/>
        </w:rPr>
        <w:t>Zhong, X., Wu, X., Xie, X., Zhou, Q., Xu, R., Wang, J., He, L., He, Y. and Qiu, X., 2023. A descriptive study on clinical department managers’ cognition of the Plan-Do-Check-Act cycle and factors influencing their cognition. BMC medical education, 23(1), p.294.</w:t>
      </w:r>
      <w:r w:rsidR="00F91782" w:rsidRPr="006B1EF7">
        <w:rPr>
          <w:lang w:val="en-GB"/>
        </w:rPr>
        <w:t xml:space="preserve"> </w:t>
      </w:r>
    </w:p>
    <w:sectPr w:rsidR="00551F58" w:rsidRPr="006B1EF7" w:rsidSect="005956E8">
      <w:footerReference w:type="default" r:id="rId15"/>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AAE0D" w14:textId="77777777" w:rsidR="00C64100" w:rsidRDefault="00C64100" w:rsidP="0022419A">
      <w:pPr>
        <w:spacing w:line="240" w:lineRule="auto"/>
      </w:pPr>
      <w:r>
        <w:separator/>
      </w:r>
    </w:p>
  </w:endnote>
  <w:endnote w:type="continuationSeparator" w:id="0">
    <w:p w14:paraId="65D3B751" w14:textId="77777777" w:rsidR="00C64100" w:rsidRDefault="00C64100" w:rsidP="002241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Exo">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AD4BB9D-1EF4-48EF-8B62-951432FB2AD1}"/>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AC2E1B64-EE01-4C27-897C-C0E4D694FD22}"/>
  </w:font>
  <w:font w:name="Cambria Math">
    <w:panose1 w:val="02040503050406030204"/>
    <w:charset w:val="00"/>
    <w:family w:val="roman"/>
    <w:pitch w:val="variable"/>
    <w:sig w:usb0="E00006FF" w:usb1="420024FF" w:usb2="02000000" w:usb3="00000000" w:csb0="0000019F" w:csb1="00000000"/>
    <w:embedRegular r:id="rId3" w:fontKey="{F4A1F79B-9389-43B8-BEE8-B8BDFC5EA0C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0842317"/>
      <w:docPartObj>
        <w:docPartGallery w:val="Page Numbers (Bottom of Page)"/>
        <w:docPartUnique/>
      </w:docPartObj>
    </w:sdtPr>
    <w:sdtEndPr>
      <w:rPr>
        <w:noProof/>
      </w:rPr>
    </w:sdtEndPr>
    <w:sdtContent>
      <w:p w14:paraId="6145A6AA" w14:textId="4F2ECA47" w:rsidR="0022419A" w:rsidRDefault="002241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0ED74A" w14:textId="77777777" w:rsidR="0022419A" w:rsidRDefault="00224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76B40" w14:textId="77777777" w:rsidR="00C64100" w:rsidRDefault="00C64100" w:rsidP="0022419A">
      <w:pPr>
        <w:spacing w:line="240" w:lineRule="auto"/>
      </w:pPr>
      <w:r>
        <w:separator/>
      </w:r>
    </w:p>
  </w:footnote>
  <w:footnote w:type="continuationSeparator" w:id="0">
    <w:p w14:paraId="0581D6CE" w14:textId="77777777" w:rsidR="00C64100" w:rsidRDefault="00C64100" w:rsidP="002241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065F7F"/>
    <w:multiLevelType w:val="hybridMultilevel"/>
    <w:tmpl w:val="B734E306"/>
    <w:lvl w:ilvl="0" w:tplc="12A2592C">
      <w:start w:val="1"/>
      <w:numFmt w:val="bullet"/>
      <w:lvlText w:val="●"/>
      <w:lvlJc w:val="left"/>
      <w:pPr>
        <w:tabs>
          <w:tab w:val="num" w:pos="720"/>
        </w:tabs>
        <w:ind w:left="720" w:hanging="360"/>
      </w:pPr>
      <w:rPr>
        <w:rFonts w:ascii="Exo" w:hAnsi="Exo" w:hint="default"/>
      </w:rPr>
    </w:lvl>
    <w:lvl w:ilvl="1" w:tplc="57EA0C48" w:tentative="1">
      <w:start w:val="1"/>
      <w:numFmt w:val="bullet"/>
      <w:lvlText w:val="●"/>
      <w:lvlJc w:val="left"/>
      <w:pPr>
        <w:tabs>
          <w:tab w:val="num" w:pos="1440"/>
        </w:tabs>
        <w:ind w:left="1440" w:hanging="360"/>
      </w:pPr>
      <w:rPr>
        <w:rFonts w:ascii="Exo" w:hAnsi="Exo" w:hint="default"/>
      </w:rPr>
    </w:lvl>
    <w:lvl w:ilvl="2" w:tplc="8AF679B4" w:tentative="1">
      <w:start w:val="1"/>
      <w:numFmt w:val="bullet"/>
      <w:lvlText w:val="●"/>
      <w:lvlJc w:val="left"/>
      <w:pPr>
        <w:tabs>
          <w:tab w:val="num" w:pos="2160"/>
        </w:tabs>
        <w:ind w:left="2160" w:hanging="360"/>
      </w:pPr>
      <w:rPr>
        <w:rFonts w:ascii="Exo" w:hAnsi="Exo" w:hint="default"/>
      </w:rPr>
    </w:lvl>
    <w:lvl w:ilvl="3" w:tplc="6D969FEE" w:tentative="1">
      <w:start w:val="1"/>
      <w:numFmt w:val="bullet"/>
      <w:lvlText w:val="●"/>
      <w:lvlJc w:val="left"/>
      <w:pPr>
        <w:tabs>
          <w:tab w:val="num" w:pos="2880"/>
        </w:tabs>
        <w:ind w:left="2880" w:hanging="360"/>
      </w:pPr>
      <w:rPr>
        <w:rFonts w:ascii="Exo" w:hAnsi="Exo" w:hint="default"/>
      </w:rPr>
    </w:lvl>
    <w:lvl w:ilvl="4" w:tplc="E75446A0" w:tentative="1">
      <w:start w:val="1"/>
      <w:numFmt w:val="bullet"/>
      <w:lvlText w:val="●"/>
      <w:lvlJc w:val="left"/>
      <w:pPr>
        <w:tabs>
          <w:tab w:val="num" w:pos="3600"/>
        </w:tabs>
        <w:ind w:left="3600" w:hanging="360"/>
      </w:pPr>
      <w:rPr>
        <w:rFonts w:ascii="Exo" w:hAnsi="Exo" w:hint="default"/>
      </w:rPr>
    </w:lvl>
    <w:lvl w:ilvl="5" w:tplc="C39E01AC" w:tentative="1">
      <w:start w:val="1"/>
      <w:numFmt w:val="bullet"/>
      <w:lvlText w:val="●"/>
      <w:lvlJc w:val="left"/>
      <w:pPr>
        <w:tabs>
          <w:tab w:val="num" w:pos="4320"/>
        </w:tabs>
        <w:ind w:left="4320" w:hanging="360"/>
      </w:pPr>
      <w:rPr>
        <w:rFonts w:ascii="Exo" w:hAnsi="Exo" w:hint="default"/>
      </w:rPr>
    </w:lvl>
    <w:lvl w:ilvl="6" w:tplc="78221EB6" w:tentative="1">
      <w:start w:val="1"/>
      <w:numFmt w:val="bullet"/>
      <w:lvlText w:val="●"/>
      <w:lvlJc w:val="left"/>
      <w:pPr>
        <w:tabs>
          <w:tab w:val="num" w:pos="5040"/>
        </w:tabs>
        <w:ind w:left="5040" w:hanging="360"/>
      </w:pPr>
      <w:rPr>
        <w:rFonts w:ascii="Exo" w:hAnsi="Exo" w:hint="default"/>
      </w:rPr>
    </w:lvl>
    <w:lvl w:ilvl="7" w:tplc="852A3A40" w:tentative="1">
      <w:start w:val="1"/>
      <w:numFmt w:val="bullet"/>
      <w:lvlText w:val="●"/>
      <w:lvlJc w:val="left"/>
      <w:pPr>
        <w:tabs>
          <w:tab w:val="num" w:pos="5760"/>
        </w:tabs>
        <w:ind w:left="5760" w:hanging="360"/>
      </w:pPr>
      <w:rPr>
        <w:rFonts w:ascii="Exo" w:hAnsi="Exo" w:hint="default"/>
      </w:rPr>
    </w:lvl>
    <w:lvl w:ilvl="8" w:tplc="F4587202" w:tentative="1">
      <w:start w:val="1"/>
      <w:numFmt w:val="bullet"/>
      <w:lvlText w:val="●"/>
      <w:lvlJc w:val="left"/>
      <w:pPr>
        <w:tabs>
          <w:tab w:val="num" w:pos="6480"/>
        </w:tabs>
        <w:ind w:left="6480" w:hanging="360"/>
      </w:pPr>
      <w:rPr>
        <w:rFonts w:ascii="Exo" w:hAnsi="Exo" w:hint="default"/>
      </w:rPr>
    </w:lvl>
  </w:abstractNum>
  <w:num w:numId="1" w16cid:durableId="257645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E3E"/>
    <w:rsid w:val="00074788"/>
    <w:rsid w:val="00165EB2"/>
    <w:rsid w:val="00174C0C"/>
    <w:rsid w:val="001A4BD9"/>
    <w:rsid w:val="00212F94"/>
    <w:rsid w:val="0022419A"/>
    <w:rsid w:val="00226288"/>
    <w:rsid w:val="0024282B"/>
    <w:rsid w:val="00254426"/>
    <w:rsid w:val="00270371"/>
    <w:rsid w:val="0027320B"/>
    <w:rsid w:val="002A56A5"/>
    <w:rsid w:val="002A6B7A"/>
    <w:rsid w:val="002B4DA9"/>
    <w:rsid w:val="003043A1"/>
    <w:rsid w:val="0030622B"/>
    <w:rsid w:val="00341FE9"/>
    <w:rsid w:val="0034590C"/>
    <w:rsid w:val="00365FCF"/>
    <w:rsid w:val="003F5312"/>
    <w:rsid w:val="00465DD0"/>
    <w:rsid w:val="00474C4C"/>
    <w:rsid w:val="00482C37"/>
    <w:rsid w:val="004B6419"/>
    <w:rsid w:val="004F45B7"/>
    <w:rsid w:val="004F7C40"/>
    <w:rsid w:val="0050251C"/>
    <w:rsid w:val="00515E3E"/>
    <w:rsid w:val="00546977"/>
    <w:rsid w:val="00551F58"/>
    <w:rsid w:val="00566BE4"/>
    <w:rsid w:val="005956E8"/>
    <w:rsid w:val="00605237"/>
    <w:rsid w:val="006365AE"/>
    <w:rsid w:val="00697219"/>
    <w:rsid w:val="006B1EF7"/>
    <w:rsid w:val="006C1789"/>
    <w:rsid w:val="00733A88"/>
    <w:rsid w:val="007773C0"/>
    <w:rsid w:val="007D508A"/>
    <w:rsid w:val="007D71DE"/>
    <w:rsid w:val="007E3C52"/>
    <w:rsid w:val="00883B66"/>
    <w:rsid w:val="00956BEF"/>
    <w:rsid w:val="00963669"/>
    <w:rsid w:val="009A343F"/>
    <w:rsid w:val="009A3FDE"/>
    <w:rsid w:val="00A64016"/>
    <w:rsid w:val="00AD0DD6"/>
    <w:rsid w:val="00B64D50"/>
    <w:rsid w:val="00BC6ED5"/>
    <w:rsid w:val="00BD6542"/>
    <w:rsid w:val="00BE2AF0"/>
    <w:rsid w:val="00C10300"/>
    <w:rsid w:val="00C1037E"/>
    <w:rsid w:val="00C10C17"/>
    <w:rsid w:val="00C11E49"/>
    <w:rsid w:val="00C23EA5"/>
    <w:rsid w:val="00C35E2B"/>
    <w:rsid w:val="00C64100"/>
    <w:rsid w:val="00CA4F2F"/>
    <w:rsid w:val="00CC58F2"/>
    <w:rsid w:val="00CD7112"/>
    <w:rsid w:val="00CF29EC"/>
    <w:rsid w:val="00CF78DA"/>
    <w:rsid w:val="00D06CF0"/>
    <w:rsid w:val="00D2349A"/>
    <w:rsid w:val="00D42185"/>
    <w:rsid w:val="00D71569"/>
    <w:rsid w:val="00D9466E"/>
    <w:rsid w:val="00D9708D"/>
    <w:rsid w:val="00DF11CF"/>
    <w:rsid w:val="00DF13FE"/>
    <w:rsid w:val="00E066EE"/>
    <w:rsid w:val="00E23C4C"/>
    <w:rsid w:val="00E2400A"/>
    <w:rsid w:val="00E424AB"/>
    <w:rsid w:val="00E65619"/>
    <w:rsid w:val="00E66808"/>
    <w:rsid w:val="00E67520"/>
    <w:rsid w:val="00E8563F"/>
    <w:rsid w:val="00EE2EFC"/>
    <w:rsid w:val="00F07B77"/>
    <w:rsid w:val="00F91782"/>
    <w:rsid w:val="00F95456"/>
    <w:rsid w:val="00F97636"/>
    <w:rsid w:val="00FC3537"/>
    <w:rsid w:val="00FC6062"/>
    <w:rsid w:val="00FF524F"/>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A0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2419A"/>
    <w:pPr>
      <w:keepNext/>
      <w:keepLines/>
      <w:spacing w:before="400" w:after="120"/>
      <w:outlineLvl w:val="0"/>
    </w:pPr>
    <w:rPr>
      <w:b/>
      <w:sz w:val="26"/>
      <w:szCs w:val="40"/>
    </w:rPr>
  </w:style>
  <w:style w:type="paragraph" w:styleId="Heading2">
    <w:name w:val="heading 2"/>
    <w:basedOn w:val="Normal"/>
    <w:next w:val="Normal"/>
    <w:uiPriority w:val="9"/>
    <w:unhideWhenUsed/>
    <w:qFormat/>
    <w:rsid w:val="0022419A"/>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22419A"/>
    <w:rPr>
      <w:color w:val="0000FF" w:themeColor="hyperlink"/>
      <w:u w:val="single"/>
    </w:rPr>
  </w:style>
  <w:style w:type="character" w:styleId="UnresolvedMention">
    <w:name w:val="Unresolved Mention"/>
    <w:basedOn w:val="DefaultParagraphFont"/>
    <w:uiPriority w:val="99"/>
    <w:semiHidden/>
    <w:unhideWhenUsed/>
    <w:rsid w:val="0022419A"/>
    <w:rPr>
      <w:color w:val="605E5C"/>
      <w:shd w:val="clear" w:color="auto" w:fill="E1DFDD"/>
    </w:rPr>
  </w:style>
  <w:style w:type="paragraph" w:styleId="Header">
    <w:name w:val="header"/>
    <w:basedOn w:val="Normal"/>
    <w:link w:val="HeaderChar"/>
    <w:uiPriority w:val="99"/>
    <w:unhideWhenUsed/>
    <w:rsid w:val="0022419A"/>
    <w:pPr>
      <w:tabs>
        <w:tab w:val="center" w:pos="4513"/>
        <w:tab w:val="right" w:pos="9026"/>
      </w:tabs>
      <w:spacing w:line="240" w:lineRule="auto"/>
    </w:pPr>
  </w:style>
  <w:style w:type="character" w:customStyle="1" w:styleId="HeaderChar">
    <w:name w:val="Header Char"/>
    <w:basedOn w:val="DefaultParagraphFont"/>
    <w:link w:val="Header"/>
    <w:uiPriority w:val="99"/>
    <w:rsid w:val="0022419A"/>
  </w:style>
  <w:style w:type="paragraph" w:styleId="Footer">
    <w:name w:val="footer"/>
    <w:basedOn w:val="Normal"/>
    <w:link w:val="FooterChar"/>
    <w:uiPriority w:val="99"/>
    <w:unhideWhenUsed/>
    <w:rsid w:val="0022419A"/>
    <w:pPr>
      <w:tabs>
        <w:tab w:val="center" w:pos="4513"/>
        <w:tab w:val="right" w:pos="9026"/>
      </w:tabs>
      <w:spacing w:line="240" w:lineRule="auto"/>
    </w:pPr>
  </w:style>
  <w:style w:type="character" w:customStyle="1" w:styleId="FooterChar">
    <w:name w:val="Footer Char"/>
    <w:basedOn w:val="DefaultParagraphFont"/>
    <w:link w:val="Footer"/>
    <w:uiPriority w:val="99"/>
    <w:rsid w:val="0022419A"/>
  </w:style>
  <w:style w:type="paragraph" w:styleId="TOCHeading">
    <w:name w:val="TOC Heading"/>
    <w:basedOn w:val="Heading1"/>
    <w:next w:val="Normal"/>
    <w:uiPriority w:val="39"/>
    <w:unhideWhenUsed/>
    <w:qFormat/>
    <w:rsid w:val="0022419A"/>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2419A"/>
    <w:pPr>
      <w:spacing w:after="100"/>
    </w:pPr>
  </w:style>
  <w:style w:type="paragraph" w:styleId="TOC2">
    <w:name w:val="toc 2"/>
    <w:basedOn w:val="Normal"/>
    <w:next w:val="Normal"/>
    <w:autoRedefine/>
    <w:uiPriority w:val="39"/>
    <w:unhideWhenUsed/>
    <w:rsid w:val="0022419A"/>
    <w:pPr>
      <w:spacing w:after="100"/>
      <w:ind w:left="220"/>
    </w:pPr>
  </w:style>
  <w:style w:type="paragraph" w:styleId="NormalWeb">
    <w:name w:val="Normal (Web)"/>
    <w:basedOn w:val="Normal"/>
    <w:uiPriority w:val="99"/>
    <w:semiHidden/>
    <w:unhideWhenUsed/>
    <w:rsid w:val="00C11E49"/>
    <w:rPr>
      <w:rFonts w:ascii="Times New Roman" w:hAnsi="Times New Roman" w:cs="Times New Roman"/>
      <w:sz w:val="24"/>
      <w:szCs w:val="24"/>
    </w:rPr>
  </w:style>
  <w:style w:type="table" w:styleId="TableGrid">
    <w:name w:val="Table Grid"/>
    <w:basedOn w:val="TableNormal"/>
    <w:uiPriority w:val="39"/>
    <w:rsid w:val="004F45B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66808"/>
    <w:rPr>
      <w:b/>
      <w:bCs/>
    </w:rPr>
  </w:style>
  <w:style w:type="character" w:styleId="PlaceholderText">
    <w:name w:val="Placeholder Text"/>
    <w:basedOn w:val="DefaultParagraphFont"/>
    <w:uiPriority w:val="99"/>
    <w:semiHidden/>
    <w:rsid w:val="00733A8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H-Nurguel-Durmus-Senyapar/publication/378858532_Healthcare_Branding_and_Reputation_Management_Strategies_for_Organizational_Success/links/65ee0f2e9ab2af0ef8aea469/Healthcare-Branding-and-Reputation-Management-Strategies-for-Organizational-Succes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mat-transformation/matrons-handbook/governance-patient-safety-and-qualit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uk-6612093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yuktabpublisher.com/index.php/TCT/article/download/209/15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DC35E-3B99-45AA-854E-CAFC248E1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4544</Words>
  <Characters>25901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2026-03-25T08:25:00Z</dcterms:created>
  <dcterms:modified xsi:type="dcterms:W3CDTF">2026-03-31T09:21:00Z</dcterms:modified>
</cp:coreProperties>
</file>