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1F9FDCE" w:rsidP="61F9FDCE" w:rsidRDefault="61F9FDCE" w14:paraId="0F73054E" w14:textId="09780E20">
      <w:pPr>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3985C0B3" w14:textId="196611D0">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6FF18224" w14:textId="64F690AE">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46CD5742" w14:textId="0EC98BD5">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691EFDEC" w14:textId="0B7FBE41">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257E5750" w14:textId="47DB448C">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34E7E40E" w14:textId="2B24081E">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6620A84B" w14:textId="34B17856">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2F562D36" w14:textId="30A03B6D">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61239DB2" w14:textId="0F9528C9">
      <w:pPr>
        <w:pStyle w:val="Normal"/>
        <w:spacing w:after="0" w:line="480" w:lineRule="auto"/>
        <w:jc w:val="center"/>
        <w:rPr>
          <w:rFonts w:ascii="Arial" w:hAnsi="Arial" w:eastAsia="Arial" w:cs="Arial"/>
          <w:b w:val="1"/>
          <w:bCs w:val="1"/>
          <w:color w:val="000000" w:themeColor="text1" w:themeTint="FF" w:themeShade="FF"/>
          <w:sz w:val="24"/>
          <w:szCs w:val="24"/>
        </w:rPr>
      </w:pPr>
    </w:p>
    <w:p w:rsidR="2FDF4223" w:rsidP="61F9FDCE" w:rsidRDefault="2FDF4223" w14:paraId="3EF568C4" w14:textId="79BF37C1">
      <w:pPr>
        <w:pStyle w:val="Normal"/>
        <w:spacing w:after="0" w:line="480" w:lineRule="auto"/>
        <w:jc w:val="center"/>
        <w:rPr>
          <w:rFonts w:ascii="Arial" w:hAnsi="Arial" w:eastAsia="Arial" w:cs="Arial"/>
          <w:b w:val="1"/>
          <w:bCs w:val="1"/>
          <w:color w:val="000000" w:themeColor="text1" w:themeTint="FF" w:themeShade="FF"/>
          <w:sz w:val="24"/>
          <w:szCs w:val="24"/>
        </w:rPr>
      </w:pPr>
      <w:r w:rsidRPr="61F9FDCE" w:rsidR="2FDF4223">
        <w:rPr>
          <w:rFonts w:ascii="Arial" w:hAnsi="Arial" w:eastAsia="Arial" w:cs="Arial"/>
          <w:b w:val="1"/>
          <w:bCs w:val="1"/>
          <w:color w:val="000000" w:themeColor="text1" w:themeTint="FF" w:themeShade="FF"/>
          <w:sz w:val="24"/>
          <w:szCs w:val="24"/>
        </w:rPr>
        <w:t>Assignment 1: Aller</w:t>
      </w:r>
      <w:r w:rsidRPr="61F9FDCE" w:rsidR="5BD4964A">
        <w:rPr>
          <w:rFonts w:ascii="Arial" w:hAnsi="Arial" w:eastAsia="Arial" w:cs="Arial"/>
          <w:b w:val="1"/>
          <w:bCs w:val="1"/>
          <w:color w:val="000000" w:themeColor="text1" w:themeTint="FF" w:themeShade="FF"/>
          <w:sz w:val="24"/>
          <w:szCs w:val="24"/>
        </w:rPr>
        <w:t>gies</w:t>
      </w:r>
    </w:p>
    <w:p w:rsidR="5BD4964A" w:rsidP="61F9FDCE" w:rsidRDefault="5BD4964A" w14:paraId="528A0330" w14:textId="1D8593AB">
      <w:pPr>
        <w:pStyle w:val="Normal"/>
        <w:spacing w:after="0" w:line="480" w:lineRule="auto"/>
        <w:jc w:val="center"/>
        <w:rPr>
          <w:rFonts w:ascii="Arial" w:hAnsi="Arial" w:eastAsia="Arial" w:cs="Arial"/>
          <w:b w:val="1"/>
          <w:bCs w:val="1"/>
          <w:color w:val="000000" w:themeColor="text1" w:themeTint="FF" w:themeShade="FF"/>
          <w:sz w:val="24"/>
          <w:szCs w:val="24"/>
        </w:rPr>
      </w:pPr>
      <w:r w:rsidRPr="61F9FDCE" w:rsidR="5BD4964A">
        <w:rPr>
          <w:rFonts w:ascii="Arial" w:hAnsi="Arial" w:eastAsia="Arial" w:cs="Arial"/>
          <w:b w:val="1"/>
          <w:bCs w:val="1"/>
          <w:color w:val="000000" w:themeColor="text1" w:themeTint="FF" w:themeShade="FF"/>
          <w:sz w:val="24"/>
          <w:szCs w:val="24"/>
        </w:rPr>
        <w:t xml:space="preserve">Module Name &amp; Code: Food </w:t>
      </w:r>
      <w:r w:rsidRPr="61F9FDCE" w:rsidR="0614E8BB">
        <w:rPr>
          <w:rFonts w:ascii="Arial" w:hAnsi="Arial" w:eastAsia="Arial" w:cs="Arial"/>
          <w:b w:val="1"/>
          <w:bCs w:val="1"/>
          <w:color w:val="000000" w:themeColor="text1" w:themeTint="FF" w:themeShade="FF"/>
          <w:sz w:val="24"/>
          <w:szCs w:val="24"/>
        </w:rPr>
        <w:t>and Beverage BMIH4002</w:t>
      </w:r>
    </w:p>
    <w:p w:rsidR="71B055F9" w:rsidP="61F9FDCE" w:rsidRDefault="71B055F9" w14:paraId="1B79CED1" w14:textId="617ADB0E">
      <w:pPr>
        <w:pStyle w:val="Normal"/>
        <w:spacing w:after="0" w:line="480" w:lineRule="auto"/>
        <w:jc w:val="center"/>
        <w:rPr>
          <w:rFonts w:ascii="Arial" w:hAnsi="Arial" w:eastAsia="Arial" w:cs="Arial"/>
          <w:b w:val="1"/>
          <w:bCs w:val="1"/>
          <w:color w:val="000000" w:themeColor="text1" w:themeTint="FF" w:themeShade="FF"/>
          <w:sz w:val="24"/>
          <w:szCs w:val="24"/>
        </w:rPr>
      </w:pPr>
      <w:r w:rsidRPr="61F9FDCE" w:rsidR="71B055F9">
        <w:rPr>
          <w:rFonts w:ascii="Arial" w:hAnsi="Arial" w:eastAsia="Arial" w:cs="Arial"/>
          <w:b w:val="1"/>
          <w:bCs w:val="1"/>
          <w:color w:val="000000" w:themeColor="text1" w:themeTint="FF" w:themeShade="FF"/>
          <w:sz w:val="24"/>
          <w:szCs w:val="24"/>
        </w:rPr>
        <w:t>Student Name: Ana Sofia Andrade</w:t>
      </w:r>
    </w:p>
    <w:p w:rsidR="71B055F9" w:rsidP="61F9FDCE" w:rsidRDefault="71B055F9" w14:paraId="0E8FE0B8" w14:textId="5FBFA984">
      <w:pPr>
        <w:pStyle w:val="Normal"/>
        <w:spacing w:after="0" w:line="480" w:lineRule="auto"/>
        <w:jc w:val="center"/>
        <w:rPr>
          <w:rFonts w:ascii="Arial" w:hAnsi="Arial" w:eastAsia="Arial" w:cs="Arial"/>
          <w:b w:val="1"/>
          <w:bCs w:val="1"/>
          <w:color w:val="000000" w:themeColor="text1" w:themeTint="FF" w:themeShade="FF"/>
          <w:sz w:val="24"/>
          <w:szCs w:val="24"/>
        </w:rPr>
      </w:pPr>
      <w:r w:rsidRPr="61F9FDCE" w:rsidR="71B055F9">
        <w:rPr>
          <w:rFonts w:ascii="Arial" w:hAnsi="Arial" w:eastAsia="Arial" w:cs="Arial"/>
          <w:b w:val="1"/>
          <w:bCs w:val="1"/>
          <w:color w:val="000000" w:themeColor="text1" w:themeTint="FF" w:themeShade="FF"/>
          <w:sz w:val="24"/>
          <w:szCs w:val="24"/>
        </w:rPr>
        <w:t>Student Number:2026882</w:t>
      </w:r>
    </w:p>
    <w:p w:rsidR="71B055F9" w:rsidP="61F9FDCE" w:rsidRDefault="71B055F9" w14:paraId="778D1818" w14:textId="232035BE">
      <w:pPr>
        <w:pStyle w:val="Normal"/>
        <w:spacing w:after="0" w:line="480" w:lineRule="auto"/>
        <w:jc w:val="center"/>
        <w:rPr>
          <w:rFonts w:ascii="Arial" w:hAnsi="Arial" w:eastAsia="Arial" w:cs="Arial"/>
          <w:b w:val="1"/>
          <w:bCs w:val="1"/>
          <w:color w:val="000000" w:themeColor="text1" w:themeTint="FF" w:themeShade="FF"/>
          <w:sz w:val="24"/>
          <w:szCs w:val="24"/>
        </w:rPr>
      </w:pPr>
      <w:r w:rsidRPr="61F9FDCE" w:rsidR="71B055F9">
        <w:rPr>
          <w:rFonts w:ascii="Arial" w:hAnsi="Arial" w:eastAsia="Arial" w:cs="Arial"/>
          <w:b w:val="1"/>
          <w:bCs w:val="1"/>
          <w:color w:val="000000" w:themeColor="text1" w:themeTint="FF" w:themeShade="FF"/>
          <w:sz w:val="24"/>
          <w:szCs w:val="24"/>
        </w:rPr>
        <w:t>Lecturer Name: Ryan Peters</w:t>
      </w:r>
    </w:p>
    <w:p w:rsidR="61F9FDCE" w:rsidP="61F9FDCE" w:rsidRDefault="61F9FDCE" w14:paraId="142E97C5" w14:textId="0097B66E">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1FC5B751" w14:textId="27EF5152">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2B4FDDBA" w14:textId="04BB93D7">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09C76EB5" w14:textId="30A77F98">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4C17E7FE" w14:textId="183E3467">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58DE116F" w14:textId="1FA11E78">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75D7B69F" w14:textId="1C608A07">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759E98AE" w14:textId="5D24F205">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71318E65" w14:textId="5179D899">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7E4ECB9A" w14:textId="52FE5B24">
      <w:pPr>
        <w:pStyle w:val="Normal"/>
        <w:spacing w:after="0" w:line="480" w:lineRule="auto"/>
        <w:jc w:val="center"/>
        <w:rPr>
          <w:rFonts w:ascii="Arial" w:hAnsi="Arial" w:eastAsia="Arial" w:cs="Arial"/>
          <w:b w:val="1"/>
          <w:bCs w:val="1"/>
          <w:color w:val="000000" w:themeColor="text1" w:themeTint="FF" w:themeShade="FF"/>
          <w:sz w:val="24"/>
          <w:szCs w:val="24"/>
        </w:rPr>
      </w:pPr>
    </w:p>
    <w:p w:rsidR="61F9FDCE" w:rsidP="61F9FDCE" w:rsidRDefault="61F9FDCE" w14:paraId="23D611E4" w14:textId="67BCACE9">
      <w:pPr>
        <w:pStyle w:val="Normal"/>
        <w:spacing w:after="0" w:line="480" w:lineRule="auto"/>
        <w:jc w:val="center"/>
        <w:rPr>
          <w:rFonts w:ascii="Arial" w:hAnsi="Arial" w:eastAsia="Arial" w:cs="Arial"/>
          <w:b w:val="1"/>
          <w:bCs w:val="1"/>
          <w:color w:val="000000" w:themeColor="text1" w:themeTint="FF" w:themeShade="FF"/>
          <w:sz w:val="24"/>
          <w:szCs w:val="24"/>
        </w:rPr>
      </w:pPr>
    </w:p>
    <w:p w:rsidRPr="00057534" w:rsidR="00B50637" w:rsidP="61F9FDCE" w:rsidRDefault="00455BB7" w14:paraId="2E63CCDA" w14:textId="34DC8630" w14:noSpellErr="1">
      <w:pPr>
        <w:spacing w:after="0" w:line="480" w:lineRule="auto"/>
        <w:contextualSpacing/>
        <w:jc w:val="center"/>
        <w:rPr>
          <w:rFonts w:ascii="Arial" w:hAnsi="Arial" w:eastAsia="Arial" w:cs="Arial"/>
          <w:b w:val="1"/>
          <w:bCs w:val="1"/>
          <w:color w:val="000000" w:themeColor="text1"/>
          <w:sz w:val="24"/>
          <w:szCs w:val="24"/>
        </w:rPr>
      </w:pPr>
      <w:r w:rsidRPr="61F9FDCE" w:rsidR="00455BB7">
        <w:rPr>
          <w:rFonts w:ascii="Arial" w:hAnsi="Arial" w:eastAsia="Arial" w:cs="Arial"/>
          <w:b w:val="1"/>
          <w:bCs w:val="1"/>
          <w:color w:val="000000" w:themeColor="text1" w:themeTint="FF" w:themeShade="FF"/>
          <w:sz w:val="24"/>
          <w:szCs w:val="24"/>
        </w:rPr>
        <w:t>Student Journal (Learning Log)</w:t>
      </w:r>
    </w:p>
    <w:p w:rsidRPr="00057534" w:rsidR="00820FBA" w:rsidP="61F9FDCE" w:rsidRDefault="006404FC" w14:paraId="0B14AC51" w14:textId="7BA0D3F7" w14:noSpellErr="1">
      <w:pPr>
        <w:spacing w:after="0" w:line="480" w:lineRule="auto"/>
        <w:ind w:firstLine="720"/>
        <w:contextualSpacing/>
        <w:rPr>
          <w:rFonts w:ascii="Arial" w:hAnsi="Arial" w:eastAsia="Arial" w:cs="Arial"/>
          <w:color w:val="000000" w:themeColor="text1"/>
          <w:sz w:val="24"/>
          <w:szCs w:val="24"/>
        </w:rPr>
      </w:pPr>
      <w:r w:rsidRPr="61F9FDCE" w:rsidR="006404FC">
        <w:rPr>
          <w:rFonts w:ascii="Arial" w:hAnsi="Arial" w:eastAsia="Arial" w:cs="Arial"/>
          <w:color w:val="000000" w:themeColor="text1" w:themeTint="FF" w:themeShade="FF"/>
          <w:sz w:val="24"/>
          <w:szCs w:val="24"/>
        </w:rPr>
        <w:t>If you like the world of nutrition, you can complement your knowledge with this aspect , every day there are more people affected by these diseases, as a result of climate change, rhythm of life, electronic devices, smoking. Even a person who has never had an allergy or intolerance can get either condition</w:t>
      </w:r>
      <w:r w:rsidRPr="61F9FDCE" w:rsidR="00057534">
        <w:rPr>
          <w:rFonts w:ascii="Arial" w:hAnsi="Arial" w:eastAsia="Arial" w:cs="Arial"/>
          <w:color w:val="000000" w:themeColor="text1" w:themeTint="FF" w:themeShade="FF"/>
          <w:sz w:val="24"/>
          <w:szCs w:val="24"/>
        </w:rPr>
        <w:t xml:space="preserve"> </w:t>
      </w:r>
      <w:r w:rsidRPr="61F9FDCE">
        <w:rPr>
          <w:rFonts w:ascii="Times New Roman" w:hAnsi="Times New Roman" w:cs="Times New Roman"/>
          <w:color w:val="000000" w:themeColor="text1" w:themeTint="FF" w:themeShade="FF"/>
          <w:sz w:val="24"/>
          <w:szCs w:val="24"/>
        </w:rPr>
        <w:fldChar w:fldCharType="begin"/>
      </w:r>
      <w:r w:rsidRPr="61F9FDCE">
        <w:rPr>
          <w:rFonts w:ascii="Times New Roman" w:hAnsi="Times New Roman" w:cs="Times New Roman"/>
          <w:color w:val="000000" w:themeColor="text1" w:themeTint="FF" w:themeShade="FF"/>
          <w:sz w:val="24"/>
          <w:szCs w:val="24"/>
        </w:rPr>
        <w:instrText xml:space="preserve"> ADDIN EN.CITE &lt;EndNote&gt;&lt;Cite&gt;&lt;Author&gt;Ariffin&lt;/Author&gt;&lt;Year&gt;2018&lt;/Year&gt;&lt;RecNum&gt;2842&lt;/RecNum&gt;&lt;DisplayText&gt;(Ariffin et al., 2018)&lt;/DisplayText&gt;&lt;record&gt;&lt;rec-number&gt;2842&lt;/rec-number&gt;&lt;foreign-keys&gt;&lt;key app="EN" db-id="z0vet9t9k0aa5kersx5xa0x4tx5srsvsrzpx" timestamp="1643848226"&gt;2842&lt;/key&gt;&lt;/foreign-keys&gt;&lt;ref-type name="Journal Article"&gt;17&lt;/ref-type&gt;&lt;contributors&gt;&lt;authors&gt;&lt;author&gt;Ariffin, Ahmad Azmi M&lt;/author&gt;&lt;author&gt;Maghzi, Atefeh&lt;/author&gt;&lt;author&gt;Soon, Jason Lam Mun&lt;/author&gt;&lt;author&gt;Alam, Syed Shah&lt;/author&gt;&lt;/authors&gt;&lt;/contributors&gt;&lt;titles&gt;&lt;title&gt;Exploring the influence of hospitality on guest satisfaction in luxury hotel services&lt;/title&gt;&lt;secondary-title&gt;E-review of Tourism Research&lt;/secondary-title&gt;&lt;/titles&gt;&lt;periodical&gt;&lt;full-title&gt;E-review of Tourism Research&lt;/full-title&gt;&lt;/periodical&gt;&lt;volume&gt;15&lt;/volume&gt;&lt;number&gt;1&lt;/number&gt;&lt;dates&gt;&lt;year&gt;2018&lt;/year&gt;&lt;/dates&gt;&lt;isbn&gt;1941-5842&lt;/isbn&gt;&lt;urls&gt;&lt;/urls&gt;&lt;/record&gt;&lt;/Cite&gt;&lt;/EndNote&gt;</w:instrText>
      </w:r>
      <w:r w:rsidRPr="61F9FDCE">
        <w:rPr>
          <w:rFonts w:ascii="Times New Roman" w:hAnsi="Times New Roman" w:cs="Times New Roman"/>
          <w:color w:val="000000" w:themeColor="text1" w:themeTint="FF" w:themeShade="FF"/>
          <w:sz w:val="24"/>
          <w:szCs w:val="24"/>
        </w:rPr>
        <w:fldChar w:fldCharType="separate"/>
      </w:r>
      <w:r w:rsidRPr="61F9FDCE" w:rsidR="00057534">
        <w:rPr>
          <w:rFonts w:ascii="Times New Roman" w:hAnsi="Times New Roman" w:cs="Times New Roman"/>
          <w:noProof/>
          <w:color w:val="000000" w:themeColor="text1" w:themeTint="FF" w:themeShade="FF"/>
          <w:sz w:val="24"/>
          <w:szCs w:val="24"/>
        </w:rPr>
        <w:t>(Ariffin et al., 2018)</w:t>
      </w:r>
      <w:r w:rsidRPr="61F9FDCE">
        <w:rPr>
          <w:rFonts w:ascii="Times New Roman" w:hAnsi="Times New Roman" w:cs="Times New Roman"/>
          <w:color w:val="000000" w:themeColor="text1" w:themeTint="FF" w:themeShade="FF"/>
          <w:sz w:val="24"/>
          <w:szCs w:val="24"/>
        </w:rPr>
        <w:fldChar w:fldCharType="end"/>
      </w:r>
      <w:r w:rsidRPr="61F9FDCE" w:rsidR="006404FC">
        <w:rPr>
          <w:rFonts w:ascii="Arial" w:hAnsi="Arial" w:eastAsia="Arial" w:cs="Arial"/>
          <w:color w:val="000000" w:themeColor="text1" w:themeTint="FF" w:themeShade="FF"/>
          <w:sz w:val="24"/>
          <w:szCs w:val="24"/>
        </w:rPr>
        <w:t>. We all know a case in which intolerances have arisen. Thanks to advances in medicine and research, it has been possible to diagnose many cases, which a few years ago were not known why they happened. The knowledge of allergens and intolerances is very present in our lives, so much so that there is a supermarket chain where gluten has been excluded from all foods that could contain it. Another example is the lactose removed from milk, sausages, etc.</w:t>
      </w:r>
    </w:p>
    <w:p w:rsidRPr="00057534" w:rsidR="006404FC" w:rsidP="61F9FDCE" w:rsidRDefault="006404FC" w14:paraId="39A75862" w14:textId="046C4497" w14:noSpellErr="1">
      <w:pPr>
        <w:spacing w:after="0" w:line="480" w:lineRule="auto"/>
        <w:ind w:firstLine="720"/>
        <w:contextualSpacing/>
        <w:rPr>
          <w:rFonts w:ascii="Arial" w:hAnsi="Arial" w:eastAsia="Arial" w:cs="Arial"/>
          <w:color w:val="000000" w:themeColor="text1"/>
          <w:sz w:val="24"/>
          <w:szCs w:val="24"/>
        </w:rPr>
      </w:pPr>
      <w:r w:rsidRPr="61F9FDCE" w:rsidR="006404FC">
        <w:rPr>
          <w:rFonts w:ascii="Arial" w:hAnsi="Arial" w:eastAsia="Arial" w:cs="Arial"/>
          <w:color w:val="000000" w:themeColor="text1" w:themeTint="FF" w:themeShade="FF"/>
          <w:sz w:val="24"/>
          <w:szCs w:val="24"/>
        </w:rPr>
        <w:t>In recent years, food allergies and intolerances have increased and more and more customers ask about the ingredients of each dish. However, a large part of restaurant businesses still has little knowledge of the risks that the presence of allergens in the restaurant entails. Unfortunately, the most common foods implicated in food allergy are the most commonly consumed</w:t>
      </w:r>
      <w:r w:rsidRPr="61F9FDCE" w:rsidR="00057534">
        <w:rPr>
          <w:rFonts w:ascii="Arial" w:hAnsi="Arial" w:eastAsia="Arial" w:cs="Arial"/>
          <w:color w:val="000000" w:themeColor="text1" w:themeTint="FF" w:themeShade="FF"/>
          <w:sz w:val="24"/>
          <w:szCs w:val="24"/>
        </w:rPr>
        <w:t xml:space="preserve"> </w:t>
      </w:r>
      <w:r w:rsidRPr="61F9FDCE">
        <w:rPr>
          <w:rFonts w:ascii="Times New Roman" w:hAnsi="Times New Roman" w:cs="Times New Roman"/>
          <w:color w:val="000000" w:themeColor="text1" w:themeTint="FF" w:themeShade="FF"/>
          <w:sz w:val="24"/>
          <w:szCs w:val="24"/>
        </w:rPr>
        <w:fldChar w:fldCharType="begin"/>
      </w:r>
      <w:r w:rsidRPr="61F9FDCE">
        <w:rPr>
          <w:rFonts w:ascii="Times New Roman" w:hAnsi="Times New Roman" w:cs="Times New Roman"/>
          <w:color w:val="000000" w:themeColor="text1" w:themeTint="FF" w:themeShade="FF"/>
          <w:sz w:val="24"/>
          <w:szCs w:val="24"/>
        </w:rPr>
        <w:instrText xml:space="preserve"> ADDIN EN.CITE &lt;EndNote&gt;&lt;Cite&gt;&lt;Author&gt;Ariffin&lt;/Author&gt;&lt;Year&gt;2018&lt;/Year&gt;&lt;RecNum&gt;2842&lt;/RecNum&gt;&lt;DisplayText&gt;(Ariffin et al., 2018)&lt;/DisplayText&gt;&lt;record&gt;&lt;rec-number&gt;2842&lt;/rec-number&gt;&lt;foreign-keys&gt;&lt;key app="EN" db-id="z0vet9t9k0aa5kersx5xa0x4tx5srsvsrzpx" timestamp="1643848226"&gt;2842&lt;/key&gt;&lt;/foreign-keys&gt;&lt;ref-type name="Journal Article"&gt;17&lt;/ref-type&gt;&lt;contributors&gt;&lt;authors&gt;&lt;author&gt;Ariffin, Ahmad Azmi M&lt;/author&gt;&lt;author&gt;Maghzi, Atefeh&lt;/author&gt;&lt;author&gt;Soon, Jason Lam Mun&lt;/author&gt;&lt;author&gt;Alam, Syed Shah&lt;/author&gt;&lt;/authors&gt;&lt;/contributors&gt;&lt;titles&gt;&lt;title&gt;Exploring the influence of hospitality on guest satisfaction in luxury hotel services&lt;/title&gt;&lt;secondary-title&gt;E-review of Tourism Research&lt;/secondary-title&gt;&lt;/titles&gt;&lt;periodical&gt;&lt;full-title&gt;E-review of Tourism Research&lt;/full-title&gt;&lt;/periodical&gt;&lt;volume&gt;15&lt;/volume&gt;&lt;number&gt;1&lt;/number&gt;&lt;dates&gt;&lt;year&gt;2018&lt;/year&gt;&lt;/dates&gt;&lt;isbn&gt;1941-5842&lt;/isbn&gt;&lt;urls&gt;&lt;/urls&gt;&lt;/record&gt;&lt;/Cite&gt;&lt;/EndNote&gt;</w:instrText>
      </w:r>
      <w:r w:rsidRPr="61F9FDCE">
        <w:rPr>
          <w:rFonts w:ascii="Times New Roman" w:hAnsi="Times New Roman" w:cs="Times New Roman"/>
          <w:color w:val="000000" w:themeColor="text1" w:themeTint="FF" w:themeShade="FF"/>
          <w:sz w:val="24"/>
          <w:szCs w:val="24"/>
        </w:rPr>
        <w:fldChar w:fldCharType="separate"/>
      </w:r>
      <w:r w:rsidRPr="61F9FDCE" w:rsidR="00057534">
        <w:rPr>
          <w:rFonts w:ascii="Times New Roman" w:hAnsi="Times New Roman" w:cs="Times New Roman"/>
          <w:noProof/>
          <w:color w:val="000000" w:themeColor="text1" w:themeTint="FF" w:themeShade="FF"/>
          <w:sz w:val="24"/>
          <w:szCs w:val="24"/>
        </w:rPr>
        <w:t>(Ariffin et al., 2018)</w:t>
      </w:r>
      <w:r w:rsidRPr="61F9FDCE">
        <w:rPr>
          <w:rFonts w:ascii="Times New Roman" w:hAnsi="Times New Roman" w:cs="Times New Roman"/>
          <w:color w:val="000000" w:themeColor="text1" w:themeTint="FF" w:themeShade="FF"/>
          <w:sz w:val="24"/>
          <w:szCs w:val="24"/>
        </w:rPr>
        <w:fldChar w:fldCharType="end"/>
      </w:r>
      <w:r w:rsidRPr="61F9FDCE" w:rsidR="006404FC">
        <w:rPr>
          <w:rFonts w:ascii="Arial" w:hAnsi="Arial" w:eastAsia="Arial" w:cs="Arial"/>
          <w:color w:val="000000" w:themeColor="text1" w:themeTint="FF" w:themeShade="FF"/>
          <w:sz w:val="24"/>
          <w:szCs w:val="24"/>
        </w:rPr>
        <w:t>. These include cow's milk, fish, eggs, fruits, vegetables, legumes, and nuts. They not only affect people with allergies in their natural forms, but also when we add them as ingredients in any recipe or if they are part of a finished product. Similarly, there are some additives that can cause allergic reactions in people with intolerance to them.</w:t>
      </w:r>
    </w:p>
    <w:p w:rsidR="61F9FDCE" w:rsidP="61F9FDCE" w:rsidRDefault="61F9FDCE" w14:paraId="595A93FC" w14:textId="1BB531EA">
      <w:pPr>
        <w:spacing w:after="0" w:line="480" w:lineRule="auto"/>
        <w:ind w:firstLine="720"/>
        <w:rPr>
          <w:rFonts w:ascii="Arial" w:hAnsi="Arial" w:eastAsia="Arial" w:cs="Arial"/>
          <w:color w:val="000000" w:themeColor="text1" w:themeTint="FF" w:themeShade="FF"/>
          <w:sz w:val="24"/>
          <w:szCs w:val="24"/>
        </w:rPr>
      </w:pPr>
    </w:p>
    <w:p w:rsidR="61F9FDCE" w:rsidP="61F9FDCE" w:rsidRDefault="61F9FDCE" w14:paraId="3759A6ED" w14:textId="38BC4937">
      <w:pPr>
        <w:spacing w:after="0" w:line="480" w:lineRule="auto"/>
        <w:ind w:firstLine="720"/>
        <w:rPr>
          <w:rFonts w:ascii="Arial" w:hAnsi="Arial" w:eastAsia="Arial" w:cs="Arial"/>
          <w:color w:val="000000" w:themeColor="text1" w:themeTint="FF" w:themeShade="FF"/>
          <w:sz w:val="24"/>
          <w:szCs w:val="24"/>
        </w:rPr>
      </w:pPr>
    </w:p>
    <w:p w:rsidR="61F9FDCE" w:rsidP="61F9FDCE" w:rsidRDefault="61F9FDCE" w14:paraId="09C39E27" w14:textId="70ECDA94">
      <w:pPr>
        <w:spacing w:after="0" w:line="480" w:lineRule="auto"/>
        <w:ind w:firstLine="720"/>
        <w:rPr>
          <w:rFonts w:ascii="Arial" w:hAnsi="Arial" w:eastAsia="Arial" w:cs="Arial"/>
          <w:color w:val="000000" w:themeColor="text1" w:themeTint="FF" w:themeShade="FF"/>
          <w:sz w:val="24"/>
          <w:szCs w:val="24"/>
        </w:rPr>
      </w:pPr>
    </w:p>
    <w:p w:rsidR="61F9FDCE" w:rsidP="61F9FDCE" w:rsidRDefault="61F9FDCE" w14:paraId="38EABFE6" w14:textId="37B832E8">
      <w:pPr>
        <w:spacing w:after="0" w:line="480" w:lineRule="auto"/>
        <w:ind w:firstLine="720"/>
        <w:rPr>
          <w:rFonts w:ascii="Arial" w:hAnsi="Arial" w:eastAsia="Arial" w:cs="Arial"/>
          <w:color w:val="000000" w:themeColor="text1" w:themeTint="FF" w:themeShade="FF"/>
          <w:sz w:val="24"/>
          <w:szCs w:val="24"/>
        </w:rPr>
      </w:pPr>
    </w:p>
    <w:p w:rsidR="61F9FDCE" w:rsidP="61F9FDCE" w:rsidRDefault="61F9FDCE" w14:paraId="0397696C" w14:textId="4EA4D2FA">
      <w:pPr>
        <w:spacing w:after="0" w:line="480" w:lineRule="auto"/>
        <w:ind w:firstLine="720"/>
        <w:rPr>
          <w:rFonts w:ascii="Arial" w:hAnsi="Arial" w:eastAsia="Arial" w:cs="Arial"/>
          <w:color w:val="000000" w:themeColor="text1" w:themeTint="FF" w:themeShade="FF"/>
          <w:sz w:val="24"/>
          <w:szCs w:val="24"/>
        </w:rPr>
      </w:pPr>
    </w:p>
    <w:p w:rsidRPr="00057534" w:rsidR="006404FC" w:rsidP="61F9FDCE" w:rsidRDefault="006404FC" w14:paraId="579FFF3B" w14:textId="4FA080F3" w14:noSpellErr="1">
      <w:pPr>
        <w:spacing w:after="0" w:line="480" w:lineRule="auto"/>
        <w:ind w:firstLine="720"/>
        <w:contextualSpacing/>
        <w:rPr>
          <w:rFonts w:ascii="Arial" w:hAnsi="Arial" w:eastAsia="Arial" w:cs="Arial"/>
          <w:color w:val="000000" w:themeColor="text1"/>
          <w:sz w:val="24"/>
          <w:szCs w:val="24"/>
        </w:rPr>
      </w:pPr>
      <w:r w:rsidRPr="61F9FDCE" w:rsidR="006404FC">
        <w:rPr>
          <w:rFonts w:ascii="Arial" w:hAnsi="Arial" w:eastAsia="Arial" w:cs="Arial"/>
          <w:color w:val="000000" w:themeColor="text1" w:themeTint="FF" w:themeShade="FF"/>
          <w:sz w:val="24"/>
          <w:szCs w:val="24"/>
        </w:rPr>
        <w:t>The issue worries and complicates chefs and restaurant managers. For this reason, my institution is committed to full training in this field and teaches modules focused on food allergies and intolerances in each of its courses</w:t>
      </w:r>
      <w:r w:rsidRPr="61F9FDCE" w:rsidR="00057534">
        <w:rPr>
          <w:rFonts w:ascii="Arial" w:hAnsi="Arial" w:eastAsia="Arial" w:cs="Arial"/>
          <w:color w:val="000000" w:themeColor="text1" w:themeTint="FF" w:themeShade="FF"/>
          <w:sz w:val="24"/>
          <w:szCs w:val="24"/>
        </w:rPr>
        <w:t xml:space="preserve"> </w:t>
      </w:r>
      <w:r w:rsidRPr="61F9FDCE">
        <w:rPr>
          <w:rFonts w:ascii="Times New Roman" w:hAnsi="Times New Roman" w:cs="Times New Roman"/>
          <w:color w:val="000000" w:themeColor="text1" w:themeTint="FF" w:themeShade="FF"/>
          <w:sz w:val="24"/>
          <w:szCs w:val="24"/>
        </w:rPr>
        <w:fldChar w:fldCharType="begin"/>
      </w:r>
      <w:r w:rsidRPr="61F9FDCE">
        <w:rPr>
          <w:rFonts w:ascii="Times New Roman" w:hAnsi="Times New Roman" w:cs="Times New Roman"/>
          <w:color w:val="000000" w:themeColor="text1" w:themeTint="FF" w:themeShade="FF"/>
          <w:sz w:val="24"/>
          <w:szCs w:val="24"/>
        </w:rPr>
        <w:instrText xml:space="preserve"> ADDIN EN.CITE &lt;EndNote&gt;&lt;Cite&gt;&lt;Author&gt;Buhalis&lt;/Author&gt;&lt;Year&gt;2019&lt;/Year&gt;&lt;RecNum&gt;2835&lt;/RecNum&gt;&lt;DisplayText&gt;(Buhalis et al., 2019)&lt;/DisplayText&gt;&lt;record&gt;&lt;rec-number&gt;2835&lt;/rec-number&gt;&lt;foreign-keys&gt;&lt;key app="EN" db-id="z0vet9t9k0aa5kersx5xa0x4tx5srsvsrzpx" timestamp="1643848195"&gt;2835&lt;/key&gt;&lt;/foreign-keys&gt;&lt;ref-type name="Journal Article"&gt;17&lt;/ref-type&gt;&lt;contributors&gt;&lt;authors&gt;&lt;author&gt;Buhalis, Dimitrios&lt;/author&gt;&lt;author&gt;Harwood, Tracy&lt;/author&gt;&lt;author&gt;Bogicevic, Vanja&lt;/author&gt;&lt;author&gt;Viglia, Giampaolo&lt;/author&gt;&lt;author&gt;Beldona, Srikanth&lt;/author&gt;&lt;author&gt;Hofacker, Charles&lt;/author&gt;&lt;/authors&gt;&lt;/contributors&gt;&lt;titles&gt;&lt;title&gt;Technological disruptions in services: lessons from tourism and hospitality&lt;/title&gt;&lt;secondary-title&gt;Journal of Service Management&lt;/secondary-title&gt;&lt;/titles&gt;&lt;periodical&gt;&lt;full-title&gt;Journal of Service Management&lt;/full-title&gt;&lt;/periodical&gt;&lt;dates&gt;&lt;year&gt;2019&lt;/year&gt;&lt;/dates&gt;&lt;isbn&gt;1757-5818&lt;/isbn&gt;&lt;urls&gt;&lt;/urls&gt;&lt;/record&gt;&lt;/Cite&gt;&lt;/EndNote&gt;</w:instrText>
      </w:r>
      <w:r w:rsidRPr="61F9FDCE">
        <w:rPr>
          <w:rFonts w:ascii="Times New Roman" w:hAnsi="Times New Roman" w:cs="Times New Roman"/>
          <w:color w:val="000000" w:themeColor="text1" w:themeTint="FF" w:themeShade="FF"/>
          <w:sz w:val="24"/>
          <w:szCs w:val="24"/>
        </w:rPr>
        <w:fldChar w:fldCharType="separate"/>
      </w:r>
      <w:r w:rsidRPr="61F9FDCE" w:rsidR="00057534">
        <w:rPr>
          <w:rFonts w:ascii="Times New Roman" w:hAnsi="Times New Roman" w:cs="Times New Roman"/>
          <w:noProof/>
          <w:color w:val="000000" w:themeColor="text1" w:themeTint="FF" w:themeShade="FF"/>
          <w:sz w:val="24"/>
          <w:szCs w:val="24"/>
        </w:rPr>
        <w:t>(Buhalis et al., 2019)</w:t>
      </w:r>
      <w:r w:rsidRPr="61F9FDCE">
        <w:rPr>
          <w:rFonts w:ascii="Times New Roman" w:hAnsi="Times New Roman" w:cs="Times New Roman"/>
          <w:color w:val="000000" w:themeColor="text1" w:themeTint="FF" w:themeShade="FF"/>
          <w:sz w:val="24"/>
          <w:szCs w:val="24"/>
        </w:rPr>
        <w:fldChar w:fldCharType="end"/>
      </w:r>
      <w:r w:rsidRPr="61F9FDCE" w:rsidR="006404FC">
        <w:rPr>
          <w:rFonts w:ascii="Arial" w:hAnsi="Arial" w:eastAsia="Arial" w:cs="Arial"/>
          <w:color w:val="000000" w:themeColor="text1" w:themeTint="FF" w:themeShade="FF"/>
          <w:sz w:val="24"/>
          <w:szCs w:val="24"/>
        </w:rPr>
        <w:t>. This focuses upon Quality management and food safety and hygiene and Safety and hygiene in food handling. Our teacher of Food Safety and Hygiene insists our students on the precaution that must be taken with the products in the kitchen:</w:t>
      </w:r>
    </w:p>
    <w:p w:rsidRPr="00057534" w:rsidR="006404FC" w:rsidP="61F9FDCE" w:rsidRDefault="006404FC" w14:paraId="068366D7" w14:textId="7F566599" w14:noSpellErr="1">
      <w:pPr>
        <w:pStyle w:val="ListParagraph"/>
        <w:numPr>
          <w:ilvl w:val="0"/>
          <w:numId w:val="1"/>
        </w:numPr>
        <w:spacing w:after="0" w:line="480" w:lineRule="auto"/>
        <w:ind w:left="567" w:hanging="283"/>
        <w:rPr>
          <w:rFonts w:ascii="Arial" w:hAnsi="Arial" w:eastAsia="Arial" w:cs="Arial"/>
          <w:color w:val="000000" w:themeColor="text1"/>
          <w:sz w:val="24"/>
          <w:szCs w:val="24"/>
        </w:rPr>
      </w:pPr>
      <w:r w:rsidRPr="61F9FDCE" w:rsidR="006404FC">
        <w:rPr>
          <w:rFonts w:ascii="Arial" w:hAnsi="Arial" w:eastAsia="Arial" w:cs="Arial"/>
          <w:color w:val="000000" w:themeColor="text1" w:themeTint="FF" w:themeShade="FF"/>
          <w:sz w:val="24"/>
          <w:szCs w:val="24"/>
        </w:rPr>
        <w:t xml:space="preserve">Product </w:t>
      </w:r>
      <w:r w:rsidRPr="61F9FDCE" w:rsidR="00057534">
        <w:rPr>
          <w:rFonts w:ascii="Arial" w:hAnsi="Arial" w:eastAsia="Arial" w:cs="Arial"/>
          <w:color w:val="000000" w:themeColor="text1" w:themeTint="FF" w:themeShade="FF"/>
          <w:sz w:val="24"/>
          <w:szCs w:val="24"/>
        </w:rPr>
        <w:t>labelling</w:t>
      </w:r>
      <w:r w:rsidRPr="61F9FDCE" w:rsidR="006404FC">
        <w:rPr>
          <w:rFonts w:ascii="Arial" w:hAnsi="Arial" w:eastAsia="Arial" w:cs="Arial"/>
          <w:color w:val="000000" w:themeColor="text1" w:themeTint="FF" w:themeShade="FF"/>
          <w:sz w:val="24"/>
          <w:szCs w:val="24"/>
        </w:rPr>
        <w:t>: In order to avoid cross-contamination in the restaurant when preparing a dish, it is important to know perfectly all the ingredients used in the recipe and to record them accurately.</w:t>
      </w:r>
    </w:p>
    <w:p w:rsidRPr="00057534" w:rsidR="006404FC" w:rsidP="61F9FDCE" w:rsidRDefault="006404FC" w14:paraId="52570DC2" w14:textId="5F5E6F90" w14:noSpellErr="1">
      <w:pPr>
        <w:pStyle w:val="ListParagraph"/>
        <w:numPr>
          <w:ilvl w:val="0"/>
          <w:numId w:val="1"/>
        </w:numPr>
        <w:spacing w:after="0" w:line="480" w:lineRule="auto"/>
        <w:ind w:left="567" w:hanging="283"/>
        <w:rPr>
          <w:rFonts w:ascii="Arial" w:hAnsi="Arial" w:eastAsia="Arial" w:cs="Arial"/>
          <w:color w:val="000000" w:themeColor="text1"/>
          <w:sz w:val="24"/>
          <w:szCs w:val="24"/>
        </w:rPr>
      </w:pPr>
      <w:r w:rsidRPr="61F9FDCE" w:rsidR="006404FC">
        <w:rPr>
          <w:rFonts w:ascii="Arial" w:hAnsi="Arial" w:eastAsia="Arial" w:cs="Arial"/>
          <w:color w:val="000000" w:themeColor="text1" w:themeTint="FF" w:themeShade="FF"/>
          <w:sz w:val="24"/>
          <w:szCs w:val="24"/>
        </w:rPr>
        <w:t xml:space="preserve">Kitchen utensils and appliances: On many occasions, products with allergens and without allergens share the same space and the same kitchen utensils and appliances. Therefore, precautions must be taken, identifying, with </w:t>
      </w:r>
      <w:r w:rsidRPr="61F9FDCE" w:rsidR="00057534">
        <w:rPr>
          <w:rFonts w:ascii="Arial" w:hAnsi="Arial" w:eastAsia="Arial" w:cs="Arial"/>
          <w:color w:val="000000" w:themeColor="text1" w:themeTint="FF" w:themeShade="FF"/>
          <w:sz w:val="24"/>
          <w:szCs w:val="24"/>
        </w:rPr>
        <w:t>colours</w:t>
      </w:r>
      <w:r w:rsidRPr="61F9FDCE" w:rsidR="006404FC">
        <w:rPr>
          <w:rFonts w:ascii="Arial" w:hAnsi="Arial" w:eastAsia="Arial" w:cs="Arial"/>
          <w:color w:val="000000" w:themeColor="text1" w:themeTint="FF" w:themeShade="FF"/>
          <w:sz w:val="24"/>
          <w:szCs w:val="24"/>
        </w:rPr>
        <w:t xml:space="preserve"> or labels.</w:t>
      </w:r>
    </w:p>
    <w:p w:rsidRPr="00057534" w:rsidR="006404FC" w:rsidP="61F9FDCE" w:rsidRDefault="006404FC" w14:paraId="07F096BA" w14:textId="733C27BE" w14:noSpellErr="1">
      <w:pPr>
        <w:pStyle w:val="ListParagraph"/>
        <w:numPr>
          <w:ilvl w:val="0"/>
          <w:numId w:val="1"/>
        </w:numPr>
        <w:spacing w:after="0" w:line="480" w:lineRule="auto"/>
        <w:ind w:left="567" w:hanging="283"/>
        <w:rPr>
          <w:rFonts w:ascii="Arial" w:hAnsi="Arial" w:eastAsia="Arial" w:cs="Arial"/>
          <w:color w:val="000000" w:themeColor="text1"/>
          <w:sz w:val="24"/>
          <w:szCs w:val="24"/>
        </w:rPr>
      </w:pPr>
      <w:r w:rsidRPr="61F9FDCE" w:rsidR="006404FC">
        <w:rPr>
          <w:rFonts w:ascii="Arial" w:hAnsi="Arial" w:eastAsia="Arial" w:cs="Arial"/>
          <w:color w:val="000000" w:themeColor="text1" w:themeTint="FF" w:themeShade="FF"/>
          <w:sz w:val="24"/>
          <w:szCs w:val="24"/>
        </w:rPr>
        <w:t>Cleaning and hygiene measures: Proper kitchen cleaning and hygiene is of paramount importance in allergen management, as small amounts of an ingredient can trigger a severe allergic reaction.</w:t>
      </w:r>
    </w:p>
    <w:p w:rsidRPr="00057534" w:rsidR="008D1944" w:rsidP="61F9FDCE" w:rsidRDefault="008D1944" w14:paraId="65CDA93E" w14:textId="3A21C4D9" w14:noSpellErr="1">
      <w:pPr>
        <w:spacing w:after="0" w:line="480" w:lineRule="auto"/>
        <w:ind w:firstLine="567"/>
        <w:contextualSpacing/>
        <w:rPr>
          <w:rFonts w:ascii="Arial" w:hAnsi="Arial" w:eastAsia="Arial" w:cs="Arial"/>
          <w:color w:val="000000" w:themeColor="text1"/>
          <w:sz w:val="24"/>
          <w:szCs w:val="24"/>
        </w:rPr>
      </w:pPr>
      <w:r w:rsidRPr="61F9FDCE" w:rsidR="008D1944">
        <w:rPr>
          <w:rFonts w:ascii="Arial" w:hAnsi="Arial" w:eastAsia="Arial" w:cs="Arial"/>
          <w:color w:val="000000" w:themeColor="text1" w:themeTint="FF" w:themeShade="FF"/>
          <w:sz w:val="24"/>
          <w:szCs w:val="24"/>
        </w:rPr>
        <w:t>I have lactose intolerance and, for other health reasons, I have had to give up gluten as well. Luckily, there are more and more restaurants that adapt the menu to intolerances and allergies of this type and, if this is not the case, there is always an alternative dish that does not contain these products.</w:t>
      </w:r>
      <w:r w:rsidRPr="61F9FDCE" w:rsidR="008E5602">
        <w:rPr>
          <w:rFonts w:ascii="Arial" w:hAnsi="Arial" w:eastAsia="Arial" w:cs="Arial"/>
          <w:color w:val="000000" w:themeColor="text1" w:themeTint="FF" w:themeShade="FF"/>
          <w:sz w:val="24"/>
          <w:szCs w:val="24"/>
        </w:rPr>
        <w:t xml:space="preserve"> If you are the owner of a hospitality establishment (bar, cafeteria, restaurant, or collective catering) or you sell unpackaged food (food retailers), you should know that you are obliged to inform your customers of the allergens and substances that cause intolerances present in the food you serve or sell.</w:t>
      </w:r>
    </w:p>
    <w:p w:rsidRPr="00057534" w:rsidR="000C38E0" w:rsidP="61F9FDCE" w:rsidRDefault="000C38E0" w14:paraId="3C898D5A" w14:textId="596AEA34" w14:noSpellErr="1">
      <w:pPr>
        <w:spacing w:after="0" w:line="480" w:lineRule="auto"/>
        <w:ind w:firstLine="567"/>
        <w:contextualSpacing/>
        <w:rPr>
          <w:rFonts w:ascii="Arial" w:hAnsi="Arial" w:eastAsia="Arial" w:cs="Arial"/>
          <w:color w:val="000000" w:themeColor="text1"/>
          <w:sz w:val="24"/>
          <w:szCs w:val="24"/>
        </w:rPr>
      </w:pPr>
      <w:r w:rsidRPr="61F9FDCE" w:rsidR="000C38E0">
        <w:rPr>
          <w:rFonts w:ascii="Arial" w:hAnsi="Arial" w:eastAsia="Arial" w:cs="Arial"/>
          <w:color w:val="000000" w:themeColor="text1" w:themeTint="FF" w:themeShade="FF"/>
          <w:sz w:val="24"/>
          <w:szCs w:val="24"/>
        </w:rPr>
        <w:t>Allergic reactions can even cause the death of those affected and the only way to avoid it is by making sure that the client knows what he consumes. In addition to the legal implications and the risk to public health that the non-application of the regulations implies, people who suffer from allergies and intolerances are reluctant to consume food in bars and restaurants that do not practice proper control over these substances, which inevitably leads to a loss of potential customers</w:t>
      </w:r>
      <w:r w:rsidRPr="61F9FDCE" w:rsidR="00057534">
        <w:rPr>
          <w:rFonts w:ascii="Arial" w:hAnsi="Arial" w:eastAsia="Arial" w:cs="Arial"/>
          <w:color w:val="000000" w:themeColor="text1" w:themeTint="FF" w:themeShade="FF"/>
          <w:sz w:val="24"/>
          <w:szCs w:val="24"/>
        </w:rPr>
        <w:t xml:space="preserve"> </w:t>
      </w:r>
      <w:r w:rsidRPr="61F9FDCE">
        <w:rPr>
          <w:rFonts w:ascii="Times New Roman" w:hAnsi="Times New Roman" w:cs="Times New Roman"/>
          <w:color w:val="000000" w:themeColor="text1" w:themeTint="FF" w:themeShade="FF"/>
          <w:sz w:val="24"/>
          <w:szCs w:val="24"/>
        </w:rPr>
        <w:fldChar w:fldCharType="begin"/>
      </w:r>
      <w:r w:rsidRPr="61F9FDCE">
        <w:rPr>
          <w:rFonts w:ascii="Times New Roman" w:hAnsi="Times New Roman" w:cs="Times New Roman"/>
          <w:color w:val="000000" w:themeColor="text1" w:themeTint="FF" w:themeShade="FF"/>
          <w:sz w:val="24"/>
          <w:szCs w:val="24"/>
        </w:rPr>
        <w:instrText xml:space="preserve"> ADDIN EN.CITE &lt;EndNote&gt;&lt;Cite&gt;&lt;Author&gt;Dogru&lt;/Author&gt;&lt;Year&gt;2018&lt;/Year&gt;&lt;RecNum&gt;2840&lt;/RecNum&gt;&lt;DisplayText&gt;(Dogru et al., 2018)&lt;/DisplayText&gt;&lt;record&gt;&lt;rec-number&gt;2840&lt;/rec-number&gt;&lt;foreign-keys&gt;&lt;key app="EN" db-id="z0vet9t9k0aa5kersx5xa0x4tx5srsvsrzpx" timestamp="1643848217"&gt;2840&lt;/key&gt;&lt;/foreign-keys&gt;&lt;ref-type name="Journal Article"&gt;17&lt;/ref-type&gt;&lt;contributors&gt;&lt;authors&gt;&lt;author&gt;Dogru, Tarik&lt;/author&gt;&lt;author&gt;Mody, Makarand&lt;/author&gt;&lt;author&gt;Leonardi, Christie&lt;/author&gt;&lt;/authors&gt;&lt;/contributors&gt;&lt;titles&gt;&lt;title&gt;Blockchain technology &amp;amp; its implications for the Hospitality Industry&lt;/title&gt;&lt;secondary-title&gt;Boston University&lt;/secondary-title&gt;&lt;/titles&gt;&lt;periodical&gt;&lt;full-title&gt;Boston University&lt;/full-title&gt;&lt;/periodical&gt;&lt;dates&gt;&lt;year&gt;2018&lt;/year&gt;&lt;/dates&gt;&lt;urls&gt;&lt;/urls&gt;&lt;/record&gt;&lt;/Cite&gt;&lt;/EndNote&gt;</w:instrText>
      </w:r>
      <w:r w:rsidRPr="61F9FDCE">
        <w:rPr>
          <w:rFonts w:ascii="Times New Roman" w:hAnsi="Times New Roman" w:cs="Times New Roman"/>
          <w:color w:val="000000" w:themeColor="text1" w:themeTint="FF" w:themeShade="FF"/>
          <w:sz w:val="24"/>
          <w:szCs w:val="24"/>
        </w:rPr>
        <w:fldChar w:fldCharType="separate"/>
      </w:r>
      <w:r w:rsidRPr="61F9FDCE" w:rsidR="00057534">
        <w:rPr>
          <w:rFonts w:ascii="Times New Roman" w:hAnsi="Times New Roman" w:cs="Times New Roman"/>
          <w:noProof/>
          <w:color w:val="000000" w:themeColor="text1" w:themeTint="FF" w:themeShade="FF"/>
          <w:sz w:val="24"/>
          <w:szCs w:val="24"/>
        </w:rPr>
        <w:t>(Dogru et al., 2018)</w:t>
      </w:r>
      <w:r w:rsidRPr="61F9FDCE">
        <w:rPr>
          <w:rFonts w:ascii="Times New Roman" w:hAnsi="Times New Roman" w:cs="Times New Roman"/>
          <w:color w:val="000000" w:themeColor="text1" w:themeTint="FF" w:themeShade="FF"/>
          <w:sz w:val="24"/>
          <w:szCs w:val="24"/>
        </w:rPr>
        <w:fldChar w:fldCharType="end"/>
      </w:r>
      <w:r w:rsidRPr="61F9FDCE" w:rsidR="000C38E0">
        <w:rPr>
          <w:rFonts w:ascii="Arial" w:hAnsi="Arial" w:eastAsia="Arial" w:cs="Arial"/>
          <w:color w:val="000000" w:themeColor="text1" w:themeTint="FF" w:themeShade="FF"/>
          <w:sz w:val="24"/>
          <w:szCs w:val="24"/>
        </w:rPr>
        <w:t>. For this reason, a correct identification of the establishments that have information on the allergens of their food will serve as a differentiating factor when it comes to attracting new customers.</w:t>
      </w:r>
    </w:p>
    <w:p w:rsidRPr="00057534" w:rsidR="00BB4E2D" w:rsidP="61F9FDCE" w:rsidRDefault="00BB4E2D" w14:paraId="50A55181" w14:textId="1FFEEDA9" w14:noSpellErr="1">
      <w:pPr>
        <w:spacing w:after="0" w:line="480" w:lineRule="auto"/>
        <w:ind w:firstLine="567"/>
        <w:contextualSpacing/>
        <w:rPr>
          <w:rFonts w:ascii="Arial" w:hAnsi="Arial" w:eastAsia="Arial" w:cs="Arial"/>
          <w:color w:val="000000" w:themeColor="text1"/>
          <w:sz w:val="24"/>
          <w:szCs w:val="24"/>
        </w:rPr>
      </w:pPr>
      <w:r w:rsidRPr="61F9FDCE" w:rsidR="00BB4E2D">
        <w:rPr>
          <w:rFonts w:ascii="Arial" w:hAnsi="Arial" w:eastAsia="Arial" w:cs="Arial"/>
          <w:color w:val="000000" w:themeColor="text1" w:themeTint="FF" w:themeShade="FF"/>
          <w:sz w:val="24"/>
          <w:szCs w:val="24"/>
        </w:rPr>
        <w:t xml:space="preserve">This information can also be provided orally, provided that you are absolutely certain that you are not omitting any allergens and, in any case, you are not exempt from the </w:t>
      </w:r>
      <w:r w:rsidRPr="61F9FDCE" w:rsidR="00BB4E2D">
        <w:rPr>
          <w:rFonts w:ascii="Arial" w:hAnsi="Arial" w:eastAsia="Arial" w:cs="Arial"/>
          <w:color w:val="000000" w:themeColor="text1" w:themeTint="FF" w:themeShade="FF"/>
          <w:sz w:val="24"/>
          <w:szCs w:val="24"/>
        </w:rPr>
        <w:t>obligation to have a written or electronic record (by means of product sheets, recipes of dishes elaborated, etc) of the ingredients of obligatory declaration</w:t>
      </w:r>
      <w:r w:rsidRPr="61F9FDCE" w:rsidR="00057534">
        <w:rPr>
          <w:rFonts w:ascii="Arial" w:hAnsi="Arial" w:eastAsia="Arial" w:cs="Arial"/>
          <w:color w:val="000000" w:themeColor="text1" w:themeTint="FF" w:themeShade="FF"/>
          <w:sz w:val="24"/>
          <w:szCs w:val="24"/>
        </w:rPr>
        <w:t xml:space="preserve"> </w:t>
      </w:r>
      <w:r w:rsidRPr="61F9FDCE">
        <w:rPr>
          <w:rFonts w:ascii="Times New Roman" w:hAnsi="Times New Roman" w:cs="Times New Roman"/>
          <w:color w:val="000000" w:themeColor="text1" w:themeTint="FF" w:themeShade="FF"/>
          <w:sz w:val="24"/>
          <w:szCs w:val="24"/>
        </w:rPr>
        <w:fldChar w:fldCharType="begin"/>
      </w:r>
      <w:r w:rsidRPr="61F9FDCE">
        <w:rPr>
          <w:rFonts w:ascii="Times New Roman" w:hAnsi="Times New Roman" w:cs="Times New Roman"/>
          <w:color w:val="000000" w:themeColor="text1" w:themeTint="FF" w:themeShade="FF"/>
          <w:sz w:val="24"/>
          <w:szCs w:val="24"/>
        </w:rPr>
        <w:instrText xml:space="preserve"> ADDIN EN.CITE &lt;EndNote&gt;&lt;Cite&gt;&lt;Author&gt;Kansakar&lt;/Author&gt;&lt;Year&gt;2019&lt;/Year&gt;&lt;RecNum&gt;2834&lt;/RecNum&gt;&lt;DisplayText&gt;(Kansakar et al., 2019)&lt;/DisplayText&gt;&lt;record&gt;&lt;rec-number&gt;2834&lt;/rec-number&gt;&lt;foreign-keys&gt;&lt;key app="EN" db-id="z0vet9t9k0aa5kersx5xa0x4tx5srsvsrzpx" timestamp="1643848190"&gt;2834&lt;/key&gt;&lt;/foreign-keys&gt;&lt;ref-type name="Journal Article"&gt;17&lt;/ref-type&gt;&lt;contributors&gt;&lt;authors&gt;&lt;author&gt;Kansakar, Prasanna&lt;/author&gt;&lt;author&gt;Munir, Arslan&lt;/author&gt;&lt;author&gt;Shabani, Neda&lt;/author&gt;&lt;/authors&gt;&lt;/contributors&gt;&lt;titles&gt;&lt;title&gt;Technology in the hospitality industry: Prospects and challenges&lt;/title&gt;&lt;secondary-title&gt;IEEE Consumer Electronics Magazine&lt;/secondary-title&gt;&lt;/titles&gt;&lt;periodical&gt;&lt;full-title&gt;IEEE Consumer Electronics Magazine&lt;/full-title&gt;&lt;/periodical&gt;&lt;pages&gt;60-65&lt;/pages&gt;&lt;volume&gt;8&lt;/volume&gt;&lt;number&gt;3&lt;/number&gt;&lt;dates&gt;&lt;year&gt;2019&lt;/year&gt;&lt;/dates&gt;&lt;isbn&gt;2162-2248&lt;/isbn&gt;&lt;urls&gt;&lt;/urls&gt;&lt;/record&gt;&lt;/Cite&gt;&lt;/EndNote&gt;</w:instrText>
      </w:r>
      <w:r w:rsidRPr="61F9FDCE">
        <w:rPr>
          <w:rFonts w:ascii="Times New Roman" w:hAnsi="Times New Roman" w:cs="Times New Roman"/>
          <w:color w:val="000000" w:themeColor="text1" w:themeTint="FF" w:themeShade="FF"/>
          <w:sz w:val="24"/>
          <w:szCs w:val="24"/>
        </w:rPr>
        <w:fldChar w:fldCharType="separate"/>
      </w:r>
      <w:r w:rsidRPr="61F9FDCE" w:rsidR="00057534">
        <w:rPr>
          <w:rFonts w:ascii="Times New Roman" w:hAnsi="Times New Roman" w:cs="Times New Roman"/>
          <w:noProof/>
          <w:color w:val="000000" w:themeColor="text1" w:themeTint="FF" w:themeShade="FF"/>
          <w:sz w:val="24"/>
          <w:szCs w:val="24"/>
        </w:rPr>
        <w:t>(Kansakar et al., 2019)</w:t>
      </w:r>
      <w:r w:rsidRPr="61F9FDCE">
        <w:rPr>
          <w:rFonts w:ascii="Times New Roman" w:hAnsi="Times New Roman" w:cs="Times New Roman"/>
          <w:color w:val="000000" w:themeColor="text1" w:themeTint="FF" w:themeShade="FF"/>
          <w:sz w:val="24"/>
          <w:szCs w:val="24"/>
        </w:rPr>
        <w:fldChar w:fldCharType="end"/>
      </w:r>
      <w:r w:rsidRPr="61F9FDCE" w:rsidR="00BB4E2D">
        <w:rPr>
          <w:rFonts w:ascii="Arial" w:hAnsi="Arial" w:eastAsia="Arial" w:cs="Arial"/>
          <w:color w:val="000000" w:themeColor="text1" w:themeTint="FF" w:themeShade="FF"/>
          <w:sz w:val="24"/>
          <w:szCs w:val="24"/>
        </w:rPr>
        <w:t>. These records must be present in the establishment and be available to the control authorities and consumers who request it.</w:t>
      </w:r>
    </w:p>
    <w:p w:rsidRPr="00057534" w:rsidR="00057534" w:rsidP="61F9FDCE" w:rsidRDefault="00642414" w14:paraId="16161046" w14:textId="32E66739" w14:noSpellErr="1">
      <w:pPr>
        <w:spacing w:after="0" w:line="480" w:lineRule="auto"/>
        <w:ind w:firstLine="567"/>
        <w:contextualSpacing/>
        <w:rPr>
          <w:rFonts w:ascii="Arial" w:hAnsi="Arial" w:eastAsia="Arial" w:cs="Arial"/>
          <w:color w:val="000000" w:themeColor="text1"/>
          <w:sz w:val="24"/>
          <w:szCs w:val="24"/>
        </w:rPr>
      </w:pPr>
      <w:r w:rsidRPr="61F9FDCE" w:rsidR="00642414">
        <w:rPr>
          <w:rFonts w:ascii="Arial" w:hAnsi="Arial" w:eastAsia="Arial" w:cs="Arial"/>
          <w:color w:val="000000" w:themeColor="text1" w:themeTint="FF" w:themeShade="FF"/>
          <w:sz w:val="24"/>
          <w:szCs w:val="24"/>
        </w:rPr>
        <w:t>Food safety in hotels and restaurants is one of the most important ingredients of any gastronomic proposal. There are innumerable aspects to take into account when guaranteeing that the customer's experience in the restaurant is safe for their health</w:t>
      </w:r>
      <w:r w:rsidRPr="61F9FDCE" w:rsidR="00057534">
        <w:rPr>
          <w:rFonts w:ascii="Arial" w:hAnsi="Arial" w:eastAsia="Arial" w:cs="Arial"/>
          <w:color w:val="000000" w:themeColor="text1" w:themeTint="FF" w:themeShade="FF"/>
          <w:sz w:val="24"/>
          <w:szCs w:val="24"/>
        </w:rPr>
        <w:t xml:space="preserve"> </w:t>
      </w:r>
      <w:r w:rsidRPr="61F9FDCE">
        <w:rPr>
          <w:rFonts w:ascii="Times New Roman" w:hAnsi="Times New Roman" w:cs="Times New Roman"/>
          <w:color w:val="000000" w:themeColor="text1" w:themeTint="FF" w:themeShade="FF"/>
          <w:sz w:val="24"/>
          <w:szCs w:val="24"/>
        </w:rPr>
        <w:fldChar w:fldCharType="begin"/>
      </w:r>
      <w:r w:rsidRPr="61F9FDCE">
        <w:rPr>
          <w:rFonts w:ascii="Times New Roman" w:hAnsi="Times New Roman" w:cs="Times New Roman"/>
          <w:color w:val="000000" w:themeColor="text1" w:themeTint="FF" w:themeShade="FF"/>
          <w:sz w:val="24"/>
          <w:szCs w:val="24"/>
        </w:rPr>
        <w:instrText xml:space="preserve"> ADDIN EN.CITE &lt;EndNote&gt;&lt;Cite&gt;&lt;Author&gt;Mariani&lt;/Author&gt;&lt;Year&gt;2021&lt;/Year&gt;&lt;RecNum&gt;2838&lt;/RecNum&gt;&lt;DisplayText&gt;(Mariani and Borghi, 2021)&lt;/DisplayText&gt;&lt;record&gt;&lt;rec-number&gt;2838&lt;/rec-number&gt;&lt;foreign-keys&gt;&lt;key app="EN" db-id="z0vet9t9k0aa5kersx5xa0x4tx5srsvsrzpx" timestamp="1643848208"&gt;2838&lt;/key&gt;&lt;/foreign-keys&gt;&lt;ref-type name="Journal Article"&gt;17&lt;/ref-type&gt;&lt;contributors&gt;&lt;authors&gt;&lt;author&gt;Mariani, Marcello&lt;/author&gt;&lt;author&gt;Borghi, Matteo&lt;/author&gt;&lt;/authors&gt;&lt;/contributors&gt;&lt;titles&gt;&lt;title&gt;Customers’ evaluation of mechanical artificial intelligence in hospitality services: a study using online reviews analytics&lt;/title&gt;&lt;secondary-title&gt;International Journal of Contemporary Hospitality Management&lt;/secondary-title&gt;&lt;/titles&gt;&lt;periodical&gt;&lt;full-title&gt;International Journal of Contemporary Hospitality Management&lt;/full-title&gt;&lt;/periodical&gt;&lt;dates&gt;&lt;year&gt;2021&lt;/year&gt;&lt;/dates&gt;&lt;isbn&gt;0959-6119&lt;/isbn&gt;&lt;urls&gt;&lt;/urls&gt;&lt;/record&gt;&lt;/Cite&gt;&lt;/EndNote&gt;</w:instrText>
      </w:r>
      <w:r w:rsidRPr="61F9FDCE">
        <w:rPr>
          <w:rFonts w:ascii="Times New Roman" w:hAnsi="Times New Roman" w:cs="Times New Roman"/>
          <w:color w:val="000000" w:themeColor="text1" w:themeTint="FF" w:themeShade="FF"/>
          <w:sz w:val="24"/>
          <w:szCs w:val="24"/>
        </w:rPr>
        <w:fldChar w:fldCharType="separate"/>
      </w:r>
      <w:r w:rsidRPr="61F9FDCE" w:rsidR="00057534">
        <w:rPr>
          <w:rFonts w:ascii="Times New Roman" w:hAnsi="Times New Roman" w:cs="Times New Roman"/>
          <w:noProof/>
          <w:color w:val="000000" w:themeColor="text1" w:themeTint="FF" w:themeShade="FF"/>
          <w:sz w:val="24"/>
          <w:szCs w:val="24"/>
        </w:rPr>
        <w:t>(Mariani and Borghi, 2021)</w:t>
      </w:r>
      <w:r w:rsidRPr="61F9FDCE">
        <w:rPr>
          <w:rFonts w:ascii="Times New Roman" w:hAnsi="Times New Roman" w:cs="Times New Roman"/>
          <w:color w:val="000000" w:themeColor="text1" w:themeTint="FF" w:themeShade="FF"/>
          <w:sz w:val="24"/>
          <w:szCs w:val="24"/>
        </w:rPr>
        <w:fldChar w:fldCharType="end"/>
      </w:r>
      <w:r w:rsidRPr="61F9FDCE" w:rsidR="00642414">
        <w:rPr>
          <w:rFonts w:ascii="Arial" w:hAnsi="Arial" w:eastAsia="Arial" w:cs="Arial"/>
          <w:color w:val="000000" w:themeColor="text1" w:themeTint="FF" w:themeShade="FF"/>
          <w:sz w:val="24"/>
          <w:szCs w:val="24"/>
        </w:rPr>
        <w:t>. However, today, food allergies and intolerances occupy a privileged place on restaurant tables around the world.</w:t>
      </w:r>
    </w:p>
    <w:p w:rsidRPr="00057534" w:rsidR="00057534" w:rsidP="61F9FDCE" w:rsidRDefault="00057534" w14:paraId="4C12B6BF" w14:textId="77777777" w14:noSpellErr="1">
      <w:pPr>
        <w:spacing w:after="0" w:line="480" w:lineRule="auto"/>
        <w:contextualSpacing/>
        <w:rPr>
          <w:rFonts w:ascii="Arial" w:hAnsi="Arial" w:eastAsia="Arial" w:cs="Arial"/>
          <w:color w:val="000000" w:themeColor="text1"/>
          <w:sz w:val="24"/>
          <w:szCs w:val="24"/>
        </w:rPr>
      </w:pPr>
      <w:r w:rsidRPr="61F9FDCE">
        <w:rPr>
          <w:rFonts w:ascii="Arial" w:hAnsi="Arial" w:eastAsia="Arial" w:cs="Arial"/>
          <w:color w:val="000000" w:themeColor="text1" w:themeTint="FF" w:themeShade="FF"/>
          <w:sz w:val="24"/>
          <w:szCs w:val="24"/>
        </w:rPr>
        <w:br w:type="page"/>
      </w:r>
    </w:p>
    <w:p w:rsidRPr="00057534" w:rsidR="00057534" w:rsidP="61F9FDCE" w:rsidRDefault="00057534" w14:paraId="766B441A" w14:textId="327ECCAB" w14:noSpellErr="1">
      <w:pPr>
        <w:spacing w:after="0" w:line="480" w:lineRule="auto"/>
        <w:contextualSpacing/>
        <w:jc w:val="center"/>
        <w:rPr>
          <w:rFonts w:ascii="Arial" w:hAnsi="Arial" w:eastAsia="Arial" w:cs="Arial"/>
          <w:color w:val="000000" w:themeColor="text1"/>
          <w:sz w:val="24"/>
          <w:szCs w:val="24"/>
        </w:rPr>
      </w:pPr>
      <w:r w:rsidRPr="61F9FDCE" w:rsidR="00057534">
        <w:rPr>
          <w:rFonts w:ascii="Arial" w:hAnsi="Arial" w:eastAsia="Arial" w:cs="Arial"/>
          <w:b w:val="1"/>
          <w:bCs w:val="1"/>
          <w:color w:val="000000" w:themeColor="text1" w:themeTint="FF" w:themeShade="FF"/>
          <w:sz w:val="24"/>
          <w:szCs w:val="24"/>
        </w:rPr>
        <w:t>References</w:t>
      </w:r>
    </w:p>
    <w:p w:rsidRPr="00057534" w:rsidR="00057534" w:rsidP="61F9FDCE" w:rsidRDefault="00057534" w14:paraId="2B0A815E" w14:textId="77777777" w14:noSpellErr="1">
      <w:pPr>
        <w:pStyle w:val="EndNoteBibliography"/>
        <w:spacing w:after="0" w:line="480" w:lineRule="auto"/>
        <w:ind w:left="720" w:hanging="720"/>
        <w:contextualSpacing/>
        <w:rPr>
          <w:rFonts w:ascii="Arial" w:hAnsi="Arial" w:eastAsia="Arial" w:cs="Arial"/>
          <w:color w:val="000000" w:themeColor="text1"/>
          <w:sz w:val="24"/>
          <w:szCs w:val="24"/>
        </w:rPr>
      </w:pPr>
      <w:r w:rsidRPr="61F9FDCE">
        <w:rPr>
          <w:rFonts w:ascii="Times New Roman" w:hAnsi="Times New Roman" w:cs="Times New Roman"/>
          <w:color w:val="000000" w:themeColor="text1" w:themeTint="FF" w:themeShade="FF"/>
          <w:sz w:val="24"/>
          <w:szCs w:val="24"/>
        </w:rPr>
        <w:fldChar w:fldCharType="begin"/>
      </w:r>
      <w:r w:rsidRPr="61F9FDCE">
        <w:rPr>
          <w:rFonts w:ascii="Times New Roman" w:hAnsi="Times New Roman" w:cs="Times New Roman"/>
          <w:color w:val="000000" w:themeColor="text1" w:themeTint="FF" w:themeShade="FF"/>
          <w:sz w:val="24"/>
          <w:szCs w:val="24"/>
        </w:rPr>
        <w:instrText xml:space="preserve"> ADDIN EN.REFLIST </w:instrText>
      </w:r>
      <w:r w:rsidRPr="61F9FDCE">
        <w:rPr>
          <w:rFonts w:ascii="Times New Roman" w:hAnsi="Times New Roman" w:cs="Times New Roman"/>
          <w:color w:val="000000" w:themeColor="text1" w:themeTint="FF" w:themeShade="FF"/>
          <w:sz w:val="24"/>
          <w:szCs w:val="24"/>
        </w:rPr>
        <w:fldChar w:fldCharType="separate"/>
      </w:r>
      <w:r w:rsidRPr="61F9FDCE" w:rsidR="00057534">
        <w:rPr>
          <w:rFonts w:ascii="Times New Roman" w:hAnsi="Times New Roman" w:cs="Times New Roman"/>
          <w:color w:val="000000" w:themeColor="text1" w:themeTint="FF" w:themeShade="FF"/>
          <w:sz w:val="24"/>
          <w:szCs w:val="24"/>
        </w:rPr>
        <w:t xml:space="preserve">ARIFFIN, A. A. M., MAGHZI, A., SOON, J. L. M. &amp; ALAM, S. S. 2018. Exploring the influence of hospitality on guest satisfaction in luxury hotel services. </w:t>
      </w:r>
      <w:r w:rsidRPr="61F9FDCE" w:rsidR="00057534">
        <w:rPr>
          <w:rFonts w:ascii="Times New Roman" w:hAnsi="Times New Roman" w:cs="Times New Roman"/>
          <w:i w:val="1"/>
          <w:iCs w:val="1"/>
          <w:color w:val="000000" w:themeColor="text1" w:themeTint="FF" w:themeShade="FF"/>
          <w:sz w:val="24"/>
          <w:szCs w:val="24"/>
        </w:rPr>
        <w:t>E-review of Tourism Research,</w:t>
      </w:r>
      <w:r w:rsidRPr="61F9FDCE" w:rsidR="00057534">
        <w:rPr>
          <w:rFonts w:ascii="Times New Roman" w:hAnsi="Times New Roman" w:cs="Times New Roman"/>
          <w:color w:val="000000" w:themeColor="text1" w:themeTint="FF" w:themeShade="FF"/>
          <w:sz w:val="24"/>
          <w:szCs w:val="24"/>
        </w:rPr>
        <w:t xml:space="preserve"> 15.</w:t>
      </w:r>
    </w:p>
    <w:p w:rsidRPr="00057534" w:rsidR="00057534" w:rsidP="61F9FDCE" w:rsidRDefault="00057534" w14:paraId="5F64BCF2" w14:textId="77777777" w14:noSpellErr="1">
      <w:pPr>
        <w:pStyle w:val="EndNoteBibliography"/>
        <w:spacing w:after="0" w:line="480" w:lineRule="auto"/>
        <w:ind w:left="720" w:hanging="720"/>
        <w:contextualSpacing/>
        <w:rPr>
          <w:rFonts w:ascii="Arial" w:hAnsi="Arial" w:eastAsia="Arial" w:cs="Arial"/>
          <w:color w:val="000000" w:themeColor="text1"/>
          <w:sz w:val="24"/>
          <w:szCs w:val="24"/>
        </w:rPr>
      </w:pPr>
      <w:r w:rsidRPr="61F9FDCE" w:rsidR="00057534">
        <w:rPr>
          <w:rFonts w:ascii="Times New Roman" w:hAnsi="Times New Roman" w:cs="Times New Roman"/>
          <w:color w:val="000000" w:themeColor="text1" w:themeTint="FF" w:themeShade="FF"/>
          <w:sz w:val="24"/>
          <w:szCs w:val="24"/>
        </w:rPr>
        <w:t xml:space="preserve">BUHALIS, D., HARWOOD, T., BOGICEVIC, V., VIGLIA, G., BELDONA, S. &amp; HOFACKER, C. 2019. Technological disruptions in services: lessons from tourism and hospitality. </w:t>
      </w:r>
      <w:r w:rsidRPr="61F9FDCE" w:rsidR="00057534">
        <w:rPr>
          <w:rFonts w:ascii="Times New Roman" w:hAnsi="Times New Roman" w:cs="Times New Roman"/>
          <w:i w:val="1"/>
          <w:iCs w:val="1"/>
          <w:color w:val="000000" w:themeColor="text1" w:themeTint="FF" w:themeShade="FF"/>
          <w:sz w:val="24"/>
          <w:szCs w:val="24"/>
        </w:rPr>
        <w:t>Journal of Service Management</w:t>
      </w:r>
      <w:r w:rsidRPr="61F9FDCE" w:rsidR="00057534">
        <w:rPr>
          <w:rFonts w:ascii="Times New Roman" w:hAnsi="Times New Roman" w:cs="Times New Roman"/>
          <w:color w:val="000000" w:themeColor="text1" w:themeTint="FF" w:themeShade="FF"/>
          <w:sz w:val="24"/>
          <w:szCs w:val="24"/>
        </w:rPr>
        <w:t>.</w:t>
      </w:r>
    </w:p>
    <w:p w:rsidRPr="00057534" w:rsidR="00057534" w:rsidP="61F9FDCE" w:rsidRDefault="00057534" w14:paraId="527A938D" w14:textId="77777777" w14:noSpellErr="1">
      <w:pPr>
        <w:pStyle w:val="EndNoteBibliography"/>
        <w:spacing w:after="0" w:line="480" w:lineRule="auto"/>
        <w:ind w:left="720" w:hanging="720"/>
        <w:contextualSpacing/>
        <w:rPr>
          <w:rFonts w:ascii="Arial" w:hAnsi="Arial" w:eastAsia="Arial" w:cs="Arial"/>
          <w:color w:val="000000" w:themeColor="text1"/>
          <w:sz w:val="24"/>
          <w:szCs w:val="24"/>
        </w:rPr>
      </w:pPr>
      <w:r w:rsidRPr="61F9FDCE" w:rsidR="00057534">
        <w:rPr>
          <w:rFonts w:ascii="Times New Roman" w:hAnsi="Times New Roman" w:cs="Times New Roman"/>
          <w:color w:val="000000" w:themeColor="text1" w:themeTint="FF" w:themeShade="FF"/>
          <w:sz w:val="24"/>
          <w:szCs w:val="24"/>
        </w:rPr>
        <w:t xml:space="preserve">DOGRU, T., MODY, M. &amp; LEONARDI, C. 2018. Blockchain technology &amp; its implications for the Hospitality Industry. </w:t>
      </w:r>
      <w:r w:rsidRPr="61F9FDCE" w:rsidR="00057534">
        <w:rPr>
          <w:rFonts w:ascii="Times New Roman" w:hAnsi="Times New Roman" w:cs="Times New Roman"/>
          <w:i w:val="1"/>
          <w:iCs w:val="1"/>
          <w:color w:val="000000" w:themeColor="text1" w:themeTint="FF" w:themeShade="FF"/>
          <w:sz w:val="24"/>
          <w:szCs w:val="24"/>
        </w:rPr>
        <w:t>Boston University</w:t>
      </w:r>
      <w:r w:rsidRPr="61F9FDCE" w:rsidR="00057534">
        <w:rPr>
          <w:rFonts w:ascii="Times New Roman" w:hAnsi="Times New Roman" w:cs="Times New Roman"/>
          <w:color w:val="000000" w:themeColor="text1" w:themeTint="FF" w:themeShade="FF"/>
          <w:sz w:val="24"/>
          <w:szCs w:val="24"/>
        </w:rPr>
        <w:t>.</w:t>
      </w:r>
    </w:p>
    <w:p w:rsidRPr="00057534" w:rsidR="00057534" w:rsidP="61F9FDCE" w:rsidRDefault="00057534" w14:paraId="723C7126" w14:textId="77777777" w14:noSpellErr="1">
      <w:pPr>
        <w:pStyle w:val="EndNoteBibliography"/>
        <w:spacing w:after="0" w:line="480" w:lineRule="auto"/>
        <w:ind w:left="720" w:hanging="720"/>
        <w:contextualSpacing/>
        <w:rPr>
          <w:rFonts w:ascii="Arial" w:hAnsi="Arial" w:eastAsia="Arial" w:cs="Arial"/>
          <w:color w:val="000000" w:themeColor="text1"/>
          <w:sz w:val="24"/>
          <w:szCs w:val="24"/>
        </w:rPr>
      </w:pPr>
      <w:r w:rsidRPr="61F9FDCE" w:rsidR="00057534">
        <w:rPr>
          <w:rFonts w:ascii="Times New Roman" w:hAnsi="Times New Roman" w:cs="Times New Roman"/>
          <w:color w:val="000000" w:themeColor="text1" w:themeTint="FF" w:themeShade="FF"/>
          <w:sz w:val="24"/>
          <w:szCs w:val="24"/>
        </w:rPr>
        <w:t xml:space="preserve">KANSAKAR, P., MUNIR, A. &amp; SHABANI, N. 2019. Technology in the hospitality industry: Prospects and challenges. </w:t>
      </w:r>
      <w:r w:rsidRPr="61F9FDCE" w:rsidR="00057534">
        <w:rPr>
          <w:rFonts w:ascii="Times New Roman" w:hAnsi="Times New Roman" w:cs="Times New Roman"/>
          <w:i w:val="1"/>
          <w:iCs w:val="1"/>
          <w:color w:val="000000" w:themeColor="text1" w:themeTint="FF" w:themeShade="FF"/>
          <w:sz w:val="24"/>
          <w:szCs w:val="24"/>
        </w:rPr>
        <w:t>IEEE Consumer Electronics Magazine,</w:t>
      </w:r>
      <w:r w:rsidRPr="61F9FDCE" w:rsidR="00057534">
        <w:rPr>
          <w:rFonts w:ascii="Times New Roman" w:hAnsi="Times New Roman" w:cs="Times New Roman"/>
          <w:color w:val="000000" w:themeColor="text1" w:themeTint="FF" w:themeShade="FF"/>
          <w:sz w:val="24"/>
          <w:szCs w:val="24"/>
        </w:rPr>
        <w:t xml:space="preserve"> 8</w:t>
      </w:r>
      <w:r w:rsidRPr="61F9FDCE" w:rsidR="00057534">
        <w:rPr>
          <w:rFonts w:ascii="Times New Roman" w:hAnsi="Times New Roman" w:cs="Times New Roman"/>
          <w:b w:val="1"/>
          <w:bCs w:val="1"/>
          <w:color w:val="000000" w:themeColor="text1" w:themeTint="FF" w:themeShade="FF"/>
          <w:sz w:val="24"/>
          <w:szCs w:val="24"/>
        </w:rPr>
        <w:t>,</w:t>
      </w:r>
      <w:r w:rsidRPr="61F9FDCE" w:rsidR="00057534">
        <w:rPr>
          <w:rFonts w:ascii="Times New Roman" w:hAnsi="Times New Roman" w:cs="Times New Roman"/>
          <w:color w:val="000000" w:themeColor="text1" w:themeTint="FF" w:themeShade="FF"/>
          <w:sz w:val="24"/>
          <w:szCs w:val="24"/>
        </w:rPr>
        <w:t xml:space="preserve"> 60-65.</w:t>
      </w:r>
    </w:p>
    <w:p w:rsidRPr="00057534" w:rsidR="00057534" w:rsidP="61F9FDCE" w:rsidRDefault="00057534" w14:paraId="1F98FFE2" w14:textId="77777777" w14:noSpellErr="1">
      <w:pPr>
        <w:pStyle w:val="EndNoteBibliography"/>
        <w:spacing w:after="0" w:line="480" w:lineRule="auto"/>
        <w:ind w:left="720" w:hanging="720"/>
        <w:contextualSpacing/>
        <w:rPr>
          <w:rFonts w:ascii="Arial" w:hAnsi="Arial" w:eastAsia="Arial" w:cs="Arial"/>
          <w:color w:val="000000" w:themeColor="text1"/>
          <w:sz w:val="24"/>
          <w:szCs w:val="24"/>
        </w:rPr>
      </w:pPr>
      <w:r w:rsidRPr="61F9FDCE" w:rsidR="00057534">
        <w:rPr>
          <w:rFonts w:ascii="Times New Roman" w:hAnsi="Times New Roman" w:cs="Times New Roman"/>
          <w:color w:val="000000" w:themeColor="text1" w:themeTint="FF" w:themeShade="FF"/>
          <w:sz w:val="24"/>
          <w:szCs w:val="24"/>
        </w:rPr>
        <w:t xml:space="preserve">MARIANI, M. &amp; BORGHI, M. 2021. Customers’ evaluation of mechanical artificial intelligence in hospitality services: a study using online reviews analytics. </w:t>
      </w:r>
      <w:r w:rsidRPr="61F9FDCE" w:rsidR="00057534">
        <w:rPr>
          <w:rFonts w:ascii="Times New Roman" w:hAnsi="Times New Roman" w:cs="Times New Roman"/>
          <w:i w:val="1"/>
          <w:iCs w:val="1"/>
          <w:color w:val="000000" w:themeColor="text1" w:themeTint="FF" w:themeShade="FF"/>
          <w:sz w:val="24"/>
          <w:szCs w:val="24"/>
        </w:rPr>
        <w:t>International Journal of Contemporary Hospitality Management</w:t>
      </w:r>
      <w:r w:rsidRPr="61F9FDCE" w:rsidR="00057534">
        <w:rPr>
          <w:rFonts w:ascii="Times New Roman" w:hAnsi="Times New Roman" w:cs="Times New Roman"/>
          <w:color w:val="000000" w:themeColor="text1" w:themeTint="FF" w:themeShade="FF"/>
          <w:sz w:val="24"/>
          <w:szCs w:val="24"/>
        </w:rPr>
        <w:t>.</w:t>
      </w:r>
    </w:p>
    <w:p w:rsidRPr="00057534" w:rsidR="00642414" w:rsidP="00057534" w:rsidRDefault="00057534" w14:paraId="45C1A1D7" w14:textId="57E8F8AE">
      <w:pPr>
        <w:spacing w:after="0" w:line="480" w:lineRule="auto"/>
        <w:ind w:firstLine="567"/>
        <w:contextualSpacing/>
        <w:rPr>
          <w:rFonts w:ascii="Times New Roman" w:hAnsi="Times New Roman" w:cs="Times New Roman"/>
          <w:color w:val="000000" w:themeColor="text1"/>
          <w:sz w:val="24"/>
          <w:szCs w:val="24"/>
        </w:rPr>
      </w:pPr>
      <w:r w:rsidRPr="00057534">
        <w:rPr>
          <w:rFonts w:ascii="Times New Roman" w:hAnsi="Times New Roman" w:cs="Times New Roman"/>
          <w:color w:val="000000" w:themeColor="text1"/>
          <w:sz w:val="24"/>
          <w:szCs w:val="24"/>
        </w:rPr>
        <w:fldChar w:fldCharType="end"/>
      </w:r>
    </w:p>
    <w:sectPr w:rsidRPr="00057534" w:rsidR="0064241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0327EE"/>
    <w:multiLevelType w:val="hybridMultilevel"/>
    <w:tmpl w:val="2F32E18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0&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0vet9t9k0aa5kersx5xa0x4tx5srsvsrzpx&quot;&gt;My EndNote Library&lt;record-ids&gt;&lt;item&gt;2834&lt;/item&gt;&lt;item&gt;2835&lt;/item&gt;&lt;item&gt;2838&lt;/item&gt;&lt;item&gt;2840&lt;/item&gt;&lt;item&gt;2842&lt;/item&gt;&lt;/record-ids&gt;&lt;/item&gt;&lt;/Libraries&gt;"/>
  </w:docVars>
  <w:rsids>
    <w:rsidRoot w:val="00B50637"/>
    <w:rsid w:val="00057534"/>
    <w:rsid w:val="000C38E0"/>
    <w:rsid w:val="00455BB7"/>
    <w:rsid w:val="006404FC"/>
    <w:rsid w:val="00642414"/>
    <w:rsid w:val="00820FBA"/>
    <w:rsid w:val="008D1944"/>
    <w:rsid w:val="008E5602"/>
    <w:rsid w:val="00A64892"/>
    <w:rsid w:val="00A75501"/>
    <w:rsid w:val="00B50637"/>
    <w:rsid w:val="00BB4E2D"/>
    <w:rsid w:val="04A49DE0"/>
    <w:rsid w:val="0614E8BB"/>
    <w:rsid w:val="1F3C3E86"/>
    <w:rsid w:val="2FDF4223"/>
    <w:rsid w:val="3B6FAF8D"/>
    <w:rsid w:val="49F1F07C"/>
    <w:rsid w:val="4C613836"/>
    <w:rsid w:val="504809A3"/>
    <w:rsid w:val="51E4A44D"/>
    <w:rsid w:val="5BD4964A"/>
    <w:rsid w:val="61F9FDCE"/>
    <w:rsid w:val="66D55C77"/>
    <w:rsid w:val="68712CD8"/>
    <w:rsid w:val="6E307368"/>
    <w:rsid w:val="6EE06E5C"/>
    <w:rsid w:val="71B055F9"/>
    <w:rsid w:val="72180F1E"/>
    <w:rsid w:val="73B3D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58A6F"/>
  <w15:chartTrackingRefBased/>
  <w15:docId w15:val="{4544008F-14BF-4241-8D0C-8B375A561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404FC"/>
    <w:pPr>
      <w:ind w:left="720"/>
      <w:contextualSpacing/>
    </w:pPr>
  </w:style>
  <w:style w:type="paragraph" w:styleId="EndNoteBibliographyTitle" w:customStyle="1">
    <w:name w:val="EndNote Bibliography Title"/>
    <w:basedOn w:val="Normal"/>
    <w:link w:val="EndNoteBibliographyTitleChar"/>
    <w:rsid w:val="00057534"/>
    <w:pPr>
      <w:spacing w:after="0"/>
      <w:jc w:val="center"/>
    </w:pPr>
    <w:rPr>
      <w:rFonts w:ascii="Calibri" w:hAnsi="Calibri" w:cs="Calibri"/>
      <w:noProof/>
      <w:lang w:val="en-US"/>
    </w:rPr>
  </w:style>
  <w:style w:type="character" w:styleId="EndNoteBibliographyTitleChar" w:customStyle="1">
    <w:name w:val="EndNote Bibliography Title Char"/>
    <w:basedOn w:val="DefaultParagraphFont"/>
    <w:link w:val="EndNoteBibliographyTitle"/>
    <w:rsid w:val="00057534"/>
    <w:rPr>
      <w:rFonts w:ascii="Calibri" w:hAnsi="Calibri" w:cs="Calibri"/>
      <w:noProof/>
      <w:lang w:val="en-US"/>
    </w:rPr>
  </w:style>
  <w:style w:type="paragraph" w:styleId="EndNoteBibliography" w:customStyle="1">
    <w:name w:val="EndNote Bibliography"/>
    <w:basedOn w:val="Normal"/>
    <w:link w:val="EndNoteBibliographyChar"/>
    <w:rsid w:val="00057534"/>
    <w:pPr>
      <w:spacing w:line="240" w:lineRule="auto"/>
    </w:pPr>
    <w:rPr>
      <w:rFonts w:ascii="Calibri" w:hAnsi="Calibri" w:cs="Calibri"/>
      <w:noProof/>
      <w:lang w:val="en-US"/>
    </w:rPr>
  </w:style>
  <w:style w:type="character" w:styleId="EndNoteBibliographyChar" w:customStyle="1">
    <w:name w:val="EndNote Bibliography Char"/>
    <w:basedOn w:val="DefaultParagraphFont"/>
    <w:link w:val="EndNoteBibliography"/>
    <w:rsid w:val="00057534"/>
    <w:rPr>
      <w:rFonts w:ascii="Calibri" w:hAnsi="Calibri" w:cs="Calibri"/>
      <w:noProo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HaamimRashid</dc:creator>
  <keywords/>
  <dc:description/>
  <lastModifiedBy>Ana Sofia Lopes Andrade (2026882)</lastModifiedBy>
  <revision>3</revision>
  <dcterms:created xsi:type="dcterms:W3CDTF">2022-02-03T05:42:00.0000000Z</dcterms:created>
  <dcterms:modified xsi:type="dcterms:W3CDTF">2022-02-06T17:55:28.4477461Z</dcterms:modified>
</coreProperties>
</file>