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5D26ED1" w14:textId="77777777" w:rsidR="00A93100" w:rsidRPr="00AC2E99" w:rsidRDefault="00A93100" w:rsidP="00A93100">
      <w:pPr>
        <w:jc w:val="center"/>
        <w:rPr>
          <w:rFonts w:cs="Arial"/>
        </w:rPr>
      </w:pPr>
      <w:bookmarkStart w:id="0" w:name="_8tpz4572fxzs" w:colFirst="0" w:colLast="0"/>
      <w:bookmarkEnd w:id="0"/>
      <w:r w:rsidRPr="00AC2E99">
        <w:rPr>
          <w:rFonts w:cs="Arial"/>
          <w:noProof/>
        </w:rPr>
        <w:drawing>
          <wp:inline distT="0" distB="0" distL="0" distR="0" wp14:anchorId="589510E4" wp14:editId="5D75100F">
            <wp:extent cx="1962785" cy="808668"/>
            <wp:effectExtent l="0" t="0" r="0" b="0"/>
            <wp:docPr id="1078405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05445" name=""/>
                    <pic:cNvPicPr/>
                  </pic:nvPicPr>
                  <pic:blipFill>
                    <a:blip r:embed="rId8"/>
                    <a:stretch>
                      <a:fillRect/>
                    </a:stretch>
                  </pic:blipFill>
                  <pic:spPr>
                    <a:xfrm>
                      <a:off x="0" y="0"/>
                      <a:ext cx="1969601" cy="811476"/>
                    </a:xfrm>
                    <a:prstGeom prst="rect">
                      <a:avLst/>
                    </a:prstGeom>
                  </pic:spPr>
                </pic:pic>
              </a:graphicData>
            </a:graphic>
          </wp:inline>
        </w:drawing>
      </w:r>
    </w:p>
    <w:p w14:paraId="7C9F81E1" w14:textId="55CDDFC3" w:rsidR="00A93100" w:rsidRPr="008C7C5A" w:rsidRDefault="00A93100" w:rsidP="00A93100">
      <w:pPr>
        <w:jc w:val="center"/>
        <w:rPr>
          <w:rFonts w:cs="Arial"/>
          <w:b/>
          <w:bCs/>
          <w:sz w:val="28"/>
          <w:szCs w:val="28"/>
        </w:rPr>
      </w:pPr>
      <w:r w:rsidRPr="008C7C5A">
        <w:rPr>
          <w:rFonts w:cs="Arial"/>
          <w:b/>
          <w:bCs/>
          <w:sz w:val="28"/>
          <w:szCs w:val="28"/>
        </w:rPr>
        <w:t>Module Name: Strategic Management</w:t>
      </w:r>
    </w:p>
    <w:p w14:paraId="0EF95F0A" w14:textId="77777777" w:rsidR="00A93100" w:rsidRPr="008C7C5A" w:rsidRDefault="00A93100" w:rsidP="00A93100">
      <w:pPr>
        <w:jc w:val="center"/>
        <w:rPr>
          <w:rFonts w:cs="Arial"/>
          <w:b/>
          <w:bCs/>
          <w:sz w:val="28"/>
          <w:szCs w:val="28"/>
        </w:rPr>
      </w:pPr>
      <w:r w:rsidRPr="008C7C5A">
        <w:rPr>
          <w:rFonts w:cs="Arial"/>
          <w:b/>
          <w:bCs/>
          <w:sz w:val="28"/>
          <w:szCs w:val="28"/>
        </w:rPr>
        <w:t>Module Code: LCMB7003</w:t>
      </w:r>
    </w:p>
    <w:p w14:paraId="32BC1B67" w14:textId="77777777" w:rsidR="00FB1A16" w:rsidRPr="00FB1A16" w:rsidRDefault="00FB1A16" w:rsidP="00A93100">
      <w:pPr>
        <w:jc w:val="center"/>
        <w:rPr>
          <w:rFonts w:cs="Arial"/>
          <w:b/>
          <w:bCs/>
          <w:sz w:val="32"/>
          <w:szCs w:val="32"/>
        </w:rPr>
      </w:pPr>
    </w:p>
    <w:p w14:paraId="0E2A9384" w14:textId="7483B051" w:rsidR="00FB1A16" w:rsidRPr="008C7C5A" w:rsidRDefault="00A93100" w:rsidP="00FB1A16">
      <w:pPr>
        <w:jc w:val="center"/>
        <w:rPr>
          <w:rFonts w:cs="Arial"/>
          <w:b/>
          <w:bCs/>
          <w:i/>
          <w:iCs/>
          <w:sz w:val="32"/>
          <w:szCs w:val="32"/>
        </w:rPr>
      </w:pPr>
      <w:r w:rsidRPr="008C7C5A">
        <w:rPr>
          <w:rFonts w:cs="Arial"/>
          <w:b/>
          <w:bCs/>
          <w:i/>
          <w:iCs/>
          <w:sz w:val="32"/>
          <w:szCs w:val="32"/>
        </w:rPr>
        <w:t>Assignment Title: Assessment component - Individual report on Greggs Plc UK</w:t>
      </w:r>
    </w:p>
    <w:p w14:paraId="2E124261" w14:textId="6C50FE8D" w:rsidR="008C7C5A" w:rsidRPr="008C7C5A" w:rsidRDefault="008C7C5A" w:rsidP="00FB1A16">
      <w:pPr>
        <w:jc w:val="center"/>
        <w:rPr>
          <w:rFonts w:cs="Arial"/>
          <w:b/>
          <w:bCs/>
          <w:i/>
          <w:iCs/>
          <w:sz w:val="28"/>
          <w:szCs w:val="28"/>
        </w:rPr>
      </w:pPr>
      <w:r w:rsidRPr="008C7C5A">
        <w:rPr>
          <w:rFonts w:cs="Arial"/>
          <w:b/>
          <w:bCs/>
          <w:i/>
          <w:iCs/>
          <w:sz w:val="28"/>
          <w:szCs w:val="28"/>
        </w:rPr>
        <w:t>Focused Market</w:t>
      </w:r>
      <w:r>
        <w:rPr>
          <w:rFonts w:cs="Arial"/>
          <w:b/>
          <w:bCs/>
          <w:i/>
          <w:iCs/>
          <w:sz w:val="28"/>
          <w:szCs w:val="28"/>
        </w:rPr>
        <w:t>/</w:t>
      </w:r>
      <w:r w:rsidRPr="008C7C5A">
        <w:rPr>
          <w:rFonts w:cs="Arial"/>
          <w:b/>
          <w:bCs/>
          <w:i/>
          <w:iCs/>
          <w:sz w:val="28"/>
          <w:szCs w:val="28"/>
        </w:rPr>
        <w:t>Geographical Location: UK food-on-the-go market</w:t>
      </w:r>
    </w:p>
    <w:p w14:paraId="333C6A21" w14:textId="7A425570" w:rsidR="00FB1A16" w:rsidRDefault="00FB1A16" w:rsidP="008C7C5A">
      <w:pPr>
        <w:jc w:val="center"/>
        <w:rPr>
          <w:rFonts w:cs="Arial"/>
          <w:b/>
          <w:bCs/>
          <w:sz w:val="32"/>
          <w:szCs w:val="32"/>
        </w:rPr>
      </w:pPr>
      <w:r w:rsidRPr="00AC2E99">
        <w:rPr>
          <w:rFonts w:cs="Arial"/>
          <w:noProof/>
        </w:rPr>
        <w:drawing>
          <wp:inline distT="0" distB="0" distL="0" distR="0" wp14:anchorId="3FB01F80" wp14:editId="7D5DA2B3">
            <wp:extent cx="3143250" cy="898529"/>
            <wp:effectExtent l="0" t="0" r="0" b="0"/>
            <wp:docPr id="150162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749" b="15843"/>
                    <a:stretch>
                      <a:fillRect/>
                    </a:stretch>
                  </pic:blipFill>
                  <pic:spPr bwMode="auto">
                    <a:xfrm>
                      <a:off x="0" y="0"/>
                      <a:ext cx="3170281" cy="906256"/>
                    </a:xfrm>
                    <a:prstGeom prst="rect">
                      <a:avLst/>
                    </a:prstGeom>
                    <a:noFill/>
                    <a:ln>
                      <a:noFill/>
                    </a:ln>
                    <a:extLst>
                      <a:ext uri="{53640926-AAD7-44D8-BBD7-CCE9431645EC}">
                        <a14:shadowObscured xmlns:a14="http://schemas.microsoft.com/office/drawing/2010/main"/>
                      </a:ext>
                    </a:extLst>
                  </pic:spPr>
                </pic:pic>
              </a:graphicData>
            </a:graphic>
          </wp:inline>
        </w:drawing>
      </w:r>
    </w:p>
    <w:p w14:paraId="43A5D4A4" w14:textId="77777777" w:rsidR="008C7C5A" w:rsidRPr="008C7C5A" w:rsidRDefault="008C7C5A" w:rsidP="008C7C5A">
      <w:pPr>
        <w:jc w:val="center"/>
        <w:rPr>
          <w:rFonts w:cs="Arial"/>
          <w:b/>
          <w:bCs/>
          <w:sz w:val="28"/>
          <w:szCs w:val="28"/>
        </w:rPr>
      </w:pPr>
    </w:p>
    <w:p w14:paraId="7D432908" w14:textId="050E755F" w:rsidR="00FB1A16" w:rsidRPr="008C7C5A" w:rsidRDefault="00FB1A16" w:rsidP="00A93100">
      <w:pPr>
        <w:jc w:val="center"/>
        <w:rPr>
          <w:rFonts w:cs="Arial"/>
          <w:b/>
          <w:bCs/>
        </w:rPr>
      </w:pPr>
      <w:r w:rsidRPr="008C7C5A">
        <w:rPr>
          <w:rFonts w:cs="Arial"/>
          <w:b/>
          <w:bCs/>
        </w:rPr>
        <w:t>Student Name:</w:t>
      </w:r>
      <w:r w:rsidR="00711CB3">
        <w:rPr>
          <w:rFonts w:cs="Arial"/>
          <w:b/>
          <w:bCs/>
        </w:rPr>
        <w:t xml:space="preserve"> Patel Shubham Rakesh </w:t>
      </w:r>
    </w:p>
    <w:p w14:paraId="461570B1" w14:textId="38620C9E" w:rsidR="00FB1A16" w:rsidRPr="008C7C5A" w:rsidRDefault="00FB1A16" w:rsidP="00A93100">
      <w:pPr>
        <w:jc w:val="center"/>
        <w:rPr>
          <w:rFonts w:cs="Arial"/>
          <w:b/>
          <w:bCs/>
        </w:rPr>
      </w:pPr>
      <w:r w:rsidRPr="008C7C5A">
        <w:rPr>
          <w:rFonts w:cs="Arial"/>
          <w:b/>
          <w:bCs/>
        </w:rPr>
        <w:t xml:space="preserve">Student ID: </w:t>
      </w:r>
      <w:r w:rsidR="0079208E">
        <w:rPr>
          <w:rFonts w:cs="Arial"/>
          <w:b/>
          <w:bCs/>
        </w:rPr>
        <w:t>2531460</w:t>
      </w:r>
    </w:p>
    <w:p w14:paraId="27509692" w14:textId="77777777" w:rsidR="00FB1A16" w:rsidRPr="008C7C5A" w:rsidRDefault="00FB1A16" w:rsidP="00A93100">
      <w:pPr>
        <w:jc w:val="center"/>
        <w:rPr>
          <w:rFonts w:cs="Arial"/>
          <w:b/>
          <w:bCs/>
          <w:sz w:val="28"/>
          <w:szCs w:val="28"/>
        </w:rPr>
      </w:pPr>
    </w:p>
    <w:p w14:paraId="215FA22D" w14:textId="02F3A653" w:rsidR="00A93100" w:rsidRPr="008C7C5A" w:rsidRDefault="00A93100" w:rsidP="00A93100">
      <w:pPr>
        <w:jc w:val="center"/>
        <w:rPr>
          <w:rFonts w:cs="Arial"/>
          <w:b/>
          <w:bCs/>
          <w:sz w:val="28"/>
          <w:szCs w:val="28"/>
        </w:rPr>
      </w:pPr>
      <w:r w:rsidRPr="008C7C5A">
        <w:rPr>
          <w:rFonts w:cs="Arial"/>
          <w:b/>
          <w:bCs/>
          <w:sz w:val="28"/>
          <w:szCs w:val="28"/>
        </w:rPr>
        <w:t>Words</w:t>
      </w:r>
      <w:r w:rsidR="00FB1A16" w:rsidRPr="008C7C5A">
        <w:rPr>
          <w:rFonts w:cs="Arial"/>
          <w:b/>
          <w:bCs/>
          <w:sz w:val="28"/>
          <w:szCs w:val="28"/>
        </w:rPr>
        <w:t xml:space="preserve">: </w:t>
      </w:r>
      <w:r w:rsidR="005C653B" w:rsidRPr="008C7C5A">
        <w:rPr>
          <w:rFonts w:cs="Arial"/>
          <w:b/>
          <w:bCs/>
          <w:sz w:val="28"/>
          <w:szCs w:val="28"/>
        </w:rPr>
        <w:t>5</w:t>
      </w:r>
      <w:r w:rsidR="006A7D4D" w:rsidRPr="008C7C5A">
        <w:rPr>
          <w:rFonts w:cs="Arial"/>
          <w:b/>
          <w:bCs/>
          <w:sz w:val="28"/>
          <w:szCs w:val="28"/>
        </w:rPr>
        <w:t>2</w:t>
      </w:r>
      <w:r w:rsidR="008C7C5A" w:rsidRPr="008C7C5A">
        <w:rPr>
          <w:rFonts w:cs="Arial"/>
          <w:b/>
          <w:bCs/>
          <w:sz w:val="28"/>
          <w:szCs w:val="28"/>
        </w:rPr>
        <w:t>84</w:t>
      </w:r>
    </w:p>
    <w:p w14:paraId="0148289A" w14:textId="77777777" w:rsidR="00A93100" w:rsidRPr="00AC2E99" w:rsidRDefault="00A93100" w:rsidP="00A93100">
      <w:pPr>
        <w:jc w:val="center"/>
        <w:rPr>
          <w:rFonts w:cs="Arial"/>
        </w:rPr>
      </w:pPr>
    </w:p>
    <w:p w14:paraId="7DB0BAAF" w14:textId="2F77BA34" w:rsidR="00C10F75" w:rsidRPr="00AC2E99" w:rsidRDefault="00C10F75" w:rsidP="00FB1A16">
      <w:pPr>
        <w:spacing w:before="200" w:after="0"/>
        <w:jc w:val="right"/>
        <w:rPr>
          <w:rFonts w:cs="Arial"/>
        </w:rPr>
      </w:pPr>
    </w:p>
    <w:p w14:paraId="595F1CEF" w14:textId="324469A3" w:rsidR="00A93100" w:rsidRPr="00AC2E99" w:rsidRDefault="00C10F75" w:rsidP="00A93100">
      <w:pPr>
        <w:jc w:val="center"/>
        <w:rPr>
          <w:rFonts w:cs="Arial"/>
          <w:b/>
          <w:bCs/>
          <w:sz w:val="32"/>
          <w:szCs w:val="32"/>
        </w:rPr>
      </w:pPr>
      <w:r w:rsidRPr="00AC2E99">
        <w:rPr>
          <w:rFonts w:cs="Arial"/>
          <w:b/>
          <w:bCs/>
          <w:sz w:val="32"/>
          <w:szCs w:val="32"/>
        </w:rPr>
        <w:t xml:space="preserve">AI Declaration </w:t>
      </w:r>
    </w:p>
    <w:p w14:paraId="322D5662" w14:textId="198AC04E" w:rsidR="00A02621" w:rsidRPr="00AC2E99" w:rsidRDefault="00A02621">
      <w:pPr>
        <w:rPr>
          <w:rFonts w:cs="Arial"/>
        </w:rPr>
      </w:pPr>
      <w:r w:rsidRPr="00AC2E99">
        <w:rPr>
          <w:rFonts w:cs="Arial"/>
        </w:rPr>
        <w:t xml:space="preserve">The </w:t>
      </w:r>
      <w:r w:rsidR="00FB1A16">
        <w:rPr>
          <w:rFonts w:cs="Arial"/>
        </w:rPr>
        <w:t xml:space="preserve">current report on Greggs Plc </w:t>
      </w:r>
      <w:r w:rsidRPr="00AC2E99">
        <w:rPr>
          <w:rFonts w:cs="Arial"/>
        </w:rPr>
        <w:t>is completely original without using any AI tool</w:t>
      </w:r>
      <w:r w:rsidR="00FB1A16">
        <w:rPr>
          <w:rFonts w:cs="Arial"/>
        </w:rPr>
        <w:t xml:space="preserve"> or Generative AI like ChatGPT</w:t>
      </w:r>
      <w:r w:rsidRPr="00AC2E99">
        <w:rPr>
          <w:rFonts w:cs="Arial"/>
        </w:rPr>
        <w:t>.</w:t>
      </w:r>
      <w:r w:rsidR="00FB1A16">
        <w:rPr>
          <w:rFonts w:cs="Arial"/>
        </w:rPr>
        <w:t xml:space="preserve"> </w:t>
      </w:r>
      <w:r w:rsidRPr="00AC2E99">
        <w:rPr>
          <w:rFonts w:cs="Arial"/>
        </w:rPr>
        <w:t xml:space="preserve">I have not used any AI tool for researching, creating content, proof-reading or any </w:t>
      </w:r>
      <w:r w:rsidR="00AC2E99" w:rsidRPr="00AC2E99">
        <w:rPr>
          <w:rFonts w:cs="Arial"/>
        </w:rPr>
        <w:t xml:space="preserve">other </w:t>
      </w:r>
      <w:r w:rsidRPr="00AC2E99">
        <w:rPr>
          <w:rFonts w:cs="Arial"/>
        </w:rPr>
        <w:t xml:space="preserve">purpose. </w:t>
      </w:r>
    </w:p>
    <w:p w14:paraId="4D3250EF" w14:textId="7B002F7F" w:rsidR="00A93100" w:rsidRPr="00AC2E99" w:rsidRDefault="00A02621" w:rsidP="00FB1A16">
      <w:pPr>
        <w:spacing w:before="200" w:after="0"/>
        <w:rPr>
          <w:rFonts w:cs="Arial"/>
        </w:rPr>
      </w:pPr>
      <w:r w:rsidRPr="00AC2E99">
        <w:rPr>
          <w:rFonts w:cs="Arial"/>
        </w:rPr>
        <w:br w:type="page"/>
      </w:r>
    </w:p>
    <w:sdt>
      <w:sdtPr>
        <w:rPr>
          <w:rFonts w:ascii="Arial" w:eastAsia="Times New Roman" w:hAnsi="Arial" w:cs="Arial"/>
          <w:color w:val="auto"/>
          <w:sz w:val="24"/>
          <w:szCs w:val="24"/>
          <w:lang w:val="en-GB"/>
        </w:rPr>
        <w:id w:val="-2025235380"/>
        <w:docPartObj>
          <w:docPartGallery w:val="Table of Contents"/>
          <w:docPartUnique/>
        </w:docPartObj>
      </w:sdtPr>
      <w:sdtEndPr>
        <w:rPr>
          <w:b/>
          <w:bCs/>
          <w:noProof/>
        </w:rPr>
      </w:sdtEndPr>
      <w:sdtContent>
        <w:p w14:paraId="1C6449CC" w14:textId="5028ADEC" w:rsidR="00A93100" w:rsidRPr="00AC2E99" w:rsidRDefault="00A93100" w:rsidP="00A93100">
          <w:pPr>
            <w:pStyle w:val="TOCHeading"/>
            <w:jc w:val="center"/>
            <w:rPr>
              <w:rFonts w:ascii="Arial" w:hAnsi="Arial" w:cs="Arial"/>
              <w:b/>
              <w:bCs/>
              <w:color w:val="auto"/>
            </w:rPr>
          </w:pPr>
          <w:r w:rsidRPr="00AC2E99">
            <w:rPr>
              <w:rFonts w:ascii="Arial" w:hAnsi="Arial" w:cs="Arial"/>
              <w:b/>
              <w:bCs/>
              <w:color w:val="auto"/>
            </w:rPr>
            <w:t>Table of Contents</w:t>
          </w:r>
        </w:p>
        <w:p w14:paraId="71B5B7EE" w14:textId="4A2AFF6C" w:rsidR="00B16BE1" w:rsidRPr="00FB1A16" w:rsidRDefault="00A93100" w:rsidP="00FB1A16">
          <w:pPr>
            <w:pStyle w:val="TOC1"/>
            <w:rPr>
              <w:rFonts w:eastAsiaTheme="minorEastAsia"/>
              <w:kern w:val="2"/>
              <w:lang w:eastAsia="en-GB"/>
              <w14:ligatures w14:val="standardContextual"/>
            </w:rPr>
          </w:pPr>
          <w:r w:rsidRPr="00AC2E99">
            <w:rPr>
              <w:noProof w:val="0"/>
            </w:rPr>
            <w:fldChar w:fldCharType="begin"/>
          </w:r>
          <w:r w:rsidRPr="00AC2E99">
            <w:instrText xml:space="preserve"> TOC \o "1-3" \h \z \u </w:instrText>
          </w:r>
          <w:r w:rsidRPr="00AC2E99">
            <w:rPr>
              <w:noProof w:val="0"/>
            </w:rPr>
            <w:fldChar w:fldCharType="separate"/>
          </w:r>
          <w:hyperlink w:anchor="_Toc237088536" w:history="1">
            <w:r w:rsidR="00B16BE1" w:rsidRPr="00FB1A16">
              <w:rPr>
                <w:rStyle w:val="Hyperlink"/>
              </w:rPr>
              <w:t>Section 1: Report</w:t>
            </w:r>
            <w:r w:rsidR="00B16BE1" w:rsidRPr="00FB1A16">
              <w:rPr>
                <w:webHidden/>
              </w:rPr>
              <w:tab/>
            </w:r>
            <w:r w:rsidR="00B16BE1" w:rsidRPr="00FB1A16">
              <w:rPr>
                <w:webHidden/>
              </w:rPr>
              <w:fldChar w:fldCharType="begin"/>
            </w:r>
            <w:r w:rsidR="00B16BE1" w:rsidRPr="00FB1A16">
              <w:rPr>
                <w:webHidden/>
              </w:rPr>
              <w:instrText xml:space="preserve"> PAGEREF _Toc237088536 \h </w:instrText>
            </w:r>
            <w:r w:rsidR="00B16BE1" w:rsidRPr="00FB1A16">
              <w:rPr>
                <w:webHidden/>
              </w:rPr>
            </w:r>
            <w:r w:rsidR="00B16BE1" w:rsidRPr="00FB1A16">
              <w:rPr>
                <w:webHidden/>
              </w:rPr>
              <w:fldChar w:fldCharType="separate"/>
            </w:r>
            <w:r w:rsidR="00B16BE1" w:rsidRPr="00FB1A16">
              <w:rPr>
                <w:webHidden/>
              </w:rPr>
              <w:t>3</w:t>
            </w:r>
            <w:r w:rsidR="00B16BE1" w:rsidRPr="00FB1A16">
              <w:rPr>
                <w:webHidden/>
              </w:rPr>
              <w:fldChar w:fldCharType="end"/>
            </w:r>
          </w:hyperlink>
        </w:p>
        <w:p w14:paraId="635E2B95" w14:textId="018C48D5" w:rsidR="00B16BE1" w:rsidRPr="00FB1A16" w:rsidRDefault="00B16BE1" w:rsidP="00FB1A16">
          <w:pPr>
            <w:pStyle w:val="TOC2"/>
            <w:rPr>
              <w:rFonts w:eastAsiaTheme="minorEastAsia"/>
              <w:kern w:val="2"/>
              <w:lang w:eastAsia="en-GB"/>
              <w14:ligatures w14:val="standardContextual"/>
            </w:rPr>
          </w:pPr>
          <w:hyperlink w:anchor="_Toc237088537" w:history="1">
            <w:r w:rsidRPr="00FB1A16">
              <w:rPr>
                <w:rStyle w:val="Hyperlink"/>
                <w:i/>
                <w:iCs/>
              </w:rPr>
              <w:t>1. Organisational Context and Overview</w:t>
            </w:r>
            <w:r w:rsidRPr="00FB1A16">
              <w:rPr>
                <w:webHidden/>
              </w:rPr>
              <w:tab/>
            </w:r>
            <w:r w:rsidRPr="00FB1A16">
              <w:rPr>
                <w:webHidden/>
              </w:rPr>
              <w:fldChar w:fldCharType="begin"/>
            </w:r>
            <w:r w:rsidRPr="00FB1A16">
              <w:rPr>
                <w:webHidden/>
              </w:rPr>
              <w:instrText xml:space="preserve"> PAGEREF _Toc237088537 \h </w:instrText>
            </w:r>
            <w:r w:rsidRPr="00FB1A16">
              <w:rPr>
                <w:webHidden/>
              </w:rPr>
            </w:r>
            <w:r w:rsidRPr="00FB1A16">
              <w:rPr>
                <w:webHidden/>
              </w:rPr>
              <w:fldChar w:fldCharType="separate"/>
            </w:r>
            <w:r w:rsidRPr="00FB1A16">
              <w:rPr>
                <w:webHidden/>
              </w:rPr>
              <w:t>3</w:t>
            </w:r>
            <w:r w:rsidRPr="00FB1A16">
              <w:rPr>
                <w:webHidden/>
              </w:rPr>
              <w:fldChar w:fldCharType="end"/>
            </w:r>
          </w:hyperlink>
        </w:p>
        <w:p w14:paraId="2EBAD25D" w14:textId="1BC17E9C"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38" w:history="1">
            <w:r w:rsidRPr="00AC2E99">
              <w:rPr>
                <w:rStyle w:val="Hyperlink"/>
                <w:rFonts w:cs="Arial"/>
                <w:noProof/>
              </w:rPr>
              <w:t>1.1 Organisational summary</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_Toc237088538 \h </w:instrText>
            </w:r>
            <w:r w:rsidRPr="00AC2E99">
              <w:rPr>
                <w:rFonts w:cs="Arial"/>
                <w:noProof/>
                <w:webHidden/>
              </w:rPr>
            </w:r>
            <w:r w:rsidRPr="00AC2E99">
              <w:rPr>
                <w:rFonts w:cs="Arial"/>
                <w:noProof/>
                <w:webHidden/>
              </w:rPr>
              <w:fldChar w:fldCharType="separate"/>
            </w:r>
            <w:r w:rsidRPr="00AC2E99">
              <w:rPr>
                <w:rFonts w:cs="Arial"/>
                <w:noProof/>
                <w:webHidden/>
              </w:rPr>
              <w:t>3</w:t>
            </w:r>
            <w:r w:rsidRPr="00AC2E99">
              <w:rPr>
                <w:rFonts w:cs="Arial"/>
                <w:noProof/>
                <w:webHidden/>
              </w:rPr>
              <w:fldChar w:fldCharType="end"/>
            </w:r>
          </w:hyperlink>
        </w:p>
        <w:p w14:paraId="50250E74" w14:textId="7DCEFF28"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39" w:history="1">
            <w:r w:rsidRPr="00AC2E99">
              <w:rPr>
                <w:rStyle w:val="Hyperlink"/>
                <w:rFonts w:cs="Arial"/>
                <w:noProof/>
              </w:rPr>
              <w:t>1.2 Industry overview</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_Toc237088539 \h </w:instrText>
            </w:r>
            <w:r w:rsidRPr="00AC2E99">
              <w:rPr>
                <w:rFonts w:cs="Arial"/>
                <w:noProof/>
                <w:webHidden/>
              </w:rPr>
            </w:r>
            <w:r w:rsidRPr="00AC2E99">
              <w:rPr>
                <w:rFonts w:cs="Arial"/>
                <w:noProof/>
                <w:webHidden/>
              </w:rPr>
              <w:fldChar w:fldCharType="separate"/>
            </w:r>
            <w:r w:rsidRPr="00AC2E99">
              <w:rPr>
                <w:rFonts w:cs="Arial"/>
                <w:noProof/>
                <w:webHidden/>
              </w:rPr>
              <w:t>4</w:t>
            </w:r>
            <w:r w:rsidRPr="00AC2E99">
              <w:rPr>
                <w:rFonts w:cs="Arial"/>
                <w:noProof/>
                <w:webHidden/>
              </w:rPr>
              <w:fldChar w:fldCharType="end"/>
            </w:r>
          </w:hyperlink>
        </w:p>
        <w:p w14:paraId="38A85BB9" w14:textId="1CCEC395"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0" w:history="1">
            <w:r w:rsidRPr="00AC2E99">
              <w:rPr>
                <w:rStyle w:val="Hyperlink"/>
                <w:rFonts w:cs="Arial"/>
                <w:noProof/>
              </w:rPr>
              <w:t>1.3 Competitors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_Toc237088540 \h </w:instrText>
            </w:r>
            <w:r w:rsidRPr="00AC2E99">
              <w:rPr>
                <w:rFonts w:cs="Arial"/>
                <w:noProof/>
                <w:webHidden/>
              </w:rPr>
            </w:r>
            <w:r w:rsidRPr="00AC2E99">
              <w:rPr>
                <w:rFonts w:cs="Arial"/>
                <w:noProof/>
                <w:webHidden/>
              </w:rPr>
              <w:fldChar w:fldCharType="separate"/>
            </w:r>
            <w:r w:rsidRPr="00AC2E99">
              <w:rPr>
                <w:rFonts w:cs="Arial"/>
                <w:noProof/>
                <w:webHidden/>
              </w:rPr>
              <w:t>4</w:t>
            </w:r>
            <w:r w:rsidRPr="00AC2E99">
              <w:rPr>
                <w:rFonts w:cs="Arial"/>
                <w:noProof/>
                <w:webHidden/>
              </w:rPr>
              <w:fldChar w:fldCharType="end"/>
            </w:r>
          </w:hyperlink>
        </w:p>
        <w:p w14:paraId="2DD38B0B" w14:textId="6CB400C7"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1" w:history="1">
            <w:r w:rsidRPr="00AC2E99">
              <w:rPr>
                <w:rStyle w:val="Hyperlink"/>
                <w:rFonts w:cs="Arial"/>
                <w:noProof/>
              </w:rPr>
              <w:t>1.4 Market position</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_Toc237088541 \h </w:instrText>
            </w:r>
            <w:r w:rsidRPr="00AC2E99">
              <w:rPr>
                <w:rFonts w:cs="Arial"/>
                <w:noProof/>
                <w:webHidden/>
              </w:rPr>
            </w:r>
            <w:r w:rsidRPr="00AC2E99">
              <w:rPr>
                <w:rFonts w:cs="Arial"/>
                <w:noProof/>
                <w:webHidden/>
              </w:rPr>
              <w:fldChar w:fldCharType="separate"/>
            </w:r>
            <w:r w:rsidRPr="00AC2E99">
              <w:rPr>
                <w:rFonts w:cs="Arial"/>
                <w:noProof/>
                <w:webHidden/>
              </w:rPr>
              <w:t>5</w:t>
            </w:r>
            <w:r w:rsidRPr="00AC2E99">
              <w:rPr>
                <w:rFonts w:cs="Arial"/>
                <w:noProof/>
                <w:webHidden/>
              </w:rPr>
              <w:fldChar w:fldCharType="end"/>
            </w:r>
          </w:hyperlink>
        </w:p>
        <w:p w14:paraId="2789FFBC" w14:textId="107657C0" w:rsidR="00B16BE1" w:rsidRPr="00AC2E99" w:rsidRDefault="00B16BE1" w:rsidP="00FB1A16">
          <w:pPr>
            <w:pStyle w:val="TOC2"/>
            <w:rPr>
              <w:rFonts w:eastAsiaTheme="minorEastAsia"/>
              <w:kern w:val="2"/>
              <w:lang w:eastAsia="en-GB"/>
              <w14:ligatures w14:val="standardContextual"/>
            </w:rPr>
          </w:pPr>
          <w:hyperlink w:anchor="_Toc237088542" w:history="1">
            <w:r w:rsidRPr="00AC2E99">
              <w:rPr>
                <w:rStyle w:val="Hyperlink"/>
              </w:rPr>
              <w:t>2. External and Internal Analysis</w:t>
            </w:r>
            <w:r w:rsidRPr="00AC2E99">
              <w:rPr>
                <w:webHidden/>
              </w:rPr>
              <w:tab/>
            </w:r>
            <w:r w:rsidRPr="00AC2E99">
              <w:rPr>
                <w:webHidden/>
              </w:rPr>
              <w:fldChar w:fldCharType="begin"/>
            </w:r>
            <w:r w:rsidRPr="00AC2E99">
              <w:rPr>
                <w:webHidden/>
              </w:rPr>
              <w:instrText xml:space="preserve"> PAGEREF _Toc237088542 \h </w:instrText>
            </w:r>
            <w:r w:rsidRPr="00AC2E99">
              <w:rPr>
                <w:webHidden/>
              </w:rPr>
            </w:r>
            <w:r w:rsidRPr="00AC2E99">
              <w:rPr>
                <w:webHidden/>
              </w:rPr>
              <w:fldChar w:fldCharType="separate"/>
            </w:r>
            <w:r w:rsidRPr="00AC2E99">
              <w:rPr>
                <w:webHidden/>
              </w:rPr>
              <w:t>6</w:t>
            </w:r>
            <w:r w:rsidRPr="00AC2E99">
              <w:rPr>
                <w:webHidden/>
              </w:rPr>
              <w:fldChar w:fldCharType="end"/>
            </w:r>
          </w:hyperlink>
        </w:p>
        <w:p w14:paraId="7424A7DC" w14:textId="540874D6"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3" w:history="1">
            <w:r w:rsidRPr="00AC2E99">
              <w:rPr>
                <w:rStyle w:val="Hyperlink"/>
                <w:rFonts w:cs="Arial"/>
                <w:noProof/>
              </w:rPr>
              <w:t>2.1 External factor analysis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_Toc237088543 \h </w:instrText>
            </w:r>
            <w:r w:rsidRPr="00AC2E99">
              <w:rPr>
                <w:rFonts w:cs="Arial"/>
                <w:noProof/>
                <w:webHidden/>
              </w:rPr>
            </w:r>
            <w:r w:rsidRPr="00AC2E99">
              <w:rPr>
                <w:rFonts w:cs="Arial"/>
                <w:noProof/>
                <w:webHidden/>
              </w:rPr>
              <w:fldChar w:fldCharType="separate"/>
            </w:r>
            <w:r w:rsidRPr="00AC2E99">
              <w:rPr>
                <w:rFonts w:cs="Arial"/>
                <w:noProof/>
                <w:webHidden/>
              </w:rPr>
              <w:t>6</w:t>
            </w:r>
            <w:r w:rsidRPr="00AC2E99">
              <w:rPr>
                <w:rFonts w:cs="Arial"/>
                <w:noProof/>
                <w:webHidden/>
              </w:rPr>
              <w:fldChar w:fldCharType="end"/>
            </w:r>
          </w:hyperlink>
        </w:p>
        <w:p w14:paraId="3D489796" w14:textId="6D9FCAA1"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4" w:history="1">
            <w:r w:rsidRPr="00AC2E99">
              <w:rPr>
                <w:rStyle w:val="Hyperlink"/>
                <w:rFonts w:cs="Arial"/>
                <w:noProof/>
              </w:rPr>
              <w:t>2.2 Internal factor analysis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_Toc237088544 \h </w:instrText>
            </w:r>
            <w:r w:rsidRPr="00AC2E99">
              <w:rPr>
                <w:rFonts w:cs="Arial"/>
                <w:noProof/>
                <w:webHidden/>
              </w:rPr>
            </w:r>
            <w:r w:rsidRPr="00AC2E99">
              <w:rPr>
                <w:rFonts w:cs="Arial"/>
                <w:noProof/>
                <w:webHidden/>
              </w:rPr>
              <w:fldChar w:fldCharType="separate"/>
            </w:r>
            <w:r w:rsidRPr="00AC2E99">
              <w:rPr>
                <w:rFonts w:cs="Arial"/>
                <w:noProof/>
                <w:webHidden/>
              </w:rPr>
              <w:t>8</w:t>
            </w:r>
            <w:r w:rsidRPr="00AC2E99">
              <w:rPr>
                <w:rFonts w:cs="Arial"/>
                <w:noProof/>
                <w:webHidden/>
              </w:rPr>
              <w:fldChar w:fldCharType="end"/>
            </w:r>
          </w:hyperlink>
        </w:p>
        <w:p w14:paraId="24EC284A" w14:textId="38E7CA0C" w:rsidR="00B16BE1" w:rsidRPr="00FB1A16" w:rsidRDefault="00B16BE1" w:rsidP="00FB1A16">
          <w:pPr>
            <w:pStyle w:val="TOC2"/>
            <w:rPr>
              <w:rFonts w:eastAsiaTheme="minorEastAsia"/>
              <w:kern w:val="2"/>
              <w:lang w:eastAsia="en-GB"/>
              <w14:ligatures w14:val="standardContextual"/>
            </w:rPr>
          </w:pPr>
          <w:hyperlink w:anchor="_Toc237088545" w:history="1">
            <w:r w:rsidRPr="00FB1A16">
              <w:rPr>
                <w:rStyle w:val="Hyperlink"/>
                <w:i/>
                <w:iCs/>
              </w:rPr>
              <w:t>2.3 SWOT analysis</w:t>
            </w:r>
            <w:r w:rsidRPr="00FB1A16">
              <w:rPr>
                <w:webHidden/>
              </w:rPr>
              <w:tab/>
            </w:r>
            <w:r w:rsidRPr="00FB1A16">
              <w:rPr>
                <w:webHidden/>
              </w:rPr>
              <w:fldChar w:fldCharType="begin"/>
            </w:r>
            <w:r w:rsidRPr="00FB1A16">
              <w:rPr>
                <w:webHidden/>
              </w:rPr>
              <w:instrText xml:space="preserve"> PAGEREF _Toc237088545 \h </w:instrText>
            </w:r>
            <w:r w:rsidRPr="00FB1A16">
              <w:rPr>
                <w:webHidden/>
              </w:rPr>
            </w:r>
            <w:r w:rsidRPr="00FB1A16">
              <w:rPr>
                <w:webHidden/>
              </w:rPr>
              <w:fldChar w:fldCharType="separate"/>
            </w:r>
            <w:r w:rsidRPr="00FB1A16">
              <w:rPr>
                <w:webHidden/>
              </w:rPr>
              <w:t>11</w:t>
            </w:r>
            <w:r w:rsidRPr="00FB1A16">
              <w:rPr>
                <w:webHidden/>
              </w:rPr>
              <w:fldChar w:fldCharType="end"/>
            </w:r>
          </w:hyperlink>
        </w:p>
        <w:p w14:paraId="12D26DB6" w14:textId="2174EF54" w:rsidR="00B16BE1" w:rsidRPr="00AC2E99" w:rsidRDefault="00B16BE1" w:rsidP="00FB1A16">
          <w:pPr>
            <w:pStyle w:val="TOC1"/>
            <w:rPr>
              <w:rFonts w:eastAsiaTheme="minorEastAsia"/>
              <w:kern w:val="2"/>
              <w:lang w:eastAsia="en-GB"/>
              <w14:ligatures w14:val="standardContextual"/>
            </w:rPr>
          </w:pPr>
          <w:hyperlink w:anchor="_Toc237088546" w:history="1">
            <w:r w:rsidRPr="00AC2E99">
              <w:rPr>
                <w:rStyle w:val="Hyperlink"/>
              </w:rPr>
              <w:t>3. Comprehensive and holistic view of the organisation</w:t>
            </w:r>
            <w:r w:rsidRPr="00AC2E99">
              <w:rPr>
                <w:webHidden/>
              </w:rPr>
              <w:tab/>
            </w:r>
            <w:r w:rsidRPr="00AC2E99">
              <w:rPr>
                <w:webHidden/>
              </w:rPr>
              <w:fldChar w:fldCharType="begin"/>
            </w:r>
            <w:r w:rsidRPr="00AC2E99">
              <w:rPr>
                <w:webHidden/>
              </w:rPr>
              <w:instrText xml:space="preserve"> PAGEREF _Toc237088546 \h </w:instrText>
            </w:r>
            <w:r w:rsidRPr="00AC2E99">
              <w:rPr>
                <w:webHidden/>
              </w:rPr>
            </w:r>
            <w:r w:rsidRPr="00AC2E99">
              <w:rPr>
                <w:webHidden/>
              </w:rPr>
              <w:fldChar w:fldCharType="separate"/>
            </w:r>
            <w:r w:rsidRPr="00AC2E99">
              <w:rPr>
                <w:webHidden/>
              </w:rPr>
              <w:t>12</w:t>
            </w:r>
            <w:r w:rsidRPr="00AC2E99">
              <w:rPr>
                <w:webHidden/>
              </w:rPr>
              <w:fldChar w:fldCharType="end"/>
            </w:r>
          </w:hyperlink>
        </w:p>
        <w:p w14:paraId="2DC795E4" w14:textId="222143EB" w:rsidR="00B16BE1" w:rsidRPr="00FB1A16" w:rsidRDefault="00B16BE1" w:rsidP="00FB1A16">
          <w:pPr>
            <w:pStyle w:val="TOC2"/>
            <w:rPr>
              <w:rFonts w:eastAsiaTheme="minorEastAsia"/>
              <w:i/>
              <w:iCs/>
              <w:kern w:val="2"/>
              <w:lang w:eastAsia="en-GB"/>
              <w14:ligatures w14:val="standardContextual"/>
            </w:rPr>
          </w:pPr>
          <w:hyperlink w:anchor="_Toc237088547" w:history="1">
            <w:r w:rsidRPr="00FB1A16">
              <w:rPr>
                <w:rStyle w:val="Hyperlink"/>
                <w:i/>
                <w:iCs/>
              </w:rPr>
              <w:t>3.1 Current CSR strategy</w:t>
            </w:r>
            <w:r w:rsidRPr="00FB1A16">
              <w:rPr>
                <w:i/>
                <w:iCs/>
                <w:webHidden/>
              </w:rPr>
              <w:tab/>
            </w:r>
            <w:r w:rsidRPr="00FB1A16">
              <w:rPr>
                <w:i/>
                <w:iCs/>
                <w:webHidden/>
              </w:rPr>
              <w:fldChar w:fldCharType="begin"/>
            </w:r>
            <w:r w:rsidRPr="00FB1A16">
              <w:rPr>
                <w:i/>
                <w:iCs/>
                <w:webHidden/>
              </w:rPr>
              <w:instrText xml:space="preserve"> PAGEREF _Toc237088547 \h </w:instrText>
            </w:r>
            <w:r w:rsidRPr="00FB1A16">
              <w:rPr>
                <w:i/>
                <w:iCs/>
                <w:webHidden/>
              </w:rPr>
            </w:r>
            <w:r w:rsidRPr="00FB1A16">
              <w:rPr>
                <w:i/>
                <w:iCs/>
                <w:webHidden/>
              </w:rPr>
              <w:fldChar w:fldCharType="separate"/>
            </w:r>
            <w:r w:rsidRPr="00FB1A16">
              <w:rPr>
                <w:i/>
                <w:iCs/>
                <w:webHidden/>
              </w:rPr>
              <w:t>12</w:t>
            </w:r>
            <w:r w:rsidRPr="00FB1A16">
              <w:rPr>
                <w:i/>
                <w:iCs/>
                <w:webHidden/>
              </w:rPr>
              <w:fldChar w:fldCharType="end"/>
            </w:r>
          </w:hyperlink>
        </w:p>
        <w:p w14:paraId="5CCE1D33" w14:textId="70560E75" w:rsidR="00B16BE1" w:rsidRPr="00FB1A16" w:rsidRDefault="00B16BE1" w:rsidP="00FB1A16">
          <w:pPr>
            <w:pStyle w:val="TOC2"/>
            <w:rPr>
              <w:rFonts w:eastAsiaTheme="minorEastAsia"/>
              <w:i/>
              <w:iCs/>
              <w:kern w:val="2"/>
              <w:lang w:eastAsia="en-GB"/>
              <w14:ligatures w14:val="standardContextual"/>
            </w:rPr>
          </w:pPr>
          <w:hyperlink w:anchor="_Toc237088548" w:history="1">
            <w:r w:rsidRPr="00FB1A16">
              <w:rPr>
                <w:rStyle w:val="Hyperlink"/>
                <w:i/>
                <w:iCs/>
              </w:rPr>
              <w:t>3.2 Balanced scorecard</w:t>
            </w:r>
            <w:r w:rsidRPr="00FB1A16">
              <w:rPr>
                <w:i/>
                <w:iCs/>
                <w:webHidden/>
              </w:rPr>
              <w:tab/>
            </w:r>
            <w:r w:rsidRPr="00FB1A16">
              <w:rPr>
                <w:i/>
                <w:iCs/>
                <w:webHidden/>
              </w:rPr>
              <w:fldChar w:fldCharType="begin"/>
            </w:r>
            <w:r w:rsidRPr="00FB1A16">
              <w:rPr>
                <w:i/>
                <w:iCs/>
                <w:webHidden/>
              </w:rPr>
              <w:instrText xml:space="preserve"> PAGEREF _Toc237088548 \h </w:instrText>
            </w:r>
            <w:r w:rsidRPr="00FB1A16">
              <w:rPr>
                <w:i/>
                <w:iCs/>
                <w:webHidden/>
              </w:rPr>
            </w:r>
            <w:r w:rsidRPr="00FB1A16">
              <w:rPr>
                <w:i/>
                <w:iCs/>
                <w:webHidden/>
              </w:rPr>
              <w:fldChar w:fldCharType="separate"/>
            </w:r>
            <w:r w:rsidRPr="00FB1A16">
              <w:rPr>
                <w:i/>
                <w:iCs/>
                <w:webHidden/>
              </w:rPr>
              <w:t>14</w:t>
            </w:r>
            <w:r w:rsidRPr="00FB1A16">
              <w:rPr>
                <w:i/>
                <w:iCs/>
                <w:webHidden/>
              </w:rPr>
              <w:fldChar w:fldCharType="end"/>
            </w:r>
          </w:hyperlink>
        </w:p>
        <w:p w14:paraId="6A431168" w14:textId="2A3124B2" w:rsidR="00B16BE1" w:rsidRPr="00AC2E99" w:rsidRDefault="00B16BE1" w:rsidP="00FB1A16">
          <w:pPr>
            <w:pStyle w:val="TOC1"/>
            <w:rPr>
              <w:rFonts w:eastAsiaTheme="minorEastAsia"/>
              <w:kern w:val="2"/>
              <w:lang w:eastAsia="en-GB"/>
              <w14:ligatures w14:val="standardContextual"/>
            </w:rPr>
          </w:pPr>
          <w:hyperlink w:anchor="_Toc237088549" w:history="1">
            <w:r w:rsidRPr="00AC2E99">
              <w:rPr>
                <w:rStyle w:val="Hyperlink"/>
              </w:rPr>
              <w:t>4. Strategic Choices and Implementation</w:t>
            </w:r>
            <w:r w:rsidRPr="00AC2E99">
              <w:rPr>
                <w:webHidden/>
              </w:rPr>
              <w:tab/>
            </w:r>
            <w:r w:rsidRPr="00AC2E99">
              <w:rPr>
                <w:webHidden/>
              </w:rPr>
              <w:fldChar w:fldCharType="begin"/>
            </w:r>
            <w:r w:rsidRPr="00AC2E99">
              <w:rPr>
                <w:webHidden/>
              </w:rPr>
              <w:instrText xml:space="preserve"> PAGEREF _Toc237088549 \h </w:instrText>
            </w:r>
            <w:r w:rsidRPr="00AC2E99">
              <w:rPr>
                <w:webHidden/>
              </w:rPr>
            </w:r>
            <w:r w:rsidRPr="00AC2E99">
              <w:rPr>
                <w:webHidden/>
              </w:rPr>
              <w:fldChar w:fldCharType="separate"/>
            </w:r>
            <w:r w:rsidRPr="00AC2E99">
              <w:rPr>
                <w:webHidden/>
              </w:rPr>
              <w:t>15</w:t>
            </w:r>
            <w:r w:rsidRPr="00AC2E99">
              <w:rPr>
                <w:webHidden/>
              </w:rPr>
              <w:fldChar w:fldCharType="end"/>
            </w:r>
          </w:hyperlink>
        </w:p>
        <w:p w14:paraId="29FFA17E" w14:textId="15843259" w:rsidR="00B16BE1" w:rsidRPr="00FB1A16" w:rsidRDefault="00B16BE1" w:rsidP="00FB1A16">
          <w:pPr>
            <w:pStyle w:val="TOC2"/>
            <w:rPr>
              <w:rFonts w:eastAsiaTheme="minorEastAsia"/>
              <w:i/>
              <w:iCs/>
              <w:kern w:val="2"/>
              <w:lang w:eastAsia="en-GB"/>
              <w14:ligatures w14:val="standardContextual"/>
            </w:rPr>
          </w:pPr>
          <w:hyperlink w:anchor="_Toc237088550" w:history="1">
            <w:r w:rsidRPr="00FB1A16">
              <w:rPr>
                <w:rStyle w:val="Hyperlink"/>
                <w:i/>
                <w:iCs/>
              </w:rPr>
              <w:t>4.1 Strategic choices</w:t>
            </w:r>
            <w:r w:rsidRPr="00FB1A16">
              <w:rPr>
                <w:i/>
                <w:iCs/>
                <w:webHidden/>
              </w:rPr>
              <w:tab/>
            </w:r>
            <w:r w:rsidRPr="00FB1A16">
              <w:rPr>
                <w:i/>
                <w:iCs/>
                <w:webHidden/>
              </w:rPr>
              <w:fldChar w:fldCharType="begin"/>
            </w:r>
            <w:r w:rsidRPr="00FB1A16">
              <w:rPr>
                <w:i/>
                <w:iCs/>
                <w:webHidden/>
              </w:rPr>
              <w:instrText xml:space="preserve"> PAGEREF _Toc237088550 \h </w:instrText>
            </w:r>
            <w:r w:rsidRPr="00FB1A16">
              <w:rPr>
                <w:i/>
                <w:iCs/>
                <w:webHidden/>
              </w:rPr>
            </w:r>
            <w:r w:rsidRPr="00FB1A16">
              <w:rPr>
                <w:i/>
                <w:iCs/>
                <w:webHidden/>
              </w:rPr>
              <w:fldChar w:fldCharType="separate"/>
            </w:r>
            <w:r w:rsidRPr="00FB1A16">
              <w:rPr>
                <w:i/>
                <w:iCs/>
                <w:webHidden/>
              </w:rPr>
              <w:t>15</w:t>
            </w:r>
            <w:r w:rsidRPr="00FB1A16">
              <w:rPr>
                <w:i/>
                <w:iCs/>
                <w:webHidden/>
              </w:rPr>
              <w:fldChar w:fldCharType="end"/>
            </w:r>
          </w:hyperlink>
        </w:p>
        <w:p w14:paraId="4EE32907" w14:textId="1CB4FD7C" w:rsidR="00B16BE1" w:rsidRPr="00FB1A16" w:rsidRDefault="00B16BE1" w:rsidP="00FB1A16">
          <w:pPr>
            <w:pStyle w:val="TOC2"/>
            <w:rPr>
              <w:rFonts w:eastAsiaTheme="minorEastAsia"/>
              <w:i/>
              <w:iCs/>
              <w:kern w:val="2"/>
              <w:lang w:eastAsia="en-GB"/>
              <w14:ligatures w14:val="standardContextual"/>
            </w:rPr>
          </w:pPr>
          <w:hyperlink w:anchor="_Toc237088551" w:history="1">
            <w:r w:rsidRPr="00FB1A16">
              <w:rPr>
                <w:rStyle w:val="Hyperlink"/>
                <w:i/>
                <w:iCs/>
              </w:rPr>
              <w:t>4.2 Identification of Appropriate Strategy</w:t>
            </w:r>
            <w:r w:rsidRPr="00FB1A16">
              <w:rPr>
                <w:i/>
                <w:iCs/>
                <w:webHidden/>
              </w:rPr>
              <w:tab/>
            </w:r>
            <w:r w:rsidRPr="00FB1A16">
              <w:rPr>
                <w:i/>
                <w:iCs/>
                <w:webHidden/>
              </w:rPr>
              <w:fldChar w:fldCharType="begin"/>
            </w:r>
            <w:r w:rsidRPr="00FB1A16">
              <w:rPr>
                <w:i/>
                <w:iCs/>
                <w:webHidden/>
              </w:rPr>
              <w:instrText xml:space="preserve"> PAGEREF _Toc237088551 \h </w:instrText>
            </w:r>
            <w:r w:rsidRPr="00FB1A16">
              <w:rPr>
                <w:i/>
                <w:iCs/>
                <w:webHidden/>
              </w:rPr>
            </w:r>
            <w:r w:rsidRPr="00FB1A16">
              <w:rPr>
                <w:i/>
                <w:iCs/>
                <w:webHidden/>
              </w:rPr>
              <w:fldChar w:fldCharType="separate"/>
            </w:r>
            <w:r w:rsidRPr="00FB1A16">
              <w:rPr>
                <w:i/>
                <w:iCs/>
                <w:webHidden/>
              </w:rPr>
              <w:t>16</w:t>
            </w:r>
            <w:r w:rsidRPr="00FB1A16">
              <w:rPr>
                <w:i/>
                <w:iCs/>
                <w:webHidden/>
              </w:rPr>
              <w:fldChar w:fldCharType="end"/>
            </w:r>
          </w:hyperlink>
        </w:p>
        <w:p w14:paraId="7BA9CB9A" w14:textId="09E5E741" w:rsidR="00B16BE1" w:rsidRPr="00FB1A16" w:rsidRDefault="00B16BE1" w:rsidP="00FB1A16">
          <w:pPr>
            <w:pStyle w:val="TOC2"/>
            <w:rPr>
              <w:rFonts w:eastAsiaTheme="minorEastAsia"/>
              <w:i/>
              <w:iCs/>
              <w:kern w:val="2"/>
              <w:lang w:eastAsia="en-GB"/>
              <w14:ligatures w14:val="standardContextual"/>
            </w:rPr>
          </w:pPr>
          <w:hyperlink w:anchor="_Toc237088552" w:history="1">
            <w:r w:rsidRPr="00FB1A16">
              <w:rPr>
                <w:rStyle w:val="Hyperlink"/>
                <w:i/>
                <w:iCs/>
              </w:rPr>
              <w:t>4.3 Evaluation</w:t>
            </w:r>
            <w:r w:rsidRPr="00FB1A16">
              <w:rPr>
                <w:i/>
                <w:iCs/>
                <w:webHidden/>
              </w:rPr>
              <w:tab/>
            </w:r>
            <w:r w:rsidRPr="00FB1A16">
              <w:rPr>
                <w:i/>
                <w:iCs/>
                <w:webHidden/>
              </w:rPr>
              <w:fldChar w:fldCharType="begin"/>
            </w:r>
            <w:r w:rsidRPr="00FB1A16">
              <w:rPr>
                <w:i/>
                <w:iCs/>
                <w:webHidden/>
              </w:rPr>
              <w:instrText xml:space="preserve"> PAGEREF _Toc237088552 \h </w:instrText>
            </w:r>
            <w:r w:rsidRPr="00FB1A16">
              <w:rPr>
                <w:i/>
                <w:iCs/>
                <w:webHidden/>
              </w:rPr>
            </w:r>
            <w:r w:rsidRPr="00FB1A16">
              <w:rPr>
                <w:i/>
                <w:iCs/>
                <w:webHidden/>
              </w:rPr>
              <w:fldChar w:fldCharType="separate"/>
            </w:r>
            <w:r w:rsidRPr="00FB1A16">
              <w:rPr>
                <w:i/>
                <w:iCs/>
                <w:webHidden/>
              </w:rPr>
              <w:t>17</w:t>
            </w:r>
            <w:r w:rsidRPr="00FB1A16">
              <w:rPr>
                <w:i/>
                <w:iCs/>
                <w:webHidden/>
              </w:rPr>
              <w:fldChar w:fldCharType="end"/>
            </w:r>
          </w:hyperlink>
        </w:p>
        <w:p w14:paraId="3BF4DFE3" w14:textId="2318B85D" w:rsidR="00B16BE1" w:rsidRPr="00FB1A16" w:rsidRDefault="00B16BE1" w:rsidP="00FB1A16">
          <w:pPr>
            <w:pStyle w:val="TOC2"/>
            <w:rPr>
              <w:rFonts w:eastAsiaTheme="minorEastAsia"/>
              <w:i/>
              <w:iCs/>
              <w:kern w:val="2"/>
              <w:lang w:eastAsia="en-GB"/>
              <w14:ligatures w14:val="standardContextual"/>
            </w:rPr>
          </w:pPr>
          <w:hyperlink w:anchor="_Toc237088553" w:history="1">
            <w:r w:rsidRPr="00FB1A16">
              <w:rPr>
                <w:rStyle w:val="Hyperlink"/>
                <w:i/>
                <w:iCs/>
              </w:rPr>
              <w:t>4.4 Identification of potential challenges in implementation and solution</w:t>
            </w:r>
            <w:r w:rsidRPr="00FB1A16">
              <w:rPr>
                <w:i/>
                <w:iCs/>
                <w:webHidden/>
              </w:rPr>
              <w:tab/>
            </w:r>
            <w:r w:rsidRPr="00FB1A16">
              <w:rPr>
                <w:i/>
                <w:iCs/>
                <w:webHidden/>
              </w:rPr>
              <w:fldChar w:fldCharType="begin"/>
            </w:r>
            <w:r w:rsidRPr="00FB1A16">
              <w:rPr>
                <w:i/>
                <w:iCs/>
                <w:webHidden/>
              </w:rPr>
              <w:instrText xml:space="preserve"> PAGEREF _Toc237088553 \h </w:instrText>
            </w:r>
            <w:r w:rsidRPr="00FB1A16">
              <w:rPr>
                <w:i/>
                <w:iCs/>
                <w:webHidden/>
              </w:rPr>
            </w:r>
            <w:r w:rsidRPr="00FB1A16">
              <w:rPr>
                <w:i/>
                <w:iCs/>
                <w:webHidden/>
              </w:rPr>
              <w:fldChar w:fldCharType="separate"/>
            </w:r>
            <w:r w:rsidRPr="00FB1A16">
              <w:rPr>
                <w:i/>
                <w:iCs/>
                <w:webHidden/>
              </w:rPr>
              <w:t>18</w:t>
            </w:r>
            <w:r w:rsidRPr="00FB1A16">
              <w:rPr>
                <w:i/>
                <w:iCs/>
                <w:webHidden/>
              </w:rPr>
              <w:fldChar w:fldCharType="end"/>
            </w:r>
          </w:hyperlink>
        </w:p>
        <w:p w14:paraId="3C3DD491" w14:textId="001C5529" w:rsidR="00B16BE1" w:rsidRPr="00AC2E99" w:rsidRDefault="00B16BE1" w:rsidP="00FB1A16">
          <w:pPr>
            <w:pStyle w:val="TOC1"/>
            <w:rPr>
              <w:rFonts w:eastAsiaTheme="minorEastAsia"/>
              <w:kern w:val="2"/>
              <w:lang w:eastAsia="en-GB"/>
              <w14:ligatures w14:val="standardContextual"/>
            </w:rPr>
          </w:pPr>
          <w:hyperlink w:anchor="_Toc237088554" w:history="1">
            <w:r w:rsidRPr="00AC2E99">
              <w:rPr>
                <w:rStyle w:val="Hyperlink"/>
              </w:rPr>
              <w:t>Section 2 Reflection</w:t>
            </w:r>
            <w:r w:rsidRPr="00AC2E99">
              <w:rPr>
                <w:webHidden/>
              </w:rPr>
              <w:tab/>
            </w:r>
            <w:r w:rsidRPr="00AC2E99">
              <w:rPr>
                <w:webHidden/>
              </w:rPr>
              <w:fldChar w:fldCharType="begin"/>
            </w:r>
            <w:r w:rsidRPr="00AC2E99">
              <w:rPr>
                <w:webHidden/>
              </w:rPr>
              <w:instrText xml:space="preserve"> PAGEREF _Toc237088554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2B1094FF" w14:textId="280EEE2E" w:rsidR="00B16BE1" w:rsidRPr="00AC2E99" w:rsidRDefault="00B16BE1" w:rsidP="00FB1A16">
          <w:pPr>
            <w:pStyle w:val="TOC2"/>
            <w:rPr>
              <w:rFonts w:eastAsiaTheme="minorEastAsia"/>
              <w:kern w:val="2"/>
              <w:lang w:eastAsia="en-GB"/>
              <w14:ligatures w14:val="standardContextual"/>
            </w:rPr>
          </w:pPr>
          <w:hyperlink w:anchor="_Toc237088555" w:history="1">
            <w:r w:rsidRPr="00AC2E99">
              <w:rPr>
                <w:rStyle w:val="Hyperlink"/>
              </w:rPr>
              <w:t>Introduction</w:t>
            </w:r>
            <w:r w:rsidRPr="00AC2E99">
              <w:rPr>
                <w:webHidden/>
              </w:rPr>
              <w:tab/>
            </w:r>
            <w:r w:rsidRPr="00AC2E99">
              <w:rPr>
                <w:webHidden/>
              </w:rPr>
              <w:fldChar w:fldCharType="begin"/>
            </w:r>
            <w:r w:rsidRPr="00AC2E99">
              <w:rPr>
                <w:webHidden/>
              </w:rPr>
              <w:instrText xml:space="preserve"> PAGEREF _Toc237088555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3630B7B4" w14:textId="68085863" w:rsidR="00B16BE1" w:rsidRPr="00AC2E99" w:rsidRDefault="00B16BE1" w:rsidP="00FB1A16">
          <w:pPr>
            <w:pStyle w:val="TOC2"/>
            <w:rPr>
              <w:rFonts w:eastAsiaTheme="minorEastAsia"/>
              <w:kern w:val="2"/>
              <w:lang w:eastAsia="en-GB"/>
              <w14:ligatures w14:val="standardContextual"/>
            </w:rPr>
          </w:pPr>
          <w:hyperlink w:anchor="_Toc237088556" w:history="1">
            <w:r w:rsidRPr="00AC2E99">
              <w:rPr>
                <w:rStyle w:val="Hyperlink"/>
              </w:rPr>
              <w:t>Reflective cycle</w:t>
            </w:r>
            <w:r w:rsidRPr="00AC2E99">
              <w:rPr>
                <w:webHidden/>
              </w:rPr>
              <w:tab/>
            </w:r>
            <w:r w:rsidRPr="00AC2E99">
              <w:rPr>
                <w:webHidden/>
              </w:rPr>
              <w:fldChar w:fldCharType="begin"/>
            </w:r>
            <w:r w:rsidRPr="00AC2E99">
              <w:rPr>
                <w:webHidden/>
              </w:rPr>
              <w:instrText xml:space="preserve"> PAGEREF _Toc237088556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06044FA8" w14:textId="146245D7" w:rsidR="00B16BE1" w:rsidRPr="00AC2E99" w:rsidRDefault="00B16BE1" w:rsidP="00FB1A16">
          <w:pPr>
            <w:pStyle w:val="TOC2"/>
            <w:rPr>
              <w:rFonts w:eastAsiaTheme="minorEastAsia"/>
              <w:kern w:val="2"/>
              <w:lang w:eastAsia="en-GB"/>
              <w14:ligatures w14:val="standardContextual"/>
            </w:rPr>
          </w:pPr>
          <w:hyperlink w:anchor="_Toc237088557" w:history="1">
            <w:r w:rsidRPr="00AC2E99">
              <w:rPr>
                <w:rStyle w:val="Hyperlink"/>
              </w:rPr>
              <w:t>Conclusion</w:t>
            </w:r>
            <w:r w:rsidRPr="00AC2E99">
              <w:rPr>
                <w:webHidden/>
              </w:rPr>
              <w:tab/>
            </w:r>
            <w:r w:rsidRPr="00AC2E99">
              <w:rPr>
                <w:webHidden/>
              </w:rPr>
              <w:fldChar w:fldCharType="begin"/>
            </w:r>
            <w:r w:rsidRPr="00AC2E99">
              <w:rPr>
                <w:webHidden/>
              </w:rPr>
              <w:instrText xml:space="preserve"> PAGEREF _Toc237088557 \h </w:instrText>
            </w:r>
            <w:r w:rsidRPr="00AC2E99">
              <w:rPr>
                <w:webHidden/>
              </w:rPr>
            </w:r>
            <w:r w:rsidRPr="00AC2E99">
              <w:rPr>
                <w:webHidden/>
              </w:rPr>
              <w:fldChar w:fldCharType="separate"/>
            </w:r>
            <w:r w:rsidRPr="00AC2E99">
              <w:rPr>
                <w:webHidden/>
              </w:rPr>
              <w:t>23</w:t>
            </w:r>
            <w:r w:rsidRPr="00AC2E99">
              <w:rPr>
                <w:webHidden/>
              </w:rPr>
              <w:fldChar w:fldCharType="end"/>
            </w:r>
          </w:hyperlink>
        </w:p>
        <w:p w14:paraId="6E709CA5" w14:textId="30C876C6" w:rsidR="00B16BE1" w:rsidRPr="00AC2E99" w:rsidRDefault="00B16BE1" w:rsidP="00FB1A16">
          <w:pPr>
            <w:pStyle w:val="TOC1"/>
            <w:rPr>
              <w:rFonts w:eastAsiaTheme="minorEastAsia"/>
              <w:kern w:val="2"/>
              <w:lang w:eastAsia="en-GB"/>
              <w14:ligatures w14:val="standardContextual"/>
            </w:rPr>
          </w:pPr>
          <w:hyperlink w:anchor="_Toc237088558" w:history="1">
            <w:r w:rsidRPr="00AC2E99">
              <w:rPr>
                <w:rStyle w:val="Hyperlink"/>
              </w:rPr>
              <w:t>Reference List</w:t>
            </w:r>
            <w:r w:rsidRPr="00AC2E99">
              <w:rPr>
                <w:webHidden/>
              </w:rPr>
              <w:tab/>
            </w:r>
            <w:r w:rsidRPr="00AC2E99">
              <w:rPr>
                <w:webHidden/>
              </w:rPr>
              <w:fldChar w:fldCharType="begin"/>
            </w:r>
            <w:r w:rsidRPr="00AC2E99">
              <w:rPr>
                <w:webHidden/>
              </w:rPr>
              <w:instrText xml:space="preserve"> PAGEREF _Toc237088558 \h </w:instrText>
            </w:r>
            <w:r w:rsidRPr="00AC2E99">
              <w:rPr>
                <w:webHidden/>
              </w:rPr>
            </w:r>
            <w:r w:rsidRPr="00AC2E99">
              <w:rPr>
                <w:webHidden/>
              </w:rPr>
              <w:fldChar w:fldCharType="separate"/>
            </w:r>
            <w:r w:rsidRPr="00AC2E99">
              <w:rPr>
                <w:webHidden/>
              </w:rPr>
              <w:t>24</w:t>
            </w:r>
            <w:r w:rsidRPr="00AC2E99">
              <w:rPr>
                <w:webHidden/>
              </w:rPr>
              <w:fldChar w:fldCharType="end"/>
            </w:r>
          </w:hyperlink>
        </w:p>
        <w:p w14:paraId="3021E5F4" w14:textId="19A6ED6E" w:rsidR="00B16BE1" w:rsidRPr="00AC2E99" w:rsidRDefault="00B16BE1" w:rsidP="00FB1A16">
          <w:pPr>
            <w:pStyle w:val="TOC1"/>
            <w:rPr>
              <w:rFonts w:eastAsiaTheme="minorEastAsia"/>
              <w:kern w:val="2"/>
              <w:lang w:eastAsia="en-GB"/>
              <w14:ligatures w14:val="standardContextual"/>
            </w:rPr>
          </w:pPr>
          <w:hyperlink w:anchor="_Toc237088561" w:history="1">
            <w:r w:rsidRPr="00AC2E99">
              <w:rPr>
                <w:rStyle w:val="Hyperlink"/>
                <w:lang w:val="en-US"/>
              </w:rPr>
              <w:t>Appendices</w:t>
            </w:r>
            <w:r w:rsidRPr="00AC2E99">
              <w:rPr>
                <w:webHidden/>
              </w:rPr>
              <w:tab/>
            </w:r>
            <w:r w:rsidRPr="00AC2E99">
              <w:rPr>
                <w:webHidden/>
              </w:rPr>
              <w:fldChar w:fldCharType="begin"/>
            </w:r>
            <w:r w:rsidRPr="00AC2E99">
              <w:rPr>
                <w:webHidden/>
              </w:rPr>
              <w:instrText xml:space="preserve"> PAGEREF _Toc237088561 \h </w:instrText>
            </w:r>
            <w:r w:rsidRPr="00AC2E99">
              <w:rPr>
                <w:webHidden/>
              </w:rPr>
            </w:r>
            <w:r w:rsidRPr="00AC2E99">
              <w:rPr>
                <w:webHidden/>
              </w:rPr>
              <w:fldChar w:fldCharType="separate"/>
            </w:r>
            <w:r w:rsidRPr="00AC2E99">
              <w:rPr>
                <w:webHidden/>
              </w:rPr>
              <w:t>28</w:t>
            </w:r>
            <w:r w:rsidRPr="00AC2E99">
              <w:rPr>
                <w:webHidden/>
              </w:rPr>
              <w:fldChar w:fldCharType="end"/>
            </w:r>
          </w:hyperlink>
        </w:p>
        <w:p w14:paraId="1F7F8CB9" w14:textId="00A620BD" w:rsidR="00B16BE1" w:rsidRPr="00AC2E99" w:rsidRDefault="00B16BE1" w:rsidP="00FB1A16">
          <w:pPr>
            <w:pStyle w:val="TOC2"/>
            <w:rPr>
              <w:rFonts w:eastAsiaTheme="minorEastAsia"/>
              <w:kern w:val="2"/>
              <w:lang w:eastAsia="en-GB"/>
              <w14:ligatures w14:val="standardContextual"/>
            </w:rPr>
          </w:pPr>
          <w:hyperlink w:anchor="_Toc237088562" w:history="1">
            <w:r w:rsidRPr="00AC2E99">
              <w:rPr>
                <w:rStyle w:val="Hyperlink"/>
                <w:lang w:val="en-US"/>
              </w:rPr>
              <w:t>Appendix 1: Sustainable approach</w:t>
            </w:r>
            <w:r w:rsidRPr="00AC2E99">
              <w:rPr>
                <w:webHidden/>
              </w:rPr>
              <w:tab/>
            </w:r>
            <w:r w:rsidRPr="00AC2E99">
              <w:rPr>
                <w:webHidden/>
              </w:rPr>
              <w:fldChar w:fldCharType="begin"/>
            </w:r>
            <w:r w:rsidRPr="00AC2E99">
              <w:rPr>
                <w:webHidden/>
              </w:rPr>
              <w:instrText xml:space="preserve"> PAGEREF _Toc237088562 \h </w:instrText>
            </w:r>
            <w:r w:rsidRPr="00AC2E99">
              <w:rPr>
                <w:webHidden/>
              </w:rPr>
            </w:r>
            <w:r w:rsidRPr="00AC2E99">
              <w:rPr>
                <w:webHidden/>
              </w:rPr>
              <w:fldChar w:fldCharType="separate"/>
            </w:r>
            <w:r w:rsidRPr="00AC2E99">
              <w:rPr>
                <w:webHidden/>
              </w:rPr>
              <w:t>28</w:t>
            </w:r>
            <w:r w:rsidRPr="00AC2E99">
              <w:rPr>
                <w:webHidden/>
              </w:rPr>
              <w:fldChar w:fldCharType="end"/>
            </w:r>
          </w:hyperlink>
        </w:p>
        <w:p w14:paraId="7B4648D4" w14:textId="18429A83" w:rsidR="00B16BE1" w:rsidRPr="00AC2E99" w:rsidRDefault="00B16BE1" w:rsidP="00FB1A16">
          <w:pPr>
            <w:pStyle w:val="TOC2"/>
            <w:rPr>
              <w:rFonts w:eastAsiaTheme="minorEastAsia"/>
              <w:kern w:val="2"/>
              <w:lang w:eastAsia="en-GB"/>
              <w14:ligatures w14:val="standardContextual"/>
            </w:rPr>
          </w:pPr>
          <w:hyperlink w:anchor="_Toc237088563" w:history="1">
            <w:r w:rsidRPr="00AC2E99">
              <w:rPr>
                <w:rStyle w:val="Hyperlink"/>
                <w:lang w:val="en-US"/>
              </w:rPr>
              <w:t>Appendix 2: Revenue of Greggs Plc</w:t>
            </w:r>
            <w:r w:rsidRPr="00AC2E99">
              <w:rPr>
                <w:webHidden/>
              </w:rPr>
              <w:tab/>
            </w:r>
            <w:r w:rsidRPr="00AC2E99">
              <w:rPr>
                <w:webHidden/>
              </w:rPr>
              <w:fldChar w:fldCharType="begin"/>
            </w:r>
            <w:r w:rsidRPr="00AC2E99">
              <w:rPr>
                <w:webHidden/>
              </w:rPr>
              <w:instrText xml:space="preserve"> PAGEREF _Toc237088563 \h </w:instrText>
            </w:r>
            <w:r w:rsidRPr="00AC2E99">
              <w:rPr>
                <w:webHidden/>
              </w:rPr>
            </w:r>
            <w:r w:rsidRPr="00AC2E99">
              <w:rPr>
                <w:webHidden/>
              </w:rPr>
              <w:fldChar w:fldCharType="separate"/>
            </w:r>
            <w:r w:rsidRPr="00AC2E99">
              <w:rPr>
                <w:webHidden/>
              </w:rPr>
              <w:t>29</w:t>
            </w:r>
            <w:r w:rsidRPr="00AC2E99">
              <w:rPr>
                <w:webHidden/>
              </w:rPr>
              <w:fldChar w:fldCharType="end"/>
            </w:r>
          </w:hyperlink>
        </w:p>
        <w:p w14:paraId="185236CE" w14:textId="5264F2FD" w:rsidR="00A93100" w:rsidRPr="00AC2E99" w:rsidRDefault="00A93100" w:rsidP="00B16BE1">
          <w:pPr>
            <w:rPr>
              <w:rFonts w:cs="Arial"/>
              <w:b/>
              <w:bCs/>
              <w:noProof/>
            </w:rPr>
          </w:pPr>
          <w:r w:rsidRPr="00AC2E99">
            <w:rPr>
              <w:rFonts w:cs="Arial"/>
              <w:b/>
              <w:bCs/>
              <w:noProof/>
            </w:rPr>
            <w:fldChar w:fldCharType="end"/>
          </w:r>
        </w:p>
      </w:sdtContent>
    </w:sdt>
    <w:p w14:paraId="7D2147B8" w14:textId="69205463" w:rsidR="0068199C" w:rsidRPr="00AC2E99" w:rsidRDefault="00000000">
      <w:pPr>
        <w:pStyle w:val="Heading1"/>
        <w:rPr>
          <w:rFonts w:cs="Arial"/>
        </w:rPr>
      </w:pPr>
      <w:bookmarkStart w:id="1" w:name="_Toc237088536"/>
      <w:r w:rsidRPr="00AC2E99">
        <w:rPr>
          <w:rFonts w:cs="Arial"/>
        </w:rPr>
        <w:t>Section 1: Report</w:t>
      </w:r>
      <w:bookmarkEnd w:id="1"/>
      <w:r w:rsidRPr="00AC2E99">
        <w:rPr>
          <w:rFonts w:cs="Arial"/>
        </w:rPr>
        <w:t xml:space="preserve"> </w:t>
      </w:r>
    </w:p>
    <w:p w14:paraId="00C9689D" w14:textId="77777777" w:rsidR="0068199C" w:rsidRPr="00AC2E99" w:rsidRDefault="00000000">
      <w:pPr>
        <w:pStyle w:val="Heading2"/>
        <w:rPr>
          <w:rFonts w:cs="Arial"/>
        </w:rPr>
      </w:pPr>
      <w:bookmarkStart w:id="2" w:name="_a81gtdaz9ztm" w:colFirst="0" w:colLast="0"/>
      <w:bookmarkStart w:id="3" w:name="_Toc237088537"/>
      <w:bookmarkEnd w:id="2"/>
      <w:r w:rsidRPr="00AC2E99">
        <w:rPr>
          <w:rFonts w:cs="Arial"/>
        </w:rPr>
        <w:t>1. Organisational Context and Overview</w:t>
      </w:r>
      <w:bookmarkEnd w:id="3"/>
    </w:p>
    <w:p w14:paraId="49BF11CC" w14:textId="77777777" w:rsidR="0068199C" w:rsidRPr="00AC2E99" w:rsidRDefault="00000000">
      <w:pPr>
        <w:pStyle w:val="Heading3"/>
        <w:rPr>
          <w:rFonts w:cs="Arial"/>
        </w:rPr>
      </w:pPr>
      <w:bookmarkStart w:id="4" w:name="_cru2nymiuci6" w:colFirst="0" w:colLast="0"/>
      <w:bookmarkStart w:id="5" w:name="_Toc237088538"/>
      <w:bookmarkEnd w:id="4"/>
      <w:r w:rsidRPr="00AC2E99">
        <w:rPr>
          <w:rFonts w:cs="Arial"/>
        </w:rPr>
        <w:t>1.1 Organisational summary</w:t>
      </w:r>
      <w:bookmarkEnd w:id="5"/>
    </w:p>
    <w:p w14:paraId="421A92E1" w14:textId="76BA6E24" w:rsidR="0068199C" w:rsidRPr="00AC2E99" w:rsidRDefault="00000000">
      <w:pPr>
        <w:rPr>
          <w:rFonts w:cs="Arial"/>
        </w:rPr>
      </w:pPr>
      <w:r w:rsidRPr="00AC2E99">
        <w:rPr>
          <w:rFonts w:cs="Arial"/>
        </w:rPr>
        <w:t xml:space="preserve">Greggs Plc is a British Bakery and </w:t>
      </w:r>
      <w:r w:rsidR="00A93100" w:rsidRPr="00AC2E99">
        <w:rPr>
          <w:rFonts w:cs="Arial"/>
        </w:rPr>
        <w:t>fast-food</w:t>
      </w:r>
      <w:r w:rsidRPr="00AC2E99">
        <w:rPr>
          <w:rFonts w:cs="Arial"/>
        </w:rPr>
        <w:t xml:space="preserve"> chain, but the organisation is mainly popular for their on-the-go savoury products such as sandwiches, sausage rolls, sweet items, etc. The </w:t>
      </w:r>
      <w:r w:rsidR="00A93100" w:rsidRPr="00AC2E99">
        <w:rPr>
          <w:rFonts w:cs="Arial"/>
        </w:rPr>
        <w:t>organisation</w:t>
      </w:r>
      <w:r w:rsidRPr="00AC2E99">
        <w:rPr>
          <w:rFonts w:cs="Arial"/>
        </w:rPr>
        <w:t xml:space="preserve"> was founded in 1939 by John Gregg, and its current headquarters is in Newcastle. The number of locations of the organisation is 2500, and Roisin Currie is the CEO. The organisation is listed in the FTSE 250 Index (Greggs UK, 2026). It was founded as a bakery, and then it expanded its business through acquisition, and now it is the largest bakery retail in the UK, </w:t>
      </w:r>
    </w:p>
    <w:p w14:paraId="1081A9E4" w14:textId="77777777" w:rsidR="0068199C" w:rsidRPr="00AC2E99" w:rsidRDefault="00000000">
      <w:pPr>
        <w:rPr>
          <w:rFonts w:cs="Arial"/>
        </w:rPr>
      </w:pPr>
      <w:r w:rsidRPr="00AC2E99">
        <w:rPr>
          <w:rFonts w:cs="Arial"/>
          <w:b/>
          <w:bCs/>
        </w:rPr>
        <w:t>Vision:</w:t>
      </w:r>
      <w:r w:rsidRPr="00AC2E99">
        <w:rPr>
          <w:rFonts w:cs="Arial"/>
        </w:rPr>
        <w:t xml:space="preserve"> The vision is to be customers' favourite for food-on-the-go. </w:t>
      </w:r>
    </w:p>
    <w:p w14:paraId="595F55BC" w14:textId="77777777" w:rsidR="0068199C" w:rsidRPr="00AC2E99" w:rsidRDefault="00000000">
      <w:pPr>
        <w:rPr>
          <w:rFonts w:cs="Arial"/>
        </w:rPr>
      </w:pPr>
      <w:r w:rsidRPr="00AC2E99">
        <w:rPr>
          <w:rFonts w:cs="Arial"/>
          <w:b/>
          <w:bCs/>
        </w:rPr>
        <w:t>Mission:</w:t>
      </w:r>
      <w:r w:rsidRPr="00AC2E99">
        <w:rPr>
          <w:rFonts w:cs="Arial"/>
        </w:rPr>
        <w:t xml:space="preserve"> The core mission is to deliver tasty, freshly prepared foods and make them easily accessible for the customers (Greggs UK, 2026).</w:t>
      </w:r>
    </w:p>
    <w:p w14:paraId="3968F932" w14:textId="77777777" w:rsidR="0068199C" w:rsidRPr="00AC2E99" w:rsidRDefault="00000000">
      <w:pPr>
        <w:rPr>
          <w:rFonts w:cs="Arial"/>
        </w:rPr>
      </w:pPr>
      <w:r w:rsidRPr="00AC2E99">
        <w:rPr>
          <w:rFonts w:cs="Arial"/>
          <w:b/>
          <w:bCs/>
        </w:rPr>
        <w:t>Strategic pillars:</w:t>
      </w:r>
      <w:r w:rsidRPr="00AC2E99">
        <w:rPr>
          <w:rFonts w:cs="Arial"/>
        </w:rPr>
        <w:t xml:space="preserve"> There are four strategic pillars: tasty food, best customer experiences, competitive supply chain and first-class support team. </w:t>
      </w:r>
    </w:p>
    <w:p w14:paraId="0B2CBC39" w14:textId="77777777" w:rsidR="0068199C" w:rsidRPr="00AC2E99" w:rsidRDefault="00000000">
      <w:pPr>
        <w:pStyle w:val="Heading3"/>
        <w:rPr>
          <w:rFonts w:cs="Arial"/>
        </w:rPr>
      </w:pPr>
      <w:bookmarkStart w:id="6" w:name="_kdavrmrohlcq" w:colFirst="0" w:colLast="0"/>
      <w:bookmarkStart w:id="7" w:name="_Toc237088539"/>
      <w:bookmarkEnd w:id="6"/>
      <w:r w:rsidRPr="00AC2E99">
        <w:rPr>
          <w:rFonts w:cs="Arial"/>
        </w:rPr>
        <w:t>1.2 Industry overview</w:t>
      </w:r>
      <w:bookmarkEnd w:id="7"/>
    </w:p>
    <w:p w14:paraId="4E3D8E01" w14:textId="2807C7D0" w:rsidR="0068199C" w:rsidRPr="00AC2E99" w:rsidRDefault="00000000">
      <w:pPr>
        <w:rPr>
          <w:rFonts w:cs="Arial"/>
          <w:color w:val="010101"/>
          <w:sz w:val="23"/>
          <w:szCs w:val="23"/>
        </w:rPr>
      </w:pPr>
      <w:r w:rsidRPr="00AC2E99">
        <w:rPr>
          <w:rFonts w:cs="Arial"/>
        </w:rPr>
        <w:t>The UK food-to-</w:t>
      </w:r>
      <w:r w:rsidR="00A93100" w:rsidRPr="00AC2E99">
        <w:rPr>
          <w:rFonts w:cs="Arial"/>
        </w:rPr>
        <w:t>go,</w:t>
      </w:r>
      <w:r w:rsidRPr="00AC2E99">
        <w:rPr>
          <w:rFonts w:cs="Arial"/>
        </w:rPr>
        <w:t xml:space="preserve"> and bakery sector is one of the most competitive sectors, and it is impacted by convenience, affordability and consumer preferences. According to Neighbourhood Retailer (2023), the market is forecasted to reach </w:t>
      </w:r>
      <w:r w:rsidRPr="00AC2E99">
        <w:rPr>
          <w:rFonts w:cs="Arial"/>
          <w:color w:val="010101"/>
          <w:sz w:val="23"/>
          <w:szCs w:val="23"/>
        </w:rPr>
        <w:t xml:space="preserve">£22.9 billion, which increased from the previous year by 6.2%. It is also found that the industry can reach approximately £ 29 billion by 2028. </w:t>
      </w:r>
    </w:p>
    <w:p w14:paraId="2A7D9827" w14:textId="77777777" w:rsidR="0068199C" w:rsidRPr="00AC2E99" w:rsidRDefault="00000000">
      <w:pPr>
        <w:jc w:val="center"/>
        <w:rPr>
          <w:rFonts w:cs="Arial"/>
          <w:color w:val="010101"/>
          <w:sz w:val="23"/>
          <w:szCs w:val="23"/>
        </w:rPr>
      </w:pPr>
      <w:r w:rsidRPr="00AC2E99">
        <w:rPr>
          <w:rFonts w:cs="Arial"/>
          <w:noProof/>
          <w:color w:val="010101"/>
          <w:sz w:val="23"/>
          <w:szCs w:val="23"/>
        </w:rPr>
        <w:drawing>
          <wp:inline distT="114300" distB="114300" distL="114300" distR="114300" wp14:anchorId="02F86EE6" wp14:editId="12B98835">
            <wp:extent cx="5172075" cy="2352675"/>
            <wp:effectExtent l="19050" t="19050" r="28575" b="2857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172075" cy="2352675"/>
                    </a:xfrm>
                    <a:prstGeom prst="rect">
                      <a:avLst/>
                    </a:prstGeom>
                    <a:ln>
                      <a:solidFill>
                        <a:schemeClr val="bg1">
                          <a:lumMod val="75000"/>
                        </a:schemeClr>
                      </a:solidFill>
                    </a:ln>
                  </pic:spPr>
                </pic:pic>
              </a:graphicData>
            </a:graphic>
          </wp:inline>
        </w:drawing>
      </w:r>
    </w:p>
    <w:p w14:paraId="2F42D734" w14:textId="77777777" w:rsidR="0068199C" w:rsidRPr="00AC2E99" w:rsidRDefault="00000000">
      <w:pPr>
        <w:jc w:val="center"/>
        <w:rPr>
          <w:rFonts w:cs="Arial"/>
          <w:b/>
          <w:bCs/>
          <w:color w:val="010101"/>
          <w:sz w:val="23"/>
          <w:szCs w:val="23"/>
        </w:rPr>
      </w:pPr>
      <w:r w:rsidRPr="00AC2E99">
        <w:rPr>
          <w:rFonts w:cs="Arial"/>
          <w:b/>
          <w:bCs/>
          <w:color w:val="010101"/>
          <w:sz w:val="23"/>
          <w:szCs w:val="23"/>
        </w:rPr>
        <w:t xml:space="preserve">Figure 1: Bakery product market </w:t>
      </w:r>
    </w:p>
    <w:p w14:paraId="3246A0DC" w14:textId="77777777" w:rsidR="0068199C" w:rsidRPr="00AC2E99" w:rsidRDefault="00000000">
      <w:pPr>
        <w:jc w:val="center"/>
        <w:rPr>
          <w:rFonts w:cs="Arial"/>
          <w:color w:val="010101"/>
          <w:sz w:val="23"/>
          <w:szCs w:val="23"/>
        </w:rPr>
      </w:pPr>
      <w:r w:rsidRPr="00AC2E99">
        <w:rPr>
          <w:rFonts w:cs="Arial"/>
          <w:color w:val="010101"/>
          <w:sz w:val="23"/>
          <w:szCs w:val="23"/>
        </w:rPr>
        <w:t xml:space="preserve">(Source: Grand View Research, 2026) </w:t>
      </w:r>
    </w:p>
    <w:p w14:paraId="5A95EFE3" w14:textId="178AB7C4" w:rsidR="0068199C" w:rsidRPr="00AC2E99" w:rsidRDefault="00000000">
      <w:pPr>
        <w:rPr>
          <w:rFonts w:cs="Arial"/>
          <w:color w:val="010101"/>
          <w:sz w:val="23"/>
          <w:szCs w:val="23"/>
        </w:rPr>
      </w:pPr>
      <w:r w:rsidRPr="00AC2E99">
        <w:rPr>
          <w:rFonts w:cs="Arial"/>
          <w:color w:val="010101"/>
          <w:sz w:val="23"/>
          <w:szCs w:val="23"/>
        </w:rPr>
        <w:t xml:space="preserve">Figure 1 shows that the growth is very high in the UK bakery sector, and it reached 811266.3 million in 2025. According to Greggs UK (2025), Greggs is the leading player in this industry in the UK </w:t>
      </w:r>
      <w:r w:rsidR="00FB1A16" w:rsidRPr="00AC2E99">
        <w:rPr>
          <w:rFonts w:cs="Arial"/>
          <w:color w:val="010101"/>
          <w:sz w:val="23"/>
          <w:szCs w:val="23"/>
        </w:rPr>
        <w:t>with £</w:t>
      </w:r>
      <w:r w:rsidRPr="00AC2E99">
        <w:rPr>
          <w:rFonts w:cs="Arial"/>
          <w:color w:val="010101"/>
          <w:sz w:val="23"/>
          <w:szCs w:val="23"/>
        </w:rPr>
        <w:t xml:space="preserve">2.15 billion in sales (Greggs, 2025). </w:t>
      </w:r>
    </w:p>
    <w:p w14:paraId="4520BABF" w14:textId="77777777" w:rsidR="0068199C" w:rsidRPr="00AC2E99" w:rsidRDefault="00000000">
      <w:pPr>
        <w:pStyle w:val="Heading3"/>
        <w:rPr>
          <w:rFonts w:cs="Arial"/>
        </w:rPr>
      </w:pPr>
      <w:bookmarkStart w:id="8" w:name="_smt0xwvv8dbe" w:colFirst="0" w:colLast="0"/>
      <w:bookmarkStart w:id="9" w:name="_Toc237088540"/>
      <w:bookmarkEnd w:id="8"/>
      <w:r w:rsidRPr="00AC2E99">
        <w:rPr>
          <w:rFonts w:cs="Arial"/>
        </w:rPr>
        <w:t>1.3 Competitors</w:t>
      </w:r>
      <w:bookmarkEnd w:id="9"/>
    </w:p>
    <w:p w14:paraId="13A8FEB7" w14:textId="1E828597" w:rsidR="0068199C" w:rsidRPr="00AC2E99" w:rsidRDefault="00000000">
      <w:pPr>
        <w:rPr>
          <w:rFonts w:cs="Arial"/>
        </w:rPr>
      </w:pPr>
      <w:r w:rsidRPr="00AC2E99">
        <w:rPr>
          <w:rFonts w:cs="Arial"/>
        </w:rPr>
        <w:t>Greggs operates in the UK bakery market, and its core competitors are Pret A Manger, Costa Coffee, McDonald's, Subway</w:t>
      </w:r>
      <w:r w:rsidR="00FB1A16">
        <w:rPr>
          <w:rFonts w:cs="Arial"/>
        </w:rPr>
        <w:t>-</w:t>
      </w:r>
    </w:p>
    <w:tbl>
      <w:tblPr>
        <w:tblStyle w:val="GridTable5Dark-Accent4"/>
        <w:tblW w:w="9360" w:type="dxa"/>
        <w:tblLayout w:type="fixed"/>
        <w:tblLook w:val="0600" w:firstRow="0" w:lastRow="0" w:firstColumn="0" w:lastColumn="0" w:noHBand="1" w:noVBand="1"/>
      </w:tblPr>
      <w:tblGrid>
        <w:gridCol w:w="2547"/>
        <w:gridCol w:w="4111"/>
        <w:gridCol w:w="2702"/>
      </w:tblGrid>
      <w:tr w:rsidR="0068199C" w:rsidRPr="00FB1A16" w14:paraId="522E506D" w14:textId="77777777" w:rsidTr="00FB1A16">
        <w:tc>
          <w:tcPr>
            <w:tcW w:w="2547" w:type="dxa"/>
          </w:tcPr>
          <w:p w14:paraId="55407757" w14:textId="6FBD2DA6"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Competitors</w:t>
            </w:r>
          </w:p>
        </w:tc>
        <w:tc>
          <w:tcPr>
            <w:tcW w:w="4111" w:type="dxa"/>
          </w:tcPr>
          <w:p w14:paraId="252F1BAD" w14:textId="478D3EAD"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Strengths</w:t>
            </w:r>
          </w:p>
        </w:tc>
        <w:tc>
          <w:tcPr>
            <w:tcW w:w="2702" w:type="dxa"/>
          </w:tcPr>
          <w:p w14:paraId="1B4571E0" w14:textId="10AA58FA"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Threat to Greggs</w:t>
            </w:r>
          </w:p>
        </w:tc>
      </w:tr>
      <w:tr w:rsidR="0068199C" w:rsidRPr="00FB1A16" w14:paraId="7563DBA9" w14:textId="77777777" w:rsidTr="00FB1A16">
        <w:tc>
          <w:tcPr>
            <w:tcW w:w="2547" w:type="dxa"/>
          </w:tcPr>
          <w:p w14:paraId="55D04C53"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Pret A Manger </w:t>
            </w:r>
          </w:p>
        </w:tc>
        <w:tc>
          <w:tcPr>
            <w:tcW w:w="4111" w:type="dxa"/>
          </w:tcPr>
          <w:p w14:paraId="330CE71E"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Fresh premium bakery and food. </w:t>
            </w:r>
          </w:p>
        </w:tc>
        <w:tc>
          <w:tcPr>
            <w:tcW w:w="2702" w:type="dxa"/>
          </w:tcPr>
          <w:p w14:paraId="110B3102"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High </w:t>
            </w:r>
          </w:p>
        </w:tc>
      </w:tr>
      <w:tr w:rsidR="0068199C" w:rsidRPr="00FB1A16" w14:paraId="2C678A69" w14:textId="77777777" w:rsidTr="00FB1A16">
        <w:tc>
          <w:tcPr>
            <w:tcW w:w="2547" w:type="dxa"/>
          </w:tcPr>
          <w:p w14:paraId="12EEDC9B"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Costa coffee </w:t>
            </w:r>
          </w:p>
        </w:tc>
        <w:tc>
          <w:tcPr>
            <w:tcW w:w="4111" w:type="dxa"/>
          </w:tcPr>
          <w:p w14:paraId="7091E3AC"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Strong network and fresh product. </w:t>
            </w:r>
          </w:p>
        </w:tc>
        <w:tc>
          <w:tcPr>
            <w:tcW w:w="2702" w:type="dxa"/>
          </w:tcPr>
          <w:p w14:paraId="27D8349F"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Moderate </w:t>
            </w:r>
          </w:p>
        </w:tc>
      </w:tr>
      <w:tr w:rsidR="0068199C" w:rsidRPr="00FB1A16" w14:paraId="00666001" w14:textId="77777777" w:rsidTr="00FB1A16">
        <w:tc>
          <w:tcPr>
            <w:tcW w:w="2547" w:type="dxa"/>
          </w:tcPr>
          <w:p w14:paraId="1B359F09"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McDonald’s </w:t>
            </w:r>
          </w:p>
        </w:tc>
        <w:tc>
          <w:tcPr>
            <w:tcW w:w="4111" w:type="dxa"/>
          </w:tcPr>
          <w:p w14:paraId="7322DB48"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Global branding and convenience. </w:t>
            </w:r>
          </w:p>
        </w:tc>
        <w:tc>
          <w:tcPr>
            <w:tcW w:w="2702" w:type="dxa"/>
          </w:tcPr>
          <w:p w14:paraId="1B435025"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High </w:t>
            </w:r>
          </w:p>
        </w:tc>
      </w:tr>
      <w:tr w:rsidR="0068199C" w:rsidRPr="00FB1A16" w14:paraId="61E5E0B9" w14:textId="77777777" w:rsidTr="00FB1A16">
        <w:tc>
          <w:tcPr>
            <w:tcW w:w="2547" w:type="dxa"/>
          </w:tcPr>
          <w:p w14:paraId="727DC18E"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Subway </w:t>
            </w:r>
          </w:p>
        </w:tc>
        <w:tc>
          <w:tcPr>
            <w:tcW w:w="4111" w:type="dxa"/>
          </w:tcPr>
          <w:p w14:paraId="5D775175" w14:textId="3ABA5D43"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Customisation and convenience  </w:t>
            </w:r>
          </w:p>
        </w:tc>
        <w:tc>
          <w:tcPr>
            <w:tcW w:w="2702" w:type="dxa"/>
          </w:tcPr>
          <w:p w14:paraId="457CDAE2"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Medium. </w:t>
            </w:r>
          </w:p>
        </w:tc>
      </w:tr>
    </w:tbl>
    <w:p w14:paraId="4AEB0421" w14:textId="72AB1738" w:rsidR="0068199C" w:rsidRDefault="00000000" w:rsidP="00FB1A16">
      <w:pPr>
        <w:jc w:val="center"/>
        <w:rPr>
          <w:rFonts w:cs="Arial"/>
          <w:b/>
          <w:bCs/>
        </w:rPr>
      </w:pPr>
      <w:r w:rsidRPr="00AC2E99">
        <w:rPr>
          <w:rFonts w:cs="Arial"/>
          <w:b/>
          <w:bCs/>
        </w:rPr>
        <w:t>Table 1: Competitors analysis</w:t>
      </w:r>
    </w:p>
    <w:p w14:paraId="56A0FADE" w14:textId="44D6BB0D" w:rsidR="00FB1A16" w:rsidRPr="00FB1A16" w:rsidRDefault="00FB1A16" w:rsidP="00FB1A16">
      <w:pPr>
        <w:jc w:val="center"/>
        <w:rPr>
          <w:rFonts w:cs="Arial"/>
        </w:rPr>
      </w:pPr>
      <w:r w:rsidRPr="00FB1A16">
        <w:rPr>
          <w:rFonts w:cs="Arial"/>
        </w:rPr>
        <w:t xml:space="preserve">(Source: </w:t>
      </w:r>
      <w:r w:rsidRPr="00FB1A16">
        <w:rPr>
          <w:rFonts w:cs="Arial"/>
          <w:sz w:val="22"/>
          <w:szCs w:val="22"/>
        </w:rPr>
        <w:t>Global data, 2026)</w:t>
      </w:r>
    </w:p>
    <w:p w14:paraId="350A478C" w14:textId="77777777" w:rsidR="0068199C" w:rsidRPr="00AC2E99" w:rsidRDefault="00000000">
      <w:pPr>
        <w:pStyle w:val="Heading3"/>
        <w:rPr>
          <w:rFonts w:cs="Arial"/>
        </w:rPr>
      </w:pPr>
      <w:bookmarkStart w:id="10" w:name="_t7ft8533zez4" w:colFirst="0" w:colLast="0"/>
      <w:bookmarkStart w:id="11" w:name="_Toc237088541"/>
      <w:bookmarkEnd w:id="10"/>
      <w:r w:rsidRPr="00AC2E99">
        <w:rPr>
          <w:rFonts w:cs="Arial"/>
        </w:rPr>
        <w:t>1.4 Market position</w:t>
      </w:r>
      <w:bookmarkEnd w:id="11"/>
      <w:r w:rsidRPr="00AC2E99">
        <w:rPr>
          <w:rFonts w:cs="Arial"/>
        </w:rPr>
        <w:t xml:space="preserve"> </w:t>
      </w:r>
    </w:p>
    <w:p w14:paraId="66678C5D" w14:textId="77777777" w:rsidR="0068199C" w:rsidRPr="00AC2E99" w:rsidRDefault="00000000">
      <w:pPr>
        <w:rPr>
          <w:rFonts w:cs="Arial"/>
        </w:rPr>
      </w:pPr>
      <w:r w:rsidRPr="00AC2E99">
        <w:rPr>
          <w:rFonts w:cs="Arial"/>
        </w:rPr>
        <w:t>The market position of Greggs is based on quality and convenience, as shown by a positioning map below:</w:t>
      </w:r>
    </w:p>
    <w:p w14:paraId="2D80C911" w14:textId="77777777" w:rsidR="0068199C" w:rsidRPr="00AC2E99" w:rsidRDefault="00000000">
      <w:pPr>
        <w:jc w:val="center"/>
        <w:rPr>
          <w:rFonts w:cs="Arial"/>
        </w:rPr>
      </w:pPr>
      <w:r w:rsidRPr="00AC2E99">
        <w:rPr>
          <w:rFonts w:cs="Arial"/>
          <w:noProof/>
        </w:rPr>
        <w:drawing>
          <wp:inline distT="114300" distB="114300" distL="114300" distR="114300" wp14:anchorId="4D0A93BE" wp14:editId="53901023">
            <wp:extent cx="5905500" cy="3733800"/>
            <wp:effectExtent l="19050" t="19050" r="19050" b="1905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rcRect t="10694" b="10447"/>
                    <a:stretch>
                      <a:fillRect/>
                    </a:stretch>
                  </pic:blipFill>
                  <pic:spPr>
                    <a:xfrm>
                      <a:off x="0" y="0"/>
                      <a:ext cx="5916271" cy="3740610"/>
                    </a:xfrm>
                    <a:prstGeom prst="rect">
                      <a:avLst/>
                    </a:prstGeom>
                    <a:ln>
                      <a:solidFill>
                        <a:schemeClr val="bg1">
                          <a:lumMod val="75000"/>
                        </a:schemeClr>
                      </a:solidFill>
                    </a:ln>
                  </pic:spPr>
                </pic:pic>
              </a:graphicData>
            </a:graphic>
          </wp:inline>
        </w:drawing>
      </w:r>
    </w:p>
    <w:p w14:paraId="40AE5FA0" w14:textId="77777777" w:rsidR="0068199C" w:rsidRPr="00AC2E99" w:rsidRDefault="00000000">
      <w:pPr>
        <w:jc w:val="center"/>
        <w:rPr>
          <w:rFonts w:cs="Arial"/>
          <w:b/>
          <w:bCs/>
        </w:rPr>
      </w:pPr>
      <w:r w:rsidRPr="00AC2E99">
        <w:rPr>
          <w:rFonts w:cs="Arial"/>
          <w:b/>
          <w:bCs/>
        </w:rPr>
        <w:t>Figure 2: Positioning map of Greggs</w:t>
      </w:r>
    </w:p>
    <w:p w14:paraId="7C975DC7" w14:textId="77777777" w:rsidR="0068199C" w:rsidRPr="00AC2E99" w:rsidRDefault="00000000">
      <w:pPr>
        <w:jc w:val="center"/>
        <w:rPr>
          <w:rFonts w:cs="Arial"/>
        </w:rPr>
      </w:pPr>
      <w:r w:rsidRPr="00AC2E99">
        <w:rPr>
          <w:rFonts w:cs="Arial"/>
        </w:rPr>
        <w:t xml:space="preserve">(Source: Self-developed and idea taken from Global data, 2026) </w:t>
      </w:r>
    </w:p>
    <w:p w14:paraId="55F5A7A2" w14:textId="77777777" w:rsidR="0068199C" w:rsidRPr="00AC2E99" w:rsidRDefault="00000000">
      <w:pPr>
        <w:rPr>
          <w:rFonts w:cs="Arial"/>
        </w:rPr>
      </w:pPr>
      <w:r w:rsidRPr="00AC2E99">
        <w:rPr>
          <w:rFonts w:cs="Arial"/>
        </w:rPr>
        <w:t xml:space="preserve">The current map shows that Greggs has a strong balance between quality and convenience, so it positions itself as a balanced organisation based on convenience and quality of food with its good UK store network and affordable quality products (Global data, 2026). </w:t>
      </w:r>
    </w:p>
    <w:p w14:paraId="4C2CD3EF" w14:textId="77777777" w:rsidR="0068199C" w:rsidRPr="00AC2E99" w:rsidRDefault="00000000">
      <w:pPr>
        <w:pStyle w:val="Heading2"/>
        <w:rPr>
          <w:rFonts w:cs="Arial"/>
        </w:rPr>
      </w:pPr>
      <w:bookmarkStart w:id="12" w:name="_byfv3m7e2hfp" w:colFirst="0" w:colLast="0"/>
      <w:bookmarkStart w:id="13" w:name="_Toc237088542"/>
      <w:bookmarkEnd w:id="12"/>
      <w:r w:rsidRPr="00AC2E99">
        <w:rPr>
          <w:rFonts w:cs="Arial"/>
        </w:rPr>
        <w:t>2. External and Internal Analysis</w:t>
      </w:r>
      <w:bookmarkEnd w:id="13"/>
      <w:r w:rsidRPr="00AC2E99">
        <w:rPr>
          <w:rFonts w:cs="Arial"/>
        </w:rPr>
        <w:t xml:space="preserve"> </w:t>
      </w:r>
    </w:p>
    <w:p w14:paraId="6ECB48BF" w14:textId="77777777" w:rsidR="0068199C" w:rsidRPr="00AC2E99" w:rsidRDefault="00000000">
      <w:pPr>
        <w:pStyle w:val="Heading3"/>
        <w:rPr>
          <w:rFonts w:cs="Arial"/>
          <w:color w:val="000000"/>
        </w:rPr>
      </w:pPr>
      <w:bookmarkStart w:id="14" w:name="_83619wj16qn2" w:colFirst="0" w:colLast="0"/>
      <w:bookmarkStart w:id="15" w:name="_Toc237088543"/>
      <w:bookmarkEnd w:id="14"/>
      <w:r w:rsidRPr="00AC2E99">
        <w:rPr>
          <w:rFonts w:cs="Arial"/>
          <w:color w:val="000000"/>
        </w:rPr>
        <w:t>2.1 External factor analysis</w:t>
      </w:r>
      <w:bookmarkEnd w:id="15"/>
      <w:r w:rsidRPr="00AC2E99">
        <w:rPr>
          <w:rFonts w:cs="Arial"/>
          <w:color w:val="000000"/>
        </w:rPr>
        <w:t xml:space="preserve"> </w:t>
      </w:r>
    </w:p>
    <w:p w14:paraId="07B2A7D3" w14:textId="77777777" w:rsidR="0068199C" w:rsidRPr="00AC2E99" w:rsidRDefault="00000000">
      <w:pPr>
        <w:rPr>
          <w:rFonts w:cs="Arial"/>
        </w:rPr>
      </w:pPr>
      <w:r w:rsidRPr="00AC2E99">
        <w:rPr>
          <w:rFonts w:cs="Arial"/>
        </w:rPr>
        <w:t>The external analysis of Greggs can be done by application of PESTLE analysis.</w:t>
      </w:r>
    </w:p>
    <w:tbl>
      <w:tblPr>
        <w:tblStyle w:val="Table2"/>
        <w:tblW w:w="977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F2F2" w:themeFill="background1" w:themeFillShade="F2"/>
        <w:tblLayout w:type="fixed"/>
        <w:tblLook w:val="0600" w:firstRow="0" w:lastRow="0" w:firstColumn="0" w:lastColumn="0" w:noHBand="1" w:noVBand="1"/>
      </w:tblPr>
      <w:tblGrid>
        <w:gridCol w:w="3120"/>
        <w:gridCol w:w="2966"/>
        <w:gridCol w:w="3685"/>
      </w:tblGrid>
      <w:tr w:rsidR="0068199C" w:rsidRPr="00FB1A16" w14:paraId="58122D4A" w14:textId="77777777" w:rsidTr="00FB1A16">
        <w:trPr>
          <w:trHeight w:val="4615"/>
        </w:trPr>
        <w:tc>
          <w:tcPr>
            <w:tcW w:w="3120" w:type="dxa"/>
            <w:shd w:val="clear" w:color="auto" w:fill="F2F2F2" w:themeFill="background1" w:themeFillShade="F2"/>
            <w:tcMar>
              <w:top w:w="100" w:type="dxa"/>
              <w:left w:w="100" w:type="dxa"/>
              <w:bottom w:w="100" w:type="dxa"/>
              <w:right w:w="100" w:type="dxa"/>
            </w:tcMar>
          </w:tcPr>
          <w:p w14:paraId="6BDCF46F"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Political</w:t>
            </w:r>
          </w:p>
          <w:p w14:paraId="169A3BAA"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current food policy of the UK government focuses on affordability, healthy food consumption and sustainability, which puts pressure on the organisation to maintain sustainability in their ready-made food items. UK laws also focus on the sustainable sourcing of the products, as the UK Food Strategy 2025 focuses more on sustainability and healthy food consumption (UK Government, 2025). </w:t>
            </w:r>
          </w:p>
        </w:tc>
        <w:tc>
          <w:tcPr>
            <w:tcW w:w="2966" w:type="dxa"/>
            <w:shd w:val="clear" w:color="auto" w:fill="F2F2F2" w:themeFill="background1" w:themeFillShade="F2"/>
            <w:tcMar>
              <w:top w:w="100" w:type="dxa"/>
              <w:left w:w="100" w:type="dxa"/>
              <w:bottom w:w="100" w:type="dxa"/>
              <w:right w:w="100" w:type="dxa"/>
            </w:tcMar>
          </w:tcPr>
          <w:p w14:paraId="35EFAD9E"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Economic</w:t>
            </w:r>
          </w:p>
          <w:p w14:paraId="46E45D77" w14:textId="6EAD258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In the UK current inflation rate is 2.6%, which impacts the operations of Greggs. On the other hand, food and non-alcoholic beverage prices have increased by 1.7%, which creates a challenge for the organisation (ONS UK, 2021). The consumer purchasing power has been reduced due to rising prices of products; it also puts pressure on the organisation. The rapidly increasing operational costs also impact the organisation's profitability</w:t>
            </w:r>
            <w:r w:rsidR="00A93100" w:rsidRPr="00FB1A16">
              <w:rPr>
                <w:rFonts w:cs="Arial"/>
                <w:sz w:val="20"/>
                <w:szCs w:val="20"/>
              </w:rPr>
              <w:t xml:space="preserve"> (Barney and Hesterly, 2015)</w:t>
            </w:r>
            <w:r w:rsidRPr="00FB1A16">
              <w:rPr>
                <w:rFonts w:cs="Arial"/>
                <w:sz w:val="20"/>
                <w:szCs w:val="20"/>
              </w:rPr>
              <w:t xml:space="preserve">. </w:t>
            </w:r>
          </w:p>
        </w:tc>
        <w:tc>
          <w:tcPr>
            <w:tcW w:w="3685" w:type="dxa"/>
            <w:shd w:val="clear" w:color="auto" w:fill="F2F2F2" w:themeFill="background1" w:themeFillShade="F2"/>
            <w:tcMar>
              <w:top w:w="100" w:type="dxa"/>
              <w:left w:w="100" w:type="dxa"/>
              <w:bottom w:w="100" w:type="dxa"/>
              <w:right w:w="100" w:type="dxa"/>
            </w:tcMar>
          </w:tcPr>
          <w:p w14:paraId="41E27A9E"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Social</w:t>
            </w:r>
          </w:p>
          <w:p w14:paraId="2886D7D1"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core trend in this market is convenience food along with healthy food. In the UK, the number of overweight people is increasing, so the demand for healthy foods is also increasing. The demand for convenience along with sustainable food products is increasing among UK consumers (Norton et al., 2022). Based on the demand, there are different organisations like Costa Coffee and McDonald's that are also serving healthy and convenient products, which creates core competition for the organisation. </w:t>
            </w:r>
          </w:p>
        </w:tc>
      </w:tr>
      <w:tr w:rsidR="0068199C" w:rsidRPr="00FB1A16" w14:paraId="3ABB3785" w14:textId="77777777" w:rsidTr="00FB1A16">
        <w:tc>
          <w:tcPr>
            <w:tcW w:w="3120" w:type="dxa"/>
            <w:shd w:val="clear" w:color="auto" w:fill="F2F2F2" w:themeFill="background1" w:themeFillShade="F2"/>
            <w:tcMar>
              <w:top w:w="100" w:type="dxa"/>
              <w:left w:w="100" w:type="dxa"/>
              <w:bottom w:w="100" w:type="dxa"/>
              <w:right w:w="100" w:type="dxa"/>
            </w:tcMar>
          </w:tcPr>
          <w:p w14:paraId="4C604AD8"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Technological</w:t>
            </w:r>
          </w:p>
          <w:p w14:paraId="25242DF1"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current advancement of digital technology in the UK impacts Greggs' digital adoption. The Greggs App supports mobile ordering, delivery, and loyalty applications; the organisation also uses its website and Click+ Collect technologies. The organisation also makes digital partnerships with Uber Eats, Just Eat, etc (Greggs, 2026). The organisation applies digital marketing, especially social media marketing strategies. </w:t>
            </w:r>
          </w:p>
        </w:tc>
        <w:tc>
          <w:tcPr>
            <w:tcW w:w="2966" w:type="dxa"/>
            <w:shd w:val="clear" w:color="auto" w:fill="F2F2F2" w:themeFill="background1" w:themeFillShade="F2"/>
            <w:tcMar>
              <w:top w:w="100" w:type="dxa"/>
              <w:left w:w="100" w:type="dxa"/>
              <w:bottom w:w="100" w:type="dxa"/>
              <w:right w:w="100" w:type="dxa"/>
            </w:tcMar>
          </w:tcPr>
          <w:p w14:paraId="7803387C"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Legal</w:t>
            </w:r>
          </w:p>
          <w:p w14:paraId="2E9AE742"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UK food safety laws, employment laws, and GDPR for data protection are followed by the organisation. As per legal requirements, the organisation maintains labelling, allergen requirements, etc. (UK Government, 2025). They make their packaging with allergen information as labelling to comply with the laws.  </w:t>
            </w:r>
          </w:p>
        </w:tc>
        <w:tc>
          <w:tcPr>
            <w:tcW w:w="3685" w:type="dxa"/>
            <w:shd w:val="clear" w:color="auto" w:fill="F2F2F2" w:themeFill="background1" w:themeFillShade="F2"/>
            <w:tcMar>
              <w:top w:w="100" w:type="dxa"/>
              <w:left w:w="100" w:type="dxa"/>
              <w:bottom w:w="100" w:type="dxa"/>
              <w:right w:w="100" w:type="dxa"/>
            </w:tcMar>
          </w:tcPr>
          <w:p w14:paraId="07A68C59"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Environmental</w:t>
            </w:r>
          </w:p>
          <w:p w14:paraId="1B62DCBE"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UK government has enforced strict environmental laws, which the organisations follow. However, the organisation also faces issues regarding food waste, carbon emissions, and supply chain-related climate risk. The organisation has to apply the ERP rules, which increase packaging and recycling costs (UK Government, 2026). However, the organisation is also responsible for redistributing 45% of surplus food, which shows social responsibility (Greggs Corporate, 2026). </w:t>
            </w:r>
          </w:p>
        </w:tc>
      </w:tr>
    </w:tbl>
    <w:p w14:paraId="3B4DC2A2" w14:textId="77777777" w:rsidR="0068199C" w:rsidRPr="00AC2E99" w:rsidRDefault="00000000">
      <w:pPr>
        <w:jc w:val="center"/>
        <w:rPr>
          <w:rFonts w:cs="Arial"/>
          <w:b/>
          <w:bCs/>
        </w:rPr>
      </w:pPr>
      <w:r w:rsidRPr="00AC2E99">
        <w:rPr>
          <w:rFonts w:cs="Arial"/>
          <w:b/>
          <w:bCs/>
        </w:rPr>
        <w:t>Table 2: PESTLE analysis</w:t>
      </w:r>
    </w:p>
    <w:p w14:paraId="04347907" w14:textId="77777777" w:rsidR="00FB1A16" w:rsidRDefault="00FB1A16">
      <w:pPr>
        <w:spacing w:before="200" w:after="0"/>
        <w:rPr>
          <w:rFonts w:cs="Arial"/>
        </w:rPr>
      </w:pPr>
      <w:r>
        <w:rPr>
          <w:rFonts w:cs="Arial"/>
        </w:rPr>
        <w:br w:type="page"/>
      </w:r>
    </w:p>
    <w:p w14:paraId="3130881C" w14:textId="67AD737D" w:rsidR="0068199C" w:rsidRPr="00AC2E99" w:rsidRDefault="00000000">
      <w:pPr>
        <w:rPr>
          <w:rFonts w:cs="Arial"/>
        </w:rPr>
      </w:pPr>
      <w:r w:rsidRPr="00AC2E99">
        <w:rPr>
          <w:rFonts w:cs="Arial"/>
        </w:rPr>
        <w:t>From the analysis, the opportunities and threats for the organisation are also identified.</w:t>
      </w:r>
    </w:p>
    <w:p w14:paraId="2DE26A0C" w14:textId="77777777" w:rsidR="0068199C" w:rsidRPr="00AC2E99" w:rsidRDefault="00000000">
      <w:pPr>
        <w:rPr>
          <w:rFonts w:cs="Arial"/>
          <w:b/>
          <w:bCs/>
          <w:u w:val="single"/>
        </w:rPr>
      </w:pPr>
      <w:r w:rsidRPr="00AC2E99">
        <w:rPr>
          <w:rFonts w:cs="Arial"/>
          <w:b/>
          <w:bCs/>
          <w:u w:val="single"/>
        </w:rPr>
        <w:t>Opportunities:</w:t>
      </w:r>
    </w:p>
    <w:p w14:paraId="620B19F6" w14:textId="77777777" w:rsidR="0068199C" w:rsidRPr="00AC2E99" w:rsidRDefault="00000000">
      <w:pPr>
        <w:rPr>
          <w:rFonts w:cs="Arial"/>
        </w:rPr>
      </w:pPr>
      <w:r w:rsidRPr="00AC2E99">
        <w:rPr>
          <w:rFonts w:cs="Arial"/>
        </w:rPr>
        <w:t>The opportunities for the organisation are:</w:t>
      </w:r>
    </w:p>
    <w:p w14:paraId="5EEFD6C5" w14:textId="486B1123" w:rsidR="0068199C" w:rsidRPr="00AC2E99" w:rsidRDefault="00000000">
      <w:pPr>
        <w:rPr>
          <w:rFonts w:cs="Arial"/>
        </w:rPr>
      </w:pPr>
      <w:r w:rsidRPr="00AC2E99">
        <w:rPr>
          <w:rFonts w:cs="Arial"/>
          <w:b/>
          <w:bCs/>
          <w:i/>
          <w:iCs/>
        </w:rPr>
        <w:t>Healthy product development</w:t>
      </w:r>
      <w:r w:rsidR="00C10F75" w:rsidRPr="00AC2E99">
        <w:rPr>
          <w:rFonts w:cs="Arial"/>
          <w:b/>
          <w:bCs/>
          <w:i/>
          <w:iCs/>
        </w:rPr>
        <w:t xml:space="preserve"> related to social factors</w:t>
      </w:r>
      <w:r w:rsidRPr="00AC2E99">
        <w:rPr>
          <w:rFonts w:cs="Arial"/>
          <w:b/>
          <w:bCs/>
          <w:i/>
          <w:iCs/>
        </w:rPr>
        <w:t xml:space="preserve">: </w:t>
      </w:r>
      <w:r w:rsidRPr="00AC2E99">
        <w:rPr>
          <w:rFonts w:cs="Arial"/>
        </w:rPr>
        <w:t xml:space="preserve">The organisation has to follow the current demand of the UK consumers </w:t>
      </w:r>
      <w:r w:rsidR="00A93100" w:rsidRPr="00AC2E99">
        <w:rPr>
          <w:rFonts w:cs="Arial"/>
        </w:rPr>
        <w:t>and</w:t>
      </w:r>
      <w:r w:rsidRPr="00AC2E99">
        <w:rPr>
          <w:rFonts w:cs="Arial"/>
        </w:rPr>
        <w:t xml:space="preserve"> based on the growing demand for healthy eating, Greggs </w:t>
      </w:r>
      <w:r w:rsidR="00FB1A16" w:rsidRPr="00AC2E99">
        <w:rPr>
          <w:rFonts w:cs="Arial"/>
        </w:rPr>
        <w:t>can</w:t>
      </w:r>
      <w:r w:rsidRPr="00AC2E99">
        <w:rPr>
          <w:rFonts w:cs="Arial"/>
        </w:rPr>
        <w:t xml:space="preserve"> sell healthier foods like low-calorie, high-protein and vegetable meals. It helps to attract the </w:t>
      </w:r>
      <w:r w:rsidR="00A93100" w:rsidRPr="00AC2E99">
        <w:rPr>
          <w:rFonts w:cs="Arial"/>
        </w:rPr>
        <w:t>health-conscious</w:t>
      </w:r>
      <w:r w:rsidRPr="00AC2E99">
        <w:rPr>
          <w:rFonts w:cs="Arial"/>
        </w:rPr>
        <w:t xml:space="preserve"> consumers, and it also supports the nutritional commitment (Greggs Corporate, 2026). </w:t>
      </w:r>
    </w:p>
    <w:p w14:paraId="320F2CB1" w14:textId="39774C83" w:rsidR="0068199C" w:rsidRPr="00AC2E99" w:rsidRDefault="00000000">
      <w:pPr>
        <w:rPr>
          <w:rFonts w:cs="Arial"/>
        </w:rPr>
      </w:pPr>
      <w:r w:rsidRPr="00AC2E99">
        <w:rPr>
          <w:rFonts w:cs="Arial"/>
          <w:b/>
          <w:bCs/>
          <w:i/>
          <w:iCs/>
        </w:rPr>
        <w:t>Digitalisation</w:t>
      </w:r>
      <w:r w:rsidR="00C10F75" w:rsidRPr="00AC2E99">
        <w:rPr>
          <w:rFonts w:cs="Arial"/>
          <w:b/>
          <w:bCs/>
          <w:i/>
          <w:iCs/>
        </w:rPr>
        <w:t xml:space="preserve"> related to technological factor</w:t>
      </w:r>
      <w:r w:rsidRPr="00AC2E99">
        <w:rPr>
          <w:rFonts w:cs="Arial"/>
          <w:b/>
          <w:bCs/>
          <w:i/>
          <w:iCs/>
        </w:rPr>
        <w:t>:</w:t>
      </w:r>
      <w:r w:rsidRPr="00AC2E99">
        <w:rPr>
          <w:rFonts w:cs="Arial"/>
        </w:rPr>
        <w:t xml:space="preserve"> The organisation </w:t>
      </w:r>
      <w:r w:rsidR="00FB1A16" w:rsidRPr="00AC2E99">
        <w:rPr>
          <w:rFonts w:cs="Arial"/>
        </w:rPr>
        <w:t>can</w:t>
      </w:r>
      <w:r w:rsidRPr="00AC2E99">
        <w:rPr>
          <w:rFonts w:cs="Arial"/>
        </w:rPr>
        <w:t xml:space="preserve"> expand globally by using mobile ordering and partnering with online food delivery applications like Uber Eats. Click + Collect and the brand's loyalty programs also provide an opportunity to attract more customers</w:t>
      </w:r>
      <w:r w:rsidR="00A93100" w:rsidRPr="00AC2E99">
        <w:rPr>
          <w:rFonts w:cs="Arial"/>
        </w:rPr>
        <w:t xml:space="preserve"> (Grant, 2018)</w:t>
      </w:r>
      <w:r w:rsidRPr="00AC2E99">
        <w:rPr>
          <w:rFonts w:cs="Arial"/>
        </w:rPr>
        <w:t>. The organisation can use customer data and digital analytics to enhance demand forecasting.</w:t>
      </w:r>
    </w:p>
    <w:p w14:paraId="0B325613" w14:textId="35CDD325" w:rsidR="0068199C" w:rsidRPr="00AC2E99" w:rsidRDefault="00000000">
      <w:pPr>
        <w:rPr>
          <w:rFonts w:cs="Arial"/>
        </w:rPr>
      </w:pPr>
      <w:r w:rsidRPr="00AC2E99">
        <w:rPr>
          <w:rFonts w:cs="Arial"/>
          <w:b/>
          <w:bCs/>
          <w:i/>
          <w:iCs/>
        </w:rPr>
        <w:t>Sustainability</w:t>
      </w:r>
      <w:r w:rsidR="00C10F75" w:rsidRPr="00AC2E99">
        <w:rPr>
          <w:rFonts w:cs="Arial"/>
          <w:b/>
          <w:bCs/>
          <w:i/>
          <w:iCs/>
        </w:rPr>
        <w:t xml:space="preserve"> related with environmental factors</w:t>
      </w:r>
      <w:r w:rsidRPr="00AC2E99">
        <w:rPr>
          <w:rFonts w:cs="Arial"/>
          <w:b/>
          <w:bCs/>
          <w:i/>
          <w:iCs/>
        </w:rPr>
        <w:t>:</w:t>
      </w:r>
      <w:r w:rsidRPr="00AC2E99">
        <w:rPr>
          <w:rFonts w:cs="Arial"/>
        </w:rPr>
        <w:t xml:space="preserve"> Sustainability awareness is increasing among UK consumers, and UK regulations are also very strict, so the organisation have to enhance their packaging system and use food waste reduction, energy efficiency and reducing carbon emissions, which can improve the reputation of the organisation (Woy et al., 2023). </w:t>
      </w:r>
    </w:p>
    <w:p w14:paraId="251CCD3A" w14:textId="1BB65AFB" w:rsidR="0068199C" w:rsidRPr="00AC2E99" w:rsidRDefault="00000000">
      <w:pPr>
        <w:rPr>
          <w:rFonts w:cs="Arial"/>
        </w:rPr>
      </w:pPr>
      <w:r w:rsidRPr="00AC2E99">
        <w:rPr>
          <w:rFonts w:cs="Arial"/>
          <w:b/>
          <w:bCs/>
          <w:i/>
          <w:iCs/>
        </w:rPr>
        <w:t>Network expansion</w:t>
      </w:r>
      <w:r w:rsidR="00C10F75" w:rsidRPr="00AC2E99">
        <w:rPr>
          <w:rFonts w:cs="Arial"/>
          <w:b/>
          <w:bCs/>
          <w:i/>
          <w:iCs/>
        </w:rPr>
        <w:t xml:space="preserve"> related to economic factors</w:t>
      </w:r>
      <w:r w:rsidRPr="00AC2E99">
        <w:rPr>
          <w:rFonts w:cs="Arial"/>
          <w:b/>
          <w:bCs/>
          <w:i/>
          <w:iCs/>
        </w:rPr>
        <w:t>:</w:t>
      </w:r>
      <w:r w:rsidRPr="00AC2E99">
        <w:rPr>
          <w:rFonts w:cs="Arial"/>
        </w:rPr>
        <w:t xml:space="preserve"> The organisation has the opportunity to expand its retail networks because of the demand for convenience; food-to-go organisations are in demand. The organisation has the potential to expand its market globally. </w:t>
      </w:r>
    </w:p>
    <w:p w14:paraId="2F909603" w14:textId="77777777" w:rsidR="00FB1A16" w:rsidRDefault="00FB1A16">
      <w:pPr>
        <w:spacing w:before="200" w:after="0"/>
        <w:rPr>
          <w:rFonts w:cs="Arial"/>
          <w:b/>
          <w:bCs/>
          <w:u w:val="single"/>
        </w:rPr>
      </w:pPr>
      <w:r>
        <w:rPr>
          <w:rFonts w:cs="Arial"/>
          <w:b/>
          <w:bCs/>
          <w:u w:val="single"/>
        </w:rPr>
        <w:br w:type="page"/>
      </w:r>
    </w:p>
    <w:p w14:paraId="5CF9F7FF" w14:textId="30BF2238" w:rsidR="0068199C" w:rsidRPr="00AC2E99" w:rsidRDefault="00000000">
      <w:pPr>
        <w:rPr>
          <w:rFonts w:cs="Arial"/>
          <w:b/>
          <w:bCs/>
          <w:u w:val="single"/>
        </w:rPr>
      </w:pPr>
      <w:r w:rsidRPr="00AC2E99">
        <w:rPr>
          <w:rFonts w:cs="Arial"/>
          <w:b/>
          <w:bCs/>
          <w:u w:val="single"/>
        </w:rPr>
        <w:t>Threats:</w:t>
      </w:r>
    </w:p>
    <w:p w14:paraId="7CABC7E0" w14:textId="77777777" w:rsidR="0068199C" w:rsidRPr="00AC2E99" w:rsidRDefault="00000000">
      <w:pPr>
        <w:rPr>
          <w:rFonts w:cs="Arial"/>
        </w:rPr>
      </w:pPr>
      <w:r w:rsidRPr="00AC2E99">
        <w:rPr>
          <w:rFonts w:cs="Arial"/>
        </w:rPr>
        <w:t>The organisation can have some threats, which are discussed below:</w:t>
      </w:r>
    </w:p>
    <w:p w14:paraId="651FDF33" w14:textId="67162A6B" w:rsidR="0068199C" w:rsidRPr="00AC2E99" w:rsidRDefault="00000000">
      <w:pPr>
        <w:rPr>
          <w:rFonts w:cs="Arial"/>
        </w:rPr>
      </w:pPr>
      <w:r w:rsidRPr="00AC2E99">
        <w:rPr>
          <w:rFonts w:cs="Arial"/>
          <w:b/>
          <w:bCs/>
          <w:i/>
          <w:iCs/>
        </w:rPr>
        <w:t>Sustainability issues</w:t>
      </w:r>
      <w:r w:rsidR="00C10F75" w:rsidRPr="00AC2E99">
        <w:rPr>
          <w:rFonts w:cs="Arial"/>
          <w:b/>
          <w:bCs/>
          <w:i/>
          <w:iCs/>
        </w:rPr>
        <w:t xml:space="preserve"> related to environmental factors</w:t>
      </w:r>
      <w:r w:rsidRPr="00AC2E99">
        <w:rPr>
          <w:rFonts w:cs="Arial"/>
          <w:b/>
          <w:bCs/>
          <w:i/>
          <w:iCs/>
        </w:rPr>
        <w:t>:</w:t>
      </w:r>
      <w:r w:rsidRPr="00AC2E99">
        <w:rPr>
          <w:rFonts w:cs="Arial"/>
        </w:rPr>
        <w:t xml:space="preserve"> The organisation is responsible for the packaging waste and carbon emissions, which can create a threat for the organisation. The organisation faces the threat of supply chain disruption-related issues (Sustainability Online, 2026). Application of strict environmental rules and other legal aspects can enhance the operational costs.</w:t>
      </w:r>
    </w:p>
    <w:p w14:paraId="12C28710" w14:textId="01561020" w:rsidR="0068199C" w:rsidRPr="00AC2E99" w:rsidRDefault="00000000">
      <w:pPr>
        <w:rPr>
          <w:rFonts w:cs="Arial"/>
        </w:rPr>
      </w:pPr>
      <w:r w:rsidRPr="00AC2E99">
        <w:rPr>
          <w:rFonts w:cs="Arial"/>
          <w:b/>
          <w:bCs/>
          <w:i/>
          <w:iCs/>
        </w:rPr>
        <w:t>Increasing operating costs</w:t>
      </w:r>
      <w:r w:rsidR="00C10F75" w:rsidRPr="00AC2E99">
        <w:rPr>
          <w:rFonts w:cs="Arial"/>
          <w:b/>
          <w:bCs/>
          <w:i/>
          <w:iCs/>
        </w:rPr>
        <w:t xml:space="preserve"> related to economic factors</w:t>
      </w:r>
      <w:r w:rsidRPr="00AC2E99">
        <w:rPr>
          <w:rFonts w:cs="Arial"/>
          <w:b/>
          <w:bCs/>
          <w:i/>
          <w:iCs/>
        </w:rPr>
        <w:t>:</w:t>
      </w:r>
      <w:r w:rsidRPr="00AC2E99">
        <w:rPr>
          <w:rFonts w:cs="Arial"/>
        </w:rPr>
        <w:t xml:space="preserve"> The gradual increase in the inflation rate and the raw materials pricing is also responsible for the rising cost of operating costs; hence, they can face issues in maintaining affordable pricing and protecting the profit margin. </w:t>
      </w:r>
    </w:p>
    <w:p w14:paraId="4BC43AFE" w14:textId="77777777" w:rsidR="0068199C" w:rsidRPr="00AC2E99" w:rsidRDefault="00000000">
      <w:pPr>
        <w:pStyle w:val="Heading3"/>
        <w:rPr>
          <w:rFonts w:cs="Arial"/>
        </w:rPr>
      </w:pPr>
      <w:bookmarkStart w:id="16" w:name="_gn6matiec0g9" w:colFirst="0" w:colLast="0"/>
      <w:bookmarkStart w:id="17" w:name="_Toc237088544"/>
      <w:bookmarkEnd w:id="16"/>
      <w:r w:rsidRPr="00AC2E99">
        <w:rPr>
          <w:rFonts w:cs="Arial"/>
          <w:color w:val="000000"/>
        </w:rPr>
        <w:t>2.2 Internal factor analysis</w:t>
      </w:r>
      <w:bookmarkEnd w:id="17"/>
      <w:r w:rsidRPr="00AC2E99">
        <w:rPr>
          <w:rFonts w:cs="Arial"/>
          <w:color w:val="000000"/>
        </w:rPr>
        <w:t xml:space="preserve"> </w:t>
      </w:r>
    </w:p>
    <w:p w14:paraId="4217F55E" w14:textId="77777777" w:rsidR="0068199C" w:rsidRPr="00AC2E99" w:rsidRDefault="00000000">
      <w:pPr>
        <w:rPr>
          <w:rFonts w:cs="Arial"/>
          <w:b/>
          <w:bCs/>
          <w:u w:val="single"/>
        </w:rPr>
      </w:pPr>
      <w:r w:rsidRPr="00AC2E99">
        <w:rPr>
          <w:rFonts w:cs="Arial"/>
          <w:b/>
          <w:bCs/>
          <w:u w:val="single"/>
        </w:rPr>
        <w:t xml:space="preserve">RBV and VRIO analysis </w:t>
      </w:r>
    </w:p>
    <w:p w14:paraId="2C2D01D9" w14:textId="77777777" w:rsidR="0068199C" w:rsidRPr="00AC2E99" w:rsidRDefault="00000000">
      <w:pPr>
        <w:rPr>
          <w:rFonts w:cs="Arial"/>
        </w:rPr>
      </w:pPr>
      <w:r w:rsidRPr="00AC2E99">
        <w:rPr>
          <w:rFonts w:cs="Arial"/>
        </w:rPr>
        <w:t>The resource-based view method shows the competitive advantages of any organisation based on the resources and capabilities of any organisation. If the capabilities and resources are valuable, rare, inimitable and organised, then the organisation can get competitive advantages (Spalletta et al., 2025). As per the RBV model, there are two types of resources, such as tangible and intangible resources.</w:t>
      </w:r>
    </w:p>
    <w:p w14:paraId="55ACAE7C" w14:textId="77777777" w:rsidR="0068199C" w:rsidRPr="00AC2E99" w:rsidRDefault="00000000">
      <w:pPr>
        <w:rPr>
          <w:rFonts w:cs="Arial"/>
        </w:rPr>
      </w:pPr>
      <w:r w:rsidRPr="00AC2E99">
        <w:rPr>
          <w:rFonts w:cs="Arial"/>
          <w:b/>
          <w:bCs/>
        </w:rPr>
        <w:t>Tangible resources:</w:t>
      </w:r>
      <w:r w:rsidRPr="00AC2E99">
        <w:rPr>
          <w:rFonts w:cs="Arial"/>
        </w:rPr>
        <w:t xml:space="preserve"> The tangible resources of the organisation are their stores, infrastructure, etc.</w:t>
      </w:r>
    </w:p>
    <w:p w14:paraId="5CAE9DEB" w14:textId="77777777" w:rsidR="0068199C" w:rsidRPr="00AC2E99" w:rsidRDefault="00000000">
      <w:pPr>
        <w:rPr>
          <w:rFonts w:cs="Arial"/>
        </w:rPr>
      </w:pPr>
      <w:r w:rsidRPr="00AC2E99">
        <w:rPr>
          <w:rFonts w:cs="Arial"/>
          <w:b/>
          <w:bCs/>
        </w:rPr>
        <w:t>Intangible resources:</w:t>
      </w:r>
      <w:r w:rsidRPr="00AC2E99">
        <w:rPr>
          <w:rFonts w:cs="Arial"/>
        </w:rPr>
        <w:t xml:space="preserve"> The intangible resources of the organisation are the brand reputation, affordable pricing, supply chain, digital platforms and customer loyalty. </w:t>
      </w:r>
    </w:p>
    <w:p w14:paraId="31ED162A" w14:textId="385EBF68" w:rsidR="00FB1A16" w:rsidRDefault="00000000">
      <w:pPr>
        <w:rPr>
          <w:rFonts w:cs="Arial"/>
        </w:rPr>
      </w:pPr>
      <w:r w:rsidRPr="00AC2E99">
        <w:rPr>
          <w:rFonts w:cs="Arial"/>
        </w:rPr>
        <w:t>Based on the resources and capabilities, the VRIO analysis can be done below:</w:t>
      </w:r>
    </w:p>
    <w:p w14:paraId="61529659" w14:textId="60D8EC46" w:rsidR="0068199C" w:rsidRPr="00AC2E99" w:rsidRDefault="00FB1A16" w:rsidP="00FB1A16">
      <w:pPr>
        <w:spacing w:before="200" w:after="0"/>
        <w:rPr>
          <w:rFonts w:cs="Arial"/>
        </w:rPr>
      </w:pPr>
      <w:r>
        <w:rPr>
          <w:rFonts w:cs="Arial"/>
        </w:rPr>
        <w:br w:type="page"/>
      </w:r>
    </w:p>
    <w:tbl>
      <w:tblPr>
        <w:tblStyle w:val="GridTable5Dark"/>
        <w:tblW w:w="9634" w:type="dxa"/>
        <w:tblLayout w:type="fixed"/>
        <w:tblLook w:val="0600" w:firstRow="0" w:lastRow="0" w:firstColumn="0" w:lastColumn="0" w:noHBand="1" w:noVBand="1"/>
      </w:tblPr>
      <w:tblGrid>
        <w:gridCol w:w="2405"/>
        <w:gridCol w:w="1134"/>
        <w:gridCol w:w="992"/>
        <w:gridCol w:w="1276"/>
        <w:gridCol w:w="1276"/>
        <w:gridCol w:w="2551"/>
      </w:tblGrid>
      <w:tr w:rsidR="0068199C" w:rsidRPr="00FB1A16" w14:paraId="015F1574" w14:textId="77777777" w:rsidTr="00FB1A16">
        <w:tc>
          <w:tcPr>
            <w:tcW w:w="2405" w:type="dxa"/>
            <w:tcBorders>
              <w:bottom w:val="single" w:sz="4" w:space="0" w:color="auto"/>
            </w:tcBorders>
            <w:shd w:val="clear" w:color="auto" w:fill="B2A1C7" w:themeFill="accent4" w:themeFillTint="99"/>
          </w:tcPr>
          <w:p w14:paraId="6F782245" w14:textId="7E68E594"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Resource and capabilities</w:t>
            </w:r>
          </w:p>
        </w:tc>
        <w:tc>
          <w:tcPr>
            <w:tcW w:w="1134" w:type="dxa"/>
            <w:tcBorders>
              <w:bottom w:val="single" w:sz="4" w:space="0" w:color="auto"/>
            </w:tcBorders>
            <w:shd w:val="clear" w:color="auto" w:fill="B2A1C7" w:themeFill="accent4" w:themeFillTint="99"/>
          </w:tcPr>
          <w:p w14:paraId="6EC7A92D" w14:textId="193C68F0"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Valuable</w:t>
            </w:r>
          </w:p>
        </w:tc>
        <w:tc>
          <w:tcPr>
            <w:tcW w:w="992" w:type="dxa"/>
            <w:tcBorders>
              <w:bottom w:val="single" w:sz="4" w:space="0" w:color="auto"/>
            </w:tcBorders>
            <w:shd w:val="clear" w:color="auto" w:fill="B2A1C7" w:themeFill="accent4" w:themeFillTint="99"/>
          </w:tcPr>
          <w:p w14:paraId="7CB203C7" w14:textId="3D927091"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Rare</w:t>
            </w:r>
          </w:p>
        </w:tc>
        <w:tc>
          <w:tcPr>
            <w:tcW w:w="1276" w:type="dxa"/>
            <w:tcBorders>
              <w:bottom w:val="single" w:sz="4" w:space="0" w:color="auto"/>
            </w:tcBorders>
            <w:shd w:val="clear" w:color="auto" w:fill="B2A1C7" w:themeFill="accent4" w:themeFillTint="99"/>
          </w:tcPr>
          <w:p w14:paraId="5447E0CD" w14:textId="35F5390D"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Inimitable</w:t>
            </w:r>
          </w:p>
        </w:tc>
        <w:tc>
          <w:tcPr>
            <w:tcW w:w="1276" w:type="dxa"/>
            <w:tcBorders>
              <w:bottom w:val="single" w:sz="4" w:space="0" w:color="auto"/>
            </w:tcBorders>
            <w:shd w:val="clear" w:color="auto" w:fill="B2A1C7" w:themeFill="accent4" w:themeFillTint="99"/>
          </w:tcPr>
          <w:p w14:paraId="64880DE2" w14:textId="1B9A816A"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Organised</w:t>
            </w:r>
          </w:p>
        </w:tc>
        <w:tc>
          <w:tcPr>
            <w:tcW w:w="2551" w:type="dxa"/>
            <w:tcBorders>
              <w:bottom w:val="single" w:sz="4" w:space="0" w:color="auto"/>
            </w:tcBorders>
            <w:shd w:val="clear" w:color="auto" w:fill="B2A1C7" w:themeFill="accent4" w:themeFillTint="99"/>
          </w:tcPr>
          <w:p w14:paraId="52898924" w14:textId="1163833F"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Competitive position</w:t>
            </w:r>
          </w:p>
        </w:tc>
      </w:tr>
      <w:tr w:rsidR="0068199C" w:rsidRPr="00FB1A16" w14:paraId="73E5CC25" w14:textId="77777777" w:rsidTr="00FB1A16">
        <w:tc>
          <w:tcPr>
            <w:tcW w:w="2405" w:type="dxa"/>
            <w:tcBorders>
              <w:top w:val="single" w:sz="4" w:space="0" w:color="auto"/>
            </w:tcBorders>
          </w:tcPr>
          <w:p w14:paraId="37C6C1C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Brand reputation </w:t>
            </w:r>
          </w:p>
        </w:tc>
        <w:tc>
          <w:tcPr>
            <w:tcW w:w="1134" w:type="dxa"/>
            <w:tcBorders>
              <w:top w:val="single" w:sz="4" w:space="0" w:color="auto"/>
            </w:tcBorders>
          </w:tcPr>
          <w:p w14:paraId="5F04E9CD"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Borders>
              <w:top w:val="single" w:sz="4" w:space="0" w:color="auto"/>
            </w:tcBorders>
          </w:tcPr>
          <w:p w14:paraId="5A8A421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Borders>
              <w:top w:val="single" w:sz="4" w:space="0" w:color="auto"/>
            </w:tcBorders>
          </w:tcPr>
          <w:p w14:paraId="0516B71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Borders>
              <w:top w:val="single" w:sz="4" w:space="0" w:color="auto"/>
            </w:tcBorders>
          </w:tcPr>
          <w:p w14:paraId="537B9AF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Borders>
              <w:top w:val="single" w:sz="4" w:space="0" w:color="auto"/>
            </w:tcBorders>
          </w:tcPr>
          <w:p w14:paraId="47F3ED5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Sustained competitive advantages </w:t>
            </w:r>
          </w:p>
        </w:tc>
      </w:tr>
      <w:tr w:rsidR="0068199C" w:rsidRPr="00FB1A16" w14:paraId="57290569" w14:textId="77777777" w:rsidTr="00FB1A16">
        <w:tc>
          <w:tcPr>
            <w:tcW w:w="2405" w:type="dxa"/>
          </w:tcPr>
          <w:p w14:paraId="51D58C9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UK store network </w:t>
            </w:r>
          </w:p>
        </w:tc>
        <w:tc>
          <w:tcPr>
            <w:tcW w:w="1134" w:type="dxa"/>
          </w:tcPr>
          <w:p w14:paraId="087F857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1F2F6BA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7941246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531E7B9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5378AA45"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r w:rsidR="0068199C" w:rsidRPr="00FB1A16" w14:paraId="2B618A72" w14:textId="77777777" w:rsidTr="00FB1A16">
        <w:tc>
          <w:tcPr>
            <w:tcW w:w="2405" w:type="dxa"/>
          </w:tcPr>
          <w:p w14:paraId="5BC1800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Infrastructure </w:t>
            </w:r>
          </w:p>
        </w:tc>
        <w:tc>
          <w:tcPr>
            <w:tcW w:w="1134" w:type="dxa"/>
          </w:tcPr>
          <w:p w14:paraId="2958B80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4B989C3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38ADC23F"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7D01C3A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47BCA70D"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Temporary competitive advantages </w:t>
            </w:r>
          </w:p>
        </w:tc>
      </w:tr>
      <w:tr w:rsidR="0068199C" w:rsidRPr="00FB1A16" w14:paraId="3842BBD8" w14:textId="77777777" w:rsidTr="00FB1A16">
        <w:tc>
          <w:tcPr>
            <w:tcW w:w="2405" w:type="dxa"/>
          </w:tcPr>
          <w:p w14:paraId="58090065"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Affordable products </w:t>
            </w:r>
          </w:p>
        </w:tc>
        <w:tc>
          <w:tcPr>
            <w:tcW w:w="1134" w:type="dxa"/>
          </w:tcPr>
          <w:p w14:paraId="6C60F96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5F4C048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0255DC40"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32EF41B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1FB9DC3C"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r w:rsidR="0068199C" w:rsidRPr="00FB1A16" w14:paraId="068C1E26" w14:textId="77777777" w:rsidTr="00FB1A16">
        <w:tc>
          <w:tcPr>
            <w:tcW w:w="2405" w:type="dxa"/>
          </w:tcPr>
          <w:p w14:paraId="732D2355"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Supply chain capabilities </w:t>
            </w:r>
          </w:p>
        </w:tc>
        <w:tc>
          <w:tcPr>
            <w:tcW w:w="1134" w:type="dxa"/>
          </w:tcPr>
          <w:p w14:paraId="25B17A3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24AAD0C6"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4817FD4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5B5C028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2551" w:type="dxa"/>
          </w:tcPr>
          <w:p w14:paraId="73D9D34D" w14:textId="77777777" w:rsidR="0068199C" w:rsidRPr="00FB1A16" w:rsidRDefault="00000000">
            <w:pPr>
              <w:widowControl w:val="0"/>
              <w:spacing w:before="0"/>
              <w:jc w:val="left"/>
              <w:rPr>
                <w:rFonts w:cs="Arial"/>
                <w:sz w:val="20"/>
                <w:szCs w:val="20"/>
              </w:rPr>
            </w:pPr>
            <w:r w:rsidRPr="00FB1A16">
              <w:rPr>
                <w:rFonts w:cs="Arial"/>
                <w:sz w:val="20"/>
                <w:szCs w:val="20"/>
              </w:rPr>
              <w:t xml:space="preserve">Competitive parity </w:t>
            </w:r>
          </w:p>
        </w:tc>
      </w:tr>
      <w:tr w:rsidR="0068199C" w:rsidRPr="00FB1A16" w14:paraId="73A446C8" w14:textId="77777777" w:rsidTr="00FB1A16">
        <w:tc>
          <w:tcPr>
            <w:tcW w:w="2405" w:type="dxa"/>
          </w:tcPr>
          <w:p w14:paraId="486D3DF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App and digital capability </w:t>
            </w:r>
          </w:p>
        </w:tc>
        <w:tc>
          <w:tcPr>
            <w:tcW w:w="1134" w:type="dxa"/>
          </w:tcPr>
          <w:p w14:paraId="21EE31D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49FB2FD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44682FE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6C02FCC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49A90150" w14:textId="77777777" w:rsidR="0068199C" w:rsidRPr="00FB1A16" w:rsidRDefault="00000000">
            <w:pPr>
              <w:widowControl w:val="0"/>
              <w:spacing w:before="0"/>
              <w:jc w:val="left"/>
              <w:rPr>
                <w:rFonts w:cs="Arial"/>
                <w:sz w:val="20"/>
                <w:szCs w:val="20"/>
              </w:rPr>
            </w:pPr>
            <w:r w:rsidRPr="00FB1A16">
              <w:rPr>
                <w:rFonts w:cs="Arial"/>
                <w:sz w:val="20"/>
                <w:szCs w:val="20"/>
              </w:rPr>
              <w:t xml:space="preserve">Temporary competitive advantages </w:t>
            </w:r>
          </w:p>
        </w:tc>
      </w:tr>
      <w:tr w:rsidR="0068199C" w:rsidRPr="00FB1A16" w14:paraId="62639DB8" w14:textId="77777777" w:rsidTr="00FB1A16">
        <w:tc>
          <w:tcPr>
            <w:tcW w:w="2405" w:type="dxa"/>
          </w:tcPr>
          <w:p w14:paraId="003C560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Customer loyalty </w:t>
            </w:r>
          </w:p>
        </w:tc>
        <w:tc>
          <w:tcPr>
            <w:tcW w:w="1134" w:type="dxa"/>
          </w:tcPr>
          <w:p w14:paraId="25BC14D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3B7869F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1585827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3DEA09D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56890A79"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bl>
    <w:p w14:paraId="22A68CEA" w14:textId="77777777" w:rsidR="0068199C" w:rsidRPr="00AC2E99" w:rsidRDefault="00000000">
      <w:pPr>
        <w:jc w:val="center"/>
        <w:rPr>
          <w:rFonts w:cs="Arial"/>
          <w:b/>
          <w:bCs/>
        </w:rPr>
      </w:pPr>
      <w:r w:rsidRPr="00AC2E99">
        <w:rPr>
          <w:rFonts w:cs="Arial"/>
          <w:b/>
          <w:bCs/>
        </w:rPr>
        <w:t xml:space="preserve"> Table 3: VRIO analysis </w:t>
      </w:r>
    </w:p>
    <w:p w14:paraId="6A78A427" w14:textId="6EFA4BF1" w:rsidR="0068199C" w:rsidRPr="00AC2E99" w:rsidRDefault="00000000">
      <w:pPr>
        <w:rPr>
          <w:rFonts w:cs="Arial"/>
        </w:rPr>
      </w:pPr>
      <w:r w:rsidRPr="00AC2E99">
        <w:rPr>
          <w:rFonts w:cs="Arial"/>
        </w:rPr>
        <w:t xml:space="preserve">As per the VRIO analysis, brand reputation, UK store network, affordable pricing and customer loyalty have sustained competitive advantages. On the other hand, their current infrastructure and digital service have faced temporary advantages. Because those are not </w:t>
      </w:r>
      <w:r w:rsidR="00A93100" w:rsidRPr="00AC2E99">
        <w:rPr>
          <w:rFonts w:cs="Arial"/>
        </w:rPr>
        <w:t>unique,</w:t>
      </w:r>
      <w:r w:rsidRPr="00AC2E99">
        <w:rPr>
          <w:rFonts w:cs="Arial"/>
        </w:rPr>
        <w:t xml:space="preserve"> but it has value, and those are organised (Greggs, 2025). However, their supply chain capability faces competitive parity because it has a lack of sustainability in the supply chain. </w:t>
      </w:r>
      <w:r w:rsidR="00C10F75" w:rsidRPr="00AC2E99">
        <w:rPr>
          <w:rFonts w:cs="Arial"/>
        </w:rPr>
        <w:t xml:space="preserve">Brand reputation, UK store network, affordable products and customer loyalties are the rare, which shows that other competitive rivalry of the sector can’t imitate all these due to its uniqueness.  </w:t>
      </w:r>
    </w:p>
    <w:p w14:paraId="313E6062" w14:textId="77777777" w:rsidR="0068199C" w:rsidRPr="00AC2E99" w:rsidRDefault="00000000">
      <w:pPr>
        <w:rPr>
          <w:rFonts w:cs="Arial"/>
          <w:b/>
          <w:bCs/>
          <w:u w:val="single"/>
        </w:rPr>
      </w:pPr>
      <w:r w:rsidRPr="00AC2E99">
        <w:rPr>
          <w:rFonts w:cs="Arial"/>
          <w:b/>
          <w:bCs/>
          <w:u w:val="single"/>
        </w:rPr>
        <w:t xml:space="preserve">Value chain analysis </w:t>
      </w:r>
    </w:p>
    <w:p w14:paraId="41045EE0" w14:textId="77777777" w:rsidR="0068199C" w:rsidRPr="00AC2E99" w:rsidRDefault="00000000">
      <w:pPr>
        <w:rPr>
          <w:rFonts w:cs="Arial"/>
        </w:rPr>
      </w:pPr>
      <w:r w:rsidRPr="00AC2E99">
        <w:rPr>
          <w:rFonts w:cs="Arial"/>
        </w:rPr>
        <w:t>The value chain analysis model has two activities: primary activities and secondary activities. The current issue related to the activities of the organisation is discussed below:</w:t>
      </w:r>
    </w:p>
    <w:p w14:paraId="5FB897F5" w14:textId="77777777" w:rsidR="0068199C" w:rsidRPr="00AC2E99" w:rsidRDefault="00000000">
      <w:pPr>
        <w:jc w:val="center"/>
        <w:rPr>
          <w:rFonts w:cs="Arial"/>
        </w:rPr>
      </w:pPr>
      <w:r w:rsidRPr="00AC2E99">
        <w:rPr>
          <w:rFonts w:cs="Arial"/>
        </w:rPr>
        <w:t xml:space="preserve"> </w:t>
      </w:r>
      <w:r w:rsidRPr="00AC2E99">
        <w:rPr>
          <w:rFonts w:cs="Arial"/>
          <w:noProof/>
        </w:rPr>
        <w:drawing>
          <wp:inline distT="114300" distB="114300" distL="114300" distR="114300" wp14:anchorId="14BB1EC1" wp14:editId="7D50F316">
            <wp:extent cx="6038850" cy="3238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t="10188" b="9821"/>
                    <a:stretch>
                      <a:fillRect/>
                    </a:stretch>
                  </pic:blipFill>
                  <pic:spPr>
                    <a:xfrm>
                      <a:off x="0" y="0"/>
                      <a:ext cx="6039260" cy="3238720"/>
                    </a:xfrm>
                    <a:prstGeom prst="rect">
                      <a:avLst/>
                    </a:prstGeom>
                  </pic:spPr>
                </pic:pic>
              </a:graphicData>
            </a:graphic>
          </wp:inline>
        </w:drawing>
      </w:r>
    </w:p>
    <w:p w14:paraId="47AA7103" w14:textId="77777777" w:rsidR="0068199C" w:rsidRPr="00AC2E99" w:rsidRDefault="00000000">
      <w:pPr>
        <w:jc w:val="center"/>
        <w:rPr>
          <w:rFonts w:cs="Arial"/>
          <w:b/>
          <w:bCs/>
        </w:rPr>
      </w:pPr>
      <w:r w:rsidRPr="00AC2E99">
        <w:rPr>
          <w:rFonts w:cs="Arial"/>
          <w:b/>
          <w:bCs/>
        </w:rPr>
        <w:t xml:space="preserve">Figure 3: Value chain analysis </w:t>
      </w:r>
    </w:p>
    <w:p w14:paraId="70BE6637" w14:textId="77777777" w:rsidR="0068199C" w:rsidRPr="00AC2E99" w:rsidRDefault="00000000">
      <w:pPr>
        <w:jc w:val="center"/>
        <w:rPr>
          <w:rFonts w:cs="Arial"/>
        </w:rPr>
      </w:pPr>
      <w:r w:rsidRPr="00AC2E99">
        <w:rPr>
          <w:rFonts w:cs="Arial"/>
        </w:rPr>
        <w:t>(Source: Stobierski, 2020)</w:t>
      </w:r>
    </w:p>
    <w:p w14:paraId="53643BEC" w14:textId="77777777" w:rsidR="0068199C" w:rsidRPr="00AC2E99" w:rsidRDefault="00000000">
      <w:pPr>
        <w:rPr>
          <w:rFonts w:cs="Arial"/>
          <w:b/>
          <w:bCs/>
          <w:i/>
          <w:iCs/>
        </w:rPr>
      </w:pPr>
      <w:r w:rsidRPr="00AC2E99">
        <w:rPr>
          <w:rFonts w:cs="Arial"/>
          <w:b/>
          <w:bCs/>
          <w:i/>
          <w:iCs/>
        </w:rPr>
        <w:t xml:space="preserve">Primary activities: </w:t>
      </w:r>
    </w:p>
    <w:p w14:paraId="475BB4F6" w14:textId="77777777" w:rsidR="0068199C" w:rsidRPr="00AC2E99" w:rsidRDefault="00000000">
      <w:pPr>
        <w:rPr>
          <w:rFonts w:cs="Arial"/>
        </w:rPr>
      </w:pPr>
      <w:r w:rsidRPr="00AC2E99">
        <w:rPr>
          <w:rFonts w:cs="Arial"/>
          <w:b/>
          <w:bCs/>
        </w:rPr>
        <w:t xml:space="preserve">Inbound logistics: </w:t>
      </w:r>
      <w:r w:rsidRPr="00AC2E99">
        <w:rPr>
          <w:rFonts w:cs="Arial"/>
        </w:rPr>
        <w:t xml:space="preserve">It is the relationship Greggs has with suppliers and sourcing ingredients. This company needs a lot of ingredients, such as wheat, meat, dairy products and vegetables. Sustainable sourcing is therefore crucial since food crop production can result in GHGs and land and water pressures (Llorente et al., 2023). </w:t>
      </w:r>
    </w:p>
    <w:p w14:paraId="243A0E3F" w14:textId="77777777" w:rsidR="0068199C" w:rsidRPr="00AC2E99" w:rsidRDefault="00000000">
      <w:pPr>
        <w:rPr>
          <w:rFonts w:cs="Arial"/>
        </w:rPr>
      </w:pPr>
      <w:r w:rsidRPr="00AC2E99">
        <w:rPr>
          <w:rFonts w:cs="Arial"/>
          <w:b/>
          <w:bCs/>
        </w:rPr>
        <w:t>Operations</w:t>
      </w:r>
      <w:r w:rsidRPr="00AC2E99">
        <w:rPr>
          <w:rFonts w:cs="Arial"/>
        </w:rPr>
        <w:t xml:space="preserve">: In addition, the operations are particularly important as Greggs has manufacturing plants, bakeries and thousands of retail outlets. Huge energy is used in baking, refrigerating, lighting and heating, so that emits significant carbon emissions (Liu et al., 2023). Another significant operating problem is the reduction of food waste. Unsold food is wasted food, lost ingredients, energy and labour, having further environmental consequences. </w:t>
      </w:r>
    </w:p>
    <w:p w14:paraId="6241484C" w14:textId="77777777" w:rsidR="0068199C" w:rsidRPr="00AC2E99" w:rsidRDefault="00000000">
      <w:pPr>
        <w:rPr>
          <w:rFonts w:cs="Arial"/>
        </w:rPr>
      </w:pPr>
      <w:r w:rsidRPr="00AC2E99">
        <w:rPr>
          <w:rFonts w:cs="Arial"/>
          <w:b/>
          <w:bCs/>
        </w:rPr>
        <w:t xml:space="preserve">Outbound logistics: </w:t>
      </w:r>
      <w:r w:rsidRPr="00AC2E99">
        <w:rPr>
          <w:rFonts w:cs="Arial"/>
        </w:rPr>
        <w:t xml:space="preserve">It is the movement of products from production facilities and distribution centres to the individual stores (Sustainability online, 2026). The organisation faces sustainability issues regarding the excess carbon emissions from the delivery of food. </w:t>
      </w:r>
    </w:p>
    <w:p w14:paraId="7D7F7B66" w14:textId="77777777" w:rsidR="0068199C" w:rsidRPr="00AC2E99" w:rsidRDefault="00000000">
      <w:pPr>
        <w:rPr>
          <w:rFonts w:cs="Arial"/>
        </w:rPr>
      </w:pPr>
      <w:r w:rsidRPr="00AC2E99">
        <w:rPr>
          <w:rFonts w:cs="Arial"/>
          <w:b/>
          <w:bCs/>
        </w:rPr>
        <w:t>Marketing and sales:</w:t>
      </w:r>
      <w:r w:rsidRPr="00AC2E99">
        <w:rPr>
          <w:rFonts w:cs="Arial"/>
        </w:rPr>
        <w:t xml:space="preserve"> Packaging is one of the sustainability concerns of a food-to-go company during the marketing and sales phase. For certain food products like sandwiches, pastries and beverages, packaging is used to keep them hygienic and convenient to use. Packaging serves to protect products, but too much and problematic packaging causes waste. </w:t>
      </w:r>
    </w:p>
    <w:p w14:paraId="1EADF88F" w14:textId="77777777" w:rsidR="0068199C" w:rsidRPr="00AC2E99" w:rsidRDefault="00000000">
      <w:pPr>
        <w:rPr>
          <w:rFonts w:cs="Arial"/>
          <w:b/>
          <w:bCs/>
          <w:i/>
          <w:iCs/>
        </w:rPr>
      </w:pPr>
      <w:r w:rsidRPr="00AC2E99">
        <w:rPr>
          <w:rFonts w:cs="Arial"/>
          <w:b/>
          <w:bCs/>
          <w:i/>
          <w:iCs/>
        </w:rPr>
        <w:t xml:space="preserve">Supportive activities: </w:t>
      </w:r>
    </w:p>
    <w:p w14:paraId="13254D36" w14:textId="77777777" w:rsidR="0068199C" w:rsidRPr="00AC2E99" w:rsidRDefault="00000000">
      <w:pPr>
        <w:rPr>
          <w:rFonts w:cs="Arial"/>
        </w:rPr>
      </w:pPr>
      <w:r w:rsidRPr="00AC2E99">
        <w:rPr>
          <w:rFonts w:cs="Arial"/>
        </w:rPr>
        <w:t>Other activities of Gregg's, which are supportive of operations, also have an impact on the environment. Technological tools can enhance demand forecasting and reduce inventory, thus enabling the firm to meet customer demand (Greggs, 2026). This is an indirect benefit of Greggs' digital ordering and loyalty schemes, which help to reduce food waste at the business level. In the same way, training can be a positive driver of more eco-friendly recycling, energy saving and waste-management behaviours throughout stores. Procurement and corporate governance are both crucial as sustainability criteria need to be embedded in the procurement process, in monitoring and strategic decision-making.</w:t>
      </w:r>
    </w:p>
    <w:p w14:paraId="4760FC9B" w14:textId="77777777" w:rsidR="00B16BE1" w:rsidRPr="00AC2E99" w:rsidRDefault="00B16BE1" w:rsidP="00B16BE1">
      <w:pPr>
        <w:pStyle w:val="Heading2"/>
        <w:rPr>
          <w:rFonts w:cs="Arial"/>
        </w:rPr>
      </w:pPr>
      <w:bookmarkStart w:id="18" w:name="_Toc237088545"/>
      <w:r w:rsidRPr="00AC2E99">
        <w:rPr>
          <w:rFonts w:cs="Arial"/>
        </w:rPr>
        <w:t>2.3 SWOT analysis</w:t>
      </w:r>
      <w:bookmarkEnd w:id="18"/>
    </w:p>
    <w:p w14:paraId="6EC79DBF" w14:textId="2F58443F" w:rsidR="00B16BE1" w:rsidRPr="00AC2E99" w:rsidRDefault="00FB1A16" w:rsidP="00B16BE1">
      <w:pPr>
        <w:rPr>
          <w:rFonts w:cs="Arial"/>
        </w:rPr>
      </w:pPr>
      <w:r w:rsidRPr="00AC2E99">
        <w:rPr>
          <w:rFonts w:cs="Arial"/>
        </w:rPr>
        <w:t>Greggs</w:t>
      </w:r>
      <w:r w:rsidR="00B16BE1" w:rsidRPr="00AC2E99">
        <w:rPr>
          <w:rFonts w:cs="Arial"/>
        </w:rPr>
        <w:t xml:space="preserve"> plc holds a strong position in the market and successfully develops a loyal customer base in the market. The company mainly emphasises fresh product which helps to create high value in the market (Greggs, 2026). Still, there are some gaps in the business operation which pose a threat to long-term sustainability. By using the SWOT framework, it is going to examine the current strengths, weaknesses, opportunities, and threats.</w:t>
      </w:r>
    </w:p>
    <w:tbl>
      <w:tblPr>
        <w:tblW w:w="9067" w:type="dxa"/>
        <w:jc w:val="center"/>
        <w:shd w:val="clear" w:color="auto" w:fill="EAF1DD" w:themeFill="accent3" w:themeFillTint="33"/>
        <w:tblCellMar>
          <w:top w:w="15" w:type="dxa"/>
          <w:left w:w="15" w:type="dxa"/>
          <w:bottom w:w="15" w:type="dxa"/>
          <w:right w:w="15" w:type="dxa"/>
        </w:tblCellMar>
        <w:tblLook w:val="04A0" w:firstRow="1" w:lastRow="0" w:firstColumn="1" w:lastColumn="0" w:noHBand="0" w:noVBand="1"/>
      </w:tblPr>
      <w:tblGrid>
        <w:gridCol w:w="4311"/>
        <w:gridCol w:w="4756"/>
      </w:tblGrid>
      <w:tr w:rsidR="00B16BE1" w:rsidRPr="00AC2E99" w14:paraId="5F6F61F6" w14:textId="77777777" w:rsidTr="008C7C5A">
        <w:trPr>
          <w:trHeight w:val="2064"/>
          <w:jc w:val="center"/>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AFBA79D" w14:textId="77777777" w:rsidR="00B16BE1" w:rsidRPr="00AC2E99" w:rsidRDefault="00B16BE1" w:rsidP="00026477">
            <w:pPr>
              <w:spacing w:before="0" w:line="240" w:lineRule="auto"/>
              <w:jc w:val="center"/>
              <w:rPr>
                <w:rFonts w:cs="Arial"/>
              </w:rPr>
            </w:pPr>
            <w:r w:rsidRPr="00AC2E99">
              <w:rPr>
                <w:rFonts w:cs="Arial"/>
                <w:b/>
                <w:bCs/>
                <w:u w:val="single"/>
              </w:rPr>
              <w:t>Strength</w:t>
            </w:r>
          </w:p>
          <w:p w14:paraId="235A1C5C"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Established brand identity</w:t>
            </w:r>
          </w:p>
          <w:p w14:paraId="52FEC5AB"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Extensive store network</w:t>
            </w:r>
          </w:p>
          <w:p w14:paraId="12F21F92"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Affordable pricing strategy</w:t>
            </w:r>
          </w:p>
          <w:p w14:paraId="6DB1CD79"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Product diversification</w:t>
            </w:r>
          </w:p>
          <w:p w14:paraId="592485F4"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Digital presence (Greggs, 2026).</w:t>
            </w:r>
          </w:p>
        </w:tc>
        <w:tc>
          <w:tcPr>
            <w:tcW w:w="4756"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6933CA2A" w14:textId="77777777" w:rsidR="00B16BE1" w:rsidRPr="00AC2E99" w:rsidRDefault="00B16BE1" w:rsidP="00026477">
            <w:pPr>
              <w:spacing w:before="0" w:line="240" w:lineRule="auto"/>
              <w:jc w:val="center"/>
              <w:rPr>
                <w:rFonts w:cs="Arial"/>
              </w:rPr>
            </w:pPr>
            <w:r w:rsidRPr="00AC2E99">
              <w:rPr>
                <w:rFonts w:cs="Arial"/>
                <w:b/>
                <w:bCs/>
                <w:u w:val="single"/>
              </w:rPr>
              <w:t>Weakness</w:t>
            </w:r>
          </w:p>
          <w:p w14:paraId="02DF9603"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Limited healthy options</w:t>
            </w:r>
          </w:p>
          <w:p w14:paraId="568AA204"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High Supplier dependency (Greggs, 2026).</w:t>
            </w:r>
          </w:p>
          <w:p w14:paraId="1F7664C0"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Rising labour and ingredient costs</w:t>
            </w:r>
          </w:p>
          <w:p w14:paraId="1C03D672"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Identity crisis as a bakery chain</w:t>
            </w:r>
          </w:p>
          <w:p w14:paraId="5A468BD5" w14:textId="77777777" w:rsidR="00B16BE1" w:rsidRPr="00AC2E99" w:rsidRDefault="00B16BE1" w:rsidP="00026477">
            <w:pPr>
              <w:spacing w:before="0" w:line="240" w:lineRule="auto"/>
              <w:rPr>
                <w:rFonts w:cs="Arial"/>
              </w:rPr>
            </w:pPr>
            <w:r w:rsidRPr="00AC2E99">
              <w:rPr>
                <w:rFonts w:cs="Arial"/>
              </w:rPr>
              <w:t> </w:t>
            </w:r>
          </w:p>
        </w:tc>
      </w:tr>
      <w:tr w:rsidR="00B16BE1" w:rsidRPr="00AC2E99" w14:paraId="73F46907" w14:textId="77777777" w:rsidTr="008C7C5A">
        <w:trPr>
          <w:trHeight w:val="2160"/>
          <w:jc w:val="center"/>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4F0E16AC" w14:textId="77777777" w:rsidR="00B16BE1" w:rsidRPr="00AC2E99" w:rsidRDefault="00B16BE1" w:rsidP="00026477">
            <w:pPr>
              <w:spacing w:before="0" w:line="240" w:lineRule="auto"/>
              <w:jc w:val="center"/>
              <w:rPr>
                <w:rFonts w:cs="Arial"/>
              </w:rPr>
            </w:pPr>
            <w:r w:rsidRPr="00AC2E99">
              <w:rPr>
                <w:rFonts w:cs="Arial"/>
                <w:b/>
                <w:bCs/>
                <w:u w:val="single"/>
              </w:rPr>
              <w:t>Opportunity</w:t>
            </w:r>
          </w:p>
          <w:p w14:paraId="6A88AB6F"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Health-conscious trends (</w:t>
            </w:r>
            <w:proofErr w:type="spellStart"/>
            <w:r w:rsidRPr="00FB1A16">
              <w:rPr>
                <w:rFonts w:cs="Arial"/>
              </w:rPr>
              <w:t>Soegoto</w:t>
            </w:r>
            <w:proofErr w:type="spellEnd"/>
            <w:r w:rsidRPr="00FB1A16">
              <w:rPr>
                <w:rFonts w:cs="Arial"/>
              </w:rPr>
              <w:t>, 2021)</w:t>
            </w:r>
          </w:p>
          <w:p w14:paraId="1825B132"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Technology investment</w:t>
            </w:r>
          </w:p>
          <w:p w14:paraId="790B85E8"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Wholesale expansion</w:t>
            </w:r>
          </w:p>
          <w:p w14:paraId="4A1CFEB4"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Sustainability initiatives (Greggs, 2026).</w:t>
            </w:r>
          </w:p>
          <w:p w14:paraId="55642F1C"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International growth opportunity</w:t>
            </w:r>
          </w:p>
        </w:tc>
        <w:tc>
          <w:tcPr>
            <w:tcW w:w="4756"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F701857" w14:textId="77777777" w:rsidR="00B16BE1" w:rsidRPr="00AC2E99" w:rsidRDefault="00B16BE1" w:rsidP="00026477">
            <w:pPr>
              <w:spacing w:before="0" w:line="240" w:lineRule="auto"/>
              <w:jc w:val="center"/>
              <w:rPr>
                <w:rFonts w:cs="Arial"/>
              </w:rPr>
            </w:pPr>
            <w:r w:rsidRPr="00AC2E99">
              <w:rPr>
                <w:rFonts w:cs="Arial"/>
                <w:b/>
                <w:bCs/>
                <w:u w:val="single"/>
              </w:rPr>
              <w:t>Threat</w:t>
            </w:r>
          </w:p>
          <w:p w14:paraId="0A62B346"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Intense competition</w:t>
            </w:r>
          </w:p>
          <w:p w14:paraId="07844D0A"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Economic uncertainty</w:t>
            </w:r>
          </w:p>
          <w:p w14:paraId="798C2C7B"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Ingredient price volatility (Greggs, 2026).</w:t>
            </w:r>
          </w:p>
          <w:p w14:paraId="11935F33"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Labour shortages</w:t>
            </w:r>
          </w:p>
          <w:p w14:paraId="5DB7EC63"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Changing consumer habits</w:t>
            </w:r>
          </w:p>
        </w:tc>
      </w:tr>
    </w:tbl>
    <w:p w14:paraId="026E344C" w14:textId="4873D841" w:rsidR="00B16BE1" w:rsidRPr="00AC2E99" w:rsidRDefault="00B16BE1" w:rsidP="00B16BE1">
      <w:pPr>
        <w:jc w:val="center"/>
        <w:rPr>
          <w:rFonts w:cs="Arial"/>
        </w:rPr>
      </w:pPr>
      <w:r w:rsidRPr="00AC2E99">
        <w:rPr>
          <w:rFonts w:cs="Arial"/>
          <w:b/>
          <w:bCs/>
        </w:rPr>
        <w:t>Table 4: SWOT framework</w:t>
      </w:r>
    </w:p>
    <w:p w14:paraId="58D8F9BC" w14:textId="77777777" w:rsidR="00B16BE1" w:rsidRPr="00AC2E99" w:rsidRDefault="00B16BE1" w:rsidP="00B16BE1">
      <w:pPr>
        <w:rPr>
          <w:rFonts w:cs="Arial"/>
        </w:rPr>
      </w:pPr>
      <w:r w:rsidRPr="00AC2E99">
        <w:rPr>
          <w:rFonts w:cs="Arial"/>
        </w:rPr>
        <w:t>SWOT framework highlights that the company is experiencing significant challenges in the UK market. As per the annual report of Greggs (2026) the company is offering a very limited number of healthy options to the customer, which becomes a threat. Because currently customer increases the demand for healthy food items in the market.  The company's food-on-the-go market product list has been very limited from the initial time. The company never emphasised a menu diversification strategy to meet the ongoing needs of the customer. As it is an old company in the bakery industry, it has been noticed that the company is broadly dependent on local suppliers. According to, Greggs (2026) narrow suppliers list increases vulnerability to sustain during a crisis period. Cost fluctuation effect on the negotiation power of the company with suppliers during global economic crises. As per, company data of Greggs (2026), since 2020, labour issue increase at a high rate. The company does not retain employee at poor wage structure, which became serious concern to maintain the productivity rate of the company in a competitive market.  To retain employees, the company must increase wages, which impacts the overall operational cost of the company. company data (2026) reveals from 2020, labour and ingredient costs increased by 23 %, which negatively impacted the operational and financial performance of the company.  If the company does not work against the identified weak point, then later it can pose a severe threat or challenge.  SWOT analysis identified that the current competition in the market is increasing at a high rate. The company has failed to meet the level of strategic accuracy of the competitor's brand. As an opportunity, it was identified that the company could diversify the product list to develop healthy relationships with customers (Lambie</w:t>
      </w:r>
      <w:r w:rsidRPr="00AC2E99">
        <w:rPr>
          <w:rFonts w:ascii="Cambria Math" w:hAnsi="Cambria Math" w:cs="Cambria Math"/>
        </w:rPr>
        <w:t>‐</w:t>
      </w:r>
      <w:r w:rsidRPr="00AC2E99">
        <w:rPr>
          <w:rFonts w:cs="Arial"/>
        </w:rPr>
        <w:t>Mumford and Kennedy, 2025). Developing a new set of product lists based on the current demand helps to retain customers. Along with this, the company requires an emphasis on employee relations to successfully operate in the bakery industry.</w:t>
      </w:r>
    </w:p>
    <w:p w14:paraId="16F18EFF" w14:textId="77777777" w:rsidR="00B16BE1" w:rsidRPr="00AC2E99" w:rsidRDefault="00B16BE1" w:rsidP="00B16BE1">
      <w:pPr>
        <w:pStyle w:val="Heading1"/>
        <w:rPr>
          <w:rFonts w:cs="Arial"/>
        </w:rPr>
      </w:pPr>
      <w:bookmarkStart w:id="19" w:name="_Toc237088546"/>
      <w:r w:rsidRPr="00AC2E99">
        <w:rPr>
          <w:rFonts w:cs="Arial"/>
        </w:rPr>
        <w:t>3. Comprehensive and holistic view of the organisation</w:t>
      </w:r>
      <w:bookmarkEnd w:id="19"/>
    </w:p>
    <w:p w14:paraId="4C07941E" w14:textId="77777777" w:rsidR="00B16BE1" w:rsidRPr="00AC2E99" w:rsidRDefault="00B16BE1" w:rsidP="00B16BE1">
      <w:pPr>
        <w:pStyle w:val="Heading2"/>
        <w:rPr>
          <w:rFonts w:cs="Arial"/>
        </w:rPr>
      </w:pPr>
      <w:bookmarkStart w:id="20" w:name="_Toc237088547"/>
      <w:r w:rsidRPr="00AC2E99">
        <w:rPr>
          <w:rFonts w:cs="Arial"/>
        </w:rPr>
        <w:t>3.1 Current CSR strategy</w:t>
      </w:r>
      <w:bookmarkEnd w:id="20"/>
    </w:p>
    <w:p w14:paraId="59CA27AD" w14:textId="77777777" w:rsidR="00B16BE1" w:rsidRPr="00AC2E99" w:rsidRDefault="00B16BE1" w:rsidP="00B16BE1">
      <w:pPr>
        <w:rPr>
          <w:rFonts w:cs="Arial"/>
        </w:rPr>
      </w:pPr>
      <w:r w:rsidRPr="00AC2E99">
        <w:rPr>
          <w:rFonts w:cs="Arial"/>
        </w:rPr>
        <w:t xml:space="preserve"> Following the sustainable strategy in the business function is highly essential. It involves the brand image and reputation. In the current time, the use and value of sustainable initiatives is increasing at a high rate, which influences the operational head of Greggs plc to incorporate and create long-term value in the business function.</w:t>
      </w:r>
    </w:p>
    <w:p w14:paraId="3B60FD73" w14:textId="77777777" w:rsidR="00B16BE1" w:rsidRPr="00AC2E99" w:rsidRDefault="00B16BE1" w:rsidP="00B16BE1">
      <w:pPr>
        <w:rPr>
          <w:rFonts w:cs="Arial"/>
        </w:rPr>
      </w:pPr>
      <w:r w:rsidRPr="00AC2E99">
        <w:rPr>
          <w:rFonts w:cs="Arial"/>
          <w:b/>
          <w:bCs/>
        </w:rPr>
        <w:t>Building Stronger, Healthier Communities -</w:t>
      </w:r>
      <w:r w:rsidRPr="00AC2E99">
        <w:rPr>
          <w:rFonts w:cs="Arial"/>
        </w:rPr>
        <w:t xml:space="preserve"> The current CSR strategy of the company is designed with the UN Sustainable Development Goals. The company mainly focuses on building healthier communities, building strong brand positions and making the planet safe. The main reason for considering these three options is to develop a strong brand position in the market (Dvořák et al., 2022). From the annual report (2026) of the company, it has been noticed that the company is successfully able to develop healthy communities in the UK market. Currently, the company support more than 1000 schools and feeds over 75000 children on a daily basis (Wilkinson, 2024). This action of Greggs plc meets with UN SDG 1 and 2.</w:t>
      </w:r>
    </w:p>
    <w:p w14:paraId="12E80A4F" w14:textId="77777777" w:rsidR="00B16BE1" w:rsidRPr="00AC2E99" w:rsidRDefault="00B16BE1" w:rsidP="00B16BE1">
      <w:pPr>
        <w:rPr>
          <w:rFonts w:cs="Arial"/>
        </w:rPr>
      </w:pPr>
      <w:r w:rsidRPr="00AC2E99">
        <w:rPr>
          <w:rFonts w:cs="Arial"/>
          <w:b/>
          <w:bCs/>
        </w:rPr>
        <w:t>Making Our Planet Safer -</w:t>
      </w:r>
      <w:r w:rsidRPr="00AC2E99">
        <w:rPr>
          <w:rFonts w:cs="Arial"/>
        </w:rPr>
        <w:t xml:space="preserve"> Along with this, the company has taken the decision to reduce carbon emission rate by leveraging technology.  By using digital technology, the company is successfully able to reduce carbon emission rate by 56% in 2019 (Greggs, 2026). This is considered the turning point of the business because it proves that the company makes a serious step towards a safe planet. According to, Greggs (2026) the company successfully develop 100% recyclable packaging system, which creates positive brand value in the market. The managing committee of the company took the decision to open eco shops through a sustainable operational plan and this strategy boosts the market share by 5%.</w:t>
      </w:r>
    </w:p>
    <w:p w14:paraId="6AE030E5" w14:textId="77777777" w:rsidR="00B16BE1" w:rsidRDefault="00B16BE1" w:rsidP="00B16BE1">
      <w:pPr>
        <w:rPr>
          <w:rFonts w:cs="Arial"/>
        </w:rPr>
      </w:pPr>
      <w:r w:rsidRPr="00AC2E99">
        <w:rPr>
          <w:rFonts w:cs="Arial"/>
          <w:b/>
          <w:bCs/>
        </w:rPr>
        <w:t>Becoming a Better Business –</w:t>
      </w:r>
      <w:r w:rsidRPr="00AC2E99">
        <w:rPr>
          <w:rFonts w:cs="Arial"/>
        </w:rPr>
        <w:t xml:space="preserve"> The company ranked among the UK's top 4 companies for animal welfare. Taking the decision based on the current issue in the market proves that the organisation is highly concerned about the ongoing sustainable challenge in the market (Olarewaju et al., 2024). The company is currently working on a food waste reduction policy which improves the daily performance.</w:t>
      </w:r>
    </w:p>
    <w:tbl>
      <w:tblPr>
        <w:tblStyle w:val="GridTable3-Accent6"/>
        <w:tblW w:w="0" w:type="auto"/>
        <w:tblLook w:val="04A0" w:firstRow="1" w:lastRow="0" w:firstColumn="1" w:lastColumn="0" w:noHBand="0" w:noVBand="1"/>
      </w:tblPr>
      <w:tblGrid>
        <w:gridCol w:w="1737"/>
        <w:gridCol w:w="7623"/>
      </w:tblGrid>
      <w:tr w:rsidR="00FB1A16" w:rsidRPr="00AC2E99" w14:paraId="2EF81FF7" w14:textId="77777777" w:rsidTr="00FB1A16">
        <w:trPr>
          <w:cnfStyle w:val="100000000000" w:firstRow="1" w:lastRow="0" w:firstColumn="0" w:lastColumn="0" w:oddVBand="0" w:evenVBand="0" w:oddHBand="0" w:evenHBand="0" w:firstRowFirstColumn="0" w:firstRowLastColumn="0" w:lastRowFirstColumn="0" w:lastRowLastColumn="0"/>
          <w:trHeight w:val="503"/>
        </w:trPr>
        <w:tc>
          <w:tcPr>
            <w:cnfStyle w:val="001000000100" w:firstRow="0" w:lastRow="0" w:firstColumn="1" w:lastColumn="0" w:oddVBand="0" w:evenVBand="0" w:oddHBand="0" w:evenHBand="0" w:firstRowFirstColumn="1" w:firstRowLastColumn="0" w:lastRowFirstColumn="0" w:lastRowLastColumn="0"/>
            <w:tcW w:w="0" w:type="auto"/>
            <w:hideMark/>
          </w:tcPr>
          <w:p w14:paraId="38071262" w14:textId="77777777" w:rsidR="00FB1A16" w:rsidRPr="00AC2E99" w:rsidRDefault="00FB1A16" w:rsidP="00FB1A16">
            <w:pPr>
              <w:jc w:val="center"/>
              <w:rPr>
                <w:rFonts w:cs="Arial"/>
              </w:rPr>
            </w:pPr>
            <w:r w:rsidRPr="00AC2E99">
              <w:rPr>
                <w:rFonts w:cs="Arial"/>
              </w:rPr>
              <w:t>Pillar</w:t>
            </w:r>
          </w:p>
        </w:tc>
        <w:tc>
          <w:tcPr>
            <w:tcW w:w="0" w:type="auto"/>
            <w:hideMark/>
          </w:tcPr>
          <w:p w14:paraId="025917F1" w14:textId="77777777" w:rsidR="00FB1A16" w:rsidRPr="00AC2E99" w:rsidRDefault="00FB1A16" w:rsidP="00FB1A16">
            <w:pPr>
              <w:jc w:val="center"/>
              <w:cnfStyle w:val="100000000000" w:firstRow="1" w:lastRow="0" w:firstColumn="0" w:lastColumn="0" w:oddVBand="0" w:evenVBand="0" w:oddHBand="0" w:evenHBand="0" w:firstRowFirstColumn="0" w:firstRowLastColumn="0" w:lastRowFirstColumn="0" w:lastRowLastColumn="0"/>
              <w:rPr>
                <w:rFonts w:cs="Arial"/>
              </w:rPr>
            </w:pPr>
            <w:r w:rsidRPr="00AC2E99">
              <w:rPr>
                <w:rFonts w:cs="Arial"/>
              </w:rPr>
              <w:t>Actions</w:t>
            </w:r>
          </w:p>
        </w:tc>
      </w:tr>
      <w:tr w:rsidR="00FB1A16" w:rsidRPr="00AC2E99" w14:paraId="31A49777" w14:textId="77777777" w:rsidTr="000A11B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7FEF0F09" w14:textId="77777777" w:rsidR="00FB1A16" w:rsidRPr="00AC2E99" w:rsidRDefault="00FB1A16" w:rsidP="000A11B1">
            <w:pPr>
              <w:rPr>
                <w:rFonts w:cs="Arial"/>
              </w:rPr>
            </w:pPr>
            <w:r w:rsidRPr="00AC2E99">
              <w:rPr>
                <w:rFonts w:cs="Arial"/>
                <w:b/>
                <w:bCs/>
              </w:rPr>
              <w:t>Communities</w:t>
            </w:r>
          </w:p>
        </w:tc>
        <w:tc>
          <w:tcPr>
            <w:tcW w:w="0" w:type="auto"/>
            <w:hideMark/>
          </w:tcPr>
          <w:p w14:paraId="1120C7FB" w14:textId="77777777" w:rsidR="00FB1A16" w:rsidRPr="00AC2E99" w:rsidRDefault="00FB1A16" w:rsidP="000A11B1">
            <w:pPr>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Outlet shops, Breakfast Clubs, healthier menu options</w:t>
            </w:r>
          </w:p>
        </w:tc>
      </w:tr>
      <w:tr w:rsidR="00FB1A16" w:rsidRPr="00AC2E99" w14:paraId="6799C28B" w14:textId="77777777" w:rsidTr="000A11B1">
        <w:trPr>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12537B50" w14:textId="77777777" w:rsidR="00FB1A16" w:rsidRPr="00AC2E99" w:rsidRDefault="00FB1A16" w:rsidP="000A11B1">
            <w:pPr>
              <w:rPr>
                <w:rFonts w:cs="Arial"/>
              </w:rPr>
            </w:pPr>
            <w:r w:rsidRPr="00AC2E99">
              <w:rPr>
                <w:rFonts w:cs="Arial"/>
                <w:b/>
                <w:bCs/>
              </w:rPr>
              <w:t>Planet</w:t>
            </w:r>
          </w:p>
        </w:tc>
        <w:tc>
          <w:tcPr>
            <w:tcW w:w="0" w:type="auto"/>
            <w:hideMark/>
          </w:tcPr>
          <w:p w14:paraId="27AE5FB1" w14:textId="77777777" w:rsidR="00FB1A16" w:rsidRPr="00AC2E99" w:rsidRDefault="00FB1A16" w:rsidP="000A11B1">
            <w:pPr>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 xml:space="preserve">Eco-Shops, Emission reduction, recyclable packaging, and use of renewable energy </w:t>
            </w:r>
          </w:p>
        </w:tc>
      </w:tr>
      <w:tr w:rsidR="00FB1A16" w:rsidRPr="00AC2E99" w14:paraId="61A28319" w14:textId="77777777" w:rsidTr="000A11B1">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10C94603" w14:textId="77777777" w:rsidR="00FB1A16" w:rsidRPr="00AC2E99" w:rsidRDefault="00FB1A16" w:rsidP="000A11B1">
            <w:pPr>
              <w:rPr>
                <w:rFonts w:cs="Arial"/>
              </w:rPr>
            </w:pPr>
            <w:r w:rsidRPr="00AC2E99">
              <w:rPr>
                <w:rFonts w:cs="Arial"/>
                <w:b/>
                <w:bCs/>
              </w:rPr>
              <w:t>Business</w:t>
            </w:r>
          </w:p>
        </w:tc>
        <w:tc>
          <w:tcPr>
            <w:tcW w:w="0" w:type="auto"/>
            <w:hideMark/>
          </w:tcPr>
          <w:p w14:paraId="148F89B4" w14:textId="77777777" w:rsidR="00FB1A16" w:rsidRPr="00AC2E99" w:rsidRDefault="00FB1A16" w:rsidP="000A11B1">
            <w:pPr>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Animal welfare program, Sustainable sourcing, equality standards and waste reduction (Olarewaju et al., 2024).</w:t>
            </w:r>
          </w:p>
        </w:tc>
      </w:tr>
    </w:tbl>
    <w:p w14:paraId="00704180" w14:textId="5C385D2F" w:rsidR="00B16BE1" w:rsidRPr="00AC2E99" w:rsidRDefault="00B16BE1" w:rsidP="00FB1A16">
      <w:pPr>
        <w:jc w:val="center"/>
        <w:rPr>
          <w:rFonts w:cs="Arial"/>
        </w:rPr>
      </w:pPr>
      <w:r w:rsidRPr="00AC2E99">
        <w:rPr>
          <w:rFonts w:cs="Arial"/>
          <w:b/>
          <w:bCs/>
        </w:rPr>
        <w:t>Table 5: Key CSR Actions</w:t>
      </w:r>
    </w:p>
    <w:p w14:paraId="6D8D6F03" w14:textId="77777777" w:rsidR="00B16BE1" w:rsidRPr="00AC2E99" w:rsidRDefault="00B16BE1" w:rsidP="00B16BE1">
      <w:pPr>
        <w:rPr>
          <w:rFonts w:cs="Arial"/>
        </w:rPr>
      </w:pPr>
      <w:r w:rsidRPr="00AC2E99">
        <w:rPr>
          <w:rFonts w:cs="Arial"/>
        </w:rPr>
        <w:t>The above table provides a synopsis of the current CSR actions followed by the organisation. From the strategic decision of the company, it has been noticed that the managing committee takes the decision based on current issue which is highlighted by external stakeholders. The main reason for emphasis on current issues is to strengthen the relationship with external stakeholders (Foster, 2021).  To gain the trust of customers, the company utilises social commitment to ensure long-term sustainability.</w:t>
      </w:r>
    </w:p>
    <w:p w14:paraId="65E8CA0A" w14:textId="77777777" w:rsidR="00B16BE1" w:rsidRPr="00AC2E99" w:rsidRDefault="00B16BE1" w:rsidP="00B16BE1">
      <w:pPr>
        <w:rPr>
          <w:rFonts w:cs="Arial"/>
          <w:b/>
          <w:bCs/>
          <w:u w:val="single"/>
        </w:rPr>
      </w:pPr>
      <w:r w:rsidRPr="00AC2E99">
        <w:rPr>
          <w:rFonts w:cs="Arial"/>
          <w:b/>
          <w:bCs/>
          <w:u w:val="single"/>
        </w:rPr>
        <w:t>Evaluation of alignment with business objectives</w:t>
      </w:r>
    </w:p>
    <w:p w14:paraId="2E9BC211" w14:textId="7F070E17" w:rsidR="00B16BE1" w:rsidRPr="00AC2E99" w:rsidRDefault="00B16BE1" w:rsidP="00B16BE1">
      <w:pPr>
        <w:rPr>
          <w:rFonts w:cs="Arial"/>
        </w:rPr>
      </w:pPr>
      <w:r w:rsidRPr="00AC2E99">
        <w:rPr>
          <w:rFonts w:cs="Arial"/>
        </w:rPr>
        <w:t xml:space="preserve">Greggs plc CSR strategy is closely aligned with the organisational core mission and vision in UK food on the go market.   The company developed an </w:t>
      </w:r>
      <w:r w:rsidR="00FB1A16" w:rsidRPr="00AC2E99">
        <w:rPr>
          <w:rFonts w:cs="Arial"/>
        </w:rPr>
        <w:t>eco-shop</w:t>
      </w:r>
      <w:r w:rsidRPr="00AC2E99">
        <w:rPr>
          <w:rFonts w:cs="Arial"/>
        </w:rPr>
        <w:t xml:space="preserve"> option which successfully reduced the food waste rate. The shop design and breakfast menu of Greggs plc are based on market data, which ensures that the company successfully reduces food wastage. As per the UN SDG goal, elimination of waste from the operational process is highly essential to ensure good health and wellbeing (Lambie</w:t>
      </w:r>
      <w:r w:rsidRPr="00AC2E99">
        <w:rPr>
          <w:rFonts w:ascii="Cambria Math" w:hAnsi="Cambria Math" w:cs="Cambria Math"/>
        </w:rPr>
        <w:t>‐</w:t>
      </w:r>
      <w:r w:rsidRPr="00AC2E99">
        <w:rPr>
          <w:rFonts w:cs="Arial"/>
        </w:rPr>
        <w:t>Mumford and Kennedy, 2025). The managing committee of the organisation is committed to following UN SDG 3 in the UK to build a healthy relation with external stakeholders. As a result, it has been noticed that the company has failed to meet the commitment due to a lack of transparency. The company is highly criticised for the current benefits which offer to the employee (Dvořák et al., 2022). There has been no job security offered by the company to the employee in the last 5 years, which impacts organisational performance (Raho, 2021). Sustainable packaging is only an effective decision which is made by the company because it reduces operational cost and regulatory risk. This strategic decision is aligned with the aspect of long-term profitability goal of Greggs plc.</w:t>
      </w:r>
    </w:p>
    <w:p w14:paraId="2870D740" w14:textId="77777777" w:rsidR="00B16BE1" w:rsidRPr="00AC2E99" w:rsidRDefault="00B16BE1" w:rsidP="00B16BE1">
      <w:pPr>
        <w:pStyle w:val="Heading2"/>
        <w:rPr>
          <w:rFonts w:cs="Arial"/>
        </w:rPr>
      </w:pPr>
      <w:bookmarkStart w:id="21" w:name="_Toc237088548"/>
      <w:r w:rsidRPr="00AC2E99">
        <w:rPr>
          <w:rFonts w:cs="Arial"/>
        </w:rPr>
        <w:t>3.2 Balanced scorecard</w:t>
      </w:r>
      <w:bookmarkEnd w:id="21"/>
    </w:p>
    <w:p w14:paraId="0BFE7A42" w14:textId="7E233050" w:rsidR="00FB1A16" w:rsidRDefault="00B16BE1" w:rsidP="00B16BE1">
      <w:pPr>
        <w:rPr>
          <w:rFonts w:cs="Arial"/>
        </w:rPr>
      </w:pPr>
      <w:r w:rsidRPr="00AC2E99">
        <w:rPr>
          <w:rFonts w:cs="Arial"/>
        </w:rPr>
        <w:t>Balance Scorecard refers to the strategic business management technique that was created by Robert Kaplan and David Norton in 1992 (Pierce, 2022). The main reason for using this tool in this section is to tackle the company's performance using four different aspects: financial, customer, internal business process and learning and growth opportunity. This framework provides a clear overview regarding the long-term goal of the company and associated actions.</w:t>
      </w:r>
    </w:p>
    <w:p w14:paraId="457A412D" w14:textId="7CACDCBD" w:rsidR="00B16BE1" w:rsidRPr="00AC2E99" w:rsidRDefault="00FB1A16" w:rsidP="00FB1A16">
      <w:pPr>
        <w:spacing w:before="200" w:after="0"/>
        <w:rPr>
          <w:rFonts w:cs="Arial"/>
        </w:rPr>
      </w:pPr>
      <w:r>
        <w:rPr>
          <w:rFonts w:cs="Arial"/>
        </w:rPr>
        <w:br w:type="page"/>
      </w:r>
    </w:p>
    <w:tbl>
      <w:tblPr>
        <w:tblStyle w:val="GridTable4-Accent3"/>
        <w:tblW w:w="0" w:type="auto"/>
        <w:tblLook w:val="04A0" w:firstRow="1" w:lastRow="0" w:firstColumn="1" w:lastColumn="0" w:noHBand="0" w:noVBand="1"/>
      </w:tblPr>
      <w:tblGrid>
        <w:gridCol w:w="1600"/>
        <w:gridCol w:w="1761"/>
        <w:gridCol w:w="1552"/>
        <w:gridCol w:w="2130"/>
        <w:gridCol w:w="2307"/>
      </w:tblGrid>
      <w:tr w:rsidR="00B16BE1" w:rsidRPr="00FB1A16" w14:paraId="5829C1BB" w14:textId="77777777" w:rsidTr="000264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CA4FECF" w14:textId="77777777" w:rsidR="00B16BE1" w:rsidRPr="00FB1A16" w:rsidRDefault="00B16BE1" w:rsidP="00FB1A16">
            <w:pPr>
              <w:jc w:val="center"/>
              <w:rPr>
                <w:rFonts w:cs="Arial"/>
                <w:sz w:val="22"/>
                <w:szCs w:val="22"/>
              </w:rPr>
            </w:pPr>
            <w:r w:rsidRPr="00FB1A16">
              <w:rPr>
                <w:rFonts w:cs="Arial"/>
                <w:sz w:val="22"/>
                <w:szCs w:val="22"/>
              </w:rPr>
              <w:t>Perspective</w:t>
            </w:r>
          </w:p>
        </w:tc>
        <w:tc>
          <w:tcPr>
            <w:tcW w:w="0" w:type="auto"/>
            <w:hideMark/>
          </w:tcPr>
          <w:p w14:paraId="20D013F5"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Objectives</w:t>
            </w:r>
          </w:p>
        </w:tc>
        <w:tc>
          <w:tcPr>
            <w:tcW w:w="0" w:type="auto"/>
            <w:hideMark/>
          </w:tcPr>
          <w:p w14:paraId="699A5FCA"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KPIs</w:t>
            </w:r>
          </w:p>
        </w:tc>
        <w:tc>
          <w:tcPr>
            <w:tcW w:w="0" w:type="auto"/>
            <w:hideMark/>
          </w:tcPr>
          <w:p w14:paraId="6259B4A7" w14:textId="5008CD14" w:rsidR="00B16BE1" w:rsidRPr="00FB1A16" w:rsidRDefault="006219B3"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 xml:space="preserve">Consultant recommended </w:t>
            </w:r>
            <w:r w:rsidR="00B16BE1" w:rsidRPr="00FB1A16">
              <w:rPr>
                <w:rFonts w:cs="Arial"/>
                <w:sz w:val="22"/>
                <w:szCs w:val="22"/>
              </w:rPr>
              <w:t>Targets</w:t>
            </w:r>
          </w:p>
        </w:tc>
        <w:tc>
          <w:tcPr>
            <w:tcW w:w="0" w:type="auto"/>
            <w:hideMark/>
          </w:tcPr>
          <w:p w14:paraId="26745691"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Initiatives</w:t>
            </w:r>
          </w:p>
        </w:tc>
      </w:tr>
      <w:tr w:rsidR="00B16BE1" w:rsidRPr="00FB1A16" w14:paraId="1F5FB48A" w14:textId="77777777" w:rsidTr="00026477">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0" w:type="auto"/>
            <w:hideMark/>
          </w:tcPr>
          <w:p w14:paraId="54FA0098" w14:textId="77777777" w:rsidR="00B16BE1" w:rsidRPr="00FB1A16" w:rsidRDefault="00B16BE1" w:rsidP="00026477">
            <w:pPr>
              <w:rPr>
                <w:rFonts w:cs="Arial"/>
                <w:sz w:val="22"/>
                <w:szCs w:val="22"/>
              </w:rPr>
            </w:pPr>
            <w:r w:rsidRPr="00FB1A16">
              <w:rPr>
                <w:rFonts w:cs="Arial"/>
                <w:sz w:val="22"/>
                <w:szCs w:val="22"/>
              </w:rPr>
              <w:t>Financial</w:t>
            </w:r>
          </w:p>
        </w:tc>
        <w:tc>
          <w:tcPr>
            <w:tcW w:w="0" w:type="auto"/>
            <w:hideMark/>
          </w:tcPr>
          <w:p w14:paraId="15F5A302"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Profitability and affordability</w:t>
            </w:r>
          </w:p>
        </w:tc>
        <w:tc>
          <w:tcPr>
            <w:tcW w:w="0" w:type="auto"/>
            <w:hideMark/>
          </w:tcPr>
          <w:p w14:paraId="0B7B4AC3"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Revenue growth</w:t>
            </w:r>
          </w:p>
        </w:tc>
        <w:tc>
          <w:tcPr>
            <w:tcW w:w="0" w:type="auto"/>
            <w:hideMark/>
          </w:tcPr>
          <w:p w14:paraId="13EFD5D0"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5–7% growth</w:t>
            </w:r>
          </w:p>
        </w:tc>
        <w:tc>
          <w:tcPr>
            <w:tcW w:w="0" w:type="auto"/>
            <w:hideMark/>
          </w:tcPr>
          <w:p w14:paraId="72EA3E2A"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Outlet expansion and emphasis on renewable energy</w:t>
            </w:r>
          </w:p>
        </w:tc>
      </w:tr>
      <w:tr w:rsidR="00B16BE1" w:rsidRPr="00FB1A16" w14:paraId="23CEA3CC" w14:textId="77777777" w:rsidTr="00026477">
        <w:trPr>
          <w:trHeight w:val="855"/>
        </w:trPr>
        <w:tc>
          <w:tcPr>
            <w:cnfStyle w:val="001000000000" w:firstRow="0" w:lastRow="0" w:firstColumn="1" w:lastColumn="0" w:oddVBand="0" w:evenVBand="0" w:oddHBand="0" w:evenHBand="0" w:firstRowFirstColumn="0" w:firstRowLastColumn="0" w:lastRowFirstColumn="0" w:lastRowLastColumn="0"/>
            <w:tcW w:w="0" w:type="auto"/>
            <w:hideMark/>
          </w:tcPr>
          <w:p w14:paraId="359DDF89" w14:textId="77777777" w:rsidR="00B16BE1" w:rsidRPr="00FB1A16" w:rsidRDefault="00B16BE1" w:rsidP="00026477">
            <w:pPr>
              <w:rPr>
                <w:rFonts w:cs="Arial"/>
                <w:sz w:val="22"/>
                <w:szCs w:val="22"/>
              </w:rPr>
            </w:pPr>
            <w:r w:rsidRPr="00FB1A16">
              <w:rPr>
                <w:rFonts w:cs="Arial"/>
                <w:sz w:val="22"/>
                <w:szCs w:val="22"/>
              </w:rPr>
              <w:t>Customer</w:t>
            </w:r>
          </w:p>
        </w:tc>
        <w:tc>
          <w:tcPr>
            <w:tcW w:w="0" w:type="auto"/>
            <w:hideMark/>
          </w:tcPr>
          <w:p w14:paraId="0495569A"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Satisfaction and loyalty</w:t>
            </w:r>
          </w:p>
        </w:tc>
        <w:tc>
          <w:tcPr>
            <w:tcW w:w="0" w:type="auto"/>
            <w:hideMark/>
          </w:tcPr>
          <w:p w14:paraId="7027FE8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NPS</w:t>
            </w:r>
          </w:p>
        </w:tc>
        <w:tc>
          <w:tcPr>
            <w:tcW w:w="0" w:type="auto"/>
            <w:hideMark/>
          </w:tcPr>
          <w:p w14:paraId="495C5DCE"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NPS &gt; 70</w:t>
            </w:r>
          </w:p>
        </w:tc>
        <w:tc>
          <w:tcPr>
            <w:tcW w:w="0" w:type="auto"/>
            <w:hideMark/>
          </w:tcPr>
          <w:p w14:paraId="77877CE0"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Healthier menu adaptation and app expansion (Greggs, 2026).</w:t>
            </w:r>
          </w:p>
        </w:tc>
      </w:tr>
      <w:tr w:rsidR="00B16BE1" w:rsidRPr="00FB1A16" w14:paraId="51737E55" w14:textId="77777777" w:rsidTr="00026477">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0" w:type="auto"/>
            <w:hideMark/>
          </w:tcPr>
          <w:p w14:paraId="496E9DDA" w14:textId="77777777" w:rsidR="00B16BE1" w:rsidRPr="00FB1A16" w:rsidRDefault="00B16BE1" w:rsidP="00026477">
            <w:pPr>
              <w:rPr>
                <w:rFonts w:cs="Arial"/>
                <w:sz w:val="22"/>
                <w:szCs w:val="22"/>
              </w:rPr>
            </w:pPr>
            <w:r w:rsidRPr="00FB1A16">
              <w:rPr>
                <w:rFonts w:cs="Arial"/>
                <w:sz w:val="22"/>
                <w:szCs w:val="22"/>
              </w:rPr>
              <w:t>Internal Processes</w:t>
            </w:r>
          </w:p>
        </w:tc>
        <w:tc>
          <w:tcPr>
            <w:tcW w:w="0" w:type="auto"/>
            <w:hideMark/>
          </w:tcPr>
          <w:p w14:paraId="33AA9EBF"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Efficiency and sustainability</w:t>
            </w:r>
          </w:p>
        </w:tc>
        <w:tc>
          <w:tcPr>
            <w:tcW w:w="0" w:type="auto"/>
            <w:hideMark/>
          </w:tcPr>
          <w:p w14:paraId="3398C41A"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 of Waste</w:t>
            </w:r>
          </w:p>
        </w:tc>
        <w:tc>
          <w:tcPr>
            <w:tcW w:w="0" w:type="auto"/>
            <w:hideMark/>
          </w:tcPr>
          <w:p w14:paraId="06A7F490"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&lt;0.2% waste</w:t>
            </w:r>
          </w:p>
        </w:tc>
        <w:tc>
          <w:tcPr>
            <w:tcW w:w="0" w:type="auto"/>
            <w:hideMark/>
          </w:tcPr>
          <w:p w14:paraId="745DE6FD"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Supply chain monitoring and AI-based demand forecasting</w:t>
            </w:r>
          </w:p>
        </w:tc>
      </w:tr>
      <w:tr w:rsidR="00B16BE1" w:rsidRPr="00FB1A16" w14:paraId="5B926F78" w14:textId="77777777" w:rsidTr="00026477">
        <w:trPr>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56C2579F" w14:textId="77777777" w:rsidR="00B16BE1" w:rsidRPr="00FB1A16" w:rsidRDefault="00B16BE1" w:rsidP="00026477">
            <w:pPr>
              <w:rPr>
                <w:rFonts w:cs="Arial"/>
                <w:sz w:val="22"/>
                <w:szCs w:val="22"/>
              </w:rPr>
            </w:pPr>
            <w:r w:rsidRPr="00FB1A16">
              <w:rPr>
                <w:rFonts w:cs="Arial"/>
                <w:sz w:val="22"/>
                <w:szCs w:val="22"/>
              </w:rPr>
              <w:t>Learning &amp; Growth</w:t>
            </w:r>
          </w:p>
        </w:tc>
        <w:tc>
          <w:tcPr>
            <w:tcW w:w="0" w:type="auto"/>
            <w:hideMark/>
          </w:tcPr>
          <w:p w14:paraId="78A8594E"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Workforce and innovation</w:t>
            </w:r>
          </w:p>
        </w:tc>
        <w:tc>
          <w:tcPr>
            <w:tcW w:w="0" w:type="auto"/>
            <w:hideMark/>
          </w:tcPr>
          <w:p w14:paraId="6D7710C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Engagement rate</w:t>
            </w:r>
          </w:p>
        </w:tc>
        <w:tc>
          <w:tcPr>
            <w:tcW w:w="0" w:type="auto"/>
            <w:hideMark/>
          </w:tcPr>
          <w:p w14:paraId="0BCB7D7C"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&gt;80% engagement</w:t>
            </w:r>
          </w:p>
        </w:tc>
        <w:tc>
          <w:tcPr>
            <w:tcW w:w="0" w:type="auto"/>
            <w:hideMark/>
          </w:tcPr>
          <w:p w14:paraId="1899B3C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Leadership programs (Greggs, 2026).</w:t>
            </w:r>
          </w:p>
        </w:tc>
      </w:tr>
    </w:tbl>
    <w:p w14:paraId="1BCB45CF" w14:textId="5075F5C9" w:rsidR="00B16BE1" w:rsidRPr="00AC2E99" w:rsidRDefault="00B16BE1" w:rsidP="00B16BE1">
      <w:pPr>
        <w:jc w:val="center"/>
        <w:rPr>
          <w:rFonts w:cs="Arial"/>
        </w:rPr>
      </w:pPr>
      <w:r w:rsidRPr="00AC2E99">
        <w:rPr>
          <w:rFonts w:cs="Arial"/>
          <w:b/>
          <w:bCs/>
        </w:rPr>
        <w:t>Table 6: Balanced Scorecard of Greggs plc</w:t>
      </w:r>
    </w:p>
    <w:p w14:paraId="6041C94C" w14:textId="77777777" w:rsidR="00B16BE1" w:rsidRPr="00AC2E99" w:rsidRDefault="00B16BE1" w:rsidP="00B16BE1">
      <w:pPr>
        <w:rPr>
          <w:rFonts w:cs="Arial"/>
        </w:rPr>
      </w:pPr>
      <w:r w:rsidRPr="00AC2E99">
        <w:rPr>
          <w:rFonts w:cs="Arial"/>
        </w:rPr>
        <w:t>The above table provides a clear understanding of the current actions taken by the company to improve the four different aspects. The company is personally able to meet the long-term vision through the current strategic decisions. Mainly, the internal operational process of the company is very weak, which creates an issue in managing the system (Greggs, 2026). There is no consistency in internal process management because the company emphasises different aspects at different times, which creates gaps (Lee et al., 2021). Waste reduction is the primary action for the company to adopt multiple actions, which create complexity in process management.</w:t>
      </w:r>
    </w:p>
    <w:p w14:paraId="56D4642A" w14:textId="77777777" w:rsidR="00B16BE1" w:rsidRPr="00AC2E99" w:rsidRDefault="00B16BE1" w:rsidP="00B16BE1">
      <w:pPr>
        <w:jc w:val="center"/>
        <w:rPr>
          <w:rFonts w:cs="Arial"/>
          <w:b/>
          <w:bCs/>
        </w:rPr>
      </w:pPr>
      <w:r w:rsidRPr="00AC2E99">
        <w:rPr>
          <w:rFonts w:cs="Arial"/>
          <w:noProof/>
        </w:rPr>
        <w:drawing>
          <wp:inline distT="0" distB="0" distL="0" distR="0" wp14:anchorId="7F678B1B" wp14:editId="2EEFC8B6">
            <wp:extent cx="5162550" cy="3505200"/>
            <wp:effectExtent l="0" t="0" r="0" b="0"/>
            <wp:docPr id="524719646" name="Picture 2" descr="Balanced Scorecard with company icon i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19646" name="Picture 6" descr="Balanced Scorecard with company icon in center"/>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162550" cy="3505200"/>
                    </a:xfrm>
                    <a:prstGeom prst="rect">
                      <a:avLst/>
                    </a:prstGeom>
                    <a:noFill/>
                    <a:ln>
                      <a:noFill/>
                    </a:ln>
                  </pic:spPr>
                </pic:pic>
              </a:graphicData>
            </a:graphic>
          </wp:inline>
        </w:drawing>
      </w:r>
    </w:p>
    <w:p w14:paraId="2D138D41" w14:textId="670B10B0" w:rsidR="00B16BE1" w:rsidRPr="00AC2E99" w:rsidRDefault="00B16BE1" w:rsidP="00B16BE1">
      <w:pPr>
        <w:jc w:val="center"/>
        <w:rPr>
          <w:rFonts w:cs="Arial"/>
          <w:b/>
          <w:bCs/>
        </w:rPr>
      </w:pPr>
      <w:r w:rsidRPr="00AC2E99">
        <w:rPr>
          <w:rFonts w:cs="Arial"/>
        </w:rPr>
        <w:t xml:space="preserve"> </w:t>
      </w:r>
      <w:r w:rsidRPr="00AC2E99">
        <w:rPr>
          <w:rFonts w:cs="Arial"/>
          <w:b/>
          <w:bCs/>
        </w:rPr>
        <w:t>Figure 4: Balanced Scorecard</w:t>
      </w:r>
    </w:p>
    <w:p w14:paraId="621EC2F7" w14:textId="77777777" w:rsidR="00B16BE1" w:rsidRPr="00AC2E99" w:rsidRDefault="00B16BE1" w:rsidP="00B16BE1">
      <w:pPr>
        <w:jc w:val="center"/>
        <w:rPr>
          <w:rFonts w:cs="Arial"/>
        </w:rPr>
      </w:pPr>
      <w:r w:rsidRPr="00AC2E99">
        <w:rPr>
          <w:rFonts w:cs="Arial"/>
        </w:rPr>
        <w:t>(Source: self-developed, idea taken from Madsen, 2025)</w:t>
      </w:r>
    </w:p>
    <w:p w14:paraId="512A5B17" w14:textId="77777777" w:rsidR="00B16BE1" w:rsidRPr="00AC2E99" w:rsidRDefault="00B16BE1" w:rsidP="00B16BE1">
      <w:pPr>
        <w:rPr>
          <w:rFonts w:cs="Arial"/>
        </w:rPr>
      </w:pPr>
      <w:r w:rsidRPr="00AC2E99">
        <w:rPr>
          <w:rFonts w:cs="Arial"/>
        </w:rPr>
        <w:t>The above diagram shows that the company allocates resources across all four departments to ensure long-term sustainability in the business function. From the current financial performance of the company, it can be said that mainly the company needs to expand the leadership program and training opportunities of the employee to meet the ongoing demand (Pierce, 2022). Maintaining internal stability through efficiency ensures that it can successfully compete with McDonald's, Costa Coffee, etc in the UK market.</w:t>
      </w:r>
    </w:p>
    <w:p w14:paraId="60F567A2" w14:textId="77777777" w:rsidR="00B16BE1" w:rsidRPr="00AC2E99" w:rsidRDefault="00B16BE1" w:rsidP="00B16BE1">
      <w:pPr>
        <w:pStyle w:val="Heading1"/>
        <w:rPr>
          <w:rFonts w:cs="Arial"/>
        </w:rPr>
      </w:pPr>
      <w:bookmarkStart w:id="22" w:name="_Toc237088549"/>
      <w:r w:rsidRPr="00AC2E99">
        <w:rPr>
          <w:rFonts w:cs="Arial"/>
        </w:rPr>
        <w:t>4. Strategic Choices and Implementation</w:t>
      </w:r>
      <w:bookmarkEnd w:id="22"/>
    </w:p>
    <w:p w14:paraId="4195895E" w14:textId="77777777" w:rsidR="00B16BE1" w:rsidRPr="00AC2E99" w:rsidRDefault="00B16BE1" w:rsidP="00B16BE1">
      <w:pPr>
        <w:pStyle w:val="Heading2"/>
        <w:rPr>
          <w:rFonts w:cs="Arial"/>
        </w:rPr>
      </w:pPr>
      <w:bookmarkStart w:id="23" w:name="_Toc237088550"/>
      <w:r w:rsidRPr="00AC2E99">
        <w:rPr>
          <w:rFonts w:cs="Arial"/>
        </w:rPr>
        <w:t>4.1 Strategic choices</w:t>
      </w:r>
      <w:bookmarkEnd w:id="23"/>
    </w:p>
    <w:p w14:paraId="20C3BAFC" w14:textId="77777777" w:rsidR="00B16BE1" w:rsidRPr="00AC2E99" w:rsidRDefault="00B16BE1" w:rsidP="00B16BE1">
      <w:pPr>
        <w:rPr>
          <w:rFonts w:cs="Arial"/>
        </w:rPr>
      </w:pPr>
      <w:r w:rsidRPr="00AC2E99">
        <w:rPr>
          <w:rFonts w:cs="Arial"/>
        </w:rPr>
        <w:t>The above evaluation reveals that the company needs to improve the operational process to ensure success in the long term. Based on the identified gap, it suggests three strategic options which can further be implemented by the company to strengthen the brand position in the UK market.</w:t>
      </w:r>
    </w:p>
    <w:p w14:paraId="0FE9153D" w14:textId="77777777" w:rsidR="00B16BE1" w:rsidRPr="00AC2E99" w:rsidRDefault="00B16BE1" w:rsidP="00B16BE1">
      <w:pPr>
        <w:rPr>
          <w:rFonts w:cs="Arial"/>
        </w:rPr>
      </w:pPr>
      <w:r w:rsidRPr="00AC2E99">
        <w:rPr>
          <w:rFonts w:cs="Arial"/>
          <w:b/>
          <w:bCs/>
        </w:rPr>
        <w:t>Differentiation (Option 1)–</w:t>
      </w:r>
      <w:r w:rsidRPr="00AC2E99">
        <w:rPr>
          <w:rFonts w:cs="Arial"/>
        </w:rPr>
        <w:t xml:space="preserve"> Product differentiation is the first suggested option for the company. The main reason to suggest this option is to ensure the company is successfully able to meet the changing food habits of UK customers. A healthy food option ensures that Gregg’s Plc is successfully able to target socially responsible customers. Through product innovation and ethical positioning, the company can add value in the business operation (Lee, Hoehn</w:t>
      </w:r>
      <w:r w:rsidRPr="00AC2E99">
        <w:rPr>
          <w:rFonts w:ascii="Cambria Math" w:hAnsi="Cambria Math" w:cs="Cambria Math"/>
        </w:rPr>
        <w:t>‐</w:t>
      </w:r>
      <w:r w:rsidRPr="00AC2E99">
        <w:rPr>
          <w:rFonts w:cs="Arial"/>
        </w:rPr>
        <w:t>Weiss and Karim, 2021). Differentiation allows the company to improve quality and sustainability.</w:t>
      </w:r>
    </w:p>
    <w:p w14:paraId="7BE087C5" w14:textId="77777777" w:rsidR="00B16BE1" w:rsidRPr="00AC2E99" w:rsidRDefault="00B16BE1" w:rsidP="00B16BE1">
      <w:pPr>
        <w:rPr>
          <w:rFonts w:cs="Arial"/>
        </w:rPr>
      </w:pPr>
      <w:r w:rsidRPr="00AC2E99">
        <w:rPr>
          <w:rFonts w:cs="Arial"/>
          <w:b/>
          <w:bCs/>
        </w:rPr>
        <w:t>Hybrid strategy (Option 2)–</w:t>
      </w:r>
      <w:r w:rsidRPr="00AC2E99">
        <w:rPr>
          <w:rFonts w:cs="Arial"/>
        </w:rPr>
        <w:t xml:space="preserve"> Greggs plc can emphasise a balanced approach to combine cost efficiency with selective product differentiation. The main reason for suggesting this option is to create distinctive value in the product list. As per, Lambie</w:t>
      </w:r>
      <w:r w:rsidRPr="00AC2E99">
        <w:rPr>
          <w:rFonts w:ascii="Cambria Math" w:hAnsi="Cambria Math" w:cs="Cambria Math"/>
        </w:rPr>
        <w:t>‐</w:t>
      </w:r>
      <w:r w:rsidRPr="00AC2E99">
        <w:rPr>
          <w:rFonts w:cs="Arial"/>
        </w:rPr>
        <w:t>Mumford and Kennedy (2025) it ensures that at an affordable price, Greggs can offer healthy options to the customer. Through technology, the company can successfully gain exposure to wider customers.</w:t>
      </w:r>
    </w:p>
    <w:p w14:paraId="6FC57CC3" w14:textId="68D23BEE" w:rsidR="00FB1A16" w:rsidRDefault="00B16BE1" w:rsidP="00B16BE1">
      <w:pPr>
        <w:rPr>
          <w:rFonts w:cs="Arial"/>
        </w:rPr>
      </w:pPr>
      <w:r w:rsidRPr="00AC2E99">
        <w:rPr>
          <w:rFonts w:cs="Arial"/>
          <w:b/>
          <w:bCs/>
        </w:rPr>
        <w:t>Cost leadership (Option 3)–</w:t>
      </w:r>
      <w:r w:rsidRPr="00AC2E99">
        <w:rPr>
          <w:rFonts w:cs="Arial"/>
        </w:rPr>
        <w:t xml:space="preserve"> Rising competition in the market requires the company to change its pricing strategy. The current pricing strategy does not create value in a competitive market. Competitors' brands offer an affordable range of products to their customer (</w:t>
      </w:r>
      <w:proofErr w:type="spellStart"/>
      <w:r w:rsidRPr="00AC2E99">
        <w:rPr>
          <w:rFonts w:cs="Arial"/>
        </w:rPr>
        <w:t>Soegoto</w:t>
      </w:r>
      <w:proofErr w:type="spellEnd"/>
      <w:r w:rsidRPr="00AC2E99">
        <w:rPr>
          <w:rFonts w:cs="Arial"/>
        </w:rPr>
        <w:t>, 2021).  To develop a strong appeal to the customer, it is important to emphasis in supply chain resilience strategy through a cost leadership approach to avoid vulnerabilities.</w:t>
      </w:r>
    </w:p>
    <w:p w14:paraId="60B05C4F" w14:textId="3C14276A" w:rsidR="00B16BE1" w:rsidRDefault="00FB1A16" w:rsidP="00FB1A16">
      <w:pPr>
        <w:spacing w:before="200" w:after="0"/>
        <w:rPr>
          <w:rFonts w:cs="Arial"/>
        </w:rPr>
      </w:pPr>
      <w:r>
        <w:rPr>
          <w:rFonts w:cs="Arial"/>
        </w:rPr>
        <w:br w:type="page"/>
      </w:r>
    </w:p>
    <w:tbl>
      <w:tblPr>
        <w:tblW w:w="0" w:type="auto"/>
        <w:tblCellMar>
          <w:top w:w="15" w:type="dxa"/>
          <w:left w:w="15" w:type="dxa"/>
          <w:bottom w:w="15" w:type="dxa"/>
          <w:right w:w="15" w:type="dxa"/>
        </w:tblCellMar>
        <w:tblLook w:val="04A0" w:firstRow="1" w:lastRow="0" w:firstColumn="1" w:lastColumn="0" w:noHBand="0" w:noVBand="1"/>
      </w:tblPr>
      <w:tblGrid>
        <w:gridCol w:w="2081"/>
        <w:gridCol w:w="2535"/>
        <w:gridCol w:w="1828"/>
        <w:gridCol w:w="2765"/>
      </w:tblGrid>
      <w:tr w:rsidR="00FB1A16" w:rsidRPr="00AC2E99" w14:paraId="6D0E4121"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70C71B84" w14:textId="77777777" w:rsidR="00FB1A16" w:rsidRPr="00AC2E99" w:rsidRDefault="00FB1A16" w:rsidP="000A11B1">
            <w:pPr>
              <w:spacing w:before="0" w:line="240" w:lineRule="auto"/>
              <w:jc w:val="center"/>
              <w:rPr>
                <w:rFonts w:cs="Arial"/>
              </w:rPr>
            </w:pPr>
            <w:r w:rsidRPr="00AC2E99">
              <w:rPr>
                <w:rFonts w:cs="Arial"/>
                <w:b/>
                <w:bCs/>
              </w:rPr>
              <w:t>Strategy</w:t>
            </w:r>
          </w:p>
        </w:tc>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21778028" w14:textId="77777777" w:rsidR="00FB1A16" w:rsidRPr="00AC2E99" w:rsidRDefault="00FB1A16" w:rsidP="000A11B1">
            <w:pPr>
              <w:spacing w:before="0" w:line="240" w:lineRule="auto"/>
              <w:jc w:val="center"/>
              <w:rPr>
                <w:rFonts w:cs="Arial"/>
              </w:rPr>
            </w:pPr>
            <w:r w:rsidRPr="00AC2E99">
              <w:rPr>
                <w:rFonts w:cs="Arial"/>
                <w:b/>
                <w:bCs/>
              </w:rPr>
              <w:t>Focus</w:t>
            </w:r>
          </w:p>
        </w:tc>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007C32E9" w14:textId="77777777" w:rsidR="00FB1A16" w:rsidRPr="00AC2E99" w:rsidRDefault="00FB1A16" w:rsidP="000A11B1">
            <w:pPr>
              <w:spacing w:before="0" w:line="240" w:lineRule="auto"/>
              <w:jc w:val="center"/>
              <w:rPr>
                <w:rFonts w:cs="Arial"/>
              </w:rPr>
            </w:pPr>
            <w:r w:rsidRPr="00AC2E99">
              <w:rPr>
                <w:rFonts w:cs="Arial"/>
                <w:b/>
                <w:bCs/>
              </w:rPr>
              <w:t>Key Strengths</w:t>
            </w:r>
          </w:p>
        </w:tc>
        <w:tc>
          <w:tcPr>
            <w:tcW w:w="2765" w:type="dxa"/>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37B9C6D9" w14:textId="77777777" w:rsidR="00FB1A16" w:rsidRPr="00AC2E99" w:rsidRDefault="00FB1A16" w:rsidP="000A11B1">
            <w:pPr>
              <w:spacing w:before="0" w:line="240" w:lineRule="auto"/>
              <w:jc w:val="center"/>
              <w:rPr>
                <w:rFonts w:cs="Arial"/>
              </w:rPr>
            </w:pPr>
            <w:r w:rsidRPr="00AC2E99">
              <w:rPr>
                <w:rFonts w:cs="Arial"/>
                <w:b/>
                <w:bCs/>
              </w:rPr>
              <w:t>Key Risks</w:t>
            </w:r>
          </w:p>
        </w:tc>
      </w:tr>
      <w:tr w:rsidR="00FB1A16" w:rsidRPr="00AC2E99" w14:paraId="08B8084F" w14:textId="77777777" w:rsidTr="008C7C5A">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E59389" w14:textId="77777777" w:rsidR="00FB1A16" w:rsidRPr="00AC2E99" w:rsidRDefault="00FB1A16" w:rsidP="000A11B1">
            <w:pPr>
              <w:spacing w:before="0" w:line="240" w:lineRule="auto"/>
              <w:jc w:val="center"/>
              <w:rPr>
                <w:rFonts w:cs="Arial"/>
              </w:rPr>
            </w:pPr>
            <w:r w:rsidRPr="00AC2E99">
              <w:rPr>
                <w:rFonts w:cs="Arial"/>
                <w:b/>
                <w:bCs/>
              </w:rPr>
              <w:t>Cost Leadership</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59D50C" w14:textId="77777777" w:rsidR="00FB1A16" w:rsidRPr="00AC2E99" w:rsidRDefault="00FB1A16" w:rsidP="000A11B1">
            <w:pPr>
              <w:spacing w:before="0" w:line="240" w:lineRule="auto"/>
              <w:jc w:val="center"/>
              <w:rPr>
                <w:rFonts w:cs="Arial"/>
              </w:rPr>
            </w:pPr>
            <w:r w:rsidRPr="00AC2E99">
              <w:rPr>
                <w:rFonts w:cs="Arial"/>
              </w:rPr>
              <w:t>Price competitiveness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4F04E0" w14:textId="6C506F0D" w:rsidR="00FB1A16" w:rsidRPr="00AC2E99" w:rsidRDefault="00FB1A16" w:rsidP="000A11B1">
            <w:pPr>
              <w:spacing w:before="0" w:line="240" w:lineRule="auto"/>
              <w:jc w:val="center"/>
              <w:rPr>
                <w:rFonts w:cs="Arial"/>
              </w:rPr>
            </w:pPr>
            <w:r w:rsidRPr="00AC2E99">
              <w:rPr>
                <w:rFonts w:cs="Arial"/>
              </w:rPr>
              <w:t>High volume</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7AE535" w14:textId="77777777" w:rsidR="00FB1A16" w:rsidRPr="00AC2E99" w:rsidRDefault="00FB1A16" w:rsidP="000A11B1">
            <w:pPr>
              <w:spacing w:before="0" w:line="240" w:lineRule="auto"/>
              <w:jc w:val="center"/>
              <w:rPr>
                <w:rFonts w:cs="Arial"/>
              </w:rPr>
            </w:pPr>
            <w:r w:rsidRPr="00AC2E99">
              <w:rPr>
                <w:rFonts w:cs="Arial"/>
              </w:rPr>
              <w:t>Inflation pressure</w:t>
            </w:r>
          </w:p>
        </w:tc>
      </w:tr>
      <w:tr w:rsidR="00FB1A16" w:rsidRPr="00AC2E99" w14:paraId="163E90FA"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238150" w14:textId="77777777" w:rsidR="00FB1A16" w:rsidRPr="00AC2E99" w:rsidRDefault="00FB1A16" w:rsidP="000A11B1">
            <w:pPr>
              <w:spacing w:before="0" w:line="240" w:lineRule="auto"/>
              <w:jc w:val="center"/>
              <w:rPr>
                <w:rFonts w:cs="Arial"/>
              </w:rPr>
            </w:pPr>
            <w:r w:rsidRPr="00AC2E99">
              <w:rPr>
                <w:rFonts w:cs="Arial"/>
                <w:b/>
                <w:bCs/>
              </w:rPr>
              <w:t>Differentiation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249FE5" w14:textId="77777777" w:rsidR="00FB1A16" w:rsidRPr="00AC2E99" w:rsidRDefault="00FB1A16" w:rsidP="000A11B1">
            <w:pPr>
              <w:spacing w:before="0" w:line="240" w:lineRule="auto"/>
              <w:jc w:val="center"/>
              <w:rPr>
                <w:rFonts w:cs="Arial"/>
              </w:rPr>
            </w:pPr>
            <w:r w:rsidRPr="00AC2E99">
              <w:rPr>
                <w:rFonts w:cs="Arial"/>
              </w:rPr>
              <w:t>Product uniqueness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16F91F" w14:textId="04EF0263" w:rsidR="00FB1A16" w:rsidRPr="00AC2E99" w:rsidRDefault="00FB1A16" w:rsidP="000A11B1">
            <w:pPr>
              <w:spacing w:before="0" w:line="240" w:lineRule="auto"/>
              <w:jc w:val="center"/>
              <w:rPr>
                <w:rFonts w:cs="Arial"/>
              </w:rPr>
            </w:pPr>
            <w:r w:rsidRPr="00AC2E99">
              <w:rPr>
                <w:rFonts w:cs="Arial"/>
              </w:rPr>
              <w:t>Brand loyalty</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5FE770" w14:textId="77777777" w:rsidR="00FB1A16" w:rsidRPr="00AC2E99" w:rsidRDefault="00FB1A16" w:rsidP="000A11B1">
            <w:pPr>
              <w:spacing w:before="0" w:line="240" w:lineRule="auto"/>
              <w:jc w:val="center"/>
              <w:rPr>
                <w:rFonts w:cs="Arial"/>
              </w:rPr>
            </w:pPr>
            <w:r w:rsidRPr="00AC2E99">
              <w:rPr>
                <w:rFonts w:cs="Arial"/>
              </w:rPr>
              <w:t>Higher costs</w:t>
            </w:r>
          </w:p>
        </w:tc>
      </w:tr>
      <w:tr w:rsidR="00FB1A16" w:rsidRPr="00AC2E99" w14:paraId="4E9C8E92" w14:textId="77777777" w:rsidTr="008C7C5A">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4C7FC3" w14:textId="77777777" w:rsidR="00FB1A16" w:rsidRPr="00AC2E99" w:rsidRDefault="00FB1A16" w:rsidP="000A11B1">
            <w:pPr>
              <w:spacing w:before="0" w:line="240" w:lineRule="auto"/>
              <w:jc w:val="center"/>
              <w:rPr>
                <w:rFonts w:cs="Arial"/>
              </w:rPr>
            </w:pPr>
            <w:r w:rsidRPr="00AC2E99">
              <w:rPr>
                <w:rFonts w:cs="Arial"/>
                <w:b/>
                <w:bCs/>
              </w:rPr>
              <w:t>Hybrid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CE5DD8" w14:textId="77777777" w:rsidR="00FB1A16" w:rsidRPr="00AC2E99" w:rsidRDefault="00FB1A16" w:rsidP="000A11B1">
            <w:pPr>
              <w:spacing w:before="0" w:line="240" w:lineRule="auto"/>
              <w:jc w:val="center"/>
              <w:rPr>
                <w:rFonts w:cs="Arial"/>
              </w:rPr>
            </w:pPr>
            <w:r w:rsidRPr="00AC2E99">
              <w:rPr>
                <w:rFonts w:cs="Arial"/>
              </w:rPr>
              <w:t>Balanced approach</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F2E0A4" w14:textId="3CD22C63" w:rsidR="00FB1A16" w:rsidRPr="00AC2E99" w:rsidRDefault="00FB1A16" w:rsidP="000A11B1">
            <w:pPr>
              <w:spacing w:before="0" w:line="240" w:lineRule="auto"/>
              <w:jc w:val="center"/>
              <w:rPr>
                <w:rFonts w:cs="Arial"/>
              </w:rPr>
            </w:pPr>
            <w:r w:rsidRPr="00AC2E99">
              <w:rPr>
                <w:rFonts w:cs="Arial"/>
              </w:rPr>
              <w:t>Flexibility</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A0BDC2" w14:textId="77777777" w:rsidR="00FB1A16" w:rsidRPr="00AC2E99" w:rsidRDefault="00FB1A16" w:rsidP="000A11B1">
            <w:pPr>
              <w:spacing w:before="0" w:line="240" w:lineRule="auto"/>
              <w:jc w:val="center"/>
              <w:rPr>
                <w:rFonts w:cs="Arial"/>
              </w:rPr>
            </w:pPr>
            <w:r w:rsidRPr="00AC2E99">
              <w:rPr>
                <w:rFonts w:cs="Arial"/>
              </w:rPr>
              <w:t>Strategic complexity</w:t>
            </w:r>
          </w:p>
        </w:tc>
      </w:tr>
    </w:tbl>
    <w:p w14:paraId="7BC5D808" w14:textId="6B0F1C73" w:rsidR="00B16BE1" w:rsidRPr="00AC2E99" w:rsidRDefault="00B16BE1" w:rsidP="00FB1A16">
      <w:pPr>
        <w:jc w:val="center"/>
        <w:rPr>
          <w:rFonts w:cs="Arial"/>
          <w:b/>
          <w:bCs/>
        </w:rPr>
      </w:pPr>
      <w:r w:rsidRPr="00AC2E99">
        <w:rPr>
          <w:rFonts w:cs="Arial"/>
          <w:b/>
          <w:bCs/>
        </w:rPr>
        <w:t>Table 7: Evaluation of Strategic Choice</w:t>
      </w:r>
    </w:p>
    <w:p w14:paraId="6FFDA051" w14:textId="77777777" w:rsidR="00B16BE1" w:rsidRPr="00AC2E99" w:rsidRDefault="00B16BE1" w:rsidP="00B16BE1">
      <w:pPr>
        <w:rPr>
          <w:rFonts w:cs="Arial"/>
        </w:rPr>
      </w:pPr>
      <w:r w:rsidRPr="00AC2E99">
        <w:rPr>
          <w:rFonts w:cs="Arial"/>
        </w:rPr>
        <w:t>The above table provides a clear overview regarding the key strengths and weaknesses of the proposed strategic decisions. Based on the suitability of the strategic option, the managing committee can adopt any option for greater excellence. Identification of risk ensures that the company is accountable for every aspect to avoid such a dilemma.</w:t>
      </w:r>
    </w:p>
    <w:p w14:paraId="6FFC358A" w14:textId="77777777" w:rsidR="00B16BE1" w:rsidRPr="00AC2E99" w:rsidRDefault="00B16BE1" w:rsidP="00B16BE1">
      <w:pPr>
        <w:pStyle w:val="Heading2"/>
        <w:rPr>
          <w:rFonts w:cs="Arial"/>
        </w:rPr>
      </w:pPr>
      <w:bookmarkStart w:id="24" w:name="_Toc237088551"/>
      <w:r w:rsidRPr="00AC2E99">
        <w:rPr>
          <w:rFonts w:cs="Arial"/>
        </w:rPr>
        <w:t>4.2 Identification of Appropriate Strategy</w:t>
      </w:r>
      <w:bookmarkEnd w:id="24"/>
    </w:p>
    <w:p w14:paraId="399EE18D" w14:textId="77777777" w:rsidR="00B16BE1" w:rsidRPr="00AC2E99" w:rsidRDefault="00B16BE1" w:rsidP="00B16BE1">
      <w:pPr>
        <w:rPr>
          <w:rFonts w:cs="Arial"/>
          <w:b/>
          <w:bCs/>
          <w:u w:val="single"/>
        </w:rPr>
      </w:pPr>
      <w:r w:rsidRPr="00AC2E99">
        <w:rPr>
          <w:rFonts w:cs="Arial"/>
          <w:b/>
          <w:bCs/>
          <w:u w:val="single"/>
        </w:rPr>
        <w:t>SAF matrix</w:t>
      </w:r>
    </w:p>
    <w:p w14:paraId="1F3F9FCA" w14:textId="77777777" w:rsidR="00B16BE1" w:rsidRPr="00AC2E99" w:rsidRDefault="00B16BE1" w:rsidP="00B16BE1">
      <w:pPr>
        <w:rPr>
          <w:rFonts w:cs="Arial"/>
        </w:rPr>
      </w:pPr>
      <w:r w:rsidRPr="00AC2E99">
        <w:rPr>
          <w:rFonts w:cs="Arial"/>
        </w:rPr>
        <w:t>SFA matrix is created to identify the appropriate strategic option to reform the operational performance of the organisation. It identifies the best fit option to improve the operation in future. It selects the optimal options to test against a 0-5 range.</w:t>
      </w:r>
    </w:p>
    <w:tbl>
      <w:tblPr>
        <w:tblW w:w="0" w:type="auto"/>
        <w:jc w:val="center"/>
        <w:tblCellMar>
          <w:top w:w="15" w:type="dxa"/>
          <w:left w:w="15" w:type="dxa"/>
          <w:bottom w:w="15" w:type="dxa"/>
          <w:right w:w="15" w:type="dxa"/>
        </w:tblCellMar>
        <w:tblLook w:val="04A0" w:firstRow="1" w:lastRow="0" w:firstColumn="1" w:lastColumn="0" w:noHBand="0" w:noVBand="1"/>
      </w:tblPr>
      <w:tblGrid>
        <w:gridCol w:w="2263"/>
        <w:gridCol w:w="2410"/>
        <w:gridCol w:w="2085"/>
        <w:gridCol w:w="2309"/>
      </w:tblGrid>
      <w:tr w:rsidR="00B16BE1" w:rsidRPr="00AC2E99" w14:paraId="02D2D238" w14:textId="77777777" w:rsidTr="00FB1A16">
        <w:trPr>
          <w:trHeight w:val="363"/>
          <w:jc w:val="center"/>
        </w:trPr>
        <w:tc>
          <w:tcPr>
            <w:tcW w:w="2263" w:type="dxa"/>
            <w:vMerge w:val="restart"/>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F0D1477" w14:textId="13D70C40" w:rsidR="00282404" w:rsidRDefault="00282404" w:rsidP="00282404">
            <w:pPr>
              <w:spacing w:before="0" w:line="240" w:lineRule="auto"/>
              <w:jc w:val="center"/>
              <w:rPr>
                <w:rFonts w:cs="Arial"/>
                <w:b/>
                <w:bCs/>
              </w:rPr>
            </w:pPr>
          </w:p>
          <w:p w14:paraId="66E1B962" w14:textId="4D5C0A89" w:rsidR="00B16BE1" w:rsidRPr="00AC2E99" w:rsidRDefault="00B16BE1" w:rsidP="00282404">
            <w:pPr>
              <w:spacing w:before="0" w:line="240" w:lineRule="auto"/>
              <w:jc w:val="center"/>
              <w:rPr>
                <w:rFonts w:cs="Arial"/>
              </w:rPr>
            </w:pPr>
            <w:r w:rsidRPr="00282404">
              <w:rPr>
                <w:rFonts w:cs="Arial"/>
                <w:b/>
                <w:bCs/>
              </w:rPr>
              <w:t>SFA matrix</w:t>
            </w:r>
          </w:p>
        </w:tc>
        <w:tc>
          <w:tcPr>
            <w:tcW w:w="6804" w:type="dxa"/>
            <w:gridSpan w:val="3"/>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7C91DCDC" w14:textId="77777777" w:rsidR="00B16BE1" w:rsidRPr="00282404" w:rsidRDefault="00B16BE1" w:rsidP="00282404">
            <w:pPr>
              <w:spacing w:before="0" w:line="240" w:lineRule="auto"/>
              <w:jc w:val="center"/>
              <w:rPr>
                <w:rFonts w:cs="Arial"/>
                <w:b/>
                <w:bCs/>
              </w:rPr>
            </w:pPr>
            <w:r w:rsidRPr="00282404">
              <w:rPr>
                <w:rFonts w:cs="Arial"/>
                <w:b/>
                <w:bCs/>
              </w:rPr>
              <w:t>Strategic options</w:t>
            </w:r>
          </w:p>
        </w:tc>
      </w:tr>
      <w:tr w:rsidR="00B16BE1" w:rsidRPr="00AC2E99" w14:paraId="1D1F9651" w14:textId="77777777" w:rsidTr="00FB1A16">
        <w:trPr>
          <w:trHeight w:val="300"/>
          <w:jc w:val="center"/>
        </w:trPr>
        <w:tc>
          <w:tcPr>
            <w:tcW w:w="2263" w:type="dxa"/>
            <w:vMerge/>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hideMark/>
          </w:tcPr>
          <w:p w14:paraId="6CD77034" w14:textId="77777777" w:rsidR="00B16BE1" w:rsidRPr="00AC2E99" w:rsidRDefault="00B16BE1" w:rsidP="00026477">
            <w:pPr>
              <w:spacing w:before="0" w:line="240" w:lineRule="auto"/>
              <w:rPr>
                <w:rFonts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1FF86E23" w14:textId="059BABAC" w:rsidR="00B16BE1" w:rsidRPr="00AC2E99" w:rsidRDefault="00282404" w:rsidP="00026477">
            <w:pPr>
              <w:spacing w:before="0" w:line="240" w:lineRule="auto"/>
              <w:rPr>
                <w:rFonts w:cs="Arial"/>
              </w:rPr>
            </w:pPr>
            <w:r w:rsidRPr="00AC2E99">
              <w:rPr>
                <w:rFonts w:cs="Arial"/>
                <w:b/>
                <w:bCs/>
              </w:rPr>
              <w:t>Differentiation</w:t>
            </w:r>
            <w:r w:rsidRPr="00AC2E99">
              <w:rPr>
                <w:rFonts w:cs="Arial"/>
              </w:rPr>
              <w:t xml:space="preserve"> </w:t>
            </w:r>
            <w:r w:rsidR="00B16BE1" w:rsidRPr="00AC2E99">
              <w:rPr>
                <w:rFonts w:cs="Arial"/>
              </w:rPr>
              <w:t>Option 1 (0-5)</w:t>
            </w:r>
          </w:p>
        </w:tc>
        <w:tc>
          <w:tcPr>
            <w:tcW w:w="208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18A5E6D8" w14:textId="0EFA5EA1" w:rsidR="00B16BE1" w:rsidRPr="00AC2E99" w:rsidRDefault="00282404" w:rsidP="00026477">
            <w:pPr>
              <w:spacing w:before="0" w:line="240" w:lineRule="auto"/>
              <w:rPr>
                <w:rFonts w:cs="Arial"/>
              </w:rPr>
            </w:pPr>
            <w:r w:rsidRPr="00AC2E99">
              <w:rPr>
                <w:rFonts w:cs="Arial"/>
                <w:b/>
                <w:bCs/>
              </w:rPr>
              <w:t xml:space="preserve">Hybrid strategy </w:t>
            </w:r>
            <w:r w:rsidR="00B16BE1" w:rsidRPr="00AC2E99">
              <w:rPr>
                <w:rFonts w:cs="Arial"/>
              </w:rPr>
              <w:t>Option 2 (0-5)</w:t>
            </w:r>
          </w:p>
        </w:tc>
        <w:tc>
          <w:tcPr>
            <w:tcW w:w="2309"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2F95B3CD" w14:textId="69913C7D" w:rsidR="00B16BE1" w:rsidRPr="00AC2E99" w:rsidRDefault="00282404" w:rsidP="00026477">
            <w:pPr>
              <w:spacing w:before="0" w:line="240" w:lineRule="auto"/>
              <w:rPr>
                <w:rFonts w:cs="Arial"/>
              </w:rPr>
            </w:pPr>
            <w:r w:rsidRPr="00AC2E99">
              <w:rPr>
                <w:rFonts w:cs="Arial"/>
                <w:b/>
                <w:bCs/>
              </w:rPr>
              <w:t xml:space="preserve">Cost leadership </w:t>
            </w:r>
            <w:r w:rsidR="00B16BE1" w:rsidRPr="00AC2E99">
              <w:rPr>
                <w:rFonts w:cs="Arial"/>
              </w:rPr>
              <w:t>Option 3 (0-5)</w:t>
            </w:r>
          </w:p>
        </w:tc>
      </w:tr>
      <w:tr w:rsidR="00B16BE1" w:rsidRPr="00AC2E99" w14:paraId="3C992FCF"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FD668E8" w14:textId="77777777" w:rsidR="00B16BE1" w:rsidRPr="00AC2E99" w:rsidRDefault="00B16BE1" w:rsidP="00026477">
            <w:pPr>
              <w:spacing w:before="0" w:line="240" w:lineRule="auto"/>
              <w:rPr>
                <w:rFonts w:cs="Arial"/>
              </w:rPr>
            </w:pPr>
            <w:r w:rsidRPr="00AC2E99">
              <w:rPr>
                <w:rFonts w:cs="Arial"/>
              </w:rPr>
              <w:t>Suitability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83710F"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095320E"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AE0240" w14:textId="77777777" w:rsidR="00B16BE1" w:rsidRPr="00AC2E99" w:rsidRDefault="00B16BE1" w:rsidP="00282404">
            <w:pPr>
              <w:spacing w:before="0" w:line="240" w:lineRule="auto"/>
              <w:jc w:val="center"/>
              <w:rPr>
                <w:rFonts w:cs="Arial"/>
              </w:rPr>
            </w:pPr>
            <w:r w:rsidRPr="00AC2E99">
              <w:rPr>
                <w:rFonts w:cs="Arial"/>
              </w:rPr>
              <w:t>5</w:t>
            </w:r>
          </w:p>
        </w:tc>
      </w:tr>
      <w:tr w:rsidR="00B16BE1" w:rsidRPr="00AC2E99" w14:paraId="649A3467"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BCBFAE1" w14:textId="77777777" w:rsidR="00B16BE1" w:rsidRPr="00AC2E99" w:rsidRDefault="00B16BE1" w:rsidP="00026477">
            <w:pPr>
              <w:spacing w:before="0" w:line="240" w:lineRule="auto"/>
              <w:rPr>
                <w:rFonts w:cs="Arial"/>
              </w:rPr>
            </w:pPr>
            <w:r w:rsidRPr="00AC2E99">
              <w:rPr>
                <w:rFonts w:cs="Arial"/>
              </w:rPr>
              <w:t>Feasibility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646C0B"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91C7D4"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ABBDB8" w14:textId="77777777" w:rsidR="00B16BE1" w:rsidRPr="00AC2E99" w:rsidRDefault="00B16BE1" w:rsidP="00282404">
            <w:pPr>
              <w:spacing w:before="0" w:line="240" w:lineRule="auto"/>
              <w:jc w:val="center"/>
              <w:rPr>
                <w:rFonts w:cs="Arial"/>
              </w:rPr>
            </w:pPr>
            <w:r w:rsidRPr="00AC2E99">
              <w:rPr>
                <w:rFonts w:cs="Arial"/>
              </w:rPr>
              <w:t>4</w:t>
            </w:r>
          </w:p>
        </w:tc>
      </w:tr>
      <w:tr w:rsidR="00B16BE1" w:rsidRPr="00AC2E99" w14:paraId="4E488B2D"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0AD9374D" w14:textId="77777777" w:rsidR="00B16BE1" w:rsidRPr="00AC2E99" w:rsidRDefault="00B16BE1" w:rsidP="00026477">
            <w:pPr>
              <w:spacing w:before="0" w:line="240" w:lineRule="auto"/>
              <w:rPr>
                <w:rFonts w:cs="Arial"/>
              </w:rPr>
            </w:pPr>
            <w:r w:rsidRPr="00AC2E99">
              <w:rPr>
                <w:rFonts w:cs="Arial"/>
              </w:rPr>
              <w:t>Acceptability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2B3D52"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DC3D0A"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1EA90F" w14:textId="77777777" w:rsidR="00B16BE1" w:rsidRPr="00AC2E99" w:rsidRDefault="00B16BE1" w:rsidP="00282404">
            <w:pPr>
              <w:spacing w:before="0" w:line="240" w:lineRule="auto"/>
              <w:jc w:val="center"/>
              <w:rPr>
                <w:rFonts w:cs="Arial"/>
              </w:rPr>
            </w:pPr>
            <w:r w:rsidRPr="00AC2E99">
              <w:rPr>
                <w:rFonts w:cs="Arial"/>
              </w:rPr>
              <w:t>5</w:t>
            </w:r>
          </w:p>
        </w:tc>
      </w:tr>
      <w:tr w:rsidR="00B16BE1" w:rsidRPr="00AC2E99" w14:paraId="58382B6B"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010184F" w14:textId="77777777" w:rsidR="00B16BE1" w:rsidRPr="00AC2E99" w:rsidRDefault="00B16BE1" w:rsidP="00026477">
            <w:pPr>
              <w:spacing w:before="0" w:line="240" w:lineRule="auto"/>
              <w:rPr>
                <w:rFonts w:cs="Arial"/>
              </w:rPr>
            </w:pPr>
            <w:r w:rsidRPr="00AC2E99">
              <w:rPr>
                <w:rFonts w:cs="Arial"/>
              </w:rPr>
              <w:t>Total</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817C2C" w14:textId="77777777" w:rsidR="00B16BE1" w:rsidRPr="00AC2E99" w:rsidRDefault="00B16BE1" w:rsidP="00282404">
            <w:pPr>
              <w:spacing w:before="0" w:line="240" w:lineRule="auto"/>
              <w:jc w:val="center"/>
              <w:rPr>
                <w:rFonts w:cs="Arial"/>
              </w:rPr>
            </w:pPr>
            <w:r w:rsidRPr="00AC2E99">
              <w:rPr>
                <w:rFonts w:cs="Arial"/>
              </w:rPr>
              <w:t>15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8565EC" w14:textId="77777777" w:rsidR="00B16BE1" w:rsidRPr="00AC2E99" w:rsidRDefault="00B16BE1" w:rsidP="00282404">
            <w:pPr>
              <w:spacing w:before="0" w:line="240" w:lineRule="auto"/>
              <w:jc w:val="center"/>
              <w:rPr>
                <w:rFonts w:cs="Arial"/>
              </w:rPr>
            </w:pPr>
            <w:r w:rsidRPr="00AC2E99">
              <w:rPr>
                <w:rFonts w:cs="Arial"/>
              </w:rPr>
              <w:t>9</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A3E295" w14:textId="77777777" w:rsidR="00B16BE1" w:rsidRPr="00AC2E99" w:rsidRDefault="00B16BE1" w:rsidP="00282404">
            <w:pPr>
              <w:spacing w:before="0" w:line="240" w:lineRule="auto"/>
              <w:jc w:val="center"/>
              <w:rPr>
                <w:rFonts w:cs="Arial"/>
              </w:rPr>
            </w:pPr>
            <w:r w:rsidRPr="00AC2E99">
              <w:rPr>
                <w:rFonts w:cs="Arial"/>
              </w:rPr>
              <w:t>14</w:t>
            </w:r>
          </w:p>
        </w:tc>
      </w:tr>
    </w:tbl>
    <w:p w14:paraId="7DE69809" w14:textId="0A56B282" w:rsidR="00B16BE1" w:rsidRPr="00AC2E99" w:rsidRDefault="00B16BE1" w:rsidP="00B16BE1">
      <w:pPr>
        <w:jc w:val="center"/>
        <w:rPr>
          <w:rFonts w:cs="Arial"/>
          <w:b/>
          <w:bCs/>
        </w:rPr>
      </w:pPr>
      <w:r w:rsidRPr="00AC2E99">
        <w:rPr>
          <w:rFonts w:cs="Arial"/>
          <w:b/>
          <w:bCs/>
        </w:rPr>
        <w:t>Table 8: SFA matrix</w:t>
      </w:r>
    </w:p>
    <w:p w14:paraId="73BDA54B" w14:textId="1B4A409F" w:rsidR="00282404" w:rsidRDefault="00B16BE1" w:rsidP="00B16BE1">
      <w:pPr>
        <w:rPr>
          <w:rFonts w:cs="Arial"/>
        </w:rPr>
      </w:pPr>
      <w:r w:rsidRPr="00AC2E99">
        <w:rPr>
          <w:rFonts w:cs="Arial"/>
        </w:rPr>
        <w:t xml:space="preserve">The above table identifies that differentiation is the most feasible option for the company.  In every three respects, it </w:t>
      </w:r>
      <w:r w:rsidR="00282404">
        <w:rPr>
          <w:rFonts w:cs="Arial"/>
        </w:rPr>
        <w:t>achieves</w:t>
      </w:r>
      <w:r w:rsidR="0049010A">
        <w:rPr>
          <w:rFonts w:cs="Arial"/>
        </w:rPr>
        <w:t xml:space="preserve"> 5 score </w:t>
      </w:r>
      <w:r w:rsidRPr="00AC2E99">
        <w:rPr>
          <w:rFonts w:cs="Arial"/>
        </w:rPr>
        <w:t>which indicates that the company will get high value from option 1.</w:t>
      </w:r>
    </w:p>
    <w:p w14:paraId="12638E41" w14:textId="3BF6FC9E" w:rsidR="00B16BE1" w:rsidRPr="00AC2E99" w:rsidRDefault="00282404" w:rsidP="00B16BE1">
      <w:pPr>
        <w:rPr>
          <w:rFonts w:cs="Arial"/>
        </w:rPr>
      </w:pPr>
      <w:r w:rsidRPr="00282404">
        <w:rPr>
          <w:rFonts w:cs="Arial"/>
          <w:b/>
          <w:bCs/>
          <w:i/>
          <w:iCs/>
        </w:rPr>
        <w:t>Rationale -</w:t>
      </w:r>
      <w:r>
        <w:rPr>
          <w:rFonts w:cs="Arial"/>
        </w:rPr>
        <w:t xml:space="preserve"> </w:t>
      </w:r>
      <w:r w:rsidR="0049010A">
        <w:rPr>
          <w:rFonts w:cs="Arial"/>
        </w:rPr>
        <w:t xml:space="preserve">The main reason </w:t>
      </w:r>
      <w:r>
        <w:rPr>
          <w:rFonts w:cs="Arial"/>
        </w:rPr>
        <w:t xml:space="preserve">to score high is </w:t>
      </w:r>
      <w:r w:rsidR="0049010A">
        <w:rPr>
          <w:rFonts w:cs="Arial"/>
        </w:rPr>
        <w:t xml:space="preserve">currently the company has the financial and human resource </w:t>
      </w:r>
      <w:r w:rsidR="00D1305F">
        <w:rPr>
          <w:rFonts w:cs="Arial"/>
        </w:rPr>
        <w:t>strength which make this option suitable and feasible</w:t>
      </w:r>
      <w:r w:rsidR="0049010A">
        <w:rPr>
          <w:rFonts w:cs="Arial"/>
        </w:rPr>
        <w:t>. As this proposal is involve with innovation</w:t>
      </w:r>
      <w:r>
        <w:rPr>
          <w:rFonts w:cs="Arial"/>
        </w:rPr>
        <w:t>, sustainability</w:t>
      </w:r>
      <w:r w:rsidR="0049010A">
        <w:rPr>
          <w:rFonts w:cs="Arial"/>
        </w:rPr>
        <w:t xml:space="preserve"> and </w:t>
      </w:r>
      <w:r w:rsidR="00D1305F">
        <w:rPr>
          <w:rFonts w:cs="Arial"/>
        </w:rPr>
        <w:t xml:space="preserve">creativity, </w:t>
      </w:r>
      <w:r w:rsidR="0049010A">
        <w:rPr>
          <w:rFonts w:cs="Arial"/>
        </w:rPr>
        <w:t>both internal and external stakeholder</w:t>
      </w:r>
      <w:r w:rsidR="00D1305F">
        <w:rPr>
          <w:rFonts w:cs="Arial"/>
        </w:rPr>
        <w:t xml:space="preserve"> has a high chance to accept </w:t>
      </w:r>
      <w:r w:rsidR="00CA2E41">
        <w:rPr>
          <w:rFonts w:cs="Arial"/>
        </w:rPr>
        <w:t xml:space="preserve">for </w:t>
      </w:r>
      <w:r w:rsidR="00D1305F">
        <w:rPr>
          <w:rFonts w:cs="Arial"/>
        </w:rPr>
        <w:t>value</w:t>
      </w:r>
      <w:r w:rsidR="00CA2E41">
        <w:rPr>
          <w:rFonts w:cs="Arial"/>
        </w:rPr>
        <w:t xml:space="preserve"> creation</w:t>
      </w:r>
      <w:r w:rsidR="0049010A">
        <w:rPr>
          <w:rFonts w:cs="Arial"/>
        </w:rPr>
        <w:t xml:space="preserve">. </w:t>
      </w:r>
    </w:p>
    <w:p w14:paraId="10550631" w14:textId="77777777" w:rsidR="00B16BE1" w:rsidRPr="00AC2E99" w:rsidRDefault="00B16BE1" w:rsidP="00B16BE1">
      <w:pPr>
        <w:pStyle w:val="Heading2"/>
        <w:rPr>
          <w:rFonts w:cs="Arial"/>
        </w:rPr>
      </w:pPr>
      <w:bookmarkStart w:id="25" w:name="_Toc237088552"/>
      <w:r w:rsidRPr="00AC2E99">
        <w:rPr>
          <w:rFonts w:cs="Arial"/>
        </w:rPr>
        <w:t>4.3 Evaluation</w:t>
      </w:r>
      <w:bookmarkEnd w:id="25"/>
      <w:r w:rsidRPr="00AC2E99">
        <w:rPr>
          <w:rFonts w:cs="Arial"/>
        </w:rPr>
        <w:t xml:space="preserve"> </w:t>
      </w:r>
    </w:p>
    <w:p w14:paraId="28DB5095" w14:textId="77777777" w:rsidR="00B16BE1" w:rsidRPr="00AC2E99" w:rsidRDefault="00B16BE1" w:rsidP="00B16BE1">
      <w:pPr>
        <w:rPr>
          <w:rFonts w:cs="Arial"/>
        </w:rPr>
      </w:pPr>
      <w:r w:rsidRPr="00AC2E99">
        <w:rPr>
          <w:rFonts w:cs="Arial"/>
        </w:rPr>
        <w:t>Offering customers a different range of products ensures that the company never fails to satisfy a broad customer base in the market. The demand for the food-on-the-go market is very high in the UK, where offering a broad product list to the customer generates new value.</w:t>
      </w:r>
    </w:p>
    <w:tbl>
      <w:tblPr>
        <w:tblStyle w:val="GridTable5Dark-Accent1"/>
        <w:tblW w:w="9493" w:type="dxa"/>
        <w:tblLook w:val="04A0" w:firstRow="1" w:lastRow="0" w:firstColumn="1" w:lastColumn="0" w:noHBand="0" w:noVBand="1"/>
      </w:tblPr>
      <w:tblGrid>
        <w:gridCol w:w="2830"/>
        <w:gridCol w:w="6663"/>
      </w:tblGrid>
      <w:tr w:rsidR="00B16BE1" w:rsidRPr="00AC2E99" w14:paraId="199533EE" w14:textId="77777777" w:rsidTr="00FB1A16">
        <w:trPr>
          <w:cnfStyle w:val="100000000000" w:firstRow="1" w:lastRow="0" w:firstColumn="0" w:lastColumn="0" w:oddVBand="0" w:evenVBand="0" w:oddHBand="0"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2830" w:type="dxa"/>
            <w:hideMark/>
          </w:tcPr>
          <w:p w14:paraId="00AF2240" w14:textId="77777777" w:rsidR="00B16BE1" w:rsidRPr="00AC2E99" w:rsidRDefault="00B16BE1" w:rsidP="00026477">
            <w:pPr>
              <w:spacing w:before="0"/>
              <w:rPr>
                <w:rFonts w:cs="Arial"/>
              </w:rPr>
            </w:pPr>
            <w:r w:rsidRPr="00AC2E99">
              <w:rPr>
                <w:rFonts w:cs="Arial"/>
              </w:rPr>
              <w:t>Health and Wellness Innovation</w:t>
            </w:r>
          </w:p>
        </w:tc>
        <w:tc>
          <w:tcPr>
            <w:tcW w:w="6663" w:type="dxa"/>
            <w:hideMark/>
          </w:tcPr>
          <w:p w14:paraId="59C1949D"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Vegan</w:t>
            </w:r>
          </w:p>
          <w:p w14:paraId="726F410C"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Low-calorie</w:t>
            </w:r>
          </w:p>
          <w:p w14:paraId="311F51E3"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Allergen-free (Wilkinson, 2024).</w:t>
            </w:r>
          </w:p>
        </w:tc>
      </w:tr>
      <w:tr w:rsidR="00B16BE1" w:rsidRPr="00AC2E99" w14:paraId="2D34E4DD" w14:textId="77777777" w:rsidTr="00FB1A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hideMark/>
          </w:tcPr>
          <w:p w14:paraId="0BF5E95C" w14:textId="77777777" w:rsidR="00B16BE1" w:rsidRPr="00AC2E99" w:rsidRDefault="00B16BE1" w:rsidP="00026477">
            <w:pPr>
              <w:spacing w:before="0"/>
              <w:rPr>
                <w:rFonts w:cs="Arial"/>
              </w:rPr>
            </w:pPr>
            <w:r w:rsidRPr="00AC2E99">
              <w:rPr>
                <w:rFonts w:cs="Arial"/>
              </w:rPr>
              <w:t>Sustainability and CSR</w:t>
            </w:r>
          </w:p>
        </w:tc>
        <w:tc>
          <w:tcPr>
            <w:tcW w:w="6663" w:type="dxa"/>
            <w:hideMark/>
          </w:tcPr>
          <w:p w14:paraId="7406353A" w14:textId="77777777" w:rsidR="00B16BE1" w:rsidRPr="00AC2E99" w:rsidRDefault="00B16BE1" w:rsidP="00026477">
            <w:pPr>
              <w:spacing w:before="0"/>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Breakfast Clubs</w:t>
            </w:r>
          </w:p>
        </w:tc>
      </w:tr>
      <w:tr w:rsidR="00B16BE1" w:rsidRPr="00AC2E99" w14:paraId="2F51ACDF" w14:textId="77777777" w:rsidTr="00FB1A16">
        <w:trPr>
          <w:trHeight w:val="570"/>
        </w:trPr>
        <w:tc>
          <w:tcPr>
            <w:cnfStyle w:val="001000000000" w:firstRow="0" w:lastRow="0" w:firstColumn="1" w:lastColumn="0" w:oddVBand="0" w:evenVBand="0" w:oddHBand="0" w:evenHBand="0" w:firstRowFirstColumn="0" w:firstRowLastColumn="0" w:lastRowFirstColumn="0" w:lastRowLastColumn="0"/>
            <w:tcW w:w="2830" w:type="dxa"/>
            <w:hideMark/>
          </w:tcPr>
          <w:p w14:paraId="613CB040" w14:textId="77777777" w:rsidR="00B16BE1" w:rsidRPr="00AC2E99" w:rsidRDefault="00B16BE1" w:rsidP="00026477">
            <w:pPr>
              <w:spacing w:before="0"/>
              <w:rPr>
                <w:rFonts w:cs="Arial"/>
              </w:rPr>
            </w:pPr>
            <w:r w:rsidRPr="00AC2E99">
              <w:rPr>
                <w:rFonts w:cs="Arial"/>
              </w:rPr>
              <w:t>Digital Convenience</w:t>
            </w:r>
          </w:p>
        </w:tc>
        <w:tc>
          <w:tcPr>
            <w:tcW w:w="6663" w:type="dxa"/>
            <w:hideMark/>
          </w:tcPr>
          <w:p w14:paraId="70426967" w14:textId="77777777" w:rsidR="00B16BE1" w:rsidRPr="00AC2E99" w:rsidRDefault="00B16BE1" w:rsidP="00026477">
            <w:pPr>
              <w:spacing w:before="0"/>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Mobile app</w:t>
            </w:r>
          </w:p>
          <w:p w14:paraId="3ED292AC" w14:textId="77777777" w:rsidR="00B16BE1" w:rsidRPr="00AC2E99" w:rsidRDefault="00B16BE1" w:rsidP="00026477">
            <w:pPr>
              <w:spacing w:before="0"/>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Click-and-collect option</w:t>
            </w:r>
          </w:p>
        </w:tc>
      </w:tr>
    </w:tbl>
    <w:p w14:paraId="6B61BF6D" w14:textId="27BE3EDF" w:rsidR="00B16BE1" w:rsidRPr="00AC2E99" w:rsidRDefault="00B16BE1" w:rsidP="00B16BE1">
      <w:pPr>
        <w:jc w:val="center"/>
        <w:rPr>
          <w:rFonts w:cs="Arial"/>
          <w:b/>
          <w:bCs/>
        </w:rPr>
      </w:pPr>
      <w:r w:rsidRPr="00AC2E99">
        <w:rPr>
          <w:rFonts w:cs="Arial"/>
          <w:b/>
          <w:bCs/>
        </w:rPr>
        <w:t>Table 9: Differentiation idea</w:t>
      </w:r>
    </w:p>
    <w:p w14:paraId="1FF99F54" w14:textId="77777777" w:rsidR="00B16BE1" w:rsidRPr="00AC2E99" w:rsidRDefault="00B16BE1" w:rsidP="00B16BE1">
      <w:pPr>
        <w:rPr>
          <w:rFonts w:cs="Arial"/>
        </w:rPr>
      </w:pPr>
      <w:r w:rsidRPr="00AC2E99">
        <w:rPr>
          <w:rFonts w:cs="Arial"/>
        </w:rPr>
        <w:t>The above table provides the suggested guideline which can be further followed by the organisation while adapting the proposed strategic option.</w:t>
      </w:r>
    </w:p>
    <w:p w14:paraId="46620E31" w14:textId="77777777" w:rsidR="00B16BE1" w:rsidRPr="00AC2E99" w:rsidRDefault="00B16BE1" w:rsidP="00B16BE1">
      <w:pPr>
        <w:rPr>
          <w:rFonts w:cs="Arial"/>
          <w:b/>
          <w:bCs/>
          <w:i/>
          <w:iCs/>
          <w:u w:val="single"/>
        </w:rPr>
      </w:pPr>
      <w:r w:rsidRPr="00AC2E99">
        <w:rPr>
          <w:rFonts w:cs="Arial"/>
          <w:b/>
          <w:bCs/>
          <w:i/>
          <w:iCs/>
          <w:u w:val="single"/>
        </w:rPr>
        <w:t>Theoretical application - Porter's generic strategy</w:t>
      </w:r>
    </w:p>
    <w:p w14:paraId="3AC73BE0" w14:textId="77777777" w:rsidR="00B16BE1" w:rsidRPr="00AC2E99" w:rsidRDefault="00B16BE1" w:rsidP="00B16BE1">
      <w:pPr>
        <w:rPr>
          <w:rFonts w:cs="Arial"/>
        </w:rPr>
      </w:pPr>
      <w:r w:rsidRPr="00AC2E99">
        <w:rPr>
          <w:rFonts w:cs="Arial"/>
        </w:rPr>
        <w:t>Michael Porter's generic strategy provides a clear overview regarding the business growth strategy that is followed by an organisation in a competitive business market. As per this theory company can choose one effective strategy to tackle the market vulnerabilities.  This strategy framework provides two different categories to select from – low cost or differentiation, and two market scopes (broad aspect and narrow aspect) (Dvořák et al., 2022). Through a differentiation strategy, Greggs plc can create unique value in the business function. It makes the organisation distinct from others in the UK market, as Greggs plc offering of healthy, sustainable and digitally convenient service can create new value in the business operation.</w:t>
      </w:r>
    </w:p>
    <w:p w14:paraId="0850E48F" w14:textId="77777777" w:rsidR="00B16BE1" w:rsidRPr="00AC2E99" w:rsidRDefault="00B16BE1" w:rsidP="00B16BE1">
      <w:pPr>
        <w:rPr>
          <w:rFonts w:cs="Arial"/>
        </w:rPr>
      </w:pPr>
      <w:r w:rsidRPr="00AC2E99">
        <w:rPr>
          <w:rFonts w:cs="Arial"/>
          <w:b/>
          <w:bCs/>
          <w:i/>
          <w:iCs/>
        </w:rPr>
        <w:t>Real world examples –</w:t>
      </w:r>
      <w:r w:rsidRPr="00AC2E99">
        <w:rPr>
          <w:rFonts w:cs="Arial"/>
        </w:rPr>
        <w:t xml:space="preserve">   from the current performance assessment of McDonald's, it has been revealed that the company is following a product differentiation strategy. The main reason for following this strategic option is to target a wide range of customers in the UK market (</w:t>
      </w:r>
      <w:proofErr w:type="spellStart"/>
      <w:r w:rsidRPr="00AC2E99">
        <w:rPr>
          <w:rFonts w:cs="Arial"/>
        </w:rPr>
        <w:t>Rumagit</w:t>
      </w:r>
      <w:proofErr w:type="spellEnd"/>
      <w:r w:rsidRPr="00AC2E99">
        <w:rPr>
          <w:rFonts w:cs="Arial"/>
        </w:rPr>
        <w:t xml:space="preserve"> et al., 2022). The company introduced healthy menus and sustainable initiatives to show that product differentiation can help the organisation to enhance its capability to build organisational resilience in a competitive market.</w:t>
      </w:r>
    </w:p>
    <w:p w14:paraId="225CEFCF" w14:textId="77777777" w:rsidR="00B16BE1" w:rsidRPr="00AC2E99" w:rsidRDefault="00B16BE1" w:rsidP="00B16BE1">
      <w:pPr>
        <w:pStyle w:val="Heading2"/>
        <w:rPr>
          <w:rFonts w:cs="Arial"/>
        </w:rPr>
      </w:pPr>
      <w:bookmarkStart w:id="26" w:name="_Toc237088553"/>
      <w:r w:rsidRPr="00AC2E99">
        <w:rPr>
          <w:rFonts w:cs="Arial"/>
        </w:rPr>
        <w:t>4.4 Identification of potential challenges in implementation and solution</w:t>
      </w:r>
      <w:bookmarkEnd w:id="26"/>
    </w:p>
    <w:p w14:paraId="626891F8" w14:textId="77777777" w:rsidR="00B16BE1" w:rsidRPr="00AC2E99" w:rsidRDefault="00B16BE1" w:rsidP="00B16BE1">
      <w:pPr>
        <w:rPr>
          <w:rFonts w:cs="Arial"/>
        </w:rPr>
      </w:pPr>
      <w:r w:rsidRPr="00AC2E99">
        <w:rPr>
          <w:rFonts w:cs="Arial"/>
        </w:rPr>
        <w:t>Introducing a new strategic option in the existing business process creates several issues. It is very common for the organisation to experience different ranges of issues and barriers. With the right choice, the company can handle the issues to ensure sustainability.</w:t>
      </w:r>
    </w:p>
    <w:tbl>
      <w:tblPr>
        <w:tblW w:w="0" w:type="auto"/>
        <w:tblCellMar>
          <w:top w:w="15" w:type="dxa"/>
          <w:left w:w="15" w:type="dxa"/>
          <w:bottom w:w="15" w:type="dxa"/>
          <w:right w:w="15" w:type="dxa"/>
        </w:tblCellMar>
        <w:tblLook w:val="04A0" w:firstRow="1" w:lastRow="0" w:firstColumn="1" w:lastColumn="0" w:noHBand="0" w:noVBand="1"/>
      </w:tblPr>
      <w:tblGrid>
        <w:gridCol w:w="2049"/>
        <w:gridCol w:w="3763"/>
        <w:gridCol w:w="3538"/>
      </w:tblGrid>
      <w:tr w:rsidR="00B16BE1" w:rsidRPr="008C7C5A" w14:paraId="38C79CEF"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60B4B2A8"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Challenge</w:t>
            </w:r>
          </w:p>
        </w:tc>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0F36AF86"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Impact on Strategy</w:t>
            </w:r>
          </w:p>
        </w:tc>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FF86F03"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Solution</w:t>
            </w:r>
          </w:p>
        </w:tc>
      </w:tr>
      <w:tr w:rsidR="00B16BE1" w:rsidRPr="008C7C5A" w14:paraId="0844FB3F"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5CDC444E"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High implementation costs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35491E" w14:textId="77777777" w:rsidR="00B16BE1" w:rsidRPr="008C7C5A" w:rsidRDefault="00B16BE1" w:rsidP="00282404">
            <w:pPr>
              <w:spacing w:before="0" w:line="240" w:lineRule="auto"/>
              <w:rPr>
                <w:rFonts w:cs="Arial"/>
                <w:sz w:val="22"/>
                <w:szCs w:val="22"/>
              </w:rPr>
            </w:pPr>
            <w:r w:rsidRPr="008C7C5A">
              <w:rPr>
                <w:rFonts w:cs="Arial"/>
                <w:sz w:val="22"/>
                <w:szCs w:val="22"/>
              </w:rPr>
              <w:t>To adapt the proposed solution, it is important to invest in R&amp;D and marketing programs.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42C323" w14:textId="77777777" w:rsidR="00B16BE1" w:rsidRPr="008C7C5A" w:rsidRDefault="00B16BE1" w:rsidP="00282404">
            <w:pPr>
              <w:spacing w:before="0" w:line="240" w:lineRule="auto"/>
              <w:rPr>
                <w:rFonts w:cs="Arial"/>
                <w:sz w:val="22"/>
                <w:szCs w:val="22"/>
              </w:rPr>
            </w:pPr>
            <w:r w:rsidRPr="008C7C5A">
              <w:rPr>
                <w:rFonts w:cs="Arial"/>
                <w:sz w:val="22"/>
                <w:szCs w:val="22"/>
              </w:rPr>
              <w:t>Leverage economies of scale and secure long-term supplier contracts to stabilise operational costs (</w:t>
            </w:r>
            <w:proofErr w:type="spellStart"/>
            <w:r w:rsidRPr="008C7C5A">
              <w:rPr>
                <w:rFonts w:cs="Arial"/>
                <w:sz w:val="22"/>
                <w:szCs w:val="22"/>
              </w:rPr>
              <w:t>Soegoto</w:t>
            </w:r>
            <w:proofErr w:type="spellEnd"/>
            <w:r w:rsidRPr="008C7C5A">
              <w:rPr>
                <w:rFonts w:cs="Arial"/>
                <w:sz w:val="22"/>
                <w:szCs w:val="22"/>
              </w:rPr>
              <w:t>, 2021).</w:t>
            </w:r>
          </w:p>
        </w:tc>
      </w:tr>
      <w:tr w:rsidR="00B16BE1" w:rsidRPr="008C7C5A" w14:paraId="2FC14131"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59675815"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Supply chain complexity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AB004F" w14:textId="77777777" w:rsidR="00B16BE1" w:rsidRPr="008C7C5A" w:rsidRDefault="00B16BE1" w:rsidP="00282404">
            <w:pPr>
              <w:spacing w:before="0" w:line="240" w:lineRule="auto"/>
              <w:rPr>
                <w:rFonts w:cs="Arial"/>
                <w:sz w:val="22"/>
                <w:szCs w:val="22"/>
              </w:rPr>
            </w:pPr>
            <w:r w:rsidRPr="008C7C5A">
              <w:rPr>
                <w:rFonts w:cs="Arial"/>
                <w:sz w:val="22"/>
                <w:szCs w:val="22"/>
              </w:rPr>
              <w:t>Sourcing sustainable and healthier ingredients disrupts current operational practices (Pierce,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37B901" w14:textId="77777777" w:rsidR="00B16BE1" w:rsidRPr="008C7C5A" w:rsidRDefault="00B16BE1" w:rsidP="00282404">
            <w:pPr>
              <w:spacing w:before="0" w:line="240" w:lineRule="auto"/>
              <w:rPr>
                <w:rFonts w:cs="Arial"/>
                <w:sz w:val="22"/>
                <w:szCs w:val="22"/>
              </w:rPr>
            </w:pPr>
            <w:r w:rsidRPr="008C7C5A">
              <w:rPr>
                <w:rFonts w:cs="Arial"/>
                <w:sz w:val="22"/>
                <w:szCs w:val="22"/>
              </w:rPr>
              <w:t>Diversify suppliers list and invest in local sourcing to strengthen sustainability partnerships (Olarewaju et al., 2024).</w:t>
            </w:r>
          </w:p>
        </w:tc>
      </w:tr>
      <w:tr w:rsidR="00B16BE1" w:rsidRPr="008C7C5A" w14:paraId="21CB9565" w14:textId="77777777" w:rsidTr="008C7C5A">
        <w:trPr>
          <w:trHeight w:val="855"/>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23EEC8F3"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Customer resistance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9FC515" w14:textId="77777777" w:rsidR="00B16BE1" w:rsidRPr="008C7C5A" w:rsidRDefault="00B16BE1" w:rsidP="00282404">
            <w:pPr>
              <w:spacing w:before="0" w:line="240" w:lineRule="auto"/>
              <w:rPr>
                <w:rFonts w:cs="Arial"/>
                <w:sz w:val="22"/>
                <w:szCs w:val="22"/>
              </w:rPr>
            </w:pPr>
            <w:r w:rsidRPr="008C7C5A">
              <w:rPr>
                <w:rFonts w:cs="Arial"/>
                <w:sz w:val="22"/>
                <w:szCs w:val="22"/>
              </w:rPr>
              <w:t>Traditional customers create barriers to avail the digital services over healthier options.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586FF2" w14:textId="77777777" w:rsidR="00B16BE1" w:rsidRPr="008C7C5A" w:rsidRDefault="00B16BE1" w:rsidP="00282404">
            <w:pPr>
              <w:spacing w:before="0" w:line="240" w:lineRule="auto"/>
              <w:rPr>
                <w:rFonts w:cs="Arial"/>
                <w:sz w:val="22"/>
                <w:szCs w:val="22"/>
              </w:rPr>
            </w:pPr>
            <w:r w:rsidRPr="008C7C5A">
              <w:rPr>
                <w:rFonts w:cs="Arial"/>
                <w:sz w:val="22"/>
                <w:szCs w:val="22"/>
              </w:rPr>
              <w:t>Maintain core products such as sausage rolls and pasties while introducing healthier ranges (</w:t>
            </w:r>
            <w:proofErr w:type="spellStart"/>
            <w:r w:rsidRPr="008C7C5A">
              <w:rPr>
                <w:rFonts w:cs="Arial"/>
                <w:sz w:val="22"/>
                <w:szCs w:val="22"/>
              </w:rPr>
              <w:t>Soegoto</w:t>
            </w:r>
            <w:proofErr w:type="spellEnd"/>
            <w:r w:rsidRPr="008C7C5A">
              <w:rPr>
                <w:rFonts w:cs="Arial"/>
                <w:sz w:val="22"/>
                <w:szCs w:val="22"/>
              </w:rPr>
              <w:t>, 2021).</w:t>
            </w:r>
          </w:p>
        </w:tc>
      </w:tr>
      <w:tr w:rsidR="00B16BE1" w:rsidRPr="008C7C5A" w14:paraId="4BA466B4"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1A2F0E8C"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Brand identity tension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4DD5F2" w14:textId="77777777" w:rsidR="00B16BE1" w:rsidRPr="008C7C5A" w:rsidRDefault="00B16BE1" w:rsidP="00282404">
            <w:pPr>
              <w:spacing w:before="0" w:line="240" w:lineRule="auto"/>
              <w:rPr>
                <w:rFonts w:cs="Arial"/>
                <w:sz w:val="22"/>
                <w:szCs w:val="22"/>
              </w:rPr>
            </w:pPr>
            <w:r w:rsidRPr="008C7C5A">
              <w:rPr>
                <w:rFonts w:cs="Arial"/>
                <w:sz w:val="22"/>
                <w:szCs w:val="22"/>
              </w:rPr>
              <w:t>Shifting toward health and sustainability could dilute Greggs plc current brand image (Dvořák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7156A86" w14:textId="77777777" w:rsidR="00B16BE1" w:rsidRPr="008C7C5A" w:rsidRDefault="00B16BE1" w:rsidP="00282404">
            <w:pPr>
              <w:spacing w:before="0" w:line="240" w:lineRule="auto"/>
              <w:rPr>
                <w:rFonts w:cs="Arial"/>
                <w:sz w:val="22"/>
                <w:szCs w:val="22"/>
              </w:rPr>
            </w:pPr>
            <w:r w:rsidRPr="008C7C5A">
              <w:rPr>
                <w:rFonts w:cs="Arial"/>
                <w:sz w:val="22"/>
                <w:szCs w:val="22"/>
              </w:rPr>
              <w:t>As per, Madsen (2025), Balance indulgence with healthier alternatives and communicate CSR to customers as added value.</w:t>
            </w:r>
          </w:p>
        </w:tc>
      </w:tr>
      <w:tr w:rsidR="00B16BE1" w:rsidRPr="008C7C5A" w14:paraId="71B138AE" w14:textId="77777777" w:rsidTr="008C7C5A">
        <w:trPr>
          <w:trHeight w:val="855"/>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D04E0ED"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Competitive imitation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35E6A0" w14:textId="77777777" w:rsidR="00B16BE1" w:rsidRPr="008C7C5A" w:rsidRDefault="00B16BE1" w:rsidP="00282404">
            <w:pPr>
              <w:spacing w:before="0" w:line="240" w:lineRule="auto"/>
              <w:rPr>
                <w:rFonts w:cs="Arial"/>
                <w:sz w:val="22"/>
                <w:szCs w:val="22"/>
              </w:rPr>
            </w:pPr>
            <w:r w:rsidRPr="008C7C5A">
              <w:rPr>
                <w:rFonts w:cs="Arial"/>
                <w:sz w:val="22"/>
                <w:szCs w:val="22"/>
              </w:rPr>
              <w:t>Rivals such as – Costa coffee, Pret A Manger or McDonald's use the same strategy and invest in innovations.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DD4BCA" w14:textId="77777777" w:rsidR="00B16BE1" w:rsidRPr="008C7C5A" w:rsidRDefault="00B16BE1" w:rsidP="00282404">
            <w:pPr>
              <w:spacing w:before="0" w:line="240" w:lineRule="auto"/>
              <w:rPr>
                <w:rFonts w:cs="Arial"/>
                <w:sz w:val="22"/>
                <w:szCs w:val="22"/>
              </w:rPr>
            </w:pPr>
            <w:r w:rsidRPr="008C7C5A">
              <w:rPr>
                <w:rFonts w:cs="Arial"/>
                <w:sz w:val="22"/>
                <w:szCs w:val="22"/>
              </w:rPr>
              <w:t>Differentiate through unique CSR initiatives such as Breakfast Clubs and Outlet shops.</w:t>
            </w:r>
          </w:p>
        </w:tc>
      </w:tr>
      <w:tr w:rsidR="00B16BE1" w:rsidRPr="008C7C5A" w14:paraId="002C1843"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6D8632C"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Regulatory uncertainty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61617B" w14:textId="77777777" w:rsidR="00B16BE1" w:rsidRPr="008C7C5A" w:rsidRDefault="00B16BE1" w:rsidP="00282404">
            <w:pPr>
              <w:spacing w:before="0" w:line="240" w:lineRule="auto"/>
              <w:rPr>
                <w:rFonts w:cs="Arial"/>
                <w:sz w:val="22"/>
                <w:szCs w:val="22"/>
              </w:rPr>
            </w:pPr>
            <w:r w:rsidRPr="008C7C5A">
              <w:rPr>
                <w:rFonts w:cs="Arial"/>
                <w:sz w:val="22"/>
                <w:szCs w:val="22"/>
              </w:rPr>
              <w:t>UK food and environmental regulations such as packaging laws and the sugar tax increase compliance costs (</w:t>
            </w:r>
            <w:proofErr w:type="spellStart"/>
            <w:r w:rsidRPr="008C7C5A">
              <w:rPr>
                <w:rFonts w:cs="Arial"/>
                <w:sz w:val="22"/>
                <w:szCs w:val="22"/>
              </w:rPr>
              <w:t>Soegoto</w:t>
            </w:r>
            <w:proofErr w:type="spellEnd"/>
            <w:r w:rsidRPr="008C7C5A">
              <w:rPr>
                <w:rFonts w:cs="Arial"/>
                <w:sz w:val="22"/>
                <w:szCs w:val="22"/>
              </w:rPr>
              <w:t>, 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0E58501" w14:textId="77777777" w:rsidR="00B16BE1" w:rsidRPr="008C7C5A" w:rsidRDefault="00B16BE1" w:rsidP="00282404">
            <w:pPr>
              <w:spacing w:before="0" w:line="240" w:lineRule="auto"/>
              <w:rPr>
                <w:rFonts w:cs="Arial"/>
                <w:sz w:val="22"/>
                <w:szCs w:val="22"/>
              </w:rPr>
            </w:pPr>
            <w:r w:rsidRPr="008C7C5A">
              <w:rPr>
                <w:rFonts w:cs="Arial"/>
                <w:sz w:val="22"/>
                <w:szCs w:val="22"/>
              </w:rPr>
              <w:t>Proactively align CSR with regulatory trends and position Greggs as a leader in compliance.</w:t>
            </w:r>
          </w:p>
        </w:tc>
      </w:tr>
      <w:tr w:rsidR="00B16BE1" w:rsidRPr="008C7C5A" w14:paraId="2863D6A8"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6AB6BDA"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Employee adaptation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55614C" w14:textId="77777777" w:rsidR="00B16BE1" w:rsidRPr="008C7C5A" w:rsidRDefault="00B16BE1" w:rsidP="00282404">
            <w:pPr>
              <w:spacing w:before="0" w:line="240" w:lineRule="auto"/>
              <w:rPr>
                <w:rFonts w:cs="Arial"/>
                <w:sz w:val="22"/>
                <w:szCs w:val="22"/>
              </w:rPr>
            </w:pPr>
            <w:r w:rsidRPr="008C7C5A">
              <w:rPr>
                <w:rFonts w:cs="Arial"/>
                <w:sz w:val="22"/>
                <w:szCs w:val="22"/>
              </w:rPr>
              <w:t>Current staff struggle with new processes due to digital incompetencies and a lack of sustainability practices (Wilkinson,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827F8C" w14:textId="77777777" w:rsidR="00B16BE1" w:rsidRPr="008C7C5A" w:rsidRDefault="00B16BE1" w:rsidP="00282404">
            <w:pPr>
              <w:spacing w:before="0" w:line="240" w:lineRule="auto"/>
              <w:rPr>
                <w:rFonts w:cs="Arial"/>
                <w:sz w:val="22"/>
                <w:szCs w:val="22"/>
              </w:rPr>
            </w:pPr>
            <w:r w:rsidRPr="008C7C5A">
              <w:rPr>
                <w:rFonts w:cs="Arial"/>
                <w:sz w:val="22"/>
                <w:szCs w:val="22"/>
              </w:rPr>
              <w:t>Provide continuous training programs to develop a healthy employee culture.</w:t>
            </w:r>
          </w:p>
        </w:tc>
      </w:tr>
    </w:tbl>
    <w:p w14:paraId="192EB8BC" w14:textId="70CAC550" w:rsidR="00B16BE1" w:rsidRPr="00AC2E99" w:rsidRDefault="00B16BE1" w:rsidP="00B16BE1">
      <w:pPr>
        <w:jc w:val="center"/>
        <w:rPr>
          <w:rFonts w:cs="Arial"/>
          <w:b/>
          <w:bCs/>
        </w:rPr>
      </w:pPr>
      <w:r w:rsidRPr="00AC2E99">
        <w:rPr>
          <w:rFonts w:cs="Arial"/>
          <w:b/>
          <w:bCs/>
        </w:rPr>
        <w:t>Table 10: Evaluation of implementation</w:t>
      </w:r>
    </w:p>
    <w:p w14:paraId="3071C5A3" w14:textId="77777777" w:rsidR="00B16BE1" w:rsidRPr="00AC2E99" w:rsidRDefault="00B16BE1" w:rsidP="00B16BE1">
      <w:pPr>
        <w:rPr>
          <w:rFonts w:cs="Arial"/>
        </w:rPr>
      </w:pPr>
      <w:r w:rsidRPr="00AC2E99">
        <w:rPr>
          <w:rFonts w:cs="Arial"/>
        </w:rPr>
        <w:t xml:space="preserve"> Brand performance generally depends on the continued improvement in the process and design. Through active experiment the company can achieve the proposed goal by avoiding any implementation issues. The proposed action is helpful to avoid such issues for a large-scale organisation.</w:t>
      </w:r>
    </w:p>
    <w:p w14:paraId="190FBA21" w14:textId="60FA9C62" w:rsidR="0068199C" w:rsidRPr="00AC2E99" w:rsidRDefault="00B16BE1" w:rsidP="005C653B">
      <w:pPr>
        <w:spacing w:before="0" w:after="160" w:line="278" w:lineRule="auto"/>
        <w:jc w:val="left"/>
        <w:rPr>
          <w:rFonts w:cs="Arial"/>
        </w:rPr>
      </w:pPr>
      <w:r w:rsidRPr="00AC2E99">
        <w:rPr>
          <w:rFonts w:cs="Arial"/>
        </w:rPr>
        <w:br w:type="page"/>
      </w:r>
      <w:bookmarkStart w:id="27" w:name="_djw08x1jm9f3" w:colFirst="0" w:colLast="0"/>
      <w:bookmarkEnd w:id="27"/>
    </w:p>
    <w:p w14:paraId="0B644F98" w14:textId="77777777" w:rsidR="0068199C" w:rsidRPr="00AC2E99" w:rsidRDefault="00000000">
      <w:pPr>
        <w:pStyle w:val="Heading1"/>
        <w:rPr>
          <w:rFonts w:cs="Arial"/>
        </w:rPr>
      </w:pPr>
      <w:bookmarkStart w:id="28" w:name="_bcag71qg93nr" w:colFirst="0" w:colLast="0"/>
      <w:bookmarkStart w:id="29" w:name="_Toc237088554"/>
      <w:bookmarkEnd w:id="28"/>
      <w:r w:rsidRPr="00AC2E99">
        <w:rPr>
          <w:rFonts w:cs="Arial"/>
        </w:rPr>
        <w:t>Section 2 Reflection</w:t>
      </w:r>
      <w:bookmarkEnd w:id="29"/>
      <w:r w:rsidRPr="00AC2E99">
        <w:rPr>
          <w:rFonts w:cs="Arial"/>
        </w:rPr>
        <w:t xml:space="preserve"> </w:t>
      </w:r>
    </w:p>
    <w:p w14:paraId="224E3843" w14:textId="77777777" w:rsidR="0068199C" w:rsidRPr="00AC2E99" w:rsidRDefault="00000000">
      <w:pPr>
        <w:pStyle w:val="Heading2"/>
        <w:rPr>
          <w:rFonts w:cs="Arial"/>
        </w:rPr>
      </w:pPr>
      <w:bookmarkStart w:id="30" w:name="_va2vx1m6tixr" w:colFirst="0" w:colLast="0"/>
      <w:bookmarkStart w:id="31" w:name="_Toc237088555"/>
      <w:bookmarkEnd w:id="30"/>
      <w:r w:rsidRPr="00AC2E99">
        <w:rPr>
          <w:rFonts w:cs="Arial"/>
        </w:rPr>
        <w:t>Introduction</w:t>
      </w:r>
      <w:bookmarkEnd w:id="31"/>
    </w:p>
    <w:p w14:paraId="2DD1251A" w14:textId="6D8D8CA9" w:rsidR="0068199C" w:rsidRDefault="00000000">
      <w:pPr>
        <w:rPr>
          <w:rFonts w:cs="Arial"/>
        </w:rPr>
      </w:pPr>
      <w:r w:rsidRPr="00AC2E99">
        <w:rPr>
          <w:rFonts w:cs="Arial"/>
        </w:rPr>
        <w:t>The experiences, learnings and researching experiences in the previous section can be reflected by Gibb's reflective cycle because the cycle uses six stages, which help to reflect and express the experiences</w:t>
      </w:r>
      <w:r w:rsidR="00BB5281">
        <w:rPr>
          <w:rFonts w:cs="Arial"/>
        </w:rPr>
        <w:t xml:space="preserve"> (Dutta et al., 2023)</w:t>
      </w:r>
      <w:r w:rsidRPr="00AC2E99">
        <w:rPr>
          <w:rFonts w:cs="Arial"/>
        </w:rPr>
        <w:t xml:space="preserve">. </w:t>
      </w:r>
    </w:p>
    <w:p w14:paraId="3B8EC84F" w14:textId="71DAA68B" w:rsidR="00BB5281" w:rsidRDefault="00BB5281" w:rsidP="00BB5281">
      <w:pPr>
        <w:jc w:val="center"/>
        <w:rPr>
          <w:rFonts w:cs="Arial"/>
        </w:rPr>
      </w:pPr>
      <w:r>
        <w:rPr>
          <w:rFonts w:cs="Arial"/>
          <w:noProof/>
        </w:rPr>
        <w:drawing>
          <wp:inline distT="0" distB="0" distL="0" distR="0" wp14:anchorId="28A5C5B3" wp14:editId="3055677F">
            <wp:extent cx="3376061" cy="3486150"/>
            <wp:effectExtent l="19050" t="19050" r="15240" b="19050"/>
            <wp:docPr id="1982302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6951" cy="3487069"/>
                    </a:xfrm>
                    <a:prstGeom prst="rect">
                      <a:avLst/>
                    </a:prstGeom>
                    <a:noFill/>
                    <a:ln>
                      <a:solidFill>
                        <a:schemeClr val="bg1">
                          <a:lumMod val="75000"/>
                        </a:schemeClr>
                      </a:solidFill>
                    </a:ln>
                  </pic:spPr>
                </pic:pic>
              </a:graphicData>
            </a:graphic>
          </wp:inline>
        </w:drawing>
      </w:r>
    </w:p>
    <w:p w14:paraId="36AC6287" w14:textId="079ED5C8" w:rsidR="00BB5281" w:rsidRPr="00FB1A16" w:rsidRDefault="00BB5281" w:rsidP="00BB5281">
      <w:pPr>
        <w:jc w:val="center"/>
        <w:rPr>
          <w:rFonts w:cs="Arial"/>
          <w:b/>
          <w:bCs/>
          <w:lang w:val="it-IT"/>
        </w:rPr>
      </w:pPr>
      <w:r w:rsidRPr="00FB1A16">
        <w:rPr>
          <w:rFonts w:cs="Arial"/>
          <w:b/>
          <w:bCs/>
          <w:lang w:val="it-IT"/>
        </w:rPr>
        <w:t>Figure 5: Gibb’s model diagram</w:t>
      </w:r>
    </w:p>
    <w:p w14:paraId="7AABB087" w14:textId="7902F889" w:rsidR="00BB5281" w:rsidRPr="00FB1A16" w:rsidRDefault="00BB5281" w:rsidP="00BB5281">
      <w:pPr>
        <w:jc w:val="center"/>
        <w:rPr>
          <w:rFonts w:cs="Arial"/>
          <w:lang w:val="it-IT"/>
        </w:rPr>
      </w:pPr>
      <w:r w:rsidRPr="00FB1A16">
        <w:rPr>
          <w:rFonts w:cs="Arial"/>
          <w:lang w:val="it-IT"/>
        </w:rPr>
        <w:t>(Source: Dutta et al., 2023)</w:t>
      </w:r>
    </w:p>
    <w:p w14:paraId="4B892A37" w14:textId="77777777" w:rsidR="0068199C" w:rsidRPr="00AC2E99" w:rsidRDefault="00000000">
      <w:pPr>
        <w:pStyle w:val="Heading2"/>
        <w:rPr>
          <w:rFonts w:cs="Arial"/>
        </w:rPr>
      </w:pPr>
      <w:bookmarkStart w:id="32" w:name="_xko9rwgqy8oq" w:colFirst="0" w:colLast="0"/>
      <w:bookmarkStart w:id="33" w:name="_Toc237088556"/>
      <w:bookmarkEnd w:id="32"/>
      <w:r w:rsidRPr="00AC2E99">
        <w:rPr>
          <w:rFonts w:cs="Arial"/>
        </w:rPr>
        <w:t>Reflective cycle</w:t>
      </w:r>
      <w:bookmarkEnd w:id="33"/>
      <w:r w:rsidRPr="00AC2E99">
        <w:rPr>
          <w:rFonts w:cs="Arial"/>
        </w:rPr>
        <w:t xml:space="preserve"> </w:t>
      </w:r>
    </w:p>
    <w:p w14:paraId="68255CAA" w14:textId="77777777" w:rsidR="0068199C" w:rsidRPr="00AC2E99" w:rsidRDefault="00000000">
      <w:pPr>
        <w:rPr>
          <w:rFonts w:cs="Arial"/>
          <w:b/>
          <w:bCs/>
          <w:u w:val="single"/>
        </w:rPr>
      </w:pPr>
      <w:r w:rsidRPr="00AC2E99">
        <w:rPr>
          <w:rFonts w:cs="Arial"/>
          <w:b/>
          <w:bCs/>
          <w:u w:val="single"/>
        </w:rPr>
        <w:t>Description</w:t>
      </w:r>
    </w:p>
    <w:p w14:paraId="7C60DA0B" w14:textId="77777777" w:rsidR="0068199C" w:rsidRPr="00AC2E99" w:rsidRDefault="00000000">
      <w:pPr>
        <w:rPr>
          <w:rFonts w:cs="Arial"/>
        </w:rPr>
      </w:pPr>
      <w:r w:rsidRPr="00AC2E99">
        <w:rPr>
          <w:rFonts w:cs="Arial"/>
        </w:rPr>
        <w:t xml:space="preserve">In section 1, there is a report on a certain context. For conducting the report, I have chosen Greggs of the UK, and the food-to-go product range has been selected. The work is on strategic management; hence, the strategic analysis has been done in this section. I have learned different strategic management frameworks and different theories and models through this work. I have come to know about the application of PESTLE analysis for external analysis; then I have researched the organisation and can apply it for internal analysis using VRIO analysis and Value chain analysis. SWOT analysis, balanced scorecard framework, different leadership approaches, Ansoff matrix, SAF and Porter's five force analysis have been done in this section. It has given me the opportunity to research CSR issues and the CSR strategies applied by Greggs. I researched the website information, annual report, sustainable report, different authentic websites like Statista and newspaper journals, and UK Government websites for researching. Many journal articles from databases like Google Scholar also provided some valid and relevant information to conduct the research. </w:t>
      </w:r>
    </w:p>
    <w:p w14:paraId="2A99D49A" w14:textId="77777777" w:rsidR="0068199C" w:rsidRPr="00AC2E99" w:rsidRDefault="00000000">
      <w:pPr>
        <w:rPr>
          <w:rFonts w:cs="Arial"/>
          <w:b/>
          <w:bCs/>
          <w:u w:val="single"/>
        </w:rPr>
      </w:pPr>
      <w:r w:rsidRPr="00AC2E99">
        <w:rPr>
          <w:rFonts w:cs="Arial"/>
          <w:b/>
          <w:bCs/>
          <w:u w:val="single"/>
        </w:rPr>
        <w:t>Feelings</w:t>
      </w:r>
    </w:p>
    <w:p w14:paraId="6A7DF47B" w14:textId="77777777" w:rsidR="0068199C" w:rsidRPr="00AC2E99" w:rsidRDefault="00000000">
      <w:pPr>
        <w:rPr>
          <w:rFonts w:cs="Arial"/>
        </w:rPr>
      </w:pPr>
      <w:r w:rsidRPr="00AC2E99">
        <w:rPr>
          <w:rFonts w:cs="Arial"/>
        </w:rPr>
        <w:t xml:space="preserve">Initially, I was quite nervous while choosing the company. I found some sustainable or CSR issues of Greggs; however, I was quite nervous to analyse the issues by applying the theories. I had a good understanding and knowledge about the strategic management frameworks; however, real-world application was challenging for me. While I stated the PESTLE analysis, I tried to synthesise the data and information from different sources, and I succeeded. Then I gained the confidence to apply the information about the organisation within a certain framework. I was very happy while I did frameworks like the balanced scorecard, SWOT, value chain or VRIO analysis. However, when I had to provide recommendations for the organisation or provide suggestions for the application of the growth strategy using the Ansoff Matrix, I got confused; however, with the support and help of my peers and supervisors, I could complete the report. </w:t>
      </w:r>
    </w:p>
    <w:p w14:paraId="7D18F908" w14:textId="77777777" w:rsidR="0068199C" w:rsidRPr="00AC2E99" w:rsidRDefault="00000000">
      <w:pPr>
        <w:rPr>
          <w:rFonts w:cs="Arial"/>
          <w:b/>
          <w:bCs/>
          <w:u w:val="single"/>
        </w:rPr>
      </w:pPr>
      <w:r w:rsidRPr="00AC2E99">
        <w:rPr>
          <w:rFonts w:cs="Arial"/>
          <w:b/>
          <w:bCs/>
          <w:u w:val="single"/>
        </w:rPr>
        <w:t>Evaluation</w:t>
      </w:r>
    </w:p>
    <w:p w14:paraId="4216ACC1" w14:textId="77777777" w:rsidR="0068199C" w:rsidRPr="00AC2E99" w:rsidRDefault="00000000">
      <w:pPr>
        <w:rPr>
          <w:rFonts w:cs="Arial"/>
        </w:rPr>
      </w:pPr>
      <w:r w:rsidRPr="00AC2E99">
        <w:rPr>
          <w:rFonts w:cs="Arial"/>
        </w:rPr>
        <w:t xml:space="preserve">From the learning in the previous section, I have identified some positive learning and strengths, and also I have identified my skill gaps or weaknesses. I have identified that my theoretical knowledge of strategic frameworks such as the PESTLE analysis, SWOT analysis, VRIO, balance scorecard, and Ansoff matrix is very strong. I know the components and why all the frameworks are applied in the analysis. However, I have limited ability to apply those frameworks for a real-life situation or to address the real issue of the colonies. In this report, I had to use a real issue that Greggs has been facing; however, I initially faced issues while synthesising the information with the PESTLE and VRIO frameworks. I have strong communication skills, so I got help from my peers, as I have a good bond with them, which shows strong interpersonal ability. However, I faced issues in critical thinking, which is very important for conducting the consultancy report. I also need to enhance my adaptability skills, which will help me in the future. </w:t>
      </w:r>
    </w:p>
    <w:p w14:paraId="7AEE43E6" w14:textId="77777777" w:rsidR="0068199C" w:rsidRPr="00AC2E99" w:rsidRDefault="00000000">
      <w:pPr>
        <w:rPr>
          <w:rFonts w:cs="Arial"/>
          <w:b/>
          <w:bCs/>
          <w:u w:val="single"/>
        </w:rPr>
      </w:pPr>
      <w:r w:rsidRPr="00AC2E99">
        <w:rPr>
          <w:rFonts w:cs="Arial"/>
          <w:b/>
          <w:bCs/>
          <w:u w:val="single"/>
        </w:rPr>
        <w:t xml:space="preserve">Analysis </w:t>
      </w:r>
    </w:p>
    <w:p w14:paraId="21AFBBF4" w14:textId="77777777" w:rsidR="0068199C" w:rsidRPr="00AC2E99" w:rsidRDefault="00000000">
      <w:pPr>
        <w:rPr>
          <w:rFonts w:cs="Arial"/>
        </w:rPr>
      </w:pPr>
      <w:r w:rsidRPr="00AC2E99">
        <w:rPr>
          <w:rFonts w:cs="Arial"/>
        </w:rPr>
        <w:t xml:space="preserve">The overall learning from this report has allowed me to enhance my skills. I have acquired more knowledge of the different frameworks. I have even gained knowledge of different types of strategies. By researching an issue of any organisation, now I can understand which strategic option or growth option can be applied for the organisation. I gained the ability to use analytical skills to suggest or recommend addressing the issues. Through this report, I have also researched the industry and the organisation, which has already improved my research ability. </w:t>
      </w:r>
    </w:p>
    <w:p w14:paraId="6DCA3A9B" w14:textId="77777777" w:rsidR="0068199C" w:rsidRPr="00AC2E99" w:rsidRDefault="00000000">
      <w:pPr>
        <w:rPr>
          <w:rFonts w:cs="Arial"/>
          <w:b/>
          <w:bCs/>
          <w:u w:val="single"/>
        </w:rPr>
      </w:pPr>
      <w:r w:rsidRPr="00AC2E99">
        <w:rPr>
          <w:rFonts w:cs="Arial"/>
          <w:b/>
          <w:bCs/>
          <w:u w:val="single"/>
        </w:rPr>
        <w:t>Conclusion</w:t>
      </w:r>
    </w:p>
    <w:p w14:paraId="02374AA4" w14:textId="77777777" w:rsidR="0068199C" w:rsidRPr="00AC2E99" w:rsidRDefault="00000000">
      <w:pPr>
        <w:rPr>
          <w:rFonts w:cs="Arial"/>
        </w:rPr>
      </w:pPr>
      <w:r w:rsidRPr="00AC2E99">
        <w:rPr>
          <w:rFonts w:cs="Arial"/>
        </w:rPr>
        <w:t xml:space="preserve">From the overall learning and experiences from the report, I have found that the skills which I have gained can be used in the future. For the next modules or next level, I can use those skills to enhance my academic success. On the other hand, I can use those soft skills and hard skills in my future professional success. I have improved my future growth opportunities through my communication, researching, and analytical skills. </w:t>
      </w:r>
    </w:p>
    <w:p w14:paraId="1E3732A6" w14:textId="77777777" w:rsidR="0068199C" w:rsidRPr="00AC2E99" w:rsidRDefault="00000000">
      <w:pPr>
        <w:rPr>
          <w:rFonts w:cs="Arial"/>
        </w:rPr>
      </w:pPr>
      <w:r w:rsidRPr="00AC2E99">
        <w:rPr>
          <w:rFonts w:cs="Arial"/>
          <w:b/>
          <w:bCs/>
          <w:u w:val="single"/>
        </w:rPr>
        <w:t xml:space="preserve">Action plan </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4667"/>
        <w:gridCol w:w="1573"/>
      </w:tblGrid>
      <w:tr w:rsidR="0068199C" w:rsidRPr="00AC2E99" w14:paraId="047E20CC" w14:textId="77777777" w:rsidTr="00FB1A16">
        <w:tc>
          <w:tcPr>
            <w:tcW w:w="3120" w:type="dxa"/>
            <w:shd w:val="clear" w:color="auto" w:fill="F2F2F2" w:themeFill="background1" w:themeFillShade="F2"/>
            <w:tcMar>
              <w:top w:w="100" w:type="dxa"/>
              <w:left w:w="100" w:type="dxa"/>
              <w:bottom w:w="100" w:type="dxa"/>
              <w:right w:w="100" w:type="dxa"/>
            </w:tcMar>
          </w:tcPr>
          <w:p w14:paraId="469EBF35" w14:textId="500C0C69"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Goal</w:t>
            </w:r>
          </w:p>
        </w:tc>
        <w:tc>
          <w:tcPr>
            <w:tcW w:w="4667" w:type="dxa"/>
            <w:shd w:val="clear" w:color="auto" w:fill="F2F2F2" w:themeFill="background1" w:themeFillShade="F2"/>
            <w:tcMar>
              <w:top w:w="100" w:type="dxa"/>
              <w:left w:w="100" w:type="dxa"/>
              <w:bottom w:w="100" w:type="dxa"/>
              <w:right w:w="100" w:type="dxa"/>
            </w:tcMar>
          </w:tcPr>
          <w:p w14:paraId="531A27DF" w14:textId="7944F67A"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How to improve</w:t>
            </w:r>
          </w:p>
        </w:tc>
        <w:tc>
          <w:tcPr>
            <w:tcW w:w="1573" w:type="dxa"/>
            <w:shd w:val="clear" w:color="auto" w:fill="F2F2F2" w:themeFill="background1" w:themeFillShade="F2"/>
            <w:tcMar>
              <w:top w:w="100" w:type="dxa"/>
              <w:left w:w="100" w:type="dxa"/>
              <w:bottom w:w="100" w:type="dxa"/>
              <w:right w:w="100" w:type="dxa"/>
            </w:tcMar>
          </w:tcPr>
          <w:p w14:paraId="2D788B20" w14:textId="65B09A75"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Timeline</w:t>
            </w:r>
          </w:p>
        </w:tc>
      </w:tr>
      <w:tr w:rsidR="0068199C" w:rsidRPr="00AC2E99" w14:paraId="3992BBC5" w14:textId="77777777" w:rsidTr="00FB1A16">
        <w:tc>
          <w:tcPr>
            <w:tcW w:w="3120" w:type="dxa"/>
            <w:shd w:val="clear" w:color="auto" w:fill="F2F2F2" w:themeFill="background1" w:themeFillShade="F2"/>
            <w:tcMar>
              <w:top w:w="100" w:type="dxa"/>
              <w:left w:w="100" w:type="dxa"/>
              <w:bottom w:w="100" w:type="dxa"/>
              <w:right w:w="100" w:type="dxa"/>
            </w:tcMar>
          </w:tcPr>
          <w:p w14:paraId="75BCE13C"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enhance my analytical and critical thinking ability. </w:t>
            </w:r>
          </w:p>
        </w:tc>
        <w:tc>
          <w:tcPr>
            <w:tcW w:w="4667" w:type="dxa"/>
            <w:tcMar>
              <w:top w:w="100" w:type="dxa"/>
              <w:left w:w="100" w:type="dxa"/>
              <w:bottom w:w="100" w:type="dxa"/>
              <w:right w:w="100" w:type="dxa"/>
            </w:tcMar>
          </w:tcPr>
          <w:p w14:paraId="6A19C4AA"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I need to use more books and journals on analytical and critical thinking skill development. Then I need to solve puzzles, and I have to solve or analysis for case studies on different companies and critically identify the current situation of those organisations. </w:t>
            </w:r>
          </w:p>
        </w:tc>
        <w:tc>
          <w:tcPr>
            <w:tcW w:w="1573" w:type="dxa"/>
            <w:tcMar>
              <w:top w:w="100" w:type="dxa"/>
              <w:left w:w="100" w:type="dxa"/>
              <w:bottom w:w="100" w:type="dxa"/>
              <w:right w:w="100" w:type="dxa"/>
            </w:tcMar>
          </w:tcPr>
          <w:p w14:paraId="799A8FFC"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6 months </w:t>
            </w:r>
          </w:p>
        </w:tc>
      </w:tr>
      <w:tr w:rsidR="0068199C" w:rsidRPr="00AC2E99" w14:paraId="2353BF94" w14:textId="77777777" w:rsidTr="00FB1A16">
        <w:tc>
          <w:tcPr>
            <w:tcW w:w="3120" w:type="dxa"/>
            <w:shd w:val="clear" w:color="auto" w:fill="F2F2F2" w:themeFill="background1" w:themeFillShade="F2"/>
            <w:tcMar>
              <w:top w:w="100" w:type="dxa"/>
              <w:left w:w="100" w:type="dxa"/>
              <w:bottom w:w="100" w:type="dxa"/>
              <w:right w:w="100" w:type="dxa"/>
            </w:tcMar>
          </w:tcPr>
          <w:p w14:paraId="4D3A4CE8"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enhance my synthesising skills </w:t>
            </w:r>
          </w:p>
        </w:tc>
        <w:tc>
          <w:tcPr>
            <w:tcW w:w="4667" w:type="dxa"/>
            <w:tcMar>
              <w:top w:w="100" w:type="dxa"/>
              <w:left w:w="100" w:type="dxa"/>
              <w:bottom w:w="100" w:type="dxa"/>
              <w:right w:w="100" w:type="dxa"/>
            </w:tcMar>
          </w:tcPr>
          <w:p w14:paraId="50A5400A"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I need to use 3 case studies and then practice applying different strategic frameworks to them. I need to take help and guidance from the supervisors. </w:t>
            </w:r>
          </w:p>
        </w:tc>
        <w:tc>
          <w:tcPr>
            <w:tcW w:w="1573" w:type="dxa"/>
            <w:tcMar>
              <w:top w:w="100" w:type="dxa"/>
              <w:left w:w="100" w:type="dxa"/>
              <w:bottom w:w="100" w:type="dxa"/>
              <w:right w:w="100" w:type="dxa"/>
            </w:tcMar>
          </w:tcPr>
          <w:p w14:paraId="6E969EB7"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4 months </w:t>
            </w:r>
          </w:p>
        </w:tc>
      </w:tr>
      <w:tr w:rsidR="0068199C" w:rsidRPr="00AC2E99" w14:paraId="2CB1317A" w14:textId="77777777" w:rsidTr="00FB1A16">
        <w:tc>
          <w:tcPr>
            <w:tcW w:w="3120" w:type="dxa"/>
            <w:shd w:val="clear" w:color="auto" w:fill="F2F2F2" w:themeFill="background1" w:themeFillShade="F2"/>
            <w:tcMar>
              <w:top w:w="100" w:type="dxa"/>
              <w:left w:w="100" w:type="dxa"/>
              <w:bottom w:w="100" w:type="dxa"/>
              <w:right w:w="100" w:type="dxa"/>
            </w:tcMar>
          </w:tcPr>
          <w:p w14:paraId="5EE95639"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improve my adaptability ability </w:t>
            </w:r>
          </w:p>
        </w:tc>
        <w:tc>
          <w:tcPr>
            <w:tcW w:w="4667" w:type="dxa"/>
            <w:tcMar>
              <w:top w:w="100" w:type="dxa"/>
              <w:left w:w="100" w:type="dxa"/>
              <w:bottom w:w="100" w:type="dxa"/>
              <w:right w:w="100" w:type="dxa"/>
            </w:tcMar>
          </w:tcPr>
          <w:p w14:paraId="389DB128"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I have to welcome changes and participate in new learnings and new courses. I have to work in different situations and different teams to enhance my adaptability. </w:t>
            </w:r>
          </w:p>
        </w:tc>
        <w:tc>
          <w:tcPr>
            <w:tcW w:w="1573" w:type="dxa"/>
            <w:tcMar>
              <w:top w:w="100" w:type="dxa"/>
              <w:left w:w="100" w:type="dxa"/>
              <w:bottom w:w="100" w:type="dxa"/>
              <w:right w:w="100" w:type="dxa"/>
            </w:tcMar>
          </w:tcPr>
          <w:p w14:paraId="14A22D51"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6 months </w:t>
            </w:r>
          </w:p>
        </w:tc>
      </w:tr>
    </w:tbl>
    <w:p w14:paraId="24C3DFE0" w14:textId="77777777" w:rsidR="0068199C" w:rsidRPr="00AC2E99" w:rsidRDefault="00000000">
      <w:pPr>
        <w:pStyle w:val="Heading2"/>
        <w:rPr>
          <w:rFonts w:cs="Arial"/>
        </w:rPr>
      </w:pPr>
      <w:bookmarkStart w:id="34" w:name="_rx79bpou1lwd" w:colFirst="0" w:colLast="0"/>
      <w:bookmarkStart w:id="35" w:name="_Toc237088557"/>
      <w:bookmarkEnd w:id="34"/>
      <w:r w:rsidRPr="00AC2E99">
        <w:rPr>
          <w:rFonts w:cs="Arial"/>
        </w:rPr>
        <w:t>Conclusion</w:t>
      </w:r>
      <w:bookmarkEnd w:id="35"/>
      <w:r w:rsidRPr="00AC2E99">
        <w:rPr>
          <w:rFonts w:cs="Arial"/>
        </w:rPr>
        <w:t xml:space="preserve">  </w:t>
      </w:r>
    </w:p>
    <w:p w14:paraId="097063F4" w14:textId="77777777" w:rsidR="0068199C" w:rsidRPr="00AC2E99" w:rsidRDefault="00000000">
      <w:pPr>
        <w:rPr>
          <w:rFonts w:cs="Arial"/>
        </w:rPr>
      </w:pPr>
      <w:r w:rsidRPr="00AC2E99">
        <w:rPr>
          <w:rFonts w:cs="Arial"/>
        </w:rPr>
        <w:t xml:space="preserve">The overall reflection using the Gobb's reflective cycle has shown my learnings and my experiences and identified the weak areas also, which are planned to be improved using the SMART action plan. </w:t>
      </w:r>
    </w:p>
    <w:p w14:paraId="6F9C5C13" w14:textId="77777777" w:rsidR="00A93100" w:rsidRPr="00AC2E99" w:rsidRDefault="00A93100">
      <w:pPr>
        <w:rPr>
          <w:rFonts w:cs="Arial"/>
          <w:b/>
          <w:bCs/>
          <w:sz w:val="28"/>
          <w:szCs w:val="28"/>
        </w:rPr>
      </w:pPr>
      <w:r w:rsidRPr="00AC2E99">
        <w:rPr>
          <w:rFonts w:cs="Arial"/>
        </w:rPr>
        <w:br w:type="page"/>
      </w:r>
    </w:p>
    <w:p w14:paraId="7308462F" w14:textId="21D47BC1" w:rsidR="00A93100" w:rsidRPr="00AC2E99" w:rsidRDefault="00A93100" w:rsidP="00A93100">
      <w:pPr>
        <w:pStyle w:val="Heading1"/>
        <w:rPr>
          <w:rFonts w:cs="Arial"/>
        </w:rPr>
      </w:pPr>
      <w:bookmarkStart w:id="36" w:name="_Toc237088558"/>
      <w:r w:rsidRPr="00AC2E99">
        <w:rPr>
          <w:rFonts w:cs="Arial"/>
        </w:rPr>
        <w:t>Reference List</w:t>
      </w:r>
      <w:bookmarkEnd w:id="36"/>
      <w:r w:rsidRPr="00AC2E99">
        <w:rPr>
          <w:rFonts w:cs="Arial"/>
        </w:rPr>
        <w:t xml:space="preserve"> </w:t>
      </w:r>
    </w:p>
    <w:p w14:paraId="1020E896" w14:textId="316ADE77" w:rsidR="00A93100" w:rsidRPr="00AC2E99" w:rsidRDefault="00A93100" w:rsidP="00A93100">
      <w:pPr>
        <w:pStyle w:val="Heading2"/>
        <w:rPr>
          <w:rFonts w:cs="Arial"/>
        </w:rPr>
      </w:pPr>
      <w:bookmarkStart w:id="37" w:name="_Toc237088559"/>
      <w:r w:rsidRPr="00AC2E99">
        <w:rPr>
          <w:rFonts w:cs="Arial"/>
        </w:rPr>
        <w:t>Internal</w:t>
      </w:r>
      <w:bookmarkEnd w:id="37"/>
      <w:r w:rsidRPr="00AC2E99">
        <w:rPr>
          <w:rFonts w:cs="Arial"/>
        </w:rPr>
        <w:t xml:space="preserve"> </w:t>
      </w:r>
    </w:p>
    <w:p w14:paraId="58ED7657" w14:textId="77777777" w:rsidR="00B16BE1" w:rsidRPr="00AC2E99" w:rsidRDefault="00B16BE1" w:rsidP="00A93100">
      <w:pPr>
        <w:rPr>
          <w:rFonts w:cs="Arial"/>
        </w:rPr>
      </w:pPr>
      <w:r w:rsidRPr="00AC2E99">
        <w:rPr>
          <w:rFonts w:cs="Arial"/>
        </w:rPr>
        <w:t>Barney, J. B. and Hesterly, W. S., (2015). Strategic Management and Competitive Advantage: Concepts and Cases. 5 ed. Essex: Pearson Education Limited.</w:t>
      </w:r>
    </w:p>
    <w:p w14:paraId="28E1C57E" w14:textId="77777777" w:rsidR="00B16BE1" w:rsidRPr="00AC2E99" w:rsidRDefault="00B16BE1">
      <w:pPr>
        <w:rPr>
          <w:rFonts w:cs="Arial"/>
        </w:rPr>
      </w:pPr>
      <w:r w:rsidRPr="00AC2E99">
        <w:rPr>
          <w:rFonts w:cs="Arial"/>
        </w:rPr>
        <w:t>Grant, R. M., (2018). Contemporary Strategy Analysis. 10 ed. NJ: John Wiley &amp; Sons, Inc.</w:t>
      </w:r>
    </w:p>
    <w:p w14:paraId="10268D1D" w14:textId="6D8887C0" w:rsidR="00A93100" w:rsidRPr="00AC2E99" w:rsidRDefault="00A93100" w:rsidP="00A93100">
      <w:pPr>
        <w:pStyle w:val="Heading2"/>
        <w:rPr>
          <w:rFonts w:cs="Arial"/>
        </w:rPr>
      </w:pPr>
      <w:bookmarkStart w:id="38" w:name="_Toc237088560"/>
      <w:r w:rsidRPr="00AC2E99">
        <w:rPr>
          <w:rFonts w:cs="Arial"/>
        </w:rPr>
        <w:t>External references</w:t>
      </w:r>
      <w:bookmarkEnd w:id="38"/>
      <w:r w:rsidRPr="00AC2E99">
        <w:rPr>
          <w:rFonts w:cs="Arial"/>
        </w:rPr>
        <w:t xml:space="preserve"> </w:t>
      </w:r>
    </w:p>
    <w:p w14:paraId="1C4C0719" w14:textId="378D73AF" w:rsidR="00BB5281" w:rsidRDefault="00BB5281" w:rsidP="00B16BE1">
      <w:pPr>
        <w:rPr>
          <w:rFonts w:cs="Arial"/>
        </w:rPr>
      </w:pPr>
      <w:r w:rsidRPr="00BB5281">
        <w:rPr>
          <w:rFonts w:cs="Arial"/>
        </w:rPr>
        <w:t xml:space="preserve">Dutta, S., He, M. and Tsang, D.C., </w:t>
      </w:r>
      <w:r>
        <w:rPr>
          <w:rFonts w:cs="Arial"/>
        </w:rPr>
        <w:t>(</w:t>
      </w:r>
      <w:r w:rsidRPr="00BB5281">
        <w:rPr>
          <w:rFonts w:cs="Arial"/>
        </w:rPr>
        <w:t>2023</w:t>
      </w:r>
      <w:r>
        <w:rPr>
          <w:rFonts w:cs="Arial"/>
        </w:rPr>
        <w:t>)</w:t>
      </w:r>
      <w:r w:rsidRPr="00BB5281">
        <w:rPr>
          <w:rFonts w:cs="Arial"/>
        </w:rPr>
        <w:t>. Reflection and peer assessment to promote self-directed learning in higher education. </w:t>
      </w:r>
      <w:r w:rsidRPr="00BB5281">
        <w:rPr>
          <w:rFonts w:cs="Arial"/>
          <w:i/>
          <w:iCs/>
        </w:rPr>
        <w:t>Journal of Educational Research and Reviews</w:t>
      </w:r>
      <w:r w:rsidRPr="00BB5281">
        <w:rPr>
          <w:rFonts w:cs="Arial"/>
        </w:rPr>
        <w:t>, </w:t>
      </w:r>
      <w:r w:rsidRPr="00BB5281">
        <w:rPr>
          <w:rFonts w:cs="Arial"/>
          <w:i/>
          <w:iCs/>
        </w:rPr>
        <w:t>11</w:t>
      </w:r>
      <w:r w:rsidRPr="00BB5281">
        <w:rPr>
          <w:rFonts w:cs="Arial"/>
        </w:rPr>
        <w:t>(3), pp.35-46.</w:t>
      </w:r>
      <w:r>
        <w:rPr>
          <w:rFonts w:cs="Arial"/>
        </w:rPr>
        <w:t xml:space="preserve"> </w:t>
      </w:r>
      <w:hyperlink r:id="rId15" w:history="1">
        <w:r w:rsidRPr="00FD2932">
          <w:rPr>
            <w:rStyle w:val="Hyperlink"/>
            <w:rFonts w:cs="Arial"/>
          </w:rPr>
          <w:t>https://www.researchgate.net/profile/Shanta-Dutta/publication/371536633_Reflection_and_peer_assessment_to_promote_self-directed_learning_in_higher_education/links/648928519bc5e436682e1817/Reflection-and-peer-assessment-to-promote-self-directed-learning-in-higher-education.pdf</w:t>
        </w:r>
      </w:hyperlink>
      <w:r>
        <w:rPr>
          <w:rFonts w:cs="Arial"/>
        </w:rPr>
        <w:t xml:space="preserve"> </w:t>
      </w:r>
    </w:p>
    <w:p w14:paraId="34840053" w14:textId="6A5A1106" w:rsidR="00B16BE1" w:rsidRPr="00AC2E99" w:rsidRDefault="00B16BE1" w:rsidP="00B16BE1">
      <w:pPr>
        <w:rPr>
          <w:rFonts w:cs="Arial"/>
        </w:rPr>
      </w:pPr>
      <w:r w:rsidRPr="00AC2E99">
        <w:rPr>
          <w:rFonts w:cs="Arial"/>
        </w:rPr>
        <w:t xml:space="preserve">Dvořák, J., Tripes, S., Sokolova, M. and </w:t>
      </w:r>
      <w:proofErr w:type="spellStart"/>
      <w:r w:rsidRPr="00AC2E99">
        <w:rPr>
          <w:rFonts w:cs="Arial"/>
        </w:rPr>
        <w:t>Musilova</w:t>
      </w:r>
      <w:proofErr w:type="spellEnd"/>
      <w:r w:rsidRPr="00AC2E99">
        <w:rPr>
          <w:rFonts w:cs="Arial"/>
        </w:rPr>
        <w:t>, I., (2022). Trends in business strategy research, bibliometric analysis and text mining. </w:t>
      </w:r>
      <w:r w:rsidRPr="00AC2E99">
        <w:rPr>
          <w:rFonts w:cs="Arial"/>
          <w:i/>
          <w:iCs/>
        </w:rPr>
        <w:t>Journal of Business Economics and Management (JBEM)</w:t>
      </w:r>
      <w:r w:rsidRPr="00AC2E99">
        <w:rPr>
          <w:rFonts w:cs="Arial"/>
        </w:rPr>
        <w:t>, </w:t>
      </w:r>
      <w:r w:rsidRPr="00AC2E99">
        <w:rPr>
          <w:rFonts w:cs="Arial"/>
          <w:i/>
          <w:iCs/>
        </w:rPr>
        <w:t>23</w:t>
      </w:r>
      <w:r w:rsidRPr="00AC2E99">
        <w:rPr>
          <w:rFonts w:cs="Arial"/>
        </w:rPr>
        <w:t xml:space="preserve">(6), pp.1377-1397. </w:t>
      </w:r>
      <w:hyperlink r:id="rId16" w:history="1">
        <w:r w:rsidRPr="00AC2E99">
          <w:rPr>
            <w:rStyle w:val="Hyperlink"/>
            <w:rFonts w:cs="Arial"/>
          </w:rPr>
          <w:t>https://www.econstor.eu/bitstream/10419/317609/1/1832940977.pdf</w:t>
        </w:r>
      </w:hyperlink>
    </w:p>
    <w:p w14:paraId="470D3E01" w14:textId="77777777" w:rsidR="00B16BE1" w:rsidRPr="00AC2E99" w:rsidRDefault="00B16BE1" w:rsidP="00B16BE1">
      <w:pPr>
        <w:rPr>
          <w:rFonts w:cs="Arial"/>
        </w:rPr>
      </w:pPr>
      <w:r w:rsidRPr="00AC2E99">
        <w:rPr>
          <w:rFonts w:cs="Arial"/>
        </w:rPr>
        <w:t>Foster, M.J., (2021). Does CSR activity amount to socially responsible management?. </w:t>
      </w:r>
      <w:r w:rsidRPr="00AC2E99">
        <w:rPr>
          <w:rFonts w:cs="Arial"/>
          <w:i/>
          <w:iCs/>
        </w:rPr>
        <w:t>Philosophy of Management</w:t>
      </w:r>
      <w:r w:rsidRPr="00AC2E99">
        <w:rPr>
          <w:rFonts w:cs="Arial"/>
        </w:rPr>
        <w:t>, </w:t>
      </w:r>
      <w:r w:rsidRPr="00AC2E99">
        <w:rPr>
          <w:rFonts w:cs="Arial"/>
          <w:i/>
          <w:iCs/>
        </w:rPr>
        <w:t>20</w:t>
      </w:r>
      <w:r w:rsidRPr="00AC2E99">
        <w:rPr>
          <w:rFonts w:cs="Arial"/>
        </w:rPr>
        <w:t xml:space="preserve">(4), pp.391-410. </w:t>
      </w:r>
      <w:hyperlink r:id="rId17" w:history="1">
        <w:r w:rsidRPr="00AC2E99">
          <w:rPr>
            <w:rStyle w:val="Hyperlink"/>
            <w:rFonts w:cs="Arial"/>
          </w:rPr>
          <w:t>https://link.springer.com/content/pdf/10.1007/s40926-020-00158-6.pdf</w:t>
        </w:r>
      </w:hyperlink>
    </w:p>
    <w:p w14:paraId="62107BA3" w14:textId="77777777" w:rsidR="00B16BE1" w:rsidRPr="00AC2E99" w:rsidRDefault="00B16BE1" w:rsidP="00A93100">
      <w:pPr>
        <w:rPr>
          <w:rFonts w:cs="Arial"/>
          <w:lang w:val="en-US"/>
        </w:rPr>
      </w:pPr>
      <w:r w:rsidRPr="00AC2E99">
        <w:rPr>
          <w:rFonts w:cs="Arial"/>
          <w:lang w:val="en-US"/>
        </w:rPr>
        <w:t xml:space="preserve">Global data, (2026). </w:t>
      </w:r>
      <w:r w:rsidRPr="00AC2E99">
        <w:rPr>
          <w:rFonts w:cs="Arial"/>
          <w:i/>
          <w:iCs/>
          <w:lang w:val="en-US"/>
        </w:rPr>
        <w:t xml:space="preserve">Greggs Plc: Competitors. </w:t>
      </w:r>
      <w:r w:rsidRPr="00AC2E99">
        <w:rPr>
          <w:rFonts w:cs="Arial"/>
          <w:lang w:val="en-US"/>
        </w:rPr>
        <w:t xml:space="preserve">Available at: </w:t>
      </w:r>
      <w:hyperlink r:id="rId18" w:history="1">
        <w:r w:rsidRPr="00AC2E99">
          <w:rPr>
            <w:rStyle w:val="Hyperlink"/>
            <w:rFonts w:cs="Arial"/>
            <w:lang w:val="en-US"/>
          </w:rPr>
          <w:t>https://www.globaldata.com/company-profile/greggs-plc/competitors/</w:t>
        </w:r>
      </w:hyperlink>
      <w:r w:rsidRPr="00AC2E99">
        <w:rPr>
          <w:rFonts w:cs="Arial"/>
          <w:lang w:val="en-US"/>
        </w:rPr>
        <w:t xml:space="preserve"> [Accessed on 7th August 2026]</w:t>
      </w:r>
    </w:p>
    <w:p w14:paraId="2D63FCCD" w14:textId="77777777" w:rsidR="00B16BE1" w:rsidRPr="00AC2E99" w:rsidRDefault="00B16BE1" w:rsidP="00A93100">
      <w:pPr>
        <w:rPr>
          <w:rFonts w:cs="Arial"/>
          <w:lang w:val="en-US"/>
        </w:rPr>
      </w:pPr>
      <w:r w:rsidRPr="00AC2E99">
        <w:rPr>
          <w:rFonts w:cs="Arial"/>
          <w:lang w:val="en-US"/>
        </w:rPr>
        <w:t xml:space="preserve">Grand View Research, (2026). </w:t>
      </w:r>
      <w:r w:rsidRPr="00AC2E99">
        <w:rPr>
          <w:rFonts w:cs="Arial"/>
          <w:i/>
          <w:iCs/>
          <w:lang w:val="en-US"/>
        </w:rPr>
        <w:t xml:space="preserve">UK bakery product market, 2018-2025 (US$M). </w:t>
      </w:r>
      <w:r w:rsidRPr="00AC2E99">
        <w:rPr>
          <w:rFonts w:cs="Arial"/>
          <w:lang w:val="en-US"/>
        </w:rPr>
        <w:t xml:space="preserve">Available at: </w:t>
      </w:r>
      <w:hyperlink r:id="rId19" w:history="1">
        <w:r w:rsidRPr="00AC2E99">
          <w:rPr>
            <w:rStyle w:val="Hyperlink"/>
            <w:rFonts w:cs="Arial"/>
            <w:lang w:val="en-US"/>
          </w:rPr>
          <w:t>https://www.grandviewresearch.com/horizon/outlook/bakery-product-market/uk</w:t>
        </w:r>
      </w:hyperlink>
      <w:r w:rsidRPr="00AC2E99">
        <w:rPr>
          <w:rFonts w:cs="Arial"/>
          <w:lang w:val="en-US"/>
        </w:rPr>
        <w:t>  [Accessed on 7th August 2026]</w:t>
      </w:r>
    </w:p>
    <w:p w14:paraId="6FE5FD1E" w14:textId="77777777" w:rsidR="00B16BE1" w:rsidRPr="00AC2E99" w:rsidRDefault="00B16BE1" w:rsidP="00A93100">
      <w:pPr>
        <w:rPr>
          <w:rFonts w:cs="Arial"/>
          <w:lang w:val="en-US"/>
        </w:rPr>
      </w:pPr>
      <w:r w:rsidRPr="00AC2E99">
        <w:rPr>
          <w:rFonts w:cs="Arial"/>
          <w:lang w:val="en-US"/>
        </w:rPr>
        <w:t xml:space="preserve">Greggs Corporate, (2026). </w:t>
      </w:r>
      <w:r w:rsidRPr="00AC2E99">
        <w:rPr>
          <w:rFonts w:cs="Arial"/>
          <w:i/>
          <w:iCs/>
          <w:lang w:val="en-US"/>
        </w:rPr>
        <w:t xml:space="preserve">As a food business, we know that hunger and nutrition are the issues where we are best placed to make a difference. </w:t>
      </w:r>
      <w:r w:rsidRPr="00AC2E99">
        <w:rPr>
          <w:rFonts w:cs="Arial"/>
          <w:lang w:val="en-US"/>
        </w:rPr>
        <w:t xml:space="preserve">Available at: </w:t>
      </w:r>
      <w:hyperlink r:id="rId20" w:anchor="giving-something-back" w:history="1">
        <w:r w:rsidRPr="00AC2E99">
          <w:rPr>
            <w:rStyle w:val="Hyperlink"/>
            <w:rFonts w:cs="Arial"/>
            <w:lang w:val="en-US"/>
          </w:rPr>
          <w:t>https://corporate.greggs.co.uk/doing-good/stronger-healthier-communities</w:t>
        </w:r>
      </w:hyperlink>
      <w:r w:rsidRPr="00AC2E99">
        <w:rPr>
          <w:rFonts w:cs="Arial"/>
          <w:lang w:val="en-US"/>
        </w:rPr>
        <w:t xml:space="preserve"> [Accessed on 7th August 2026]</w:t>
      </w:r>
    </w:p>
    <w:p w14:paraId="652C4E06" w14:textId="77777777" w:rsidR="00B16BE1" w:rsidRPr="00AC2E99" w:rsidRDefault="00B16BE1" w:rsidP="00A93100">
      <w:pPr>
        <w:rPr>
          <w:rFonts w:cs="Arial"/>
          <w:lang w:val="en-US"/>
        </w:rPr>
      </w:pPr>
      <w:r w:rsidRPr="00AC2E99">
        <w:rPr>
          <w:rFonts w:cs="Arial"/>
          <w:lang w:val="en-US"/>
        </w:rPr>
        <w:t xml:space="preserve">Greggs Corporate, (2026). </w:t>
      </w:r>
      <w:r w:rsidRPr="00AC2E99">
        <w:rPr>
          <w:rFonts w:cs="Arial"/>
          <w:i/>
          <w:iCs/>
          <w:lang w:val="en-US"/>
        </w:rPr>
        <w:t xml:space="preserve">Celebrating the progress made against our Greggs Pledge targets and setting new commitments to 2030. </w:t>
      </w:r>
      <w:r w:rsidRPr="00AC2E99">
        <w:rPr>
          <w:rFonts w:cs="Arial"/>
          <w:lang w:val="en-US"/>
        </w:rPr>
        <w:t xml:space="preserve">Available at: </w:t>
      </w:r>
      <w:hyperlink r:id="rId21" w:history="1">
        <w:r w:rsidRPr="00AC2E99">
          <w:rPr>
            <w:rStyle w:val="Hyperlink"/>
            <w:rFonts w:cs="Arial"/>
            <w:lang w:val="en-US"/>
          </w:rPr>
          <w:t>https://corporate.greggs.co.uk/news/celebrating-the-progress-made-against-our-greggs-pledge-targets-and-setting-new-commitments-to-2030</w:t>
        </w:r>
      </w:hyperlink>
      <w:r w:rsidRPr="00AC2E99">
        <w:rPr>
          <w:rFonts w:cs="Arial"/>
          <w:lang w:val="en-US"/>
        </w:rPr>
        <w:t xml:space="preserve"> [Accessed on 7th August 2026]</w:t>
      </w:r>
    </w:p>
    <w:p w14:paraId="6FBA2C32" w14:textId="77777777" w:rsidR="00B16BE1" w:rsidRPr="00AC2E99" w:rsidRDefault="00B16BE1" w:rsidP="00A93100">
      <w:pPr>
        <w:rPr>
          <w:rFonts w:cs="Arial"/>
          <w:lang w:val="en-US"/>
        </w:rPr>
      </w:pPr>
      <w:r w:rsidRPr="00AC2E99">
        <w:rPr>
          <w:rFonts w:cs="Arial"/>
          <w:lang w:val="en-US"/>
        </w:rPr>
        <w:t xml:space="preserve">Greggs UK, (2026). </w:t>
      </w:r>
      <w:r w:rsidRPr="00AC2E99">
        <w:rPr>
          <w:rFonts w:cs="Arial"/>
          <w:i/>
          <w:iCs/>
          <w:lang w:val="en-US"/>
        </w:rPr>
        <w:t xml:space="preserve">About us. </w:t>
      </w:r>
      <w:r w:rsidRPr="00AC2E99">
        <w:rPr>
          <w:rFonts w:cs="Arial"/>
          <w:lang w:val="en-US"/>
        </w:rPr>
        <w:t xml:space="preserve">Available at: </w:t>
      </w:r>
      <w:hyperlink r:id="rId22" w:history="1">
        <w:r w:rsidRPr="00AC2E99">
          <w:rPr>
            <w:rStyle w:val="Hyperlink"/>
            <w:rFonts w:cs="Arial"/>
            <w:lang w:val="en-US"/>
          </w:rPr>
          <w:t>https://corporate.greggs.co.uk/about-us</w:t>
        </w:r>
      </w:hyperlink>
      <w:r w:rsidRPr="00AC2E99">
        <w:rPr>
          <w:rFonts w:cs="Arial"/>
          <w:lang w:val="en-US"/>
        </w:rPr>
        <w:t xml:space="preserve"> [Accessed on 7th August 2026]</w:t>
      </w:r>
    </w:p>
    <w:p w14:paraId="543E6935" w14:textId="65F1478E" w:rsidR="00B16BE1" w:rsidRPr="00AC2E99" w:rsidRDefault="00B16BE1" w:rsidP="00A93100">
      <w:pPr>
        <w:rPr>
          <w:rFonts w:cs="Arial"/>
          <w:lang w:val="en-US"/>
        </w:rPr>
      </w:pPr>
      <w:r w:rsidRPr="00AC2E99">
        <w:rPr>
          <w:rFonts w:cs="Arial"/>
          <w:lang w:val="en-US"/>
        </w:rPr>
        <w:t xml:space="preserve">Greggs, (2025). </w:t>
      </w:r>
      <w:r w:rsidRPr="00AC2E99">
        <w:rPr>
          <w:rFonts w:cs="Arial"/>
          <w:i/>
          <w:iCs/>
          <w:lang w:val="en-US"/>
        </w:rPr>
        <w:t xml:space="preserve">THE RECIPE FOR SUCCESS. Greggs plc Annual Report and Accounts 2025. </w:t>
      </w:r>
      <w:r w:rsidRPr="00AC2E99">
        <w:rPr>
          <w:rFonts w:cs="Arial"/>
          <w:lang w:val="en-US"/>
        </w:rPr>
        <w:t xml:space="preserve">Available at: </w:t>
      </w:r>
      <w:hyperlink r:id="rId23" w:history="1">
        <w:r w:rsidRPr="00AC2E99">
          <w:rPr>
            <w:rStyle w:val="Hyperlink"/>
            <w:rFonts w:cs="Arial"/>
            <w:lang w:val="en-US"/>
          </w:rPr>
          <w:t>https://assets.greggs.com/f/162306/x/b1b0408bb2/greggs-ar25-interactive.pdf</w:t>
        </w:r>
      </w:hyperlink>
      <w:r w:rsidRPr="00AC2E99">
        <w:rPr>
          <w:rFonts w:cs="Arial"/>
          <w:lang w:val="en-US"/>
        </w:rPr>
        <w:t xml:space="preserve">  [Accessed on </w:t>
      </w:r>
      <w:r w:rsidR="008C7C5A">
        <w:rPr>
          <w:rFonts w:cs="Arial"/>
          <w:lang w:val="en-US"/>
        </w:rPr>
        <w:t>8</w:t>
      </w:r>
      <w:r w:rsidRPr="00AC2E99">
        <w:rPr>
          <w:rFonts w:cs="Arial"/>
          <w:lang w:val="en-US"/>
        </w:rPr>
        <w:t>th August 2026]</w:t>
      </w:r>
    </w:p>
    <w:p w14:paraId="7956F795" w14:textId="77777777" w:rsidR="00B16BE1" w:rsidRPr="00AC2E99" w:rsidRDefault="00B16BE1" w:rsidP="00B16BE1">
      <w:pPr>
        <w:rPr>
          <w:rFonts w:cs="Arial"/>
        </w:rPr>
      </w:pPr>
      <w:r w:rsidRPr="00AC2E99">
        <w:rPr>
          <w:rFonts w:cs="Arial"/>
        </w:rPr>
        <w:t xml:space="preserve">Greggs., (2026). </w:t>
      </w:r>
      <w:r w:rsidRPr="008C7C5A">
        <w:rPr>
          <w:rFonts w:cs="Arial"/>
          <w:i/>
          <w:iCs/>
        </w:rPr>
        <w:t>Greggs Plc.</w:t>
      </w:r>
      <w:r w:rsidRPr="00AC2E99">
        <w:rPr>
          <w:rFonts w:cs="Arial"/>
        </w:rPr>
        <w:t xml:space="preserve"> Available at: </w:t>
      </w:r>
      <w:hyperlink r:id="rId24" w:history="1">
        <w:r w:rsidRPr="00AC2E99">
          <w:rPr>
            <w:rStyle w:val="Hyperlink"/>
            <w:rFonts w:cs="Arial"/>
          </w:rPr>
          <w:t>https://www.annualreports.com/Company/greggs-plc</w:t>
        </w:r>
      </w:hyperlink>
      <w:r w:rsidRPr="00AC2E99">
        <w:rPr>
          <w:rFonts w:cs="Arial"/>
        </w:rPr>
        <w:t xml:space="preserve"> [Accessed on: 8.8.2026]</w:t>
      </w:r>
    </w:p>
    <w:p w14:paraId="18650D76" w14:textId="15008C92" w:rsidR="00B16BE1" w:rsidRPr="00AC2E99" w:rsidRDefault="00B16BE1" w:rsidP="00B16BE1">
      <w:pPr>
        <w:rPr>
          <w:rFonts w:cs="Arial"/>
        </w:rPr>
      </w:pPr>
      <w:r w:rsidRPr="00AC2E99">
        <w:rPr>
          <w:rFonts w:cs="Arial"/>
        </w:rPr>
        <w:t xml:space="preserve">Greggs., (2026). </w:t>
      </w:r>
      <w:r w:rsidRPr="008C7C5A">
        <w:rPr>
          <w:rFonts w:cs="Arial"/>
          <w:i/>
          <w:iCs/>
        </w:rPr>
        <w:t>Greggs</w:t>
      </w:r>
      <w:r w:rsidRPr="00AC2E99">
        <w:rPr>
          <w:rFonts w:cs="Arial"/>
        </w:rPr>
        <w:t xml:space="preserve">. Available at: </w:t>
      </w:r>
      <w:hyperlink r:id="rId25" w:history="1">
        <w:r w:rsidRPr="00AC2E99">
          <w:rPr>
            <w:rStyle w:val="Hyperlink"/>
            <w:rFonts w:cs="Arial"/>
          </w:rPr>
          <w:t>https://corporate.greggs.co.uk/</w:t>
        </w:r>
      </w:hyperlink>
      <w:r w:rsidRPr="00AC2E99">
        <w:rPr>
          <w:rFonts w:cs="Arial"/>
        </w:rPr>
        <w:t xml:space="preserve"> [</w:t>
      </w:r>
      <w:r w:rsidR="008C7C5A" w:rsidRPr="00AC2E99">
        <w:rPr>
          <w:rFonts w:cs="Arial"/>
          <w:lang w:val="en-US"/>
        </w:rPr>
        <w:t xml:space="preserve">Accessed on </w:t>
      </w:r>
      <w:r w:rsidR="008C7C5A">
        <w:rPr>
          <w:rFonts w:cs="Arial"/>
          <w:lang w:val="en-US"/>
        </w:rPr>
        <w:t>8</w:t>
      </w:r>
      <w:r w:rsidR="008C7C5A" w:rsidRPr="00AC2E99">
        <w:rPr>
          <w:rFonts w:cs="Arial"/>
          <w:lang w:val="en-US"/>
        </w:rPr>
        <w:t>th August 2026</w:t>
      </w:r>
      <w:r w:rsidRPr="00AC2E99">
        <w:rPr>
          <w:rFonts w:cs="Arial"/>
        </w:rPr>
        <w:t>]</w:t>
      </w:r>
    </w:p>
    <w:p w14:paraId="77C224EE" w14:textId="7343F4AC" w:rsidR="00B16BE1" w:rsidRPr="00AC2E99" w:rsidRDefault="00B16BE1" w:rsidP="00B16BE1">
      <w:pPr>
        <w:rPr>
          <w:rFonts w:cs="Arial"/>
        </w:rPr>
      </w:pPr>
      <w:r w:rsidRPr="00AC2E99">
        <w:rPr>
          <w:rFonts w:cs="Arial"/>
        </w:rPr>
        <w:t xml:space="preserve">Greggs., (2026). </w:t>
      </w:r>
      <w:r w:rsidRPr="008C7C5A">
        <w:rPr>
          <w:rFonts w:cs="Arial"/>
          <w:i/>
          <w:iCs/>
        </w:rPr>
        <w:t>Greggs</w:t>
      </w:r>
      <w:r w:rsidRPr="00AC2E99">
        <w:rPr>
          <w:rFonts w:cs="Arial"/>
        </w:rPr>
        <w:t xml:space="preserve">. Available at: </w:t>
      </w:r>
      <w:hyperlink r:id="rId26" w:history="1">
        <w:r w:rsidRPr="00AC2E99">
          <w:rPr>
            <w:rStyle w:val="Hyperlink"/>
            <w:rFonts w:cs="Arial"/>
          </w:rPr>
          <w:t>https://www.greggs.com/</w:t>
        </w:r>
      </w:hyperlink>
      <w:r w:rsidRPr="00AC2E99">
        <w:rPr>
          <w:rFonts w:cs="Arial"/>
        </w:rPr>
        <w:t xml:space="preserve"> [</w:t>
      </w:r>
      <w:r w:rsidR="008C7C5A" w:rsidRPr="00AC2E99">
        <w:rPr>
          <w:rFonts w:cs="Arial"/>
          <w:lang w:val="en-US"/>
        </w:rPr>
        <w:t>Accessed on 7th August 2026</w:t>
      </w:r>
      <w:r w:rsidRPr="00AC2E99">
        <w:rPr>
          <w:rFonts w:cs="Arial"/>
        </w:rPr>
        <w:t>]</w:t>
      </w:r>
    </w:p>
    <w:p w14:paraId="6E0FC016" w14:textId="77777777" w:rsidR="00B16BE1" w:rsidRPr="00AC2E99" w:rsidRDefault="00B16BE1" w:rsidP="00B16BE1">
      <w:pPr>
        <w:rPr>
          <w:rFonts w:cs="Arial"/>
        </w:rPr>
      </w:pPr>
      <w:r w:rsidRPr="00AC2E99">
        <w:rPr>
          <w:rFonts w:cs="Arial"/>
        </w:rPr>
        <w:t>Lambie</w:t>
      </w:r>
      <w:r w:rsidRPr="00AC2E99">
        <w:rPr>
          <w:rFonts w:ascii="Cambria Math" w:hAnsi="Cambria Math" w:cs="Cambria Math"/>
        </w:rPr>
        <w:t>‐</w:t>
      </w:r>
      <w:r w:rsidRPr="00AC2E99">
        <w:rPr>
          <w:rFonts w:cs="Arial"/>
        </w:rPr>
        <w:t>Mumford, H. and Kennedy, K., (2025). Corporations and the cost of living crisis: Corporate involvement in UK food charity. </w:t>
      </w:r>
      <w:r w:rsidRPr="00AC2E99">
        <w:rPr>
          <w:rFonts w:cs="Arial"/>
          <w:i/>
          <w:iCs/>
        </w:rPr>
        <w:t>Social Policy &amp; Administration</w:t>
      </w:r>
      <w:r w:rsidRPr="00AC2E99">
        <w:rPr>
          <w:rFonts w:cs="Arial"/>
        </w:rPr>
        <w:t>, </w:t>
      </w:r>
      <w:r w:rsidRPr="00AC2E99">
        <w:rPr>
          <w:rFonts w:cs="Arial"/>
          <w:i/>
          <w:iCs/>
        </w:rPr>
        <w:t>59</w:t>
      </w:r>
      <w:r w:rsidRPr="00AC2E99">
        <w:rPr>
          <w:rFonts w:cs="Arial"/>
        </w:rPr>
        <w:t xml:space="preserve">(2), pp.252-264. </w:t>
      </w:r>
      <w:hyperlink r:id="rId27" w:history="1">
        <w:r w:rsidRPr="00AC2E99">
          <w:rPr>
            <w:rStyle w:val="Hyperlink"/>
            <w:rFonts w:cs="Arial"/>
          </w:rPr>
          <w:t>https://onlinelibrary.wiley.com/doi/pdf/10.1111/spol.13066</w:t>
        </w:r>
      </w:hyperlink>
    </w:p>
    <w:p w14:paraId="6D48EF1F" w14:textId="77777777" w:rsidR="00B16BE1" w:rsidRPr="00AC2E99" w:rsidRDefault="00B16BE1" w:rsidP="00B16BE1">
      <w:pPr>
        <w:rPr>
          <w:rFonts w:cs="Arial"/>
        </w:rPr>
      </w:pPr>
      <w:r w:rsidRPr="00AC2E99">
        <w:rPr>
          <w:rFonts w:cs="Arial"/>
        </w:rPr>
        <w:t>Lee, C.H., Hoehn</w:t>
      </w:r>
      <w:r w:rsidRPr="00AC2E99">
        <w:rPr>
          <w:rFonts w:ascii="Cambria Math" w:hAnsi="Cambria Math" w:cs="Cambria Math"/>
        </w:rPr>
        <w:t>‐</w:t>
      </w:r>
      <w:r w:rsidRPr="00AC2E99">
        <w:rPr>
          <w:rFonts w:cs="Arial"/>
        </w:rPr>
        <w:t>Weiss, M.N. and Karim, S., (2021). Competing both ways: How combining Porter's low</w:t>
      </w:r>
      <w:r w:rsidRPr="00AC2E99">
        <w:rPr>
          <w:rFonts w:ascii="Cambria Math" w:hAnsi="Cambria Math" w:cs="Cambria Math"/>
        </w:rPr>
        <w:t>‐</w:t>
      </w:r>
      <w:r w:rsidRPr="00AC2E99">
        <w:rPr>
          <w:rFonts w:cs="Arial"/>
        </w:rPr>
        <w:t>cost and focus strategies hurts firm performance. </w:t>
      </w:r>
      <w:r w:rsidRPr="00AC2E99">
        <w:rPr>
          <w:rFonts w:cs="Arial"/>
          <w:i/>
          <w:iCs/>
        </w:rPr>
        <w:t>Strategic Management Journal</w:t>
      </w:r>
      <w:r w:rsidRPr="00AC2E99">
        <w:rPr>
          <w:rFonts w:cs="Arial"/>
        </w:rPr>
        <w:t>, </w:t>
      </w:r>
      <w:r w:rsidRPr="00AC2E99">
        <w:rPr>
          <w:rFonts w:cs="Arial"/>
          <w:i/>
          <w:iCs/>
        </w:rPr>
        <w:t>42</w:t>
      </w:r>
      <w:r w:rsidRPr="00AC2E99">
        <w:rPr>
          <w:rFonts w:cs="Arial"/>
        </w:rPr>
        <w:t xml:space="preserve">(12), pp.2218-2244. </w:t>
      </w:r>
      <w:hyperlink r:id="rId28" w:history="1">
        <w:r w:rsidRPr="00AC2E99">
          <w:rPr>
            <w:rStyle w:val="Hyperlink"/>
            <w:rFonts w:cs="Arial"/>
          </w:rPr>
          <w:t>https://papers.ssrn.com/sol3/Delivery.cfm?abstractid=3912321</w:t>
        </w:r>
      </w:hyperlink>
    </w:p>
    <w:p w14:paraId="220A5E17" w14:textId="77777777" w:rsidR="00B16BE1" w:rsidRPr="00AC2E99" w:rsidRDefault="00B16BE1" w:rsidP="00A93100">
      <w:pPr>
        <w:rPr>
          <w:rFonts w:cs="Arial"/>
          <w:lang w:val="en-US"/>
        </w:rPr>
      </w:pPr>
      <w:r w:rsidRPr="00AC2E99">
        <w:rPr>
          <w:rFonts w:cs="Arial"/>
          <w:lang w:val="en-US"/>
        </w:rPr>
        <w:t xml:space="preserve">Liu, T.C., Wu, Y.C. and Chau, C.F., (2023). An overview of carbon emission mitigation in the food industry: efforts, challenges, and opportunities. </w:t>
      </w:r>
      <w:r w:rsidRPr="00AC2E99">
        <w:rPr>
          <w:rFonts w:cs="Arial"/>
          <w:i/>
          <w:iCs/>
          <w:lang w:val="en-US"/>
        </w:rPr>
        <w:t>Processes</w:t>
      </w:r>
      <w:r w:rsidRPr="00AC2E99">
        <w:rPr>
          <w:rFonts w:cs="Arial"/>
          <w:lang w:val="en-US"/>
        </w:rPr>
        <w:t xml:space="preserve">, </w:t>
      </w:r>
      <w:r w:rsidRPr="00AC2E99">
        <w:rPr>
          <w:rFonts w:cs="Arial"/>
          <w:i/>
          <w:iCs/>
          <w:lang w:val="en-US"/>
        </w:rPr>
        <w:t>11</w:t>
      </w:r>
      <w:r w:rsidRPr="00AC2E99">
        <w:rPr>
          <w:rFonts w:cs="Arial"/>
          <w:lang w:val="en-US"/>
        </w:rPr>
        <w:t xml:space="preserve">(7), p.1993. </w:t>
      </w:r>
      <w:hyperlink r:id="rId29" w:history="1">
        <w:r w:rsidRPr="00AC2E99">
          <w:rPr>
            <w:rStyle w:val="Hyperlink"/>
            <w:rFonts w:cs="Arial"/>
            <w:lang w:val="en-US"/>
          </w:rPr>
          <w:t>https://www.mdpi.com/2227-9717/11/7/1993</w:t>
        </w:r>
      </w:hyperlink>
    </w:p>
    <w:p w14:paraId="02C86C81" w14:textId="77777777" w:rsidR="00B16BE1" w:rsidRPr="00AC2E99" w:rsidRDefault="00B16BE1" w:rsidP="00A93100">
      <w:pPr>
        <w:rPr>
          <w:rFonts w:cs="Arial"/>
          <w:lang w:val="en-US"/>
        </w:rPr>
      </w:pPr>
      <w:r w:rsidRPr="00AC2E99">
        <w:rPr>
          <w:rFonts w:cs="Arial"/>
          <w:lang w:val="en-US"/>
        </w:rPr>
        <w:t xml:space="preserve">Llorente, I., </w:t>
      </w:r>
      <w:proofErr w:type="spellStart"/>
      <w:r w:rsidRPr="00AC2E99">
        <w:rPr>
          <w:rFonts w:cs="Arial"/>
          <w:lang w:val="en-US"/>
        </w:rPr>
        <w:t>Baraibar-Diez</w:t>
      </w:r>
      <w:proofErr w:type="spellEnd"/>
      <w:r w:rsidRPr="00AC2E99">
        <w:rPr>
          <w:rFonts w:cs="Arial"/>
          <w:lang w:val="en-US"/>
        </w:rPr>
        <w:t xml:space="preserve">, E. and Odriozola, M.D., (2023). Value chain analysis. In </w:t>
      </w:r>
      <w:r w:rsidRPr="00AC2E99">
        <w:rPr>
          <w:rFonts w:cs="Arial"/>
          <w:i/>
          <w:iCs/>
          <w:lang w:val="en-US"/>
        </w:rPr>
        <w:t>Encyclopedia of sustainable management</w:t>
      </w:r>
      <w:r w:rsidRPr="00AC2E99">
        <w:rPr>
          <w:rFonts w:cs="Arial"/>
          <w:lang w:val="en-US"/>
        </w:rPr>
        <w:t xml:space="preserve"> (pp. 3894-3901). Cham: Springer International Publishing. </w:t>
      </w:r>
      <w:hyperlink r:id="rId30" w:history="1">
        <w:r w:rsidRPr="00AC2E99">
          <w:rPr>
            <w:rStyle w:val="Hyperlink"/>
            <w:rFonts w:cs="Arial"/>
            <w:lang w:val="en-US"/>
          </w:rPr>
          <w:t>https://link.springer.com/content/pdf/10.1007/978-3-031-25984-5_1129.pdf</w:t>
        </w:r>
      </w:hyperlink>
    </w:p>
    <w:p w14:paraId="5DF743AA" w14:textId="77777777" w:rsidR="00B16BE1" w:rsidRPr="00AC2E99" w:rsidRDefault="00B16BE1">
      <w:pPr>
        <w:rPr>
          <w:rFonts w:cs="Arial"/>
        </w:rPr>
      </w:pPr>
      <w:r w:rsidRPr="00AC2E99">
        <w:rPr>
          <w:rFonts w:cs="Arial"/>
        </w:rPr>
        <w:t>London Stock Exchange., (2026). Greggs Publishes Sustainability Report For 2025.</w:t>
      </w:r>
      <w:r w:rsidRPr="00AC2E99">
        <w:rPr>
          <w:rFonts w:cs="Arial"/>
          <w:b/>
          <w:bCs/>
        </w:rPr>
        <w:t xml:space="preserve"> </w:t>
      </w:r>
      <w:r w:rsidRPr="00AC2E99">
        <w:rPr>
          <w:rFonts w:cs="Arial"/>
        </w:rPr>
        <w:t xml:space="preserve">Available at: </w:t>
      </w:r>
      <w:hyperlink r:id="rId31" w:history="1">
        <w:r w:rsidRPr="00AC2E99">
          <w:rPr>
            <w:rStyle w:val="Hyperlink"/>
            <w:rFonts w:cs="Arial"/>
          </w:rPr>
          <w:t>https://www.londonstockexchange.com/news-article/GRG/greggs-publishes-sustainability-report-for-2025/17542764</w:t>
        </w:r>
      </w:hyperlink>
      <w:r w:rsidRPr="00AC2E99">
        <w:rPr>
          <w:rFonts w:cs="Arial"/>
        </w:rPr>
        <w:t xml:space="preserve"> [Accessed on: 8.8.2026]</w:t>
      </w:r>
    </w:p>
    <w:p w14:paraId="71EBB071" w14:textId="77777777" w:rsidR="00B16BE1" w:rsidRPr="00AC2E99" w:rsidRDefault="00B16BE1" w:rsidP="00B16BE1">
      <w:pPr>
        <w:rPr>
          <w:rFonts w:cs="Arial"/>
        </w:rPr>
      </w:pPr>
      <w:r w:rsidRPr="00AC2E99">
        <w:rPr>
          <w:rFonts w:cs="Arial"/>
        </w:rPr>
        <w:t>Madsen, D.Ø., (2025). Balanced scorecard: History, implementation, and impact. </w:t>
      </w:r>
      <w:proofErr w:type="spellStart"/>
      <w:r w:rsidRPr="00AC2E99">
        <w:rPr>
          <w:rFonts w:cs="Arial"/>
          <w:i/>
          <w:iCs/>
        </w:rPr>
        <w:t>Encyclopedia</w:t>
      </w:r>
      <w:proofErr w:type="spellEnd"/>
      <w:r w:rsidRPr="00AC2E99">
        <w:rPr>
          <w:rFonts w:cs="Arial"/>
        </w:rPr>
        <w:t>, </w:t>
      </w:r>
      <w:r w:rsidRPr="00AC2E99">
        <w:rPr>
          <w:rFonts w:cs="Arial"/>
          <w:i/>
          <w:iCs/>
        </w:rPr>
        <w:t>5</w:t>
      </w:r>
      <w:r w:rsidRPr="00AC2E99">
        <w:rPr>
          <w:rFonts w:cs="Arial"/>
        </w:rPr>
        <w:t xml:space="preserve">(1), p.39. </w:t>
      </w:r>
      <w:hyperlink r:id="rId32" w:history="1">
        <w:r w:rsidRPr="00AC2E99">
          <w:rPr>
            <w:rStyle w:val="Hyperlink"/>
            <w:rFonts w:cs="Arial"/>
          </w:rPr>
          <w:t>https://www.mdpi.com/2673-8392/5/1/39</w:t>
        </w:r>
      </w:hyperlink>
    </w:p>
    <w:p w14:paraId="79DCCE2B" w14:textId="77777777" w:rsidR="00B16BE1" w:rsidRPr="00AC2E99" w:rsidRDefault="00B16BE1" w:rsidP="00A93100">
      <w:pPr>
        <w:rPr>
          <w:rFonts w:cs="Arial"/>
          <w:lang w:val="en-US"/>
        </w:rPr>
      </w:pPr>
      <w:proofErr w:type="spellStart"/>
      <w:r w:rsidRPr="00AC2E99">
        <w:rPr>
          <w:rFonts w:cs="Arial"/>
          <w:lang w:val="en-US"/>
        </w:rPr>
        <w:t>Neighbourhood</w:t>
      </w:r>
      <w:proofErr w:type="spellEnd"/>
      <w:r w:rsidRPr="00AC2E99">
        <w:rPr>
          <w:rFonts w:cs="Arial"/>
          <w:lang w:val="en-US"/>
        </w:rPr>
        <w:t xml:space="preserve"> Retailer, (2023).  </w:t>
      </w:r>
      <w:r w:rsidRPr="00AC2E99">
        <w:rPr>
          <w:rFonts w:cs="Arial"/>
          <w:i/>
          <w:iCs/>
          <w:lang w:val="en-US"/>
        </w:rPr>
        <w:t xml:space="preserve">Positive food-to-go market growth predicted, but is driven by inflation in short-term. </w:t>
      </w:r>
      <w:r w:rsidRPr="00AC2E99">
        <w:rPr>
          <w:rFonts w:cs="Arial"/>
          <w:lang w:val="en-US"/>
        </w:rPr>
        <w:t xml:space="preserve">Available at: </w:t>
      </w:r>
      <w:hyperlink r:id="rId33" w:history="1">
        <w:r w:rsidRPr="00AC2E99">
          <w:rPr>
            <w:rStyle w:val="Hyperlink"/>
            <w:rFonts w:cs="Arial"/>
            <w:lang w:val="en-US"/>
          </w:rPr>
          <w:t>https://neighbourhoodretailer.com/positive-food-to-go-market-growth-predicted-but-is-driven-by-inflation-in-short-term/</w:t>
        </w:r>
      </w:hyperlink>
      <w:r w:rsidRPr="00AC2E99">
        <w:rPr>
          <w:rFonts w:cs="Arial"/>
          <w:lang w:val="en-US"/>
        </w:rPr>
        <w:t xml:space="preserve"> [Accessed on 7th August 2026]</w:t>
      </w:r>
    </w:p>
    <w:p w14:paraId="26DE2FD9" w14:textId="77777777" w:rsidR="00B16BE1" w:rsidRPr="00AC2E99" w:rsidRDefault="00B16BE1" w:rsidP="00A93100">
      <w:pPr>
        <w:rPr>
          <w:rFonts w:cs="Arial"/>
          <w:lang w:val="en-US"/>
        </w:rPr>
      </w:pPr>
      <w:r w:rsidRPr="00AC2E99">
        <w:rPr>
          <w:rFonts w:cs="Arial"/>
          <w:lang w:val="en-US"/>
        </w:rPr>
        <w:t xml:space="preserve">Norton, V., Waters, C., Oloyede, O.O. and </w:t>
      </w:r>
      <w:proofErr w:type="spellStart"/>
      <w:r w:rsidRPr="00AC2E99">
        <w:rPr>
          <w:rFonts w:cs="Arial"/>
          <w:lang w:val="en-US"/>
        </w:rPr>
        <w:t>Lignou</w:t>
      </w:r>
      <w:proofErr w:type="spellEnd"/>
      <w:r w:rsidRPr="00AC2E99">
        <w:rPr>
          <w:rFonts w:cs="Arial"/>
          <w:lang w:val="en-US"/>
        </w:rPr>
        <w:t xml:space="preserve">, S., (2022). Exploring consumers’ understanding and perception of sustainable food packaging in the UK. </w:t>
      </w:r>
      <w:r w:rsidRPr="00AC2E99">
        <w:rPr>
          <w:rFonts w:cs="Arial"/>
          <w:i/>
          <w:iCs/>
          <w:lang w:val="en-US"/>
        </w:rPr>
        <w:t>Foods</w:t>
      </w:r>
      <w:r w:rsidRPr="00AC2E99">
        <w:rPr>
          <w:rFonts w:cs="Arial"/>
          <w:lang w:val="en-US"/>
        </w:rPr>
        <w:t xml:space="preserve">, </w:t>
      </w:r>
      <w:r w:rsidRPr="00AC2E99">
        <w:rPr>
          <w:rFonts w:cs="Arial"/>
          <w:i/>
          <w:iCs/>
          <w:lang w:val="en-US"/>
        </w:rPr>
        <w:t>11</w:t>
      </w:r>
      <w:r w:rsidRPr="00AC2E99">
        <w:rPr>
          <w:rFonts w:cs="Arial"/>
          <w:lang w:val="en-US"/>
        </w:rPr>
        <w:t xml:space="preserve">(21), p.3424. </w:t>
      </w:r>
      <w:hyperlink r:id="rId34" w:history="1">
        <w:r w:rsidRPr="00AC2E99">
          <w:rPr>
            <w:rStyle w:val="Hyperlink"/>
            <w:rFonts w:cs="Arial"/>
            <w:lang w:val="en-US"/>
          </w:rPr>
          <w:t>https://www.mdpi.com/2304-8158/11/21/3424</w:t>
        </w:r>
      </w:hyperlink>
    </w:p>
    <w:p w14:paraId="34DE64C9" w14:textId="77777777" w:rsidR="00B16BE1" w:rsidRPr="00AC2E99" w:rsidRDefault="00B16BE1" w:rsidP="00B16BE1">
      <w:pPr>
        <w:rPr>
          <w:rFonts w:cs="Arial"/>
        </w:rPr>
      </w:pPr>
      <w:r w:rsidRPr="00AC2E99">
        <w:rPr>
          <w:rFonts w:cs="Arial"/>
        </w:rPr>
        <w:t>Olarewaju, T., Dani, S., Obeng-Fosu, C., Olarewaju, T. and Jabbar, A., (2024). The impact of climate action on the financial performance of food, grocery, and supermarket retailers in the UK. </w:t>
      </w:r>
      <w:r w:rsidRPr="00AC2E99">
        <w:rPr>
          <w:rFonts w:cs="Arial"/>
          <w:i/>
          <w:iCs/>
        </w:rPr>
        <w:t>Sustainability</w:t>
      </w:r>
      <w:r w:rsidRPr="00AC2E99">
        <w:rPr>
          <w:rFonts w:cs="Arial"/>
        </w:rPr>
        <w:t>, </w:t>
      </w:r>
      <w:r w:rsidRPr="00AC2E99">
        <w:rPr>
          <w:rFonts w:cs="Arial"/>
          <w:i/>
          <w:iCs/>
        </w:rPr>
        <w:t>16</w:t>
      </w:r>
      <w:r w:rsidRPr="00AC2E99">
        <w:rPr>
          <w:rFonts w:cs="Arial"/>
        </w:rPr>
        <w:t xml:space="preserve">(5), p.1785. </w:t>
      </w:r>
      <w:hyperlink r:id="rId35" w:history="1">
        <w:r w:rsidRPr="00AC2E99">
          <w:rPr>
            <w:rStyle w:val="Hyperlink"/>
            <w:rFonts w:cs="Arial"/>
          </w:rPr>
          <w:t>https://www.mdpi.com/2071-1050/16/5/1785</w:t>
        </w:r>
      </w:hyperlink>
    </w:p>
    <w:p w14:paraId="52CD3B66" w14:textId="77777777" w:rsidR="00B16BE1" w:rsidRPr="00AC2E99" w:rsidRDefault="00B16BE1" w:rsidP="00A93100">
      <w:pPr>
        <w:rPr>
          <w:rFonts w:cs="Arial"/>
          <w:lang w:val="en-US"/>
        </w:rPr>
      </w:pPr>
      <w:r w:rsidRPr="00AC2E99">
        <w:rPr>
          <w:rFonts w:cs="Arial"/>
          <w:lang w:val="en-US"/>
        </w:rPr>
        <w:t xml:space="preserve">ONS UK, (2026). </w:t>
      </w:r>
      <w:r w:rsidRPr="00AC2E99">
        <w:rPr>
          <w:rFonts w:cs="Arial"/>
          <w:i/>
          <w:iCs/>
          <w:lang w:val="en-US"/>
        </w:rPr>
        <w:t xml:space="preserve">Consumer price inflation, UK: June 2026. </w:t>
      </w:r>
      <w:r w:rsidRPr="00AC2E99">
        <w:rPr>
          <w:rFonts w:cs="Arial"/>
          <w:lang w:val="en-US"/>
        </w:rPr>
        <w:t xml:space="preserve">Available at: </w:t>
      </w:r>
      <w:hyperlink r:id="rId36" w:history="1">
        <w:r w:rsidRPr="00AC2E99">
          <w:rPr>
            <w:rStyle w:val="Hyperlink"/>
            <w:rFonts w:cs="Arial"/>
            <w:lang w:val="en-US"/>
          </w:rPr>
          <w:t>https://www.ons.gov.uk/economy/inflationandpriceindices/bulletins/consumerpriceinflation/lates</w:t>
        </w:r>
      </w:hyperlink>
      <w:r w:rsidRPr="00AC2E99">
        <w:rPr>
          <w:rFonts w:cs="Arial"/>
          <w:lang w:val="en-US"/>
        </w:rPr>
        <w:t xml:space="preserve"> [Accessed on 7th August 2026]</w:t>
      </w:r>
    </w:p>
    <w:p w14:paraId="266CA3BB" w14:textId="77777777" w:rsidR="00B16BE1" w:rsidRPr="00AC2E99" w:rsidRDefault="00B16BE1" w:rsidP="00B16BE1">
      <w:pPr>
        <w:rPr>
          <w:rFonts w:cs="Arial"/>
        </w:rPr>
      </w:pPr>
      <w:r w:rsidRPr="00AC2E99">
        <w:rPr>
          <w:rFonts w:cs="Arial"/>
        </w:rPr>
        <w:t>Pierce, E., (2022). A balanced scorecard for maximizing data performance. </w:t>
      </w:r>
      <w:r w:rsidRPr="00AC2E99">
        <w:rPr>
          <w:rFonts w:cs="Arial"/>
          <w:i/>
          <w:iCs/>
        </w:rPr>
        <w:t>Frontiers in big Data</w:t>
      </w:r>
      <w:r w:rsidRPr="00AC2E99">
        <w:rPr>
          <w:rFonts w:cs="Arial"/>
        </w:rPr>
        <w:t>, </w:t>
      </w:r>
      <w:r w:rsidRPr="00AC2E99">
        <w:rPr>
          <w:rFonts w:cs="Arial"/>
          <w:i/>
          <w:iCs/>
        </w:rPr>
        <w:t>5</w:t>
      </w:r>
      <w:r w:rsidRPr="00AC2E99">
        <w:rPr>
          <w:rFonts w:cs="Arial"/>
        </w:rPr>
        <w:t xml:space="preserve">, p.821103. </w:t>
      </w:r>
      <w:hyperlink r:id="rId37" w:history="1">
        <w:r w:rsidRPr="00AC2E99">
          <w:rPr>
            <w:rStyle w:val="Hyperlink"/>
            <w:rFonts w:cs="Arial"/>
          </w:rPr>
          <w:t>https://www.frontiersin.org/journals/big-data/articles/10.3389/fdata.2022.821103/pdf</w:t>
        </w:r>
      </w:hyperlink>
    </w:p>
    <w:p w14:paraId="30D1F116" w14:textId="77777777" w:rsidR="00B16BE1" w:rsidRPr="00AC2E99" w:rsidRDefault="00B16BE1" w:rsidP="00B16BE1">
      <w:pPr>
        <w:rPr>
          <w:rFonts w:cs="Arial"/>
        </w:rPr>
      </w:pPr>
      <w:r w:rsidRPr="00AC2E99">
        <w:rPr>
          <w:rFonts w:cs="Arial"/>
        </w:rPr>
        <w:t>Raho, R., (2021). </w:t>
      </w:r>
      <w:r w:rsidRPr="00AC2E99">
        <w:rPr>
          <w:rFonts w:cs="Arial"/>
          <w:i/>
          <w:iCs/>
        </w:rPr>
        <w:t>Employer Branding and the potential effect on employee performance and intention to leave within a UK franchised, fast-food environment</w:t>
      </w:r>
      <w:r w:rsidRPr="00AC2E99">
        <w:rPr>
          <w:rFonts w:cs="Arial"/>
        </w:rPr>
        <w:t xml:space="preserve"> (Doctoral dissertation, University of Southampton). </w:t>
      </w:r>
      <w:hyperlink r:id="rId38" w:history="1">
        <w:r w:rsidRPr="00AC2E99">
          <w:rPr>
            <w:rStyle w:val="Hyperlink"/>
            <w:rFonts w:cs="Arial"/>
          </w:rPr>
          <w:t>https://eprints.soton.ac.uk/453135/1/Thesis_Final_Structure_V44_03.03.21.docx</w:t>
        </w:r>
      </w:hyperlink>
    </w:p>
    <w:p w14:paraId="011A9CA8" w14:textId="77777777" w:rsidR="00B16BE1" w:rsidRPr="00AC2E99" w:rsidRDefault="00B16BE1" w:rsidP="00B16BE1">
      <w:pPr>
        <w:rPr>
          <w:rFonts w:cs="Arial"/>
        </w:rPr>
      </w:pPr>
      <w:proofErr w:type="spellStart"/>
      <w:r w:rsidRPr="00AC2E99">
        <w:rPr>
          <w:rFonts w:cs="Arial"/>
        </w:rPr>
        <w:t>Rumagit</w:t>
      </w:r>
      <w:proofErr w:type="spellEnd"/>
      <w:r w:rsidRPr="00AC2E99">
        <w:rPr>
          <w:rFonts w:cs="Arial"/>
        </w:rPr>
        <w:t xml:space="preserve">, M.C., Song, N.H., Farzana, A., </w:t>
      </w:r>
      <w:proofErr w:type="spellStart"/>
      <w:r w:rsidRPr="00AC2E99">
        <w:rPr>
          <w:rFonts w:cs="Arial"/>
        </w:rPr>
        <w:t>Kee</w:t>
      </w:r>
      <w:proofErr w:type="spellEnd"/>
      <w:r w:rsidRPr="00AC2E99">
        <w:rPr>
          <w:rFonts w:cs="Arial"/>
        </w:rPr>
        <w:t xml:space="preserve">, D.M.H., </w:t>
      </w:r>
      <w:proofErr w:type="spellStart"/>
      <w:r w:rsidRPr="00AC2E99">
        <w:rPr>
          <w:rFonts w:cs="Arial"/>
        </w:rPr>
        <w:t>Annaletchumi</w:t>
      </w:r>
      <w:proofErr w:type="spellEnd"/>
      <w:r w:rsidRPr="00AC2E99">
        <w:rPr>
          <w:rFonts w:cs="Arial"/>
        </w:rPr>
        <w:t xml:space="preserve">, A., </w:t>
      </w:r>
      <w:proofErr w:type="spellStart"/>
      <w:r w:rsidRPr="00AC2E99">
        <w:rPr>
          <w:rFonts w:cs="Arial"/>
        </w:rPr>
        <w:t>Zuraya</w:t>
      </w:r>
      <w:proofErr w:type="spellEnd"/>
      <w:r w:rsidRPr="00AC2E99">
        <w:rPr>
          <w:rFonts w:cs="Arial"/>
        </w:rPr>
        <w:t>, A. and Nathania, N., (2022). A Study on Factors Affecting Customer Satisfaction at McDonald’s Restaurants. </w:t>
      </w:r>
      <w:r w:rsidRPr="00AC2E99">
        <w:rPr>
          <w:rFonts w:cs="Arial"/>
          <w:i/>
          <w:iCs/>
        </w:rPr>
        <w:t xml:space="preserve">International Journal of Tourism and Hospitality in Asia </w:t>
      </w:r>
      <w:proofErr w:type="spellStart"/>
      <w:r w:rsidRPr="00AC2E99">
        <w:rPr>
          <w:rFonts w:cs="Arial"/>
          <w:i/>
          <w:iCs/>
        </w:rPr>
        <w:t>Pasific</w:t>
      </w:r>
      <w:proofErr w:type="spellEnd"/>
      <w:r w:rsidRPr="00AC2E99">
        <w:rPr>
          <w:rFonts w:cs="Arial"/>
        </w:rPr>
        <w:t>, </w:t>
      </w:r>
      <w:r w:rsidRPr="00AC2E99">
        <w:rPr>
          <w:rFonts w:cs="Arial"/>
          <w:i/>
          <w:iCs/>
        </w:rPr>
        <w:t>5</w:t>
      </w:r>
      <w:r w:rsidRPr="00AC2E99">
        <w:rPr>
          <w:rFonts w:cs="Arial"/>
        </w:rPr>
        <w:t xml:space="preserve">(1), pp.22-28. </w:t>
      </w:r>
      <w:hyperlink r:id="rId39" w:history="1">
        <w:r w:rsidRPr="00AC2E99">
          <w:rPr>
            <w:rStyle w:val="Hyperlink"/>
            <w:rFonts w:cs="Arial"/>
          </w:rPr>
          <w:t>https://www.academia.edu/download/129128963/1264.pdf</w:t>
        </w:r>
      </w:hyperlink>
    </w:p>
    <w:p w14:paraId="74F88D54" w14:textId="77777777" w:rsidR="00B16BE1" w:rsidRPr="00AC2E99" w:rsidRDefault="00B16BE1" w:rsidP="00B16BE1">
      <w:pPr>
        <w:rPr>
          <w:rFonts w:cs="Arial"/>
        </w:rPr>
      </w:pPr>
      <w:proofErr w:type="spellStart"/>
      <w:r w:rsidRPr="00AC2E99">
        <w:rPr>
          <w:rFonts w:cs="Arial"/>
        </w:rPr>
        <w:t>Soegoto</w:t>
      </w:r>
      <w:proofErr w:type="spellEnd"/>
      <w:r w:rsidRPr="00AC2E99">
        <w:rPr>
          <w:rFonts w:cs="Arial"/>
        </w:rPr>
        <w:t>, F.A., (2021). Product development using SWOT analysis. </w:t>
      </w:r>
      <w:r w:rsidRPr="00AC2E99">
        <w:rPr>
          <w:rFonts w:cs="Arial"/>
          <w:i/>
          <w:iCs/>
        </w:rPr>
        <w:t>International Journal of Entrepreneurship &amp; Technopreneur (INJETECH)</w:t>
      </w:r>
      <w:r w:rsidRPr="00AC2E99">
        <w:rPr>
          <w:rFonts w:cs="Arial"/>
        </w:rPr>
        <w:t>, </w:t>
      </w:r>
      <w:r w:rsidRPr="00AC2E99">
        <w:rPr>
          <w:rFonts w:cs="Arial"/>
          <w:i/>
          <w:iCs/>
        </w:rPr>
        <w:t>1</w:t>
      </w:r>
      <w:r w:rsidRPr="00AC2E99">
        <w:rPr>
          <w:rFonts w:cs="Arial"/>
        </w:rPr>
        <w:t xml:space="preserve">, pp.1-10. </w:t>
      </w:r>
      <w:hyperlink r:id="rId40" w:history="1">
        <w:r w:rsidRPr="00AC2E99">
          <w:rPr>
            <w:rStyle w:val="Hyperlink"/>
            <w:rFonts w:cs="Arial"/>
          </w:rPr>
          <w:t>https://ojs.unikom.ac.id/index.php/injetech/article/download/4819/2314</w:t>
        </w:r>
      </w:hyperlink>
    </w:p>
    <w:p w14:paraId="7E52C779" w14:textId="77777777" w:rsidR="00B16BE1" w:rsidRPr="00AC2E99" w:rsidRDefault="00B16BE1" w:rsidP="00A93100">
      <w:pPr>
        <w:rPr>
          <w:rFonts w:cs="Arial"/>
          <w:lang w:val="en-US"/>
        </w:rPr>
      </w:pPr>
      <w:r w:rsidRPr="00AC2E99">
        <w:rPr>
          <w:rFonts w:cs="Arial"/>
          <w:lang w:val="en-US"/>
        </w:rPr>
        <w:t xml:space="preserve">Spalletta, G., Mikhaylov, D.B., Carvalho, I.M. and Filipe, J.N., (2025). </w:t>
      </w:r>
      <w:r w:rsidRPr="00AC2E99">
        <w:rPr>
          <w:rFonts w:cs="Arial"/>
          <w:i/>
          <w:iCs/>
          <w:lang w:val="en-US"/>
        </w:rPr>
        <w:t>Strategic Business Models in the Online Food Delivery Industry in Europe</w:t>
      </w:r>
      <w:r w:rsidRPr="00AC2E99">
        <w:rPr>
          <w:rFonts w:cs="Arial"/>
          <w:lang w:val="en-US"/>
        </w:rPr>
        <w:t xml:space="preserve"> (Master's thesis, </w:t>
      </w:r>
      <w:proofErr w:type="spellStart"/>
      <w:r w:rsidRPr="00AC2E99">
        <w:rPr>
          <w:rFonts w:cs="Arial"/>
          <w:lang w:val="en-US"/>
        </w:rPr>
        <w:t>Universidade</w:t>
      </w:r>
      <w:proofErr w:type="spellEnd"/>
      <w:r w:rsidRPr="00AC2E99">
        <w:rPr>
          <w:rFonts w:cs="Arial"/>
          <w:lang w:val="en-US"/>
        </w:rPr>
        <w:t xml:space="preserve"> NOVA de Lisboa (Portugal)). </w:t>
      </w:r>
      <w:hyperlink r:id="rId41" w:history="1">
        <w:r w:rsidRPr="00AC2E99">
          <w:rPr>
            <w:rStyle w:val="Hyperlink"/>
            <w:rFonts w:cs="Arial"/>
            <w:lang w:val="en-US"/>
          </w:rPr>
          <w:t>https://search.proquest.com/openview/0ead45ad106dccdea7c97537b2eaa686/1?pq-origsite=gscholar&amp;cbl=2026366&amp;diss=y</w:t>
        </w:r>
      </w:hyperlink>
    </w:p>
    <w:p w14:paraId="48BB715B" w14:textId="77777777" w:rsidR="00B16BE1" w:rsidRPr="00AC2E99" w:rsidRDefault="00B16BE1" w:rsidP="00A93100">
      <w:pPr>
        <w:rPr>
          <w:rFonts w:cs="Arial"/>
          <w:lang w:val="en-US"/>
        </w:rPr>
      </w:pPr>
      <w:r w:rsidRPr="00AC2E99">
        <w:rPr>
          <w:rFonts w:cs="Arial"/>
          <w:lang w:val="en-US"/>
        </w:rPr>
        <w:t>Stobierski, (2020).</w:t>
      </w:r>
      <w:r w:rsidRPr="00AC2E99">
        <w:rPr>
          <w:rFonts w:cs="Arial"/>
          <w:i/>
          <w:iCs/>
          <w:lang w:val="en-US"/>
        </w:rPr>
        <w:t xml:space="preserve"> What Is a Value Chain Analysis? 3 Steps. </w:t>
      </w:r>
      <w:r w:rsidRPr="00AC2E99">
        <w:rPr>
          <w:rFonts w:cs="Arial"/>
          <w:lang w:val="en-US"/>
        </w:rPr>
        <w:t xml:space="preserve">Available at: </w:t>
      </w:r>
      <w:hyperlink r:id="rId42" w:history="1">
        <w:r w:rsidRPr="00AC2E99">
          <w:rPr>
            <w:rStyle w:val="Hyperlink"/>
            <w:rFonts w:cs="Arial"/>
            <w:lang w:val="en-US"/>
          </w:rPr>
          <w:t>https://online.hbs.edu/blog/post/what-is-value-chain-analysis</w:t>
        </w:r>
      </w:hyperlink>
      <w:r w:rsidRPr="00AC2E99">
        <w:rPr>
          <w:rFonts w:cs="Arial"/>
          <w:lang w:val="en-US"/>
        </w:rPr>
        <w:t xml:space="preserve"> [Accessed on 8th August 2026]</w:t>
      </w:r>
    </w:p>
    <w:p w14:paraId="59F88866" w14:textId="77777777" w:rsidR="00B16BE1" w:rsidRPr="00AC2E99" w:rsidRDefault="00B16BE1" w:rsidP="00A93100">
      <w:pPr>
        <w:rPr>
          <w:rFonts w:cs="Arial"/>
          <w:lang w:val="en-US"/>
        </w:rPr>
      </w:pPr>
      <w:r w:rsidRPr="00AC2E99">
        <w:rPr>
          <w:rFonts w:cs="Arial"/>
          <w:lang w:val="en-US"/>
        </w:rPr>
        <w:t xml:space="preserve">Sustainability online, (2026). </w:t>
      </w:r>
      <w:r w:rsidRPr="00AC2E99">
        <w:rPr>
          <w:rFonts w:cs="Arial"/>
          <w:i/>
          <w:iCs/>
          <w:lang w:val="en-US"/>
        </w:rPr>
        <w:t xml:space="preserve">Greggs makes progress on food waste and emissions reduction. </w:t>
      </w:r>
      <w:r w:rsidRPr="00AC2E99">
        <w:rPr>
          <w:rFonts w:cs="Arial"/>
          <w:lang w:val="en-US"/>
        </w:rPr>
        <w:t xml:space="preserve">Available at: </w:t>
      </w:r>
      <w:hyperlink r:id="rId43" w:history="1">
        <w:r w:rsidRPr="00AC2E99">
          <w:rPr>
            <w:rStyle w:val="Hyperlink"/>
            <w:rFonts w:cs="Arial"/>
            <w:lang w:val="en-US"/>
          </w:rPr>
          <w:t>https://sustainabilityonline.net/news/greggs-makes-progress-on-food-waste-and-emissions-reduction/</w:t>
        </w:r>
      </w:hyperlink>
      <w:r w:rsidRPr="00AC2E99">
        <w:rPr>
          <w:rFonts w:cs="Arial"/>
          <w:lang w:val="en-US"/>
        </w:rPr>
        <w:t xml:space="preserve"> [Accessed on 8th August 2026]</w:t>
      </w:r>
    </w:p>
    <w:p w14:paraId="2E9590D0" w14:textId="77777777" w:rsidR="00B16BE1" w:rsidRPr="00AC2E99" w:rsidRDefault="00B16BE1" w:rsidP="00A93100">
      <w:pPr>
        <w:rPr>
          <w:rFonts w:cs="Arial"/>
          <w:lang w:val="en-US"/>
        </w:rPr>
      </w:pPr>
      <w:r w:rsidRPr="00AC2E99">
        <w:rPr>
          <w:rFonts w:cs="Arial"/>
          <w:lang w:val="en-US"/>
        </w:rPr>
        <w:t xml:space="preserve">UK Government, (2025). </w:t>
      </w:r>
      <w:r w:rsidRPr="00AC2E99">
        <w:rPr>
          <w:rFonts w:cs="Arial"/>
          <w:i/>
          <w:iCs/>
          <w:lang w:val="en-US"/>
        </w:rPr>
        <w:t xml:space="preserve">A UK government food strategy for England. </w:t>
      </w:r>
      <w:r w:rsidRPr="00AC2E99">
        <w:rPr>
          <w:rFonts w:cs="Arial"/>
          <w:lang w:val="en-US"/>
        </w:rPr>
        <w:t xml:space="preserve">Available at: </w:t>
      </w:r>
      <w:hyperlink r:id="rId44" w:history="1">
        <w:r w:rsidRPr="00AC2E99">
          <w:rPr>
            <w:rStyle w:val="Hyperlink"/>
            <w:rFonts w:cs="Arial"/>
            <w:lang w:val="en-US"/>
          </w:rPr>
          <w:t>https://www.gov.uk/government/publications/a-uk-government-food-strategy-for-england</w:t>
        </w:r>
      </w:hyperlink>
      <w:r w:rsidRPr="00AC2E99">
        <w:rPr>
          <w:rFonts w:cs="Arial"/>
          <w:lang w:val="en-US"/>
        </w:rPr>
        <w:t xml:space="preserve"> [Accessed on 7th August 2026]</w:t>
      </w:r>
    </w:p>
    <w:p w14:paraId="3AE15AA6" w14:textId="77777777" w:rsidR="00B16BE1" w:rsidRPr="00AC2E99" w:rsidRDefault="00B16BE1" w:rsidP="00A93100">
      <w:pPr>
        <w:rPr>
          <w:rFonts w:cs="Arial"/>
          <w:lang w:val="en-US"/>
        </w:rPr>
      </w:pPr>
      <w:r w:rsidRPr="00AC2E99">
        <w:rPr>
          <w:rFonts w:cs="Arial"/>
          <w:lang w:val="en-US"/>
        </w:rPr>
        <w:t xml:space="preserve">UK Government, (2026). </w:t>
      </w:r>
      <w:r w:rsidRPr="00AC2E99">
        <w:rPr>
          <w:rFonts w:cs="Arial"/>
          <w:i/>
          <w:iCs/>
          <w:lang w:val="en-US"/>
        </w:rPr>
        <w:t xml:space="preserve">Regulations: </w:t>
      </w:r>
      <w:proofErr w:type="spellStart"/>
      <w:r w:rsidRPr="00AC2E99">
        <w:rPr>
          <w:rFonts w:cs="Arial"/>
          <w:i/>
          <w:iCs/>
          <w:lang w:val="en-US"/>
        </w:rPr>
        <w:t>ecodesign</w:t>
      </w:r>
      <w:proofErr w:type="spellEnd"/>
      <w:r w:rsidRPr="00AC2E99">
        <w:rPr>
          <w:rFonts w:cs="Arial"/>
          <w:i/>
          <w:iCs/>
          <w:lang w:val="en-US"/>
        </w:rPr>
        <w:t xml:space="preserve"> of energy-consuming products. </w:t>
      </w:r>
      <w:r w:rsidRPr="00AC2E99">
        <w:rPr>
          <w:rFonts w:cs="Arial"/>
          <w:lang w:val="en-US"/>
        </w:rPr>
        <w:t xml:space="preserve">Available at: </w:t>
      </w:r>
      <w:hyperlink r:id="rId45" w:history="1">
        <w:r w:rsidRPr="00AC2E99">
          <w:rPr>
            <w:rStyle w:val="Hyperlink"/>
            <w:rFonts w:cs="Arial"/>
            <w:lang w:val="en-US"/>
          </w:rPr>
          <w:t>https://www.gov.uk/guidance/placing-energy-related-products-on-the-uk-market</w:t>
        </w:r>
      </w:hyperlink>
      <w:r w:rsidRPr="00AC2E99">
        <w:rPr>
          <w:rFonts w:cs="Arial"/>
          <w:lang w:val="en-US"/>
        </w:rPr>
        <w:t xml:space="preserve"> [Accessed on 7th August 2026]</w:t>
      </w:r>
    </w:p>
    <w:p w14:paraId="725F5909" w14:textId="77777777" w:rsidR="00B16BE1" w:rsidRPr="00AC2E99" w:rsidRDefault="00B16BE1" w:rsidP="00A93100">
      <w:pPr>
        <w:rPr>
          <w:rFonts w:cs="Arial"/>
          <w:lang w:val="en-US"/>
        </w:rPr>
      </w:pPr>
      <w:r w:rsidRPr="00AC2E99">
        <w:rPr>
          <w:rFonts w:cs="Arial"/>
          <w:lang w:val="en-US"/>
        </w:rPr>
        <w:t xml:space="preserve">UK Government, (2026). </w:t>
      </w:r>
      <w:r w:rsidRPr="00AC2E99">
        <w:rPr>
          <w:rFonts w:cs="Arial"/>
          <w:i/>
          <w:iCs/>
          <w:lang w:val="en-US"/>
        </w:rPr>
        <w:t xml:space="preserve">Understanding food labelling. </w:t>
      </w:r>
      <w:r w:rsidRPr="00AC2E99">
        <w:rPr>
          <w:rFonts w:cs="Arial"/>
          <w:lang w:val="en-US"/>
        </w:rPr>
        <w:t xml:space="preserve">Available at: </w:t>
      </w:r>
      <w:hyperlink r:id="rId46" w:history="1">
        <w:r w:rsidRPr="00AC2E99">
          <w:rPr>
            <w:rStyle w:val="Hyperlink"/>
            <w:rFonts w:cs="Arial"/>
            <w:lang w:val="en-US"/>
          </w:rPr>
          <w:t>https://www.gov.uk/understanding-food-labelling/allergen-labelling</w:t>
        </w:r>
      </w:hyperlink>
      <w:r w:rsidRPr="00AC2E99">
        <w:rPr>
          <w:rFonts w:cs="Arial"/>
          <w:lang w:val="en-US"/>
        </w:rPr>
        <w:t xml:space="preserve"> [Accessed on 7th August 2026]</w:t>
      </w:r>
    </w:p>
    <w:p w14:paraId="4EE79A17" w14:textId="77777777" w:rsidR="00B16BE1" w:rsidRPr="00AC2E99" w:rsidRDefault="00B16BE1" w:rsidP="00B16BE1">
      <w:pPr>
        <w:rPr>
          <w:rFonts w:cs="Arial"/>
        </w:rPr>
      </w:pPr>
      <w:r w:rsidRPr="00AC2E99">
        <w:rPr>
          <w:rFonts w:cs="Arial"/>
        </w:rPr>
        <w:t>Wilkinson, E., (2024). Food industry has infiltrated UK children’s education: stealth marketing exposed. </w:t>
      </w:r>
      <w:proofErr w:type="spellStart"/>
      <w:r w:rsidRPr="00AC2E99">
        <w:rPr>
          <w:rFonts w:cs="Arial"/>
          <w:i/>
          <w:iCs/>
        </w:rPr>
        <w:t>bmj</w:t>
      </w:r>
      <w:proofErr w:type="spellEnd"/>
      <w:r w:rsidRPr="00AC2E99">
        <w:rPr>
          <w:rFonts w:cs="Arial"/>
        </w:rPr>
        <w:t>, </w:t>
      </w:r>
      <w:r w:rsidRPr="00AC2E99">
        <w:rPr>
          <w:rFonts w:cs="Arial"/>
          <w:i/>
          <w:iCs/>
        </w:rPr>
        <w:t>387</w:t>
      </w:r>
      <w:r w:rsidRPr="00AC2E99">
        <w:rPr>
          <w:rFonts w:cs="Arial"/>
        </w:rPr>
        <w:t xml:space="preserve">. </w:t>
      </w:r>
      <w:hyperlink r:id="rId47" w:history="1">
        <w:r w:rsidRPr="00AC2E99">
          <w:rPr>
            <w:rStyle w:val="Hyperlink"/>
            <w:rFonts w:cs="Arial"/>
          </w:rPr>
          <w:t>https://ibfanitalia.org/wp-content/uploads/2025/06/bmj24wilkinsonFoodindustryUKchildeducationStealthmarketing.pdf</w:t>
        </w:r>
      </w:hyperlink>
    </w:p>
    <w:p w14:paraId="260F4CE2" w14:textId="77777777" w:rsidR="00B16BE1" w:rsidRPr="00AC2E99" w:rsidRDefault="00B16BE1" w:rsidP="00A93100">
      <w:pPr>
        <w:rPr>
          <w:rFonts w:cs="Arial"/>
          <w:lang w:val="en-US"/>
        </w:rPr>
      </w:pPr>
      <w:r w:rsidRPr="00AC2E99">
        <w:rPr>
          <w:rFonts w:cs="Arial"/>
          <w:lang w:val="en-US"/>
        </w:rPr>
        <w:t xml:space="preserve">Woy, P., Wilson, G. and Cockbill, S., (2023). Identifying opportunities to increase food-to-go packaging lifetimes based on the current </w:t>
      </w:r>
      <w:proofErr w:type="spellStart"/>
      <w:r w:rsidRPr="00AC2E99">
        <w:rPr>
          <w:rFonts w:cs="Arial"/>
          <w:lang w:val="en-US"/>
        </w:rPr>
        <w:t>conceptualisation</w:t>
      </w:r>
      <w:proofErr w:type="spellEnd"/>
      <w:r w:rsidRPr="00AC2E99">
        <w:rPr>
          <w:rFonts w:cs="Arial"/>
          <w:lang w:val="en-US"/>
        </w:rPr>
        <w:t xml:space="preserve"> of food-to-go. </w:t>
      </w:r>
      <w:hyperlink r:id="rId48" w:history="1">
        <w:r w:rsidRPr="00AC2E99">
          <w:rPr>
            <w:rStyle w:val="Hyperlink"/>
            <w:rFonts w:cs="Arial"/>
            <w:lang w:val="en-US"/>
          </w:rPr>
          <w:t>https://repository.lboro.ac.uk/articles/conference_contribution/Identifying_opportunities_to_increase_food-to-go_packaging_lifetimes_based_on_the_current_conceptualisation_of_food-to-go/24119265/1/files/42313938.pdf</w:t>
        </w:r>
      </w:hyperlink>
    </w:p>
    <w:p w14:paraId="12E33277" w14:textId="5BEF5919" w:rsidR="00A93100" w:rsidRPr="00AC2E99" w:rsidRDefault="00A93100" w:rsidP="0081630E">
      <w:pPr>
        <w:pStyle w:val="Heading1"/>
        <w:rPr>
          <w:rFonts w:cs="Arial"/>
          <w:lang w:val="en-US"/>
        </w:rPr>
      </w:pPr>
      <w:bookmarkStart w:id="39" w:name="_Toc237088561"/>
      <w:r w:rsidRPr="00AC2E99">
        <w:rPr>
          <w:rFonts w:cs="Arial"/>
          <w:lang w:val="en-US"/>
        </w:rPr>
        <w:t>Appendices</w:t>
      </w:r>
      <w:bookmarkEnd w:id="39"/>
    </w:p>
    <w:p w14:paraId="31B9C4C9" w14:textId="5A339DF6" w:rsidR="00A93100" w:rsidRPr="00AC2E99" w:rsidRDefault="00A93100" w:rsidP="0081630E">
      <w:pPr>
        <w:pStyle w:val="Heading2"/>
        <w:rPr>
          <w:rFonts w:cs="Arial"/>
          <w:lang w:val="en-US"/>
        </w:rPr>
      </w:pPr>
      <w:bookmarkStart w:id="40" w:name="_Toc237088562"/>
      <w:r w:rsidRPr="00AC2E99">
        <w:rPr>
          <w:rFonts w:cs="Arial"/>
          <w:lang w:val="en-US"/>
        </w:rPr>
        <w:t xml:space="preserve">Appendix 1: </w:t>
      </w:r>
      <w:r w:rsidR="0081630E" w:rsidRPr="00AC2E99">
        <w:rPr>
          <w:rFonts w:cs="Arial"/>
          <w:lang w:val="en-US"/>
        </w:rPr>
        <w:t>Sustainable approach</w:t>
      </w:r>
      <w:bookmarkEnd w:id="40"/>
    </w:p>
    <w:p w14:paraId="71BFB4C1" w14:textId="523BB4D1" w:rsidR="0081630E" w:rsidRPr="00AC2E99" w:rsidRDefault="0081630E" w:rsidP="0081630E">
      <w:pPr>
        <w:jc w:val="center"/>
        <w:rPr>
          <w:rFonts w:cs="Arial"/>
          <w:lang w:val="en-US"/>
        </w:rPr>
      </w:pPr>
      <w:r w:rsidRPr="00AC2E99">
        <w:rPr>
          <w:rFonts w:cs="Arial"/>
          <w:noProof/>
        </w:rPr>
        <w:drawing>
          <wp:inline distT="0" distB="0" distL="0" distR="0" wp14:anchorId="0981ABE0" wp14:editId="728E286E">
            <wp:extent cx="3552172" cy="3676650"/>
            <wp:effectExtent l="0" t="0" r="0" b="0"/>
            <wp:docPr id="304092544" name="Picture 2" descr="Greggs Corporate | Doing 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ggs Corporate | Doing Goo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557951" cy="3682632"/>
                    </a:xfrm>
                    <a:prstGeom prst="rect">
                      <a:avLst/>
                    </a:prstGeom>
                    <a:noFill/>
                    <a:ln>
                      <a:noFill/>
                    </a:ln>
                  </pic:spPr>
                </pic:pic>
              </a:graphicData>
            </a:graphic>
          </wp:inline>
        </w:drawing>
      </w:r>
    </w:p>
    <w:p w14:paraId="6C863525" w14:textId="39AD96D0" w:rsidR="0081630E" w:rsidRPr="00AC2E99" w:rsidRDefault="0081630E" w:rsidP="0081630E">
      <w:pPr>
        <w:pStyle w:val="Heading2"/>
        <w:rPr>
          <w:rFonts w:cs="Arial"/>
          <w:lang w:val="en-US"/>
        </w:rPr>
      </w:pPr>
      <w:bookmarkStart w:id="41" w:name="_Toc237088563"/>
      <w:r w:rsidRPr="00AC2E99">
        <w:rPr>
          <w:rFonts w:cs="Arial"/>
          <w:lang w:val="en-US"/>
        </w:rPr>
        <w:t>Appendix 2: Revenue of Greggs Plc</w:t>
      </w:r>
      <w:bookmarkEnd w:id="41"/>
    </w:p>
    <w:p w14:paraId="0AD4060A" w14:textId="5C656929" w:rsidR="0068199C" w:rsidRPr="00AC2E99" w:rsidRDefault="0081630E" w:rsidP="0081630E">
      <w:pPr>
        <w:jc w:val="center"/>
        <w:rPr>
          <w:rFonts w:cs="Arial"/>
          <w:lang w:val="en-US"/>
        </w:rPr>
      </w:pPr>
      <w:r w:rsidRPr="00AC2E99">
        <w:rPr>
          <w:rFonts w:cs="Arial"/>
          <w:noProof/>
          <w:lang w:val="en-US"/>
        </w:rPr>
        <w:drawing>
          <wp:inline distT="0" distB="0" distL="0" distR="0" wp14:anchorId="7649F824" wp14:editId="55388E4F">
            <wp:extent cx="4429125" cy="2799434"/>
            <wp:effectExtent l="0" t="0" r="0" b="1270"/>
            <wp:docPr id="214311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13155" name=""/>
                    <pic:cNvPicPr/>
                  </pic:nvPicPr>
                  <pic:blipFill>
                    <a:blip r:embed="rId50"/>
                    <a:stretch>
                      <a:fillRect/>
                    </a:stretch>
                  </pic:blipFill>
                  <pic:spPr>
                    <a:xfrm>
                      <a:off x="0" y="0"/>
                      <a:ext cx="4434135" cy="2802600"/>
                    </a:xfrm>
                    <a:prstGeom prst="rect">
                      <a:avLst/>
                    </a:prstGeom>
                  </pic:spPr>
                </pic:pic>
              </a:graphicData>
            </a:graphic>
          </wp:inline>
        </w:drawing>
      </w:r>
    </w:p>
    <w:sectPr w:rsidR="0068199C" w:rsidRPr="00AC2E99" w:rsidSect="00FB1A16">
      <w:footerReference w:type="default" r:id="rId5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870E4A" w14:textId="77777777" w:rsidR="00AC63A7" w:rsidRDefault="00AC63A7" w:rsidP="00A93100">
      <w:pPr>
        <w:spacing w:before="0" w:line="240" w:lineRule="auto"/>
      </w:pPr>
      <w:r>
        <w:separator/>
      </w:r>
    </w:p>
  </w:endnote>
  <w:endnote w:type="continuationSeparator" w:id="0">
    <w:p w14:paraId="6278D1C4" w14:textId="77777777" w:rsidR="00AC63A7" w:rsidRDefault="00AC63A7" w:rsidP="00A9310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AFC4539-D7D6-46E1-9E34-D0B5BEE8AF93}"/>
  </w:font>
  <w:font w:name="Cambria">
    <w:panose1 w:val="02040503050406030204"/>
    <w:charset w:val="00"/>
    <w:family w:val="roman"/>
    <w:pitch w:val="variable"/>
    <w:sig w:usb0="E00006FF" w:usb1="420024FF" w:usb2="02000000" w:usb3="00000000" w:csb0="0000019F" w:csb1="00000000"/>
    <w:embedRegular r:id="rId2" w:fontKey="{86238F56-364E-7A47-B5E1-F00E42FA79FF}"/>
    <w:embedBold r:id="rId3" w:fontKey="{BE9B1C6F-06B3-F147-85ED-324361CD5217}"/>
    <w:embedItalic r:id="rId4" w:fontKey="{EE018989-2C96-D743-9B5C-25F70E884898}"/>
    <w:embedBoldItalic r:id="rId5" w:fontKey="{CC45372C-D446-A642-ACBD-5217306D114A}"/>
  </w:font>
  <w:font w:name="Cambria Math">
    <w:panose1 w:val="02040503050406030204"/>
    <w:charset w:val="00"/>
    <w:family w:val="roman"/>
    <w:pitch w:val="variable"/>
    <w:sig w:usb0="E00006FF" w:usb1="420024FF" w:usb2="02000000" w:usb3="00000000" w:csb0="0000019F" w:csb1="00000000"/>
    <w:embedRegular r:id="rId6" w:fontKey="{722B1E6E-DD58-F443-9A4E-ACA2E68901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783107"/>
      <w:docPartObj>
        <w:docPartGallery w:val="Page Numbers (Bottom of Page)"/>
        <w:docPartUnique/>
      </w:docPartObj>
    </w:sdtPr>
    <w:sdtEndPr>
      <w:rPr>
        <w:noProof/>
      </w:rPr>
    </w:sdtEndPr>
    <w:sdtContent>
      <w:p w14:paraId="035B8B11" w14:textId="20C53BA0" w:rsidR="00FB1A16" w:rsidRDefault="00FB1A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001BE" w14:textId="77777777" w:rsidR="00FB1A16" w:rsidRDefault="00FB1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8A5E013" w14:textId="77777777" w:rsidR="00AC63A7" w:rsidRDefault="00AC63A7" w:rsidP="00A93100">
      <w:pPr>
        <w:spacing w:before="0" w:line="240" w:lineRule="auto"/>
      </w:pPr>
      <w:r>
        <w:separator/>
      </w:r>
    </w:p>
  </w:footnote>
  <w:footnote w:type="continuationSeparator" w:id="0">
    <w:p w14:paraId="76F0FD28" w14:textId="77777777" w:rsidR="00AC63A7" w:rsidRDefault="00AC63A7" w:rsidP="00A9310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0A3B24"/>
    <w:multiLevelType w:val="hybridMultilevel"/>
    <w:tmpl w:val="04D84C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1A51BE"/>
    <w:multiLevelType w:val="hybridMultilevel"/>
    <w:tmpl w:val="3B1AC1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8512CE"/>
    <w:multiLevelType w:val="hybridMultilevel"/>
    <w:tmpl w:val="25381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FE5AEF"/>
    <w:multiLevelType w:val="hybridMultilevel"/>
    <w:tmpl w:val="B71C5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1AE74EC"/>
    <w:multiLevelType w:val="hybridMultilevel"/>
    <w:tmpl w:val="BC6AD7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1443722">
    <w:abstractNumId w:val="1"/>
  </w:num>
  <w:num w:numId="2" w16cid:durableId="1084494159">
    <w:abstractNumId w:val="2"/>
  </w:num>
  <w:num w:numId="3" w16cid:durableId="587420089">
    <w:abstractNumId w:val="4"/>
  </w:num>
  <w:num w:numId="4" w16cid:durableId="1945116230">
    <w:abstractNumId w:val="0"/>
  </w:num>
  <w:num w:numId="5" w16cid:durableId="952327723">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99C"/>
    <w:rsid w:val="00017812"/>
    <w:rsid w:val="000A6FDF"/>
    <w:rsid w:val="000C1244"/>
    <w:rsid w:val="000D303A"/>
    <w:rsid w:val="000D6B7B"/>
    <w:rsid w:val="000F508D"/>
    <w:rsid w:val="000F79EA"/>
    <w:rsid w:val="00282404"/>
    <w:rsid w:val="003073CF"/>
    <w:rsid w:val="00343E97"/>
    <w:rsid w:val="003D29DA"/>
    <w:rsid w:val="00471066"/>
    <w:rsid w:val="0049010A"/>
    <w:rsid w:val="004E5A10"/>
    <w:rsid w:val="00505B58"/>
    <w:rsid w:val="005812BB"/>
    <w:rsid w:val="005C653B"/>
    <w:rsid w:val="005E7B60"/>
    <w:rsid w:val="006219B3"/>
    <w:rsid w:val="00650305"/>
    <w:rsid w:val="00667516"/>
    <w:rsid w:val="0068199C"/>
    <w:rsid w:val="006A7D4D"/>
    <w:rsid w:val="00711CB3"/>
    <w:rsid w:val="0079208E"/>
    <w:rsid w:val="007C164F"/>
    <w:rsid w:val="0081630E"/>
    <w:rsid w:val="00842B2E"/>
    <w:rsid w:val="008C7C5A"/>
    <w:rsid w:val="008D2824"/>
    <w:rsid w:val="008E36A7"/>
    <w:rsid w:val="00A02621"/>
    <w:rsid w:val="00A64ECF"/>
    <w:rsid w:val="00A93100"/>
    <w:rsid w:val="00AC2E99"/>
    <w:rsid w:val="00AC63A7"/>
    <w:rsid w:val="00B16BE1"/>
    <w:rsid w:val="00BA4258"/>
    <w:rsid w:val="00BB5281"/>
    <w:rsid w:val="00C10F75"/>
    <w:rsid w:val="00C97ED3"/>
    <w:rsid w:val="00CA01D1"/>
    <w:rsid w:val="00CA2E41"/>
    <w:rsid w:val="00D1305F"/>
    <w:rsid w:val="00D64676"/>
    <w:rsid w:val="00F1623F"/>
    <w:rsid w:val="00FB1A16"/>
    <w:rsid w:val="00FC5BD0"/>
    <w:rsid w:val="00FD6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2A61D"/>
  <w15:docId w15:val="{F7B814AE-111B-4F0B-B701-B867A89E7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219B3"/>
    <w:pPr>
      <w:spacing w:before="240" w:after="240"/>
    </w:pPr>
    <w:rPr>
      <w:rFonts w:ascii="Arial" w:hAnsi="Arial"/>
      <w:lang w:val="en-GB"/>
    </w:rPr>
  </w:style>
  <w:style w:type="paragraph" w:styleId="Heading1">
    <w:name w:val="heading 1"/>
    <w:basedOn w:val="Normal"/>
    <w:next w:val="Normal"/>
    <w:rsid w:val="006219B3"/>
    <w:pPr>
      <w:keepNext/>
      <w:keepLines/>
      <w:outlineLvl w:val="0"/>
    </w:pPr>
    <w:rPr>
      <w:b/>
      <w:bCs/>
      <w:sz w:val="28"/>
      <w:szCs w:val="28"/>
    </w:rPr>
  </w:style>
  <w:style w:type="paragraph" w:styleId="Heading2">
    <w:name w:val="heading 2"/>
    <w:basedOn w:val="Normal"/>
    <w:next w:val="Normal"/>
    <w:rsid w:val="006219B3"/>
    <w:pPr>
      <w:keepNext/>
      <w:keepLines/>
      <w:outlineLvl w:val="1"/>
    </w:pPr>
    <w:rPr>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character" w:styleId="Hyperlink">
    <w:name w:val="Hyperlink"/>
    <w:basedOn w:val="DefaultParagraphFont"/>
    <w:uiPriority w:val="99"/>
    <w:unhideWhenUsed/>
    <w:rsid w:val="00A93100"/>
    <w:rPr>
      <w:color w:val="0000FF" w:themeColor="hyperlink"/>
      <w:u w:val="single"/>
    </w:rPr>
  </w:style>
  <w:style w:type="character" w:styleId="UnresolvedMention">
    <w:name w:val="Unresolved Mention"/>
    <w:basedOn w:val="DefaultParagraphFont"/>
    <w:uiPriority w:val="99"/>
    <w:semiHidden/>
    <w:unhideWhenUsed/>
    <w:rsid w:val="00A93100"/>
    <w:rPr>
      <w:color w:val="605E5C"/>
      <w:shd w:val="clear" w:color="auto" w:fill="E1DFDD"/>
    </w:rPr>
  </w:style>
  <w:style w:type="paragraph" w:styleId="Header">
    <w:name w:val="header"/>
    <w:basedOn w:val="Normal"/>
    <w:link w:val="HeaderChar"/>
    <w:uiPriority w:val="99"/>
    <w:unhideWhenUsed/>
    <w:rsid w:val="00A93100"/>
    <w:pPr>
      <w:tabs>
        <w:tab w:val="center" w:pos="4680"/>
        <w:tab w:val="right" w:pos="9360"/>
      </w:tabs>
      <w:spacing w:before="0" w:line="240" w:lineRule="auto"/>
    </w:pPr>
  </w:style>
  <w:style w:type="character" w:customStyle="1" w:styleId="HeaderChar">
    <w:name w:val="Header Char"/>
    <w:basedOn w:val="DefaultParagraphFont"/>
    <w:link w:val="Header"/>
    <w:uiPriority w:val="99"/>
    <w:rsid w:val="00A93100"/>
    <w:rPr>
      <w:lang w:val="en-GB"/>
    </w:rPr>
  </w:style>
  <w:style w:type="paragraph" w:styleId="Footer">
    <w:name w:val="footer"/>
    <w:basedOn w:val="Normal"/>
    <w:link w:val="FooterChar"/>
    <w:uiPriority w:val="99"/>
    <w:unhideWhenUsed/>
    <w:rsid w:val="00A93100"/>
    <w:pPr>
      <w:tabs>
        <w:tab w:val="center" w:pos="4680"/>
        <w:tab w:val="right" w:pos="9360"/>
      </w:tabs>
      <w:spacing w:before="0" w:line="240" w:lineRule="auto"/>
    </w:pPr>
  </w:style>
  <w:style w:type="character" w:customStyle="1" w:styleId="FooterChar">
    <w:name w:val="Footer Char"/>
    <w:basedOn w:val="DefaultParagraphFont"/>
    <w:link w:val="Footer"/>
    <w:uiPriority w:val="99"/>
    <w:rsid w:val="00A93100"/>
    <w:rPr>
      <w:lang w:val="en-GB"/>
    </w:rPr>
  </w:style>
  <w:style w:type="paragraph" w:styleId="TOCHeading">
    <w:name w:val="TOC Heading"/>
    <w:basedOn w:val="Heading1"/>
    <w:next w:val="Normal"/>
    <w:uiPriority w:val="39"/>
    <w:unhideWhenUsed/>
    <w:qFormat/>
    <w:rsid w:val="00A93100"/>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B1A16"/>
    <w:pPr>
      <w:tabs>
        <w:tab w:val="right" w:leader="dot" w:pos="9350"/>
      </w:tabs>
      <w:spacing w:before="120" w:after="120" w:line="240" w:lineRule="auto"/>
    </w:pPr>
    <w:rPr>
      <w:rFonts w:cs="Arial"/>
      <w:b/>
      <w:bCs/>
      <w:noProof/>
    </w:rPr>
  </w:style>
  <w:style w:type="paragraph" w:styleId="TOC2">
    <w:name w:val="toc 2"/>
    <w:basedOn w:val="Normal"/>
    <w:next w:val="Normal"/>
    <w:autoRedefine/>
    <w:uiPriority w:val="39"/>
    <w:unhideWhenUsed/>
    <w:rsid w:val="00FB1A16"/>
    <w:pPr>
      <w:tabs>
        <w:tab w:val="right" w:leader="dot" w:pos="9350"/>
      </w:tabs>
      <w:spacing w:before="120" w:after="120" w:line="240" w:lineRule="auto"/>
      <w:ind w:left="240"/>
    </w:pPr>
    <w:rPr>
      <w:rFonts w:cs="Arial"/>
      <w:noProof/>
    </w:rPr>
  </w:style>
  <w:style w:type="paragraph" w:styleId="TOC3">
    <w:name w:val="toc 3"/>
    <w:basedOn w:val="Normal"/>
    <w:next w:val="Normal"/>
    <w:autoRedefine/>
    <w:uiPriority w:val="39"/>
    <w:unhideWhenUsed/>
    <w:rsid w:val="00A93100"/>
    <w:pPr>
      <w:spacing w:after="100"/>
      <w:ind w:left="480"/>
    </w:pPr>
  </w:style>
  <w:style w:type="table" w:styleId="GridTable3-Accent6">
    <w:name w:val="Grid Table 3 Accent 6"/>
    <w:basedOn w:val="TableNormal"/>
    <w:uiPriority w:val="48"/>
    <w:rsid w:val="00B16BE1"/>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4-Accent3">
    <w:name w:val="Grid Table 4 Accent 3"/>
    <w:basedOn w:val="TableNormal"/>
    <w:uiPriority w:val="49"/>
    <w:rsid w:val="00B16BE1"/>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CommentReference">
    <w:name w:val="annotation reference"/>
    <w:basedOn w:val="DefaultParagraphFont"/>
    <w:uiPriority w:val="99"/>
    <w:semiHidden/>
    <w:unhideWhenUsed/>
    <w:rsid w:val="000F508D"/>
    <w:rPr>
      <w:sz w:val="16"/>
      <w:szCs w:val="16"/>
    </w:rPr>
  </w:style>
  <w:style w:type="paragraph" w:styleId="CommentText">
    <w:name w:val="annotation text"/>
    <w:basedOn w:val="Normal"/>
    <w:link w:val="CommentTextChar"/>
    <w:uiPriority w:val="99"/>
    <w:unhideWhenUsed/>
    <w:rsid w:val="000F508D"/>
    <w:pPr>
      <w:spacing w:line="240" w:lineRule="auto"/>
    </w:pPr>
    <w:rPr>
      <w:sz w:val="20"/>
      <w:szCs w:val="20"/>
    </w:rPr>
  </w:style>
  <w:style w:type="character" w:customStyle="1" w:styleId="CommentTextChar">
    <w:name w:val="Comment Text Char"/>
    <w:basedOn w:val="DefaultParagraphFont"/>
    <w:link w:val="CommentText"/>
    <w:uiPriority w:val="99"/>
    <w:rsid w:val="000F508D"/>
    <w:rPr>
      <w:sz w:val="20"/>
      <w:szCs w:val="20"/>
      <w:lang w:val="en-GB"/>
    </w:rPr>
  </w:style>
  <w:style w:type="paragraph" w:styleId="CommentSubject">
    <w:name w:val="annotation subject"/>
    <w:basedOn w:val="CommentText"/>
    <w:next w:val="CommentText"/>
    <w:link w:val="CommentSubjectChar"/>
    <w:uiPriority w:val="99"/>
    <w:semiHidden/>
    <w:unhideWhenUsed/>
    <w:rsid w:val="000F508D"/>
    <w:rPr>
      <w:b/>
      <w:bCs/>
    </w:rPr>
  </w:style>
  <w:style w:type="character" w:customStyle="1" w:styleId="CommentSubjectChar">
    <w:name w:val="Comment Subject Char"/>
    <w:basedOn w:val="CommentTextChar"/>
    <w:link w:val="CommentSubject"/>
    <w:uiPriority w:val="99"/>
    <w:semiHidden/>
    <w:rsid w:val="000F508D"/>
    <w:rPr>
      <w:b/>
      <w:bCs/>
      <w:sz w:val="20"/>
      <w:szCs w:val="20"/>
      <w:lang w:val="en-GB"/>
    </w:rPr>
  </w:style>
  <w:style w:type="table" w:styleId="GridTable5Dark-Accent4">
    <w:name w:val="Grid Table 5 Dark Accent 4"/>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
    <w:name w:val="Grid Table 5 Dark"/>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FB1A16"/>
    <w:pPr>
      <w:ind w:left="720"/>
      <w:contextualSpacing/>
    </w:pPr>
  </w:style>
  <w:style w:type="table" w:styleId="GridTable4">
    <w:name w:val="Grid Table 4"/>
    <w:basedOn w:val="TableNormal"/>
    <w:uiPriority w:val="49"/>
    <w:rsid w:val="00FB1A1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globaldata.com/company-profile/greggs-plc/competitors/" TargetMode="External"/><Relationship Id="rId26" Type="http://schemas.openxmlformats.org/officeDocument/2006/relationships/hyperlink" Target="https://www.greggs.com/" TargetMode="External"/><Relationship Id="rId39" Type="http://schemas.openxmlformats.org/officeDocument/2006/relationships/hyperlink" Target="https://www.academia.edu/download/129128963/1264.pdf" TargetMode="External"/><Relationship Id="rId21" Type="http://schemas.openxmlformats.org/officeDocument/2006/relationships/hyperlink" Target="https://corporate.greggs.co.uk/news/celebrating-the-progress-made-against-our-greggs-pledge-targets-and-setting-new-commitments-to-2030" TargetMode="External"/><Relationship Id="rId34" Type="http://schemas.openxmlformats.org/officeDocument/2006/relationships/hyperlink" Target="https://www.mdpi.com/2304-8158/11/21/3424" TargetMode="External"/><Relationship Id="rId42" Type="http://schemas.openxmlformats.org/officeDocument/2006/relationships/hyperlink" Target="https://online.hbs.edu/blog/post/what-is-value-chain-analysis" TargetMode="External"/><Relationship Id="rId47" Type="http://schemas.openxmlformats.org/officeDocument/2006/relationships/hyperlink" Target="https://ibfanitalia.org/wp-content/uploads/2025/06/bmj24wilkinsonFoodindustryUKchildeducationStealthmarketing.pdf" TargetMode="External"/><Relationship Id="rId50" Type="http://schemas.openxmlformats.org/officeDocument/2006/relationships/image" Target="media/image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constor.eu/bitstream/10419/317609/1/1832940977.pdf" TargetMode="External"/><Relationship Id="rId29" Type="http://schemas.openxmlformats.org/officeDocument/2006/relationships/hyperlink" Target="https://www.mdpi.com/2227-9717/11/7/1993" TargetMode="External"/><Relationship Id="rId11" Type="http://schemas.openxmlformats.org/officeDocument/2006/relationships/image" Target="media/image4.png"/><Relationship Id="rId24" Type="http://schemas.openxmlformats.org/officeDocument/2006/relationships/hyperlink" Target="https://www.annualreports.com/Company/greggs-plc" TargetMode="External"/><Relationship Id="rId32" Type="http://schemas.openxmlformats.org/officeDocument/2006/relationships/hyperlink" Target="https://www.mdpi.com/2673-8392/5/1/39" TargetMode="External"/><Relationship Id="rId37" Type="http://schemas.openxmlformats.org/officeDocument/2006/relationships/hyperlink" Target="https://www.frontiersin.org/journals/big-data/articles/10.3389/fdata.2022.821103/pdf" TargetMode="External"/><Relationship Id="rId40" Type="http://schemas.openxmlformats.org/officeDocument/2006/relationships/hyperlink" Target="https://ojs.unikom.ac.id/index.php/injetech/article/download/4819/2314" TargetMode="External"/><Relationship Id="rId45" Type="http://schemas.openxmlformats.org/officeDocument/2006/relationships/hyperlink" Target="https://www.gov.uk/guidance/placing-energy-related-products-on-the-uk-market"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grandviewresearch.com/horizon/outlook/bakery-product-market/uk" TargetMode="External"/><Relationship Id="rId31" Type="http://schemas.openxmlformats.org/officeDocument/2006/relationships/hyperlink" Target="https://www.londonstockexchange.com/news-article/GRG/greggs-publishes-sustainability-report-for-2025/17542764" TargetMode="External"/><Relationship Id="rId44" Type="http://schemas.openxmlformats.org/officeDocument/2006/relationships/hyperlink" Target="https://www.gov.uk/government/publications/a-uk-government-food-strategy-for-england"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corporate.greggs.co.uk/about-us" TargetMode="External"/><Relationship Id="rId27" Type="http://schemas.openxmlformats.org/officeDocument/2006/relationships/hyperlink" Target="https://onlinelibrary.wiley.com/doi/pdf/10.1111/spol.13066" TargetMode="External"/><Relationship Id="rId30" Type="http://schemas.openxmlformats.org/officeDocument/2006/relationships/hyperlink" Target="https://link.springer.com/content/pdf/10.1007/978-3-031-25984-5_1129.pdf" TargetMode="External"/><Relationship Id="rId35" Type="http://schemas.openxmlformats.org/officeDocument/2006/relationships/hyperlink" Target="https://www.mdpi.com/2071-1050/16/5/1785" TargetMode="External"/><Relationship Id="rId43" Type="http://schemas.openxmlformats.org/officeDocument/2006/relationships/hyperlink" Target="https://sustainabilityonline.net/news/greggs-makes-progress-on-food-waste-and-emissions-reduction/" TargetMode="External"/><Relationship Id="rId48" Type="http://schemas.openxmlformats.org/officeDocument/2006/relationships/hyperlink" Target="https://repository.lboro.ac.uk/articles/conference_contribution/Identifying_opportunities_to_increase_food-to-go_packaging_lifetimes_based_on_the_current_conceptualisation_of_food-to-go/24119265/1/files/42313938.pdf"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content/pdf/10.1007/s40926-020-00158-6.pdf" TargetMode="External"/><Relationship Id="rId25" Type="http://schemas.openxmlformats.org/officeDocument/2006/relationships/hyperlink" Target="https://corporate.greggs.co.uk/" TargetMode="External"/><Relationship Id="rId33" Type="http://schemas.openxmlformats.org/officeDocument/2006/relationships/hyperlink" Target="https://neighbourhoodretailer.com/positive-food-to-go-market-growth-predicted-but-is-driven-by-inflation-in-short-term/" TargetMode="External"/><Relationship Id="rId38" Type="http://schemas.openxmlformats.org/officeDocument/2006/relationships/hyperlink" Target="https://eprints.soton.ac.uk/453135/1/Thesis_Final_Structure_V44_03.03.21.docx" TargetMode="External"/><Relationship Id="rId46" Type="http://schemas.openxmlformats.org/officeDocument/2006/relationships/hyperlink" Target="https://www.gov.uk/understanding-food-labelling/allergen-labelling" TargetMode="External"/><Relationship Id="rId20" Type="http://schemas.openxmlformats.org/officeDocument/2006/relationships/hyperlink" Target="https://corporate.greggs.co.uk/doing-good/stronger-healthier-communities?utm_source=chatgpt.com" TargetMode="External"/><Relationship Id="rId41" Type="http://schemas.openxmlformats.org/officeDocument/2006/relationships/hyperlink" Target="https://search.proquest.com/openview/0ead45ad106dccdea7c97537b2eaa686/1?pq-origsite=gscholar&amp;cbl=2026366&amp;diss=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23" Type="http://schemas.openxmlformats.org/officeDocument/2006/relationships/hyperlink" Target="https://assets.greggs.com/f/162306/x/b1b0408bb2/greggs-ar25-interactive.pdf" TargetMode="External"/><Relationship Id="rId28" Type="http://schemas.openxmlformats.org/officeDocument/2006/relationships/hyperlink" Target="https://papers.ssrn.com/sol3/Delivery.cfm?abstractid=3912321" TargetMode="External"/><Relationship Id="rId36" Type="http://schemas.openxmlformats.org/officeDocument/2006/relationships/hyperlink" Target="https://www.ons.gov.uk/economy/inflationandpriceindices/bulletins/consumerpriceinflation/latest?utm_source=chatgpt.com" TargetMode="External"/><Relationship Id="rId49"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5D542-14FC-4D88-8FD8-2CFB810BE8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7434</Words>
  <Characters>42375</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Shubham Rakeshkumar Patel (2531460)</cp:lastModifiedBy>
  <cp:revision>4</cp:revision>
  <dcterms:created xsi:type="dcterms:W3CDTF">2026-08-10T09:32:00Z</dcterms:created>
  <dcterms:modified xsi:type="dcterms:W3CDTF">2026-08-10T09:33:00Z</dcterms:modified>
</cp:coreProperties>
</file>