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45A73" w14:textId="6F015ACD" w:rsidR="00877D2A" w:rsidRPr="00F70CB0" w:rsidRDefault="00725985" w:rsidP="001A5B88">
      <w:pPr>
        <w:spacing w:before="0" w:after="160" w:line="360" w:lineRule="auto"/>
        <w:jc w:val="center"/>
        <w:rPr>
          <w:b/>
          <w:bCs/>
          <w:sz w:val="24"/>
          <w:szCs w:val="24"/>
          <w:lang w:val="en-GB" w:eastAsia="en-GB"/>
        </w:rPr>
      </w:pPr>
      <w:r w:rsidRPr="00F70CB0">
        <w:rPr>
          <w:noProof/>
        </w:rPr>
        <w:drawing>
          <wp:inline distT="0" distB="0" distL="0" distR="0" wp14:anchorId="3B5D34CF" wp14:editId="01BFBDA6">
            <wp:extent cx="4019550" cy="1790700"/>
            <wp:effectExtent l="0" t="0" r="0" b="0"/>
            <wp:docPr id="142490104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19550" cy="1790700"/>
                    </a:xfrm>
                    <a:prstGeom prst="rect">
                      <a:avLst/>
                    </a:prstGeom>
                    <a:noFill/>
                    <a:ln>
                      <a:noFill/>
                    </a:ln>
                  </pic:spPr>
                </pic:pic>
              </a:graphicData>
            </a:graphic>
          </wp:inline>
        </w:drawing>
      </w:r>
    </w:p>
    <w:p w14:paraId="1D2EC752" w14:textId="4D5F0EDD" w:rsidR="00877D2A" w:rsidRPr="00F70CB0" w:rsidRDefault="00877D2A" w:rsidP="00725985">
      <w:pPr>
        <w:spacing w:before="0" w:after="160" w:line="360" w:lineRule="auto"/>
        <w:jc w:val="center"/>
        <w:rPr>
          <w:b/>
          <w:bCs/>
          <w:sz w:val="24"/>
          <w:szCs w:val="24"/>
          <w:lang w:val="en-GB" w:eastAsia="en-GB"/>
        </w:rPr>
      </w:pPr>
    </w:p>
    <w:p w14:paraId="3972B9F1" w14:textId="027E90FA" w:rsidR="00732B0B" w:rsidRPr="00F70CB0" w:rsidRDefault="00732B0B" w:rsidP="00725985">
      <w:pPr>
        <w:spacing w:before="0" w:after="160" w:line="276" w:lineRule="auto"/>
        <w:jc w:val="center"/>
        <w:rPr>
          <w:b/>
          <w:bCs/>
          <w:sz w:val="32"/>
          <w:szCs w:val="32"/>
          <w:lang w:eastAsia="en-GB"/>
        </w:rPr>
      </w:pPr>
      <w:r w:rsidRPr="00F70CB0">
        <w:rPr>
          <w:b/>
          <w:bCs/>
          <w:sz w:val="32"/>
          <w:szCs w:val="32"/>
          <w:lang w:eastAsia="en-GB"/>
        </w:rPr>
        <w:t>Critical Literature Review for Doctoral Research</w:t>
      </w:r>
    </w:p>
    <w:p w14:paraId="46A78E48" w14:textId="2E53AE2D" w:rsidR="00732B0B" w:rsidRPr="00F70CB0" w:rsidRDefault="00732B0B" w:rsidP="00725985">
      <w:pPr>
        <w:spacing w:before="0" w:after="160" w:line="276" w:lineRule="auto"/>
        <w:jc w:val="center"/>
        <w:rPr>
          <w:b/>
          <w:bCs/>
          <w:sz w:val="32"/>
          <w:szCs w:val="32"/>
          <w:lang w:eastAsia="en-GB"/>
        </w:rPr>
      </w:pPr>
      <w:r w:rsidRPr="00F70CB0">
        <w:rPr>
          <w:b/>
          <w:bCs/>
          <w:sz w:val="32"/>
          <w:szCs w:val="32"/>
          <w:lang w:eastAsia="en-GB"/>
        </w:rPr>
        <w:t>(LCDB7009)</w:t>
      </w:r>
    </w:p>
    <w:p w14:paraId="3E127B37" w14:textId="70A33373" w:rsidR="00877D2A" w:rsidRPr="00F70CB0" w:rsidRDefault="00503486" w:rsidP="00C31FDA">
      <w:pPr>
        <w:jc w:val="center"/>
        <w:rPr>
          <w:b/>
          <w:bCs/>
          <w:sz w:val="32"/>
          <w:szCs w:val="32"/>
        </w:rPr>
      </w:pPr>
      <w:r w:rsidRPr="00F70CB0">
        <w:rPr>
          <w:b/>
          <w:bCs/>
          <w:sz w:val="32"/>
          <w:szCs w:val="32"/>
        </w:rPr>
        <w:t>“</w:t>
      </w:r>
      <w:r w:rsidR="00C31FDA" w:rsidRPr="00F70CB0">
        <w:rPr>
          <w:b/>
          <w:bCs/>
          <w:sz w:val="32"/>
          <w:szCs w:val="32"/>
        </w:rPr>
        <w:t>A Critical Literature Review of the Factors Influencing Customer Preference and Continued Usage of Digital Banking Services in the UK’’</w:t>
      </w:r>
    </w:p>
    <w:p w14:paraId="578CB1EC" w14:textId="77777777" w:rsidR="00C31FDA" w:rsidRPr="00F70CB0" w:rsidRDefault="00C31FDA" w:rsidP="00C31FDA">
      <w:pPr>
        <w:jc w:val="center"/>
        <w:rPr>
          <w:b/>
          <w:bCs/>
          <w:sz w:val="32"/>
          <w:szCs w:val="32"/>
          <w:lang w:val="en-GB" w:eastAsia="en-GB"/>
        </w:rPr>
      </w:pPr>
    </w:p>
    <w:p w14:paraId="660DBEA6" w14:textId="77777777" w:rsidR="00877D2A" w:rsidRPr="00F70CB0" w:rsidRDefault="00877D2A" w:rsidP="00725985">
      <w:pPr>
        <w:spacing w:before="0" w:after="160" w:line="276" w:lineRule="auto"/>
        <w:jc w:val="center"/>
        <w:rPr>
          <w:b/>
          <w:bCs/>
          <w:sz w:val="32"/>
          <w:szCs w:val="32"/>
          <w:lang w:val="en-GB" w:eastAsia="en-GB"/>
        </w:rPr>
      </w:pPr>
      <w:r w:rsidRPr="00F70CB0">
        <w:rPr>
          <w:b/>
          <w:bCs/>
          <w:sz w:val="32"/>
          <w:szCs w:val="32"/>
          <w:lang w:val="en-GB" w:eastAsia="en-GB"/>
        </w:rPr>
        <w:t>DBA Level 7</w:t>
      </w:r>
    </w:p>
    <w:p w14:paraId="3857E60F" w14:textId="77777777" w:rsidR="00877D2A" w:rsidRPr="00F70CB0" w:rsidRDefault="00877D2A" w:rsidP="00725985">
      <w:pPr>
        <w:spacing w:before="0" w:after="160" w:line="360" w:lineRule="auto"/>
        <w:jc w:val="center"/>
        <w:rPr>
          <w:b/>
          <w:bCs/>
          <w:sz w:val="24"/>
          <w:szCs w:val="24"/>
          <w:lang w:val="en-GB" w:eastAsia="en-GB"/>
        </w:rPr>
      </w:pPr>
      <w:r w:rsidRPr="00F70CB0">
        <w:rPr>
          <w:b/>
          <w:bCs/>
          <w:sz w:val="24"/>
          <w:szCs w:val="24"/>
          <w:lang w:val="en-GB" w:eastAsia="en-GB"/>
        </w:rPr>
        <w:t xml:space="preserve">Student Name: Ayushi </w:t>
      </w:r>
      <w:proofErr w:type="spellStart"/>
      <w:r w:rsidRPr="00F70CB0">
        <w:rPr>
          <w:b/>
          <w:bCs/>
          <w:sz w:val="24"/>
          <w:szCs w:val="24"/>
          <w:lang w:val="en-GB" w:eastAsia="en-GB"/>
        </w:rPr>
        <w:t>Kapatel</w:t>
      </w:r>
      <w:proofErr w:type="spellEnd"/>
    </w:p>
    <w:p w14:paraId="1F219BAD" w14:textId="4E9AF575" w:rsidR="00877D2A" w:rsidRPr="00F70CB0" w:rsidRDefault="00877D2A" w:rsidP="00725985">
      <w:pPr>
        <w:spacing w:before="0" w:after="160" w:line="360" w:lineRule="auto"/>
        <w:jc w:val="center"/>
        <w:rPr>
          <w:b/>
          <w:bCs/>
          <w:sz w:val="24"/>
          <w:szCs w:val="24"/>
          <w:lang w:val="en-GB" w:eastAsia="en-GB"/>
        </w:rPr>
      </w:pPr>
      <w:r w:rsidRPr="00F70CB0">
        <w:rPr>
          <w:b/>
          <w:bCs/>
          <w:sz w:val="24"/>
          <w:szCs w:val="24"/>
          <w:lang w:val="en-GB" w:eastAsia="en-GB"/>
        </w:rPr>
        <w:t xml:space="preserve">Student </w:t>
      </w:r>
      <w:r w:rsidR="00E65777" w:rsidRPr="00F70CB0">
        <w:rPr>
          <w:b/>
          <w:bCs/>
          <w:sz w:val="24"/>
          <w:szCs w:val="24"/>
          <w:lang w:val="en-GB" w:eastAsia="en-GB"/>
        </w:rPr>
        <w:t>ID</w:t>
      </w:r>
      <w:r w:rsidRPr="00F70CB0">
        <w:rPr>
          <w:b/>
          <w:bCs/>
          <w:sz w:val="24"/>
          <w:szCs w:val="24"/>
          <w:lang w:val="en-GB" w:eastAsia="en-GB"/>
        </w:rPr>
        <w:t>: 2434235</w:t>
      </w:r>
    </w:p>
    <w:p w14:paraId="675E0799" w14:textId="77777777" w:rsidR="00877D2A" w:rsidRPr="00F70CB0" w:rsidRDefault="00877D2A" w:rsidP="00725985">
      <w:pPr>
        <w:spacing w:before="0" w:after="160" w:line="360" w:lineRule="auto"/>
        <w:jc w:val="center"/>
        <w:rPr>
          <w:b/>
          <w:bCs/>
          <w:sz w:val="24"/>
          <w:szCs w:val="24"/>
          <w:lang w:val="en-GB" w:eastAsia="en-GB"/>
        </w:rPr>
      </w:pPr>
      <w:r w:rsidRPr="00F70CB0">
        <w:rPr>
          <w:b/>
          <w:bCs/>
          <w:sz w:val="24"/>
          <w:szCs w:val="24"/>
          <w:lang w:eastAsia="en-GB"/>
        </w:rPr>
        <w:t xml:space="preserve">Prof. </w:t>
      </w:r>
      <w:proofErr w:type="spellStart"/>
      <w:r w:rsidRPr="00F70CB0">
        <w:rPr>
          <w:b/>
          <w:bCs/>
          <w:sz w:val="24"/>
          <w:szCs w:val="24"/>
          <w:lang w:eastAsia="en-GB"/>
        </w:rPr>
        <w:t>Ebad</w:t>
      </w:r>
      <w:proofErr w:type="spellEnd"/>
      <w:r w:rsidRPr="00F70CB0">
        <w:rPr>
          <w:b/>
          <w:bCs/>
          <w:sz w:val="24"/>
          <w:szCs w:val="24"/>
          <w:lang w:eastAsia="en-GB"/>
        </w:rPr>
        <w:t xml:space="preserve"> </w:t>
      </w:r>
      <w:proofErr w:type="spellStart"/>
      <w:r w:rsidRPr="00F70CB0">
        <w:rPr>
          <w:b/>
          <w:bCs/>
          <w:sz w:val="24"/>
          <w:szCs w:val="24"/>
          <w:lang w:eastAsia="en-GB"/>
        </w:rPr>
        <w:t>Banissi</w:t>
      </w:r>
      <w:proofErr w:type="spellEnd"/>
    </w:p>
    <w:p w14:paraId="1D566AED" w14:textId="24B75AD5" w:rsidR="00877D2A" w:rsidRPr="00F70CB0" w:rsidRDefault="00877D2A" w:rsidP="009A48AE">
      <w:pPr>
        <w:spacing w:before="0" w:after="160" w:line="360" w:lineRule="auto"/>
        <w:jc w:val="both"/>
        <w:rPr>
          <w:sz w:val="24"/>
          <w:szCs w:val="24"/>
        </w:rPr>
      </w:pPr>
      <w:r w:rsidRPr="00F70CB0">
        <w:rPr>
          <w:sz w:val="24"/>
          <w:szCs w:val="24"/>
        </w:rPr>
        <w:br w:type="page"/>
      </w:r>
    </w:p>
    <w:p w14:paraId="20A0E630" w14:textId="19D66833" w:rsidR="00483BD7" w:rsidRPr="00F70CB0" w:rsidRDefault="00483BD7">
      <w:pPr>
        <w:pStyle w:val="TOCHeading"/>
        <w:rPr>
          <w:rFonts w:ascii="Times New Roman" w:hAnsi="Times New Roman" w:cs="Times New Roman"/>
        </w:rPr>
      </w:pPr>
    </w:p>
    <w:sdt>
      <w:sdtPr>
        <w:rPr>
          <w:rFonts w:ascii="Times New Roman" w:eastAsia="Times New Roman" w:hAnsi="Times New Roman" w:cs="Times New Roman"/>
          <w:color w:val="auto"/>
          <w:sz w:val="24"/>
          <w:szCs w:val="24"/>
          <w:lang w:val="en-AU" w:eastAsia="en-AU"/>
        </w:rPr>
        <w:id w:val="95836949"/>
        <w:docPartObj>
          <w:docPartGallery w:val="Table of Contents"/>
          <w:docPartUnique/>
        </w:docPartObj>
      </w:sdtPr>
      <w:sdtEndPr>
        <w:rPr>
          <w:b/>
          <w:bCs/>
        </w:rPr>
      </w:sdtEndPr>
      <w:sdtContent>
        <w:p w14:paraId="6B0BE6BF" w14:textId="77BF598B" w:rsidR="004F7E38" w:rsidRPr="00FF2CDF" w:rsidRDefault="004F7E38">
          <w:pPr>
            <w:pStyle w:val="TOCHeading"/>
            <w:rPr>
              <w:rFonts w:ascii="Times New Roman" w:hAnsi="Times New Roman" w:cs="Times New Roman"/>
              <w:sz w:val="24"/>
              <w:szCs w:val="24"/>
            </w:rPr>
          </w:pPr>
          <w:r w:rsidRPr="00FF2CDF">
            <w:rPr>
              <w:rFonts w:ascii="Times New Roman" w:hAnsi="Times New Roman" w:cs="Times New Roman"/>
              <w:sz w:val="24"/>
              <w:szCs w:val="24"/>
            </w:rPr>
            <w:t>Table of Contents</w:t>
          </w:r>
        </w:p>
        <w:p w14:paraId="14839041" w14:textId="7573A835" w:rsidR="00FF2CDF" w:rsidRPr="00FF2CDF" w:rsidRDefault="004F7E38">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r w:rsidRPr="00FF2CDF">
            <w:rPr>
              <w:sz w:val="24"/>
              <w:szCs w:val="24"/>
            </w:rPr>
            <w:fldChar w:fldCharType="begin"/>
          </w:r>
          <w:r w:rsidRPr="00FF2CDF">
            <w:rPr>
              <w:sz w:val="24"/>
              <w:szCs w:val="24"/>
            </w:rPr>
            <w:instrText xml:space="preserve"> TOC \o "1-3" \h \z \u </w:instrText>
          </w:r>
          <w:r w:rsidRPr="00FF2CDF">
            <w:rPr>
              <w:sz w:val="24"/>
              <w:szCs w:val="24"/>
            </w:rPr>
            <w:fldChar w:fldCharType="separate"/>
          </w:r>
          <w:hyperlink w:anchor="_Toc227353468" w:history="1">
            <w:r w:rsidR="00FF2CDF" w:rsidRPr="00FF2CDF">
              <w:rPr>
                <w:rStyle w:val="Hyperlink"/>
                <w:noProof/>
                <w:sz w:val="24"/>
                <w:szCs w:val="24"/>
              </w:rPr>
              <w:t>Part 1</w:t>
            </w:r>
            <w:r w:rsidR="00FF2CDF" w:rsidRPr="00FF2CDF">
              <w:rPr>
                <w:noProof/>
                <w:webHidden/>
                <w:sz w:val="24"/>
                <w:szCs w:val="24"/>
              </w:rPr>
              <w:tab/>
            </w:r>
            <w:r w:rsidR="00FF2CDF" w:rsidRPr="00FF2CDF">
              <w:rPr>
                <w:noProof/>
                <w:webHidden/>
                <w:sz w:val="24"/>
                <w:szCs w:val="24"/>
              </w:rPr>
              <w:fldChar w:fldCharType="begin"/>
            </w:r>
            <w:r w:rsidR="00FF2CDF" w:rsidRPr="00FF2CDF">
              <w:rPr>
                <w:noProof/>
                <w:webHidden/>
                <w:sz w:val="24"/>
                <w:szCs w:val="24"/>
              </w:rPr>
              <w:instrText xml:space="preserve"> PAGEREF _Toc227353468 \h </w:instrText>
            </w:r>
            <w:r w:rsidR="00FF2CDF" w:rsidRPr="00FF2CDF">
              <w:rPr>
                <w:noProof/>
                <w:webHidden/>
                <w:sz w:val="24"/>
                <w:szCs w:val="24"/>
              </w:rPr>
            </w:r>
            <w:r w:rsidR="00FF2CDF" w:rsidRPr="00FF2CDF">
              <w:rPr>
                <w:noProof/>
                <w:webHidden/>
                <w:sz w:val="24"/>
                <w:szCs w:val="24"/>
              </w:rPr>
              <w:fldChar w:fldCharType="separate"/>
            </w:r>
            <w:r w:rsidR="00FF2CDF" w:rsidRPr="00FF2CDF">
              <w:rPr>
                <w:noProof/>
                <w:webHidden/>
                <w:sz w:val="24"/>
                <w:szCs w:val="24"/>
              </w:rPr>
              <w:t>4</w:t>
            </w:r>
            <w:r w:rsidR="00FF2CDF" w:rsidRPr="00FF2CDF">
              <w:rPr>
                <w:noProof/>
                <w:webHidden/>
                <w:sz w:val="24"/>
                <w:szCs w:val="24"/>
              </w:rPr>
              <w:fldChar w:fldCharType="end"/>
            </w:r>
          </w:hyperlink>
        </w:p>
        <w:p w14:paraId="1641BC5F" w14:textId="7D882F94" w:rsidR="00FF2CDF" w:rsidRPr="00FF2CDF" w:rsidRDefault="00FF2CDF">
          <w:pPr>
            <w:pStyle w:val="TOC1"/>
            <w:tabs>
              <w:tab w:val="left" w:pos="72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69" w:history="1">
            <w:r w:rsidRPr="00FF2CDF">
              <w:rPr>
                <w:rStyle w:val="Hyperlink"/>
                <w:noProof/>
                <w:sz w:val="24"/>
                <w:szCs w:val="24"/>
              </w:rPr>
              <w:t>1.1</w:t>
            </w:r>
            <w:r w:rsidRPr="00FF2CDF">
              <w:rPr>
                <w:rFonts w:asciiTheme="minorHAnsi" w:eastAsiaTheme="minorEastAsia" w:hAnsiTheme="minorHAnsi" w:cstheme="minorBidi"/>
                <w:noProof/>
                <w:kern w:val="2"/>
                <w:sz w:val="24"/>
                <w:szCs w:val="24"/>
                <w:lang w:val="en-GB" w:eastAsia="en-GB"/>
                <w14:ligatures w14:val="standardContextual"/>
              </w:rPr>
              <w:tab/>
            </w:r>
            <w:r w:rsidRPr="00FF2CDF">
              <w:rPr>
                <w:rStyle w:val="Hyperlink"/>
                <w:noProof/>
                <w:sz w:val="24"/>
                <w:szCs w:val="24"/>
              </w:rPr>
              <w:t>Introduction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_Toc227353469 \h </w:instrText>
            </w:r>
            <w:r w:rsidRPr="00FF2CDF">
              <w:rPr>
                <w:noProof/>
                <w:webHidden/>
                <w:sz w:val="24"/>
                <w:szCs w:val="24"/>
              </w:rPr>
            </w:r>
            <w:r w:rsidRPr="00FF2CDF">
              <w:rPr>
                <w:noProof/>
                <w:webHidden/>
                <w:sz w:val="24"/>
                <w:szCs w:val="24"/>
              </w:rPr>
              <w:fldChar w:fldCharType="separate"/>
            </w:r>
            <w:r w:rsidRPr="00FF2CDF">
              <w:rPr>
                <w:noProof/>
                <w:webHidden/>
                <w:sz w:val="24"/>
                <w:szCs w:val="24"/>
              </w:rPr>
              <w:t>4</w:t>
            </w:r>
            <w:r w:rsidRPr="00FF2CDF">
              <w:rPr>
                <w:noProof/>
                <w:webHidden/>
                <w:sz w:val="24"/>
                <w:szCs w:val="24"/>
              </w:rPr>
              <w:fldChar w:fldCharType="end"/>
            </w:r>
          </w:hyperlink>
        </w:p>
        <w:p w14:paraId="72E4492C" w14:textId="5B6F7A07"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0" w:history="1">
            <w:r w:rsidRPr="00FF2CDF">
              <w:rPr>
                <w:rStyle w:val="Hyperlink"/>
                <w:noProof/>
                <w:sz w:val="24"/>
                <w:szCs w:val="24"/>
              </w:rPr>
              <w:t>1.2 Types of Literature Review</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_Toc227353470 \h </w:instrText>
            </w:r>
            <w:r w:rsidRPr="00FF2CDF">
              <w:rPr>
                <w:noProof/>
                <w:webHidden/>
                <w:sz w:val="24"/>
                <w:szCs w:val="24"/>
              </w:rPr>
            </w:r>
            <w:r w:rsidRPr="00FF2CDF">
              <w:rPr>
                <w:noProof/>
                <w:webHidden/>
                <w:sz w:val="24"/>
                <w:szCs w:val="24"/>
              </w:rPr>
              <w:fldChar w:fldCharType="separate"/>
            </w:r>
            <w:r w:rsidRPr="00FF2CDF">
              <w:rPr>
                <w:noProof/>
                <w:webHidden/>
                <w:sz w:val="24"/>
                <w:szCs w:val="24"/>
              </w:rPr>
              <w:t>4</w:t>
            </w:r>
            <w:r w:rsidRPr="00FF2CDF">
              <w:rPr>
                <w:noProof/>
                <w:webHidden/>
                <w:sz w:val="24"/>
                <w:szCs w:val="24"/>
              </w:rPr>
              <w:fldChar w:fldCharType="end"/>
            </w:r>
          </w:hyperlink>
        </w:p>
        <w:p w14:paraId="3AD813D2" w14:textId="20BBED0C"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1" w:history="1">
            <w:r w:rsidRPr="00FF2CDF">
              <w:rPr>
                <w:rStyle w:val="Hyperlink"/>
                <w:noProof/>
                <w:sz w:val="24"/>
                <w:szCs w:val="24"/>
              </w:rPr>
              <w:t>1.2.1. Narrative Review</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_Toc227353471 \h </w:instrText>
            </w:r>
            <w:r w:rsidRPr="00FF2CDF">
              <w:rPr>
                <w:noProof/>
                <w:webHidden/>
                <w:sz w:val="24"/>
                <w:szCs w:val="24"/>
              </w:rPr>
            </w:r>
            <w:r w:rsidRPr="00FF2CDF">
              <w:rPr>
                <w:noProof/>
                <w:webHidden/>
                <w:sz w:val="24"/>
                <w:szCs w:val="24"/>
              </w:rPr>
              <w:fldChar w:fldCharType="separate"/>
            </w:r>
            <w:r w:rsidRPr="00FF2CDF">
              <w:rPr>
                <w:noProof/>
                <w:webHidden/>
                <w:sz w:val="24"/>
                <w:szCs w:val="24"/>
              </w:rPr>
              <w:t>5</w:t>
            </w:r>
            <w:r w:rsidRPr="00FF2CDF">
              <w:rPr>
                <w:noProof/>
                <w:webHidden/>
                <w:sz w:val="24"/>
                <w:szCs w:val="24"/>
              </w:rPr>
              <w:fldChar w:fldCharType="end"/>
            </w:r>
          </w:hyperlink>
        </w:p>
        <w:p w14:paraId="0E7D3C6E" w14:textId="5C410ADC"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2" w:history="1">
            <w:r w:rsidRPr="00FF2CDF">
              <w:rPr>
                <w:rStyle w:val="Hyperlink"/>
                <w:noProof/>
                <w:sz w:val="24"/>
                <w:szCs w:val="24"/>
              </w:rPr>
              <w:t>1.2.2. Systematic Review</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_Toc227353472 \h </w:instrText>
            </w:r>
            <w:r w:rsidRPr="00FF2CDF">
              <w:rPr>
                <w:noProof/>
                <w:webHidden/>
                <w:sz w:val="24"/>
                <w:szCs w:val="24"/>
              </w:rPr>
            </w:r>
            <w:r w:rsidRPr="00FF2CDF">
              <w:rPr>
                <w:noProof/>
                <w:webHidden/>
                <w:sz w:val="24"/>
                <w:szCs w:val="24"/>
              </w:rPr>
              <w:fldChar w:fldCharType="separate"/>
            </w:r>
            <w:r w:rsidRPr="00FF2CDF">
              <w:rPr>
                <w:noProof/>
                <w:webHidden/>
                <w:sz w:val="24"/>
                <w:szCs w:val="24"/>
              </w:rPr>
              <w:t>5</w:t>
            </w:r>
            <w:r w:rsidRPr="00FF2CDF">
              <w:rPr>
                <w:noProof/>
                <w:webHidden/>
                <w:sz w:val="24"/>
                <w:szCs w:val="24"/>
              </w:rPr>
              <w:fldChar w:fldCharType="end"/>
            </w:r>
          </w:hyperlink>
        </w:p>
        <w:p w14:paraId="7583F2F8" w14:textId="32A681BC"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3" w:history="1">
            <w:r w:rsidRPr="00FF2CDF">
              <w:rPr>
                <w:rStyle w:val="Hyperlink"/>
                <w:noProof/>
                <w:sz w:val="24"/>
                <w:szCs w:val="24"/>
              </w:rPr>
              <w:t>1.2.3. Scoping Review</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_Toc227353473 \h </w:instrText>
            </w:r>
            <w:r w:rsidRPr="00FF2CDF">
              <w:rPr>
                <w:noProof/>
                <w:webHidden/>
                <w:sz w:val="24"/>
                <w:szCs w:val="24"/>
              </w:rPr>
            </w:r>
            <w:r w:rsidRPr="00FF2CDF">
              <w:rPr>
                <w:noProof/>
                <w:webHidden/>
                <w:sz w:val="24"/>
                <w:szCs w:val="24"/>
              </w:rPr>
              <w:fldChar w:fldCharType="separate"/>
            </w:r>
            <w:r w:rsidRPr="00FF2CDF">
              <w:rPr>
                <w:noProof/>
                <w:webHidden/>
                <w:sz w:val="24"/>
                <w:szCs w:val="24"/>
              </w:rPr>
              <w:t>5</w:t>
            </w:r>
            <w:r w:rsidRPr="00FF2CDF">
              <w:rPr>
                <w:noProof/>
                <w:webHidden/>
                <w:sz w:val="24"/>
                <w:szCs w:val="24"/>
              </w:rPr>
              <w:fldChar w:fldCharType="end"/>
            </w:r>
          </w:hyperlink>
        </w:p>
        <w:p w14:paraId="620CF7F9" w14:textId="00290F27"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4" w:history="1">
            <w:r w:rsidRPr="00FF2CDF">
              <w:rPr>
                <w:rStyle w:val="Hyperlink"/>
                <w:noProof/>
                <w:sz w:val="24"/>
                <w:szCs w:val="24"/>
              </w:rPr>
              <w:t>1.2.4. Comparative Evaluation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_Toc227353474 \h </w:instrText>
            </w:r>
            <w:r w:rsidRPr="00FF2CDF">
              <w:rPr>
                <w:noProof/>
                <w:webHidden/>
                <w:sz w:val="24"/>
                <w:szCs w:val="24"/>
              </w:rPr>
            </w:r>
            <w:r w:rsidRPr="00FF2CDF">
              <w:rPr>
                <w:noProof/>
                <w:webHidden/>
                <w:sz w:val="24"/>
                <w:szCs w:val="24"/>
              </w:rPr>
              <w:fldChar w:fldCharType="separate"/>
            </w:r>
            <w:r w:rsidRPr="00FF2CDF">
              <w:rPr>
                <w:noProof/>
                <w:webHidden/>
                <w:sz w:val="24"/>
                <w:szCs w:val="24"/>
              </w:rPr>
              <w:t>5</w:t>
            </w:r>
            <w:r w:rsidRPr="00FF2CDF">
              <w:rPr>
                <w:noProof/>
                <w:webHidden/>
                <w:sz w:val="24"/>
                <w:szCs w:val="24"/>
              </w:rPr>
              <w:fldChar w:fldCharType="end"/>
            </w:r>
          </w:hyperlink>
        </w:p>
        <w:p w14:paraId="2691EA3E" w14:textId="4F92371E"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5" w:history="1">
            <w:r w:rsidRPr="00FF2CDF">
              <w:rPr>
                <w:rStyle w:val="Hyperlink"/>
                <w:noProof/>
                <w:sz w:val="24"/>
                <w:szCs w:val="24"/>
              </w:rPr>
              <w:t>1.3 Role of CLR in Doctoral Research</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_Toc227353475 \h </w:instrText>
            </w:r>
            <w:r w:rsidRPr="00FF2CDF">
              <w:rPr>
                <w:noProof/>
                <w:webHidden/>
                <w:sz w:val="24"/>
                <w:szCs w:val="24"/>
              </w:rPr>
            </w:r>
            <w:r w:rsidRPr="00FF2CDF">
              <w:rPr>
                <w:noProof/>
                <w:webHidden/>
                <w:sz w:val="24"/>
                <w:szCs w:val="24"/>
              </w:rPr>
              <w:fldChar w:fldCharType="separate"/>
            </w:r>
            <w:r w:rsidRPr="00FF2CDF">
              <w:rPr>
                <w:noProof/>
                <w:webHidden/>
                <w:sz w:val="24"/>
                <w:szCs w:val="24"/>
              </w:rPr>
              <w:t>5</w:t>
            </w:r>
            <w:r w:rsidRPr="00FF2CDF">
              <w:rPr>
                <w:noProof/>
                <w:webHidden/>
                <w:sz w:val="24"/>
                <w:szCs w:val="24"/>
              </w:rPr>
              <w:fldChar w:fldCharType="end"/>
            </w:r>
          </w:hyperlink>
        </w:p>
        <w:p w14:paraId="46D41DBF" w14:textId="7BE52930"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6" w:history="1">
            <w:r w:rsidRPr="00FF2CDF">
              <w:rPr>
                <w:rStyle w:val="Hyperlink"/>
                <w:noProof/>
                <w:sz w:val="24"/>
                <w:szCs w:val="24"/>
              </w:rPr>
              <w:t>1.4 Critical vs Descriptive</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_Toc227353476 \h </w:instrText>
            </w:r>
            <w:r w:rsidRPr="00FF2CDF">
              <w:rPr>
                <w:noProof/>
                <w:webHidden/>
                <w:sz w:val="24"/>
                <w:szCs w:val="24"/>
              </w:rPr>
            </w:r>
            <w:r w:rsidRPr="00FF2CDF">
              <w:rPr>
                <w:noProof/>
                <w:webHidden/>
                <w:sz w:val="24"/>
                <w:szCs w:val="24"/>
              </w:rPr>
              <w:fldChar w:fldCharType="separate"/>
            </w:r>
            <w:r w:rsidRPr="00FF2CDF">
              <w:rPr>
                <w:noProof/>
                <w:webHidden/>
                <w:sz w:val="24"/>
                <w:szCs w:val="24"/>
              </w:rPr>
              <w:t>6</w:t>
            </w:r>
            <w:r w:rsidRPr="00FF2CDF">
              <w:rPr>
                <w:noProof/>
                <w:webHidden/>
                <w:sz w:val="24"/>
                <w:szCs w:val="24"/>
              </w:rPr>
              <w:fldChar w:fldCharType="end"/>
            </w:r>
          </w:hyperlink>
        </w:p>
        <w:p w14:paraId="5285FE54" w14:textId="7BD13BE5"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7" w:history="1">
            <w:r w:rsidRPr="00FF2CDF">
              <w:rPr>
                <w:rStyle w:val="Hyperlink"/>
                <w:noProof/>
                <w:sz w:val="24"/>
                <w:szCs w:val="24"/>
              </w:rPr>
              <w:t>1.5 Role in theory-building and gap identification &amp; How CLR shapes research questions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_Toc227353477 \h </w:instrText>
            </w:r>
            <w:r w:rsidRPr="00FF2CDF">
              <w:rPr>
                <w:noProof/>
                <w:webHidden/>
                <w:sz w:val="24"/>
                <w:szCs w:val="24"/>
              </w:rPr>
            </w:r>
            <w:r w:rsidRPr="00FF2CDF">
              <w:rPr>
                <w:noProof/>
                <w:webHidden/>
                <w:sz w:val="24"/>
                <w:szCs w:val="24"/>
              </w:rPr>
              <w:fldChar w:fldCharType="separate"/>
            </w:r>
            <w:r w:rsidRPr="00FF2CDF">
              <w:rPr>
                <w:noProof/>
                <w:webHidden/>
                <w:sz w:val="24"/>
                <w:szCs w:val="24"/>
              </w:rPr>
              <w:t>6</w:t>
            </w:r>
            <w:r w:rsidRPr="00FF2CDF">
              <w:rPr>
                <w:noProof/>
                <w:webHidden/>
                <w:sz w:val="24"/>
                <w:szCs w:val="24"/>
              </w:rPr>
              <w:fldChar w:fldCharType="end"/>
            </w:r>
          </w:hyperlink>
        </w:p>
        <w:p w14:paraId="797AC377" w14:textId="33BEB02B"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8" w:history="1">
            <w:r w:rsidRPr="00FF2CDF">
              <w:rPr>
                <w:rStyle w:val="Hyperlink"/>
                <w:noProof/>
                <w:sz w:val="24"/>
                <w:szCs w:val="24"/>
              </w:rPr>
              <w:t>1.6 Conclusion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_Toc227353478 \h </w:instrText>
            </w:r>
            <w:r w:rsidRPr="00FF2CDF">
              <w:rPr>
                <w:noProof/>
                <w:webHidden/>
                <w:sz w:val="24"/>
                <w:szCs w:val="24"/>
              </w:rPr>
            </w:r>
            <w:r w:rsidRPr="00FF2CDF">
              <w:rPr>
                <w:noProof/>
                <w:webHidden/>
                <w:sz w:val="24"/>
                <w:szCs w:val="24"/>
              </w:rPr>
              <w:fldChar w:fldCharType="separate"/>
            </w:r>
            <w:r w:rsidRPr="00FF2CDF">
              <w:rPr>
                <w:noProof/>
                <w:webHidden/>
                <w:sz w:val="24"/>
                <w:szCs w:val="24"/>
              </w:rPr>
              <w:t>7</w:t>
            </w:r>
            <w:r w:rsidRPr="00FF2CDF">
              <w:rPr>
                <w:noProof/>
                <w:webHidden/>
                <w:sz w:val="24"/>
                <w:szCs w:val="24"/>
              </w:rPr>
              <w:fldChar w:fldCharType="end"/>
            </w:r>
          </w:hyperlink>
        </w:p>
        <w:p w14:paraId="75A99C18" w14:textId="076689FB"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79" w:history="1">
            <w:r w:rsidRPr="00FF2CDF">
              <w:rPr>
                <w:rStyle w:val="Hyperlink"/>
                <w:noProof/>
                <w:sz w:val="24"/>
                <w:szCs w:val="24"/>
              </w:rPr>
              <w:t>Part 2</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_Toc227353479 \h </w:instrText>
            </w:r>
            <w:r w:rsidRPr="00FF2CDF">
              <w:rPr>
                <w:noProof/>
                <w:webHidden/>
                <w:sz w:val="24"/>
                <w:szCs w:val="24"/>
              </w:rPr>
            </w:r>
            <w:r w:rsidRPr="00FF2CDF">
              <w:rPr>
                <w:noProof/>
                <w:webHidden/>
                <w:sz w:val="24"/>
                <w:szCs w:val="24"/>
              </w:rPr>
              <w:fldChar w:fldCharType="separate"/>
            </w:r>
            <w:r w:rsidRPr="00FF2CDF">
              <w:rPr>
                <w:noProof/>
                <w:webHidden/>
                <w:sz w:val="24"/>
                <w:szCs w:val="24"/>
              </w:rPr>
              <w:t>8</w:t>
            </w:r>
            <w:r w:rsidRPr="00FF2CDF">
              <w:rPr>
                <w:noProof/>
                <w:webHidden/>
                <w:sz w:val="24"/>
                <w:szCs w:val="24"/>
              </w:rPr>
              <w:fldChar w:fldCharType="end"/>
            </w:r>
          </w:hyperlink>
        </w:p>
        <w:p w14:paraId="06D64C45" w14:textId="30130DA0"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0" w:history="1">
            <w:r w:rsidRPr="00FF2CDF">
              <w:rPr>
                <w:rStyle w:val="Hyperlink"/>
                <w:noProof/>
                <w:sz w:val="24"/>
                <w:szCs w:val="24"/>
              </w:rPr>
              <w:t>2.1 Introduction to Annotated Bibliography</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_Toc227353480 \h </w:instrText>
            </w:r>
            <w:r w:rsidRPr="00FF2CDF">
              <w:rPr>
                <w:noProof/>
                <w:webHidden/>
                <w:sz w:val="24"/>
                <w:szCs w:val="24"/>
              </w:rPr>
            </w:r>
            <w:r w:rsidRPr="00FF2CDF">
              <w:rPr>
                <w:noProof/>
                <w:webHidden/>
                <w:sz w:val="24"/>
                <w:szCs w:val="24"/>
              </w:rPr>
              <w:fldChar w:fldCharType="separate"/>
            </w:r>
            <w:r w:rsidRPr="00FF2CDF">
              <w:rPr>
                <w:noProof/>
                <w:webHidden/>
                <w:sz w:val="24"/>
                <w:szCs w:val="24"/>
              </w:rPr>
              <w:t>8</w:t>
            </w:r>
            <w:r w:rsidRPr="00FF2CDF">
              <w:rPr>
                <w:noProof/>
                <w:webHidden/>
                <w:sz w:val="24"/>
                <w:szCs w:val="24"/>
              </w:rPr>
              <w:fldChar w:fldCharType="end"/>
            </w:r>
          </w:hyperlink>
        </w:p>
        <w:p w14:paraId="663896CE" w14:textId="6FA3E639"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1" w:history="1">
            <w:r w:rsidRPr="00FF2CDF">
              <w:rPr>
                <w:rStyle w:val="Hyperlink"/>
                <w:noProof/>
                <w:sz w:val="24"/>
                <w:szCs w:val="24"/>
              </w:rPr>
              <w:t>2.1.1 Literature Search Strategy Study Selection Process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_Toc227353481 \h </w:instrText>
            </w:r>
            <w:r w:rsidRPr="00FF2CDF">
              <w:rPr>
                <w:noProof/>
                <w:webHidden/>
                <w:sz w:val="24"/>
                <w:szCs w:val="24"/>
              </w:rPr>
            </w:r>
            <w:r w:rsidRPr="00FF2CDF">
              <w:rPr>
                <w:noProof/>
                <w:webHidden/>
                <w:sz w:val="24"/>
                <w:szCs w:val="24"/>
              </w:rPr>
              <w:fldChar w:fldCharType="separate"/>
            </w:r>
            <w:r w:rsidRPr="00FF2CDF">
              <w:rPr>
                <w:noProof/>
                <w:webHidden/>
                <w:sz w:val="24"/>
                <w:szCs w:val="24"/>
              </w:rPr>
              <w:t>8</w:t>
            </w:r>
            <w:r w:rsidRPr="00FF2CDF">
              <w:rPr>
                <w:noProof/>
                <w:webHidden/>
                <w:sz w:val="24"/>
                <w:szCs w:val="24"/>
              </w:rPr>
              <w:fldChar w:fldCharType="end"/>
            </w:r>
          </w:hyperlink>
        </w:p>
        <w:p w14:paraId="23FE4F54" w14:textId="62DD83C7"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2" w:history="1">
            <w:r w:rsidRPr="00FF2CDF">
              <w:rPr>
                <w:rStyle w:val="Hyperlink"/>
                <w:noProof/>
                <w:sz w:val="24"/>
                <w:szCs w:val="24"/>
              </w:rPr>
              <w:t>2.2 Thematic critical discussion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_Toc227353482 \h </w:instrText>
            </w:r>
            <w:r w:rsidRPr="00FF2CDF">
              <w:rPr>
                <w:noProof/>
                <w:webHidden/>
                <w:sz w:val="24"/>
                <w:szCs w:val="24"/>
              </w:rPr>
            </w:r>
            <w:r w:rsidRPr="00FF2CDF">
              <w:rPr>
                <w:noProof/>
                <w:webHidden/>
                <w:sz w:val="24"/>
                <w:szCs w:val="24"/>
              </w:rPr>
              <w:fldChar w:fldCharType="separate"/>
            </w:r>
            <w:r w:rsidRPr="00FF2CDF">
              <w:rPr>
                <w:noProof/>
                <w:webHidden/>
                <w:sz w:val="24"/>
                <w:szCs w:val="24"/>
              </w:rPr>
              <w:t>10</w:t>
            </w:r>
            <w:r w:rsidRPr="00FF2CDF">
              <w:rPr>
                <w:noProof/>
                <w:webHidden/>
                <w:sz w:val="24"/>
                <w:szCs w:val="24"/>
              </w:rPr>
              <w:fldChar w:fldCharType="end"/>
            </w:r>
          </w:hyperlink>
        </w:p>
        <w:p w14:paraId="6E3611F8" w14:textId="381EA59B"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3" w:history="1">
            <w:r w:rsidRPr="00FF2CDF">
              <w:rPr>
                <w:rStyle w:val="Hyperlink"/>
                <w:noProof/>
                <w:sz w:val="24"/>
                <w:szCs w:val="24"/>
              </w:rPr>
              <w:t>2.2.1 Digital banking adoption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_Toc227353483 \h </w:instrText>
            </w:r>
            <w:r w:rsidRPr="00FF2CDF">
              <w:rPr>
                <w:noProof/>
                <w:webHidden/>
                <w:sz w:val="24"/>
                <w:szCs w:val="24"/>
              </w:rPr>
            </w:r>
            <w:r w:rsidRPr="00FF2CDF">
              <w:rPr>
                <w:noProof/>
                <w:webHidden/>
                <w:sz w:val="24"/>
                <w:szCs w:val="24"/>
              </w:rPr>
              <w:fldChar w:fldCharType="separate"/>
            </w:r>
            <w:r w:rsidRPr="00FF2CDF">
              <w:rPr>
                <w:noProof/>
                <w:webHidden/>
                <w:sz w:val="24"/>
                <w:szCs w:val="24"/>
              </w:rPr>
              <w:t>10</w:t>
            </w:r>
            <w:r w:rsidRPr="00FF2CDF">
              <w:rPr>
                <w:noProof/>
                <w:webHidden/>
                <w:sz w:val="24"/>
                <w:szCs w:val="24"/>
              </w:rPr>
              <w:fldChar w:fldCharType="end"/>
            </w:r>
          </w:hyperlink>
        </w:p>
        <w:p w14:paraId="2B5C49BC" w14:textId="1E428641"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4" w:history="1">
            <w:r w:rsidRPr="00FF2CDF">
              <w:rPr>
                <w:rStyle w:val="Hyperlink"/>
                <w:noProof/>
                <w:sz w:val="24"/>
                <w:szCs w:val="24"/>
              </w:rPr>
              <w:t>2.2.2 Continuance Intention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_Toc227353484 \h </w:instrText>
            </w:r>
            <w:r w:rsidRPr="00FF2CDF">
              <w:rPr>
                <w:noProof/>
                <w:webHidden/>
                <w:sz w:val="24"/>
                <w:szCs w:val="24"/>
              </w:rPr>
            </w:r>
            <w:r w:rsidRPr="00FF2CDF">
              <w:rPr>
                <w:noProof/>
                <w:webHidden/>
                <w:sz w:val="24"/>
                <w:szCs w:val="24"/>
              </w:rPr>
              <w:fldChar w:fldCharType="separate"/>
            </w:r>
            <w:r w:rsidRPr="00FF2CDF">
              <w:rPr>
                <w:noProof/>
                <w:webHidden/>
                <w:sz w:val="24"/>
                <w:szCs w:val="24"/>
              </w:rPr>
              <w:t>10</w:t>
            </w:r>
            <w:r w:rsidRPr="00FF2CDF">
              <w:rPr>
                <w:noProof/>
                <w:webHidden/>
                <w:sz w:val="24"/>
                <w:szCs w:val="24"/>
              </w:rPr>
              <w:fldChar w:fldCharType="end"/>
            </w:r>
          </w:hyperlink>
        </w:p>
        <w:p w14:paraId="0E8587D8" w14:textId="21237BA6"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5" w:history="1">
            <w:r w:rsidRPr="00FF2CDF">
              <w:rPr>
                <w:rStyle w:val="Hyperlink"/>
                <w:noProof/>
                <w:sz w:val="24"/>
                <w:szCs w:val="24"/>
              </w:rPr>
              <w:t>2.2.3 Trust and Security</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_Toc227353485 \h </w:instrText>
            </w:r>
            <w:r w:rsidRPr="00FF2CDF">
              <w:rPr>
                <w:noProof/>
                <w:webHidden/>
                <w:sz w:val="24"/>
                <w:szCs w:val="24"/>
              </w:rPr>
            </w:r>
            <w:r w:rsidRPr="00FF2CDF">
              <w:rPr>
                <w:noProof/>
                <w:webHidden/>
                <w:sz w:val="24"/>
                <w:szCs w:val="24"/>
              </w:rPr>
              <w:fldChar w:fldCharType="separate"/>
            </w:r>
            <w:r w:rsidRPr="00FF2CDF">
              <w:rPr>
                <w:noProof/>
                <w:webHidden/>
                <w:sz w:val="24"/>
                <w:szCs w:val="24"/>
              </w:rPr>
              <w:t>11</w:t>
            </w:r>
            <w:r w:rsidRPr="00FF2CDF">
              <w:rPr>
                <w:noProof/>
                <w:webHidden/>
                <w:sz w:val="24"/>
                <w:szCs w:val="24"/>
              </w:rPr>
              <w:fldChar w:fldCharType="end"/>
            </w:r>
          </w:hyperlink>
        </w:p>
        <w:p w14:paraId="33B91514" w14:textId="0A6720A3"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6" w:history="1">
            <w:r w:rsidRPr="00FF2CDF">
              <w:rPr>
                <w:rStyle w:val="Hyperlink"/>
                <w:noProof/>
                <w:sz w:val="24"/>
                <w:szCs w:val="24"/>
              </w:rPr>
              <w:t>2.2.4 Service Quality and Customer Experience</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_Toc227353486 \h </w:instrText>
            </w:r>
            <w:r w:rsidRPr="00FF2CDF">
              <w:rPr>
                <w:noProof/>
                <w:webHidden/>
                <w:sz w:val="24"/>
                <w:szCs w:val="24"/>
              </w:rPr>
            </w:r>
            <w:r w:rsidRPr="00FF2CDF">
              <w:rPr>
                <w:noProof/>
                <w:webHidden/>
                <w:sz w:val="24"/>
                <w:szCs w:val="24"/>
              </w:rPr>
              <w:fldChar w:fldCharType="separate"/>
            </w:r>
            <w:r w:rsidRPr="00FF2CDF">
              <w:rPr>
                <w:noProof/>
                <w:webHidden/>
                <w:sz w:val="24"/>
                <w:szCs w:val="24"/>
              </w:rPr>
              <w:t>11</w:t>
            </w:r>
            <w:r w:rsidRPr="00FF2CDF">
              <w:rPr>
                <w:noProof/>
                <w:webHidden/>
                <w:sz w:val="24"/>
                <w:szCs w:val="24"/>
              </w:rPr>
              <w:fldChar w:fldCharType="end"/>
            </w:r>
          </w:hyperlink>
        </w:p>
        <w:p w14:paraId="5E6A6F2A" w14:textId="29F04179"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7" w:history="1">
            <w:r w:rsidRPr="00FF2CDF">
              <w:rPr>
                <w:rStyle w:val="Hyperlink"/>
                <w:noProof/>
                <w:sz w:val="24"/>
                <w:szCs w:val="24"/>
              </w:rPr>
              <w:t>2.2.5 Integrated Model and Research Gap</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_Toc227353487 \h </w:instrText>
            </w:r>
            <w:r w:rsidRPr="00FF2CDF">
              <w:rPr>
                <w:noProof/>
                <w:webHidden/>
                <w:sz w:val="24"/>
                <w:szCs w:val="24"/>
              </w:rPr>
            </w:r>
            <w:r w:rsidRPr="00FF2CDF">
              <w:rPr>
                <w:noProof/>
                <w:webHidden/>
                <w:sz w:val="24"/>
                <w:szCs w:val="24"/>
              </w:rPr>
              <w:fldChar w:fldCharType="separate"/>
            </w:r>
            <w:r w:rsidRPr="00FF2CDF">
              <w:rPr>
                <w:noProof/>
                <w:webHidden/>
                <w:sz w:val="24"/>
                <w:szCs w:val="24"/>
              </w:rPr>
              <w:t>11</w:t>
            </w:r>
            <w:r w:rsidRPr="00FF2CDF">
              <w:rPr>
                <w:noProof/>
                <w:webHidden/>
                <w:sz w:val="24"/>
                <w:szCs w:val="24"/>
              </w:rPr>
              <w:fldChar w:fldCharType="end"/>
            </w:r>
          </w:hyperlink>
        </w:p>
        <w:p w14:paraId="3437825D" w14:textId="5743CA56"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8" w:history="1">
            <w:r w:rsidRPr="00FF2CDF">
              <w:rPr>
                <w:rStyle w:val="Hyperlink"/>
                <w:noProof/>
                <w:sz w:val="24"/>
                <w:szCs w:val="24"/>
              </w:rPr>
              <w:t>2.3 Conclusion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_Toc227353488 \h </w:instrText>
            </w:r>
            <w:r w:rsidRPr="00FF2CDF">
              <w:rPr>
                <w:noProof/>
                <w:webHidden/>
                <w:sz w:val="24"/>
                <w:szCs w:val="24"/>
              </w:rPr>
            </w:r>
            <w:r w:rsidRPr="00FF2CDF">
              <w:rPr>
                <w:noProof/>
                <w:webHidden/>
                <w:sz w:val="24"/>
                <w:szCs w:val="24"/>
              </w:rPr>
              <w:fldChar w:fldCharType="separate"/>
            </w:r>
            <w:r w:rsidRPr="00FF2CDF">
              <w:rPr>
                <w:noProof/>
                <w:webHidden/>
                <w:sz w:val="24"/>
                <w:szCs w:val="24"/>
              </w:rPr>
              <w:t>12</w:t>
            </w:r>
            <w:r w:rsidRPr="00FF2CDF">
              <w:rPr>
                <w:noProof/>
                <w:webHidden/>
                <w:sz w:val="24"/>
                <w:szCs w:val="24"/>
              </w:rPr>
              <w:fldChar w:fldCharType="end"/>
            </w:r>
          </w:hyperlink>
        </w:p>
        <w:p w14:paraId="5090F709" w14:textId="0F9EDA0E"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89" w:history="1">
            <w:r w:rsidRPr="00FF2CDF">
              <w:rPr>
                <w:rStyle w:val="Hyperlink"/>
                <w:noProof/>
                <w:sz w:val="24"/>
                <w:szCs w:val="24"/>
              </w:rPr>
              <w:t>Part 3</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_Toc227353489 \h </w:instrText>
            </w:r>
            <w:r w:rsidRPr="00FF2CDF">
              <w:rPr>
                <w:noProof/>
                <w:webHidden/>
                <w:sz w:val="24"/>
                <w:szCs w:val="24"/>
              </w:rPr>
            </w:r>
            <w:r w:rsidRPr="00FF2CDF">
              <w:rPr>
                <w:noProof/>
                <w:webHidden/>
                <w:sz w:val="24"/>
                <w:szCs w:val="24"/>
              </w:rPr>
              <w:fldChar w:fldCharType="separate"/>
            </w:r>
            <w:r w:rsidRPr="00FF2CDF">
              <w:rPr>
                <w:noProof/>
                <w:webHidden/>
                <w:sz w:val="24"/>
                <w:szCs w:val="24"/>
              </w:rPr>
              <w:t>13</w:t>
            </w:r>
            <w:r w:rsidRPr="00FF2CDF">
              <w:rPr>
                <w:noProof/>
                <w:webHidden/>
                <w:sz w:val="24"/>
                <w:szCs w:val="24"/>
              </w:rPr>
              <w:fldChar w:fldCharType="end"/>
            </w:r>
          </w:hyperlink>
        </w:p>
        <w:p w14:paraId="6461F886" w14:textId="552A6CD1"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0" w:history="1">
            <w:r w:rsidRPr="00FF2CDF">
              <w:rPr>
                <w:rStyle w:val="Hyperlink"/>
                <w:noProof/>
                <w:sz w:val="24"/>
                <w:szCs w:val="24"/>
              </w:rPr>
              <w:t>3.1 Introduction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_Toc227353490 \h </w:instrText>
            </w:r>
            <w:r w:rsidRPr="00FF2CDF">
              <w:rPr>
                <w:noProof/>
                <w:webHidden/>
                <w:sz w:val="24"/>
                <w:szCs w:val="24"/>
              </w:rPr>
            </w:r>
            <w:r w:rsidRPr="00FF2CDF">
              <w:rPr>
                <w:noProof/>
                <w:webHidden/>
                <w:sz w:val="24"/>
                <w:szCs w:val="24"/>
              </w:rPr>
              <w:fldChar w:fldCharType="separate"/>
            </w:r>
            <w:r w:rsidRPr="00FF2CDF">
              <w:rPr>
                <w:noProof/>
                <w:webHidden/>
                <w:sz w:val="24"/>
                <w:szCs w:val="24"/>
              </w:rPr>
              <w:t>13</w:t>
            </w:r>
            <w:r w:rsidRPr="00FF2CDF">
              <w:rPr>
                <w:noProof/>
                <w:webHidden/>
                <w:sz w:val="24"/>
                <w:szCs w:val="24"/>
              </w:rPr>
              <w:fldChar w:fldCharType="end"/>
            </w:r>
          </w:hyperlink>
        </w:p>
        <w:p w14:paraId="1D8807DF" w14:textId="4D353547"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1" w:history="1">
            <w:r w:rsidRPr="00FF2CDF">
              <w:rPr>
                <w:rStyle w:val="Hyperlink"/>
                <w:noProof/>
                <w:sz w:val="24"/>
                <w:szCs w:val="24"/>
              </w:rPr>
              <w:t>3.2 Conceptual Classification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_Toc227353491 \h </w:instrText>
            </w:r>
            <w:r w:rsidRPr="00FF2CDF">
              <w:rPr>
                <w:noProof/>
                <w:webHidden/>
                <w:sz w:val="24"/>
                <w:szCs w:val="24"/>
              </w:rPr>
            </w:r>
            <w:r w:rsidRPr="00FF2CDF">
              <w:rPr>
                <w:noProof/>
                <w:webHidden/>
                <w:sz w:val="24"/>
                <w:szCs w:val="24"/>
              </w:rPr>
              <w:fldChar w:fldCharType="separate"/>
            </w:r>
            <w:r w:rsidRPr="00FF2CDF">
              <w:rPr>
                <w:noProof/>
                <w:webHidden/>
                <w:sz w:val="24"/>
                <w:szCs w:val="24"/>
              </w:rPr>
              <w:t>13</w:t>
            </w:r>
            <w:r w:rsidRPr="00FF2CDF">
              <w:rPr>
                <w:noProof/>
                <w:webHidden/>
                <w:sz w:val="24"/>
                <w:szCs w:val="24"/>
              </w:rPr>
              <w:fldChar w:fldCharType="end"/>
            </w:r>
          </w:hyperlink>
        </w:p>
        <w:p w14:paraId="06A2ABAA" w14:textId="64115CC4"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2" w:history="1">
            <w:r w:rsidRPr="00FF2CDF">
              <w:rPr>
                <w:rStyle w:val="Hyperlink"/>
                <w:noProof/>
                <w:sz w:val="24"/>
                <w:szCs w:val="24"/>
              </w:rPr>
              <w:t>3.2.1 Customer Preference</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_Toc227353492 \h </w:instrText>
            </w:r>
            <w:r w:rsidRPr="00FF2CDF">
              <w:rPr>
                <w:noProof/>
                <w:webHidden/>
                <w:sz w:val="24"/>
                <w:szCs w:val="24"/>
              </w:rPr>
            </w:r>
            <w:r w:rsidRPr="00FF2CDF">
              <w:rPr>
                <w:noProof/>
                <w:webHidden/>
                <w:sz w:val="24"/>
                <w:szCs w:val="24"/>
              </w:rPr>
              <w:fldChar w:fldCharType="separate"/>
            </w:r>
            <w:r w:rsidRPr="00FF2CDF">
              <w:rPr>
                <w:noProof/>
                <w:webHidden/>
                <w:sz w:val="24"/>
                <w:szCs w:val="24"/>
              </w:rPr>
              <w:t>13</w:t>
            </w:r>
            <w:r w:rsidRPr="00FF2CDF">
              <w:rPr>
                <w:noProof/>
                <w:webHidden/>
                <w:sz w:val="24"/>
                <w:szCs w:val="24"/>
              </w:rPr>
              <w:fldChar w:fldCharType="end"/>
            </w:r>
          </w:hyperlink>
        </w:p>
        <w:p w14:paraId="29A04E55" w14:textId="49E049B0"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3" w:history="1">
            <w:r w:rsidRPr="00FF2CDF">
              <w:rPr>
                <w:rStyle w:val="Hyperlink"/>
                <w:noProof/>
                <w:sz w:val="24"/>
                <w:szCs w:val="24"/>
              </w:rPr>
              <w:t>3.2.2 Continued Usage Intention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_Toc227353493 \h </w:instrText>
            </w:r>
            <w:r w:rsidRPr="00FF2CDF">
              <w:rPr>
                <w:noProof/>
                <w:webHidden/>
                <w:sz w:val="24"/>
                <w:szCs w:val="24"/>
              </w:rPr>
            </w:r>
            <w:r w:rsidRPr="00FF2CDF">
              <w:rPr>
                <w:noProof/>
                <w:webHidden/>
                <w:sz w:val="24"/>
                <w:szCs w:val="24"/>
              </w:rPr>
              <w:fldChar w:fldCharType="separate"/>
            </w:r>
            <w:r w:rsidRPr="00FF2CDF">
              <w:rPr>
                <w:noProof/>
                <w:webHidden/>
                <w:sz w:val="24"/>
                <w:szCs w:val="24"/>
              </w:rPr>
              <w:t>14</w:t>
            </w:r>
            <w:r w:rsidRPr="00FF2CDF">
              <w:rPr>
                <w:noProof/>
                <w:webHidden/>
                <w:sz w:val="24"/>
                <w:szCs w:val="24"/>
              </w:rPr>
              <w:fldChar w:fldCharType="end"/>
            </w:r>
          </w:hyperlink>
        </w:p>
        <w:p w14:paraId="05E9E7DA" w14:textId="56FE9F90"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4" w:history="1">
            <w:r w:rsidRPr="00FF2CDF">
              <w:rPr>
                <w:rStyle w:val="Hyperlink"/>
                <w:noProof/>
                <w:sz w:val="24"/>
                <w:szCs w:val="24"/>
              </w:rPr>
              <w:t>3.2.3 Digital Banking Context</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_Toc227353494 \h </w:instrText>
            </w:r>
            <w:r w:rsidRPr="00FF2CDF">
              <w:rPr>
                <w:noProof/>
                <w:webHidden/>
                <w:sz w:val="24"/>
                <w:szCs w:val="24"/>
              </w:rPr>
            </w:r>
            <w:r w:rsidRPr="00FF2CDF">
              <w:rPr>
                <w:noProof/>
                <w:webHidden/>
                <w:sz w:val="24"/>
                <w:szCs w:val="24"/>
              </w:rPr>
              <w:fldChar w:fldCharType="separate"/>
            </w:r>
            <w:r w:rsidRPr="00FF2CDF">
              <w:rPr>
                <w:noProof/>
                <w:webHidden/>
                <w:sz w:val="24"/>
                <w:szCs w:val="24"/>
              </w:rPr>
              <w:t>14</w:t>
            </w:r>
            <w:r w:rsidRPr="00FF2CDF">
              <w:rPr>
                <w:noProof/>
                <w:webHidden/>
                <w:sz w:val="24"/>
                <w:szCs w:val="24"/>
              </w:rPr>
              <w:fldChar w:fldCharType="end"/>
            </w:r>
          </w:hyperlink>
        </w:p>
        <w:p w14:paraId="797048EB" w14:textId="7CCC1B9F"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5" w:history="1">
            <w:r w:rsidRPr="00FF2CDF">
              <w:rPr>
                <w:rStyle w:val="Hyperlink"/>
                <w:noProof/>
                <w:sz w:val="24"/>
                <w:szCs w:val="24"/>
              </w:rPr>
              <w:t>3.3 Theoretical foundation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_Toc227353495 \h </w:instrText>
            </w:r>
            <w:r w:rsidRPr="00FF2CDF">
              <w:rPr>
                <w:noProof/>
                <w:webHidden/>
                <w:sz w:val="24"/>
                <w:szCs w:val="24"/>
              </w:rPr>
            </w:r>
            <w:r w:rsidRPr="00FF2CDF">
              <w:rPr>
                <w:noProof/>
                <w:webHidden/>
                <w:sz w:val="24"/>
                <w:szCs w:val="24"/>
              </w:rPr>
              <w:fldChar w:fldCharType="separate"/>
            </w:r>
            <w:r w:rsidRPr="00FF2CDF">
              <w:rPr>
                <w:noProof/>
                <w:webHidden/>
                <w:sz w:val="24"/>
                <w:szCs w:val="24"/>
              </w:rPr>
              <w:t>15</w:t>
            </w:r>
            <w:r w:rsidRPr="00FF2CDF">
              <w:rPr>
                <w:noProof/>
                <w:webHidden/>
                <w:sz w:val="24"/>
                <w:szCs w:val="24"/>
              </w:rPr>
              <w:fldChar w:fldCharType="end"/>
            </w:r>
          </w:hyperlink>
        </w:p>
        <w:p w14:paraId="63AA5E73" w14:textId="3FDE1D66"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6" w:history="1">
            <w:r w:rsidRPr="00FF2CDF">
              <w:rPr>
                <w:rStyle w:val="Hyperlink"/>
                <w:noProof/>
                <w:sz w:val="24"/>
                <w:szCs w:val="24"/>
              </w:rPr>
              <w:t>3.3.1 TAM (Technology Acceptance Model)</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_Toc227353496 \h </w:instrText>
            </w:r>
            <w:r w:rsidRPr="00FF2CDF">
              <w:rPr>
                <w:noProof/>
                <w:webHidden/>
                <w:sz w:val="24"/>
                <w:szCs w:val="24"/>
              </w:rPr>
            </w:r>
            <w:r w:rsidRPr="00FF2CDF">
              <w:rPr>
                <w:noProof/>
                <w:webHidden/>
                <w:sz w:val="24"/>
                <w:szCs w:val="24"/>
              </w:rPr>
              <w:fldChar w:fldCharType="separate"/>
            </w:r>
            <w:r w:rsidRPr="00FF2CDF">
              <w:rPr>
                <w:noProof/>
                <w:webHidden/>
                <w:sz w:val="24"/>
                <w:szCs w:val="24"/>
              </w:rPr>
              <w:t>15</w:t>
            </w:r>
            <w:r w:rsidRPr="00FF2CDF">
              <w:rPr>
                <w:noProof/>
                <w:webHidden/>
                <w:sz w:val="24"/>
                <w:szCs w:val="24"/>
              </w:rPr>
              <w:fldChar w:fldCharType="end"/>
            </w:r>
          </w:hyperlink>
        </w:p>
        <w:p w14:paraId="19F63E04" w14:textId="654421BB"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7" w:history="1">
            <w:r w:rsidRPr="00FF2CDF">
              <w:rPr>
                <w:rStyle w:val="Hyperlink"/>
                <w:noProof/>
                <w:sz w:val="24"/>
                <w:szCs w:val="24"/>
              </w:rPr>
              <w:t>3.3.2 UTAUT (Unified Theory of Acceptance and Use of Technology)</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_Toc227353497 \h </w:instrText>
            </w:r>
            <w:r w:rsidRPr="00FF2CDF">
              <w:rPr>
                <w:noProof/>
                <w:webHidden/>
                <w:sz w:val="24"/>
                <w:szCs w:val="24"/>
              </w:rPr>
            </w:r>
            <w:r w:rsidRPr="00FF2CDF">
              <w:rPr>
                <w:noProof/>
                <w:webHidden/>
                <w:sz w:val="24"/>
                <w:szCs w:val="24"/>
              </w:rPr>
              <w:fldChar w:fldCharType="separate"/>
            </w:r>
            <w:r w:rsidRPr="00FF2CDF">
              <w:rPr>
                <w:noProof/>
                <w:webHidden/>
                <w:sz w:val="24"/>
                <w:szCs w:val="24"/>
              </w:rPr>
              <w:t>15</w:t>
            </w:r>
            <w:r w:rsidRPr="00FF2CDF">
              <w:rPr>
                <w:noProof/>
                <w:webHidden/>
                <w:sz w:val="24"/>
                <w:szCs w:val="24"/>
              </w:rPr>
              <w:fldChar w:fldCharType="end"/>
            </w:r>
          </w:hyperlink>
        </w:p>
        <w:p w14:paraId="16B5E9EF" w14:textId="7D08CF46"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8" w:history="1">
            <w:r w:rsidRPr="00FF2CDF">
              <w:rPr>
                <w:rStyle w:val="Hyperlink"/>
                <w:noProof/>
                <w:sz w:val="24"/>
                <w:szCs w:val="24"/>
              </w:rPr>
              <w:t>3.3.3 ECM (Expectation Confirmation Model)</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_Toc227353498 \h </w:instrText>
            </w:r>
            <w:r w:rsidRPr="00FF2CDF">
              <w:rPr>
                <w:noProof/>
                <w:webHidden/>
                <w:sz w:val="24"/>
                <w:szCs w:val="24"/>
              </w:rPr>
            </w:r>
            <w:r w:rsidRPr="00FF2CDF">
              <w:rPr>
                <w:noProof/>
                <w:webHidden/>
                <w:sz w:val="24"/>
                <w:szCs w:val="24"/>
              </w:rPr>
              <w:fldChar w:fldCharType="separate"/>
            </w:r>
            <w:r w:rsidRPr="00FF2CDF">
              <w:rPr>
                <w:noProof/>
                <w:webHidden/>
                <w:sz w:val="24"/>
                <w:szCs w:val="24"/>
              </w:rPr>
              <w:t>16</w:t>
            </w:r>
            <w:r w:rsidRPr="00FF2CDF">
              <w:rPr>
                <w:noProof/>
                <w:webHidden/>
                <w:sz w:val="24"/>
                <w:szCs w:val="24"/>
              </w:rPr>
              <w:fldChar w:fldCharType="end"/>
            </w:r>
          </w:hyperlink>
        </w:p>
        <w:p w14:paraId="5BDC3E6E" w14:textId="0A559DFF"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499" w:history="1">
            <w:r w:rsidRPr="00FF2CDF">
              <w:rPr>
                <w:rStyle w:val="Hyperlink"/>
                <w:noProof/>
                <w:sz w:val="24"/>
                <w:szCs w:val="24"/>
              </w:rPr>
              <w:t>3.3.4 Trust and Perceived Risk</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_Toc227353499 \h </w:instrText>
            </w:r>
            <w:r w:rsidRPr="00FF2CDF">
              <w:rPr>
                <w:noProof/>
                <w:webHidden/>
                <w:sz w:val="24"/>
                <w:szCs w:val="24"/>
              </w:rPr>
            </w:r>
            <w:r w:rsidRPr="00FF2CDF">
              <w:rPr>
                <w:noProof/>
                <w:webHidden/>
                <w:sz w:val="24"/>
                <w:szCs w:val="24"/>
              </w:rPr>
              <w:fldChar w:fldCharType="separate"/>
            </w:r>
            <w:r w:rsidRPr="00FF2CDF">
              <w:rPr>
                <w:noProof/>
                <w:webHidden/>
                <w:sz w:val="24"/>
                <w:szCs w:val="24"/>
              </w:rPr>
              <w:t>16</w:t>
            </w:r>
            <w:r w:rsidRPr="00FF2CDF">
              <w:rPr>
                <w:noProof/>
                <w:webHidden/>
                <w:sz w:val="24"/>
                <w:szCs w:val="24"/>
              </w:rPr>
              <w:fldChar w:fldCharType="end"/>
            </w:r>
          </w:hyperlink>
        </w:p>
        <w:p w14:paraId="2B53DC2D" w14:textId="01730571"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0" w:history="1">
            <w:r w:rsidRPr="00FF2CDF">
              <w:rPr>
                <w:rStyle w:val="Hyperlink"/>
                <w:noProof/>
                <w:sz w:val="24"/>
                <w:szCs w:val="24"/>
              </w:rPr>
              <w:t>3.3.5 Digital Service Quality</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_Toc227353500 \h </w:instrText>
            </w:r>
            <w:r w:rsidRPr="00FF2CDF">
              <w:rPr>
                <w:noProof/>
                <w:webHidden/>
                <w:sz w:val="24"/>
                <w:szCs w:val="24"/>
              </w:rPr>
            </w:r>
            <w:r w:rsidRPr="00FF2CDF">
              <w:rPr>
                <w:noProof/>
                <w:webHidden/>
                <w:sz w:val="24"/>
                <w:szCs w:val="24"/>
              </w:rPr>
              <w:fldChar w:fldCharType="separate"/>
            </w:r>
            <w:r w:rsidRPr="00FF2CDF">
              <w:rPr>
                <w:noProof/>
                <w:webHidden/>
                <w:sz w:val="24"/>
                <w:szCs w:val="24"/>
              </w:rPr>
              <w:t>17</w:t>
            </w:r>
            <w:r w:rsidRPr="00FF2CDF">
              <w:rPr>
                <w:noProof/>
                <w:webHidden/>
                <w:sz w:val="24"/>
                <w:szCs w:val="24"/>
              </w:rPr>
              <w:fldChar w:fldCharType="end"/>
            </w:r>
          </w:hyperlink>
        </w:p>
        <w:p w14:paraId="4B32787F" w14:textId="252A259F"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1" w:history="1">
            <w:r w:rsidRPr="00FF2CDF">
              <w:rPr>
                <w:rStyle w:val="Hyperlink"/>
                <w:noProof/>
                <w:sz w:val="24"/>
                <w:szCs w:val="24"/>
              </w:rPr>
              <w:t>3.3.6 Integration and Comparison of the Theoretical Model</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_Toc227353501 \h </w:instrText>
            </w:r>
            <w:r w:rsidRPr="00FF2CDF">
              <w:rPr>
                <w:noProof/>
                <w:webHidden/>
                <w:sz w:val="24"/>
                <w:szCs w:val="24"/>
              </w:rPr>
            </w:r>
            <w:r w:rsidRPr="00FF2CDF">
              <w:rPr>
                <w:noProof/>
                <w:webHidden/>
                <w:sz w:val="24"/>
                <w:szCs w:val="24"/>
              </w:rPr>
              <w:fldChar w:fldCharType="separate"/>
            </w:r>
            <w:r w:rsidRPr="00FF2CDF">
              <w:rPr>
                <w:noProof/>
                <w:webHidden/>
                <w:sz w:val="24"/>
                <w:szCs w:val="24"/>
              </w:rPr>
              <w:t>17</w:t>
            </w:r>
            <w:r w:rsidRPr="00FF2CDF">
              <w:rPr>
                <w:noProof/>
                <w:webHidden/>
                <w:sz w:val="24"/>
                <w:szCs w:val="24"/>
              </w:rPr>
              <w:fldChar w:fldCharType="end"/>
            </w:r>
          </w:hyperlink>
        </w:p>
        <w:p w14:paraId="6A458B48" w14:textId="4D21577D"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2" w:history="1">
            <w:r w:rsidRPr="00FF2CDF">
              <w:rPr>
                <w:rStyle w:val="Hyperlink"/>
                <w:noProof/>
                <w:sz w:val="24"/>
                <w:szCs w:val="24"/>
              </w:rPr>
              <w:t>3.3.7 Theory Evolution Table</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_Toc227353502 \h </w:instrText>
            </w:r>
            <w:r w:rsidRPr="00FF2CDF">
              <w:rPr>
                <w:noProof/>
                <w:webHidden/>
                <w:sz w:val="24"/>
                <w:szCs w:val="24"/>
              </w:rPr>
            </w:r>
            <w:r w:rsidRPr="00FF2CDF">
              <w:rPr>
                <w:noProof/>
                <w:webHidden/>
                <w:sz w:val="24"/>
                <w:szCs w:val="24"/>
              </w:rPr>
              <w:fldChar w:fldCharType="separate"/>
            </w:r>
            <w:r w:rsidRPr="00FF2CDF">
              <w:rPr>
                <w:noProof/>
                <w:webHidden/>
                <w:sz w:val="24"/>
                <w:szCs w:val="24"/>
              </w:rPr>
              <w:t>18</w:t>
            </w:r>
            <w:r w:rsidRPr="00FF2CDF">
              <w:rPr>
                <w:noProof/>
                <w:webHidden/>
                <w:sz w:val="24"/>
                <w:szCs w:val="24"/>
              </w:rPr>
              <w:fldChar w:fldCharType="end"/>
            </w:r>
          </w:hyperlink>
        </w:p>
        <w:p w14:paraId="08FD3F9F" w14:textId="390210D9"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3" w:history="1">
            <w:r w:rsidRPr="00FF2CDF">
              <w:rPr>
                <w:rStyle w:val="Hyperlink"/>
                <w:noProof/>
                <w:sz w:val="24"/>
                <w:szCs w:val="24"/>
              </w:rPr>
              <w:t>3.4 Empirical Evidence from Existing Studies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_Toc227353503 \h </w:instrText>
            </w:r>
            <w:r w:rsidRPr="00FF2CDF">
              <w:rPr>
                <w:noProof/>
                <w:webHidden/>
                <w:sz w:val="24"/>
                <w:szCs w:val="24"/>
              </w:rPr>
            </w:r>
            <w:r w:rsidRPr="00FF2CDF">
              <w:rPr>
                <w:noProof/>
                <w:webHidden/>
                <w:sz w:val="24"/>
                <w:szCs w:val="24"/>
              </w:rPr>
              <w:fldChar w:fldCharType="separate"/>
            </w:r>
            <w:r w:rsidRPr="00FF2CDF">
              <w:rPr>
                <w:noProof/>
                <w:webHidden/>
                <w:sz w:val="24"/>
                <w:szCs w:val="24"/>
              </w:rPr>
              <w:t>19</w:t>
            </w:r>
            <w:r w:rsidRPr="00FF2CDF">
              <w:rPr>
                <w:noProof/>
                <w:webHidden/>
                <w:sz w:val="24"/>
                <w:szCs w:val="24"/>
              </w:rPr>
              <w:fldChar w:fldCharType="end"/>
            </w:r>
          </w:hyperlink>
        </w:p>
        <w:p w14:paraId="767E70E7" w14:textId="6E383756"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4" w:history="1">
            <w:r w:rsidRPr="00FF2CDF">
              <w:rPr>
                <w:rStyle w:val="Hyperlink"/>
                <w:noProof/>
                <w:sz w:val="24"/>
                <w:szCs w:val="24"/>
              </w:rPr>
              <w:t>3.4.1 Service Quality-Preferences &amp; Usage</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_Toc227353504 \h </w:instrText>
            </w:r>
            <w:r w:rsidRPr="00FF2CDF">
              <w:rPr>
                <w:noProof/>
                <w:webHidden/>
                <w:sz w:val="24"/>
                <w:szCs w:val="24"/>
              </w:rPr>
            </w:r>
            <w:r w:rsidRPr="00FF2CDF">
              <w:rPr>
                <w:noProof/>
                <w:webHidden/>
                <w:sz w:val="24"/>
                <w:szCs w:val="24"/>
              </w:rPr>
              <w:fldChar w:fldCharType="separate"/>
            </w:r>
            <w:r w:rsidRPr="00FF2CDF">
              <w:rPr>
                <w:noProof/>
                <w:webHidden/>
                <w:sz w:val="24"/>
                <w:szCs w:val="24"/>
              </w:rPr>
              <w:t>19</w:t>
            </w:r>
            <w:r w:rsidRPr="00FF2CDF">
              <w:rPr>
                <w:noProof/>
                <w:webHidden/>
                <w:sz w:val="24"/>
                <w:szCs w:val="24"/>
              </w:rPr>
              <w:fldChar w:fldCharType="end"/>
            </w:r>
          </w:hyperlink>
        </w:p>
        <w:p w14:paraId="6BBE4C52" w14:textId="5CBF46B6"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5" w:history="1">
            <w:r w:rsidRPr="00FF2CDF">
              <w:rPr>
                <w:rStyle w:val="Hyperlink"/>
                <w:noProof/>
                <w:sz w:val="24"/>
                <w:szCs w:val="24"/>
              </w:rPr>
              <w:t>3.4.2 Trust / Security – Adoption &amp; Continuance</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_Toc227353505 \h </w:instrText>
            </w:r>
            <w:r w:rsidRPr="00FF2CDF">
              <w:rPr>
                <w:noProof/>
                <w:webHidden/>
                <w:sz w:val="24"/>
                <w:szCs w:val="24"/>
              </w:rPr>
            </w:r>
            <w:r w:rsidRPr="00FF2CDF">
              <w:rPr>
                <w:noProof/>
                <w:webHidden/>
                <w:sz w:val="24"/>
                <w:szCs w:val="24"/>
              </w:rPr>
              <w:fldChar w:fldCharType="separate"/>
            </w:r>
            <w:r w:rsidRPr="00FF2CDF">
              <w:rPr>
                <w:noProof/>
                <w:webHidden/>
                <w:sz w:val="24"/>
                <w:szCs w:val="24"/>
              </w:rPr>
              <w:t>20</w:t>
            </w:r>
            <w:r w:rsidRPr="00FF2CDF">
              <w:rPr>
                <w:noProof/>
                <w:webHidden/>
                <w:sz w:val="24"/>
                <w:szCs w:val="24"/>
              </w:rPr>
              <w:fldChar w:fldCharType="end"/>
            </w:r>
          </w:hyperlink>
        </w:p>
        <w:p w14:paraId="7E82D01C" w14:textId="33319F89"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6" w:history="1">
            <w:r w:rsidRPr="00FF2CDF">
              <w:rPr>
                <w:rStyle w:val="Hyperlink"/>
                <w:noProof/>
                <w:sz w:val="24"/>
                <w:szCs w:val="24"/>
              </w:rPr>
              <w:t>3.4.3 Experience / Usability – Satisfaction &amp; loyalty</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_Toc227353506 \h </w:instrText>
            </w:r>
            <w:r w:rsidRPr="00FF2CDF">
              <w:rPr>
                <w:noProof/>
                <w:webHidden/>
                <w:sz w:val="24"/>
                <w:szCs w:val="24"/>
              </w:rPr>
            </w:r>
            <w:r w:rsidRPr="00FF2CDF">
              <w:rPr>
                <w:noProof/>
                <w:webHidden/>
                <w:sz w:val="24"/>
                <w:szCs w:val="24"/>
              </w:rPr>
              <w:fldChar w:fldCharType="separate"/>
            </w:r>
            <w:r w:rsidRPr="00FF2CDF">
              <w:rPr>
                <w:noProof/>
                <w:webHidden/>
                <w:sz w:val="24"/>
                <w:szCs w:val="24"/>
              </w:rPr>
              <w:t>20</w:t>
            </w:r>
            <w:r w:rsidRPr="00FF2CDF">
              <w:rPr>
                <w:noProof/>
                <w:webHidden/>
                <w:sz w:val="24"/>
                <w:szCs w:val="24"/>
              </w:rPr>
              <w:fldChar w:fldCharType="end"/>
            </w:r>
          </w:hyperlink>
        </w:p>
        <w:p w14:paraId="7B76B8C8" w14:textId="5DE11EEA"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7" w:history="1">
            <w:r w:rsidRPr="00FF2CDF">
              <w:rPr>
                <w:rStyle w:val="Hyperlink"/>
                <w:noProof/>
                <w:sz w:val="24"/>
                <w:szCs w:val="24"/>
              </w:rPr>
              <w:t>3.4.4 Demographics / Behavioural differences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_Toc227353507 \h </w:instrText>
            </w:r>
            <w:r w:rsidRPr="00FF2CDF">
              <w:rPr>
                <w:noProof/>
                <w:webHidden/>
                <w:sz w:val="24"/>
                <w:szCs w:val="24"/>
              </w:rPr>
            </w:r>
            <w:r w:rsidRPr="00FF2CDF">
              <w:rPr>
                <w:noProof/>
                <w:webHidden/>
                <w:sz w:val="24"/>
                <w:szCs w:val="24"/>
              </w:rPr>
              <w:fldChar w:fldCharType="separate"/>
            </w:r>
            <w:r w:rsidRPr="00FF2CDF">
              <w:rPr>
                <w:noProof/>
                <w:webHidden/>
                <w:sz w:val="24"/>
                <w:szCs w:val="24"/>
              </w:rPr>
              <w:t>20</w:t>
            </w:r>
            <w:r w:rsidRPr="00FF2CDF">
              <w:rPr>
                <w:noProof/>
                <w:webHidden/>
                <w:sz w:val="24"/>
                <w:szCs w:val="24"/>
              </w:rPr>
              <w:fldChar w:fldCharType="end"/>
            </w:r>
          </w:hyperlink>
        </w:p>
        <w:p w14:paraId="149BBF2E" w14:textId="65824C1F"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8" w:history="1">
            <w:r w:rsidRPr="00FF2CDF">
              <w:rPr>
                <w:rStyle w:val="Hyperlink"/>
                <w:noProof/>
                <w:sz w:val="24"/>
                <w:szCs w:val="24"/>
              </w:rPr>
              <w:t>3.5 Methodological Trends &amp; Weaknesses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_Toc227353508 \h </w:instrText>
            </w:r>
            <w:r w:rsidRPr="00FF2CDF">
              <w:rPr>
                <w:noProof/>
                <w:webHidden/>
                <w:sz w:val="24"/>
                <w:szCs w:val="24"/>
              </w:rPr>
            </w:r>
            <w:r w:rsidRPr="00FF2CDF">
              <w:rPr>
                <w:noProof/>
                <w:webHidden/>
                <w:sz w:val="24"/>
                <w:szCs w:val="24"/>
              </w:rPr>
              <w:fldChar w:fldCharType="separate"/>
            </w:r>
            <w:r w:rsidRPr="00FF2CDF">
              <w:rPr>
                <w:noProof/>
                <w:webHidden/>
                <w:sz w:val="24"/>
                <w:szCs w:val="24"/>
              </w:rPr>
              <w:t>21</w:t>
            </w:r>
            <w:r w:rsidRPr="00FF2CDF">
              <w:rPr>
                <w:noProof/>
                <w:webHidden/>
                <w:sz w:val="24"/>
                <w:szCs w:val="24"/>
              </w:rPr>
              <w:fldChar w:fldCharType="end"/>
            </w:r>
          </w:hyperlink>
        </w:p>
        <w:p w14:paraId="3601F831" w14:textId="231CC134"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09" w:history="1">
            <w:r w:rsidRPr="00FF2CDF">
              <w:rPr>
                <w:rStyle w:val="Hyperlink"/>
                <w:noProof/>
                <w:sz w:val="24"/>
                <w:szCs w:val="24"/>
              </w:rPr>
              <w:t>3.6 Research Gaps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_Toc227353509 \h </w:instrText>
            </w:r>
            <w:r w:rsidRPr="00FF2CDF">
              <w:rPr>
                <w:noProof/>
                <w:webHidden/>
                <w:sz w:val="24"/>
                <w:szCs w:val="24"/>
              </w:rPr>
            </w:r>
            <w:r w:rsidRPr="00FF2CDF">
              <w:rPr>
                <w:noProof/>
                <w:webHidden/>
                <w:sz w:val="24"/>
                <w:szCs w:val="24"/>
              </w:rPr>
              <w:fldChar w:fldCharType="separate"/>
            </w:r>
            <w:r w:rsidRPr="00FF2CDF">
              <w:rPr>
                <w:noProof/>
                <w:webHidden/>
                <w:sz w:val="24"/>
                <w:szCs w:val="24"/>
              </w:rPr>
              <w:t>22</w:t>
            </w:r>
            <w:r w:rsidRPr="00FF2CDF">
              <w:rPr>
                <w:noProof/>
                <w:webHidden/>
                <w:sz w:val="24"/>
                <w:szCs w:val="24"/>
              </w:rPr>
              <w:fldChar w:fldCharType="end"/>
            </w:r>
          </w:hyperlink>
        </w:p>
        <w:p w14:paraId="049B3749" w14:textId="4C86FAD0"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0" w:history="1">
            <w:r w:rsidRPr="00FF2CDF">
              <w:rPr>
                <w:rStyle w:val="Hyperlink"/>
                <w:noProof/>
                <w:sz w:val="24"/>
                <w:szCs w:val="24"/>
              </w:rPr>
              <w:t>3.6.1 Theoretical and Conceptual Fragmentation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_Toc227353510 \h </w:instrText>
            </w:r>
            <w:r w:rsidRPr="00FF2CDF">
              <w:rPr>
                <w:noProof/>
                <w:webHidden/>
                <w:sz w:val="24"/>
                <w:szCs w:val="24"/>
              </w:rPr>
            </w:r>
            <w:r w:rsidRPr="00FF2CDF">
              <w:rPr>
                <w:noProof/>
                <w:webHidden/>
                <w:sz w:val="24"/>
                <w:szCs w:val="24"/>
              </w:rPr>
              <w:fldChar w:fldCharType="separate"/>
            </w:r>
            <w:r w:rsidRPr="00FF2CDF">
              <w:rPr>
                <w:noProof/>
                <w:webHidden/>
                <w:sz w:val="24"/>
                <w:szCs w:val="24"/>
              </w:rPr>
              <w:t>23</w:t>
            </w:r>
            <w:r w:rsidRPr="00FF2CDF">
              <w:rPr>
                <w:noProof/>
                <w:webHidden/>
                <w:sz w:val="24"/>
                <w:szCs w:val="24"/>
              </w:rPr>
              <w:fldChar w:fldCharType="end"/>
            </w:r>
          </w:hyperlink>
        </w:p>
        <w:p w14:paraId="51A4A9EF" w14:textId="46391285"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1" w:history="1">
            <w:r w:rsidRPr="00FF2CDF">
              <w:rPr>
                <w:rStyle w:val="Hyperlink"/>
                <w:noProof/>
                <w:sz w:val="24"/>
                <w:szCs w:val="24"/>
              </w:rPr>
              <w:t>3.6.2 Limited Understanding of Continuance Behaviour</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_Toc227353511 \h </w:instrText>
            </w:r>
            <w:r w:rsidRPr="00FF2CDF">
              <w:rPr>
                <w:noProof/>
                <w:webHidden/>
                <w:sz w:val="24"/>
                <w:szCs w:val="24"/>
              </w:rPr>
            </w:r>
            <w:r w:rsidRPr="00FF2CDF">
              <w:rPr>
                <w:noProof/>
                <w:webHidden/>
                <w:sz w:val="24"/>
                <w:szCs w:val="24"/>
              </w:rPr>
              <w:fldChar w:fldCharType="separate"/>
            </w:r>
            <w:r w:rsidRPr="00FF2CDF">
              <w:rPr>
                <w:noProof/>
                <w:webHidden/>
                <w:sz w:val="24"/>
                <w:szCs w:val="24"/>
              </w:rPr>
              <w:t>23</w:t>
            </w:r>
            <w:r w:rsidRPr="00FF2CDF">
              <w:rPr>
                <w:noProof/>
                <w:webHidden/>
                <w:sz w:val="24"/>
                <w:szCs w:val="24"/>
              </w:rPr>
              <w:fldChar w:fldCharType="end"/>
            </w:r>
          </w:hyperlink>
        </w:p>
        <w:p w14:paraId="35181B6E" w14:textId="06FE179F"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2" w:history="1">
            <w:r w:rsidRPr="00FF2CDF">
              <w:rPr>
                <w:rStyle w:val="Hyperlink"/>
                <w:noProof/>
                <w:sz w:val="24"/>
                <w:szCs w:val="24"/>
              </w:rPr>
              <w:t>3.6.3 Underrepresentation of Customer Preferences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_Toc227353512 \h </w:instrText>
            </w:r>
            <w:r w:rsidRPr="00FF2CDF">
              <w:rPr>
                <w:noProof/>
                <w:webHidden/>
                <w:sz w:val="24"/>
                <w:szCs w:val="24"/>
              </w:rPr>
            </w:r>
            <w:r w:rsidRPr="00FF2CDF">
              <w:rPr>
                <w:noProof/>
                <w:webHidden/>
                <w:sz w:val="24"/>
                <w:szCs w:val="24"/>
              </w:rPr>
              <w:fldChar w:fldCharType="separate"/>
            </w:r>
            <w:r w:rsidRPr="00FF2CDF">
              <w:rPr>
                <w:noProof/>
                <w:webHidden/>
                <w:sz w:val="24"/>
                <w:szCs w:val="24"/>
              </w:rPr>
              <w:t>23</w:t>
            </w:r>
            <w:r w:rsidRPr="00FF2CDF">
              <w:rPr>
                <w:noProof/>
                <w:webHidden/>
                <w:sz w:val="24"/>
                <w:szCs w:val="24"/>
              </w:rPr>
              <w:fldChar w:fldCharType="end"/>
            </w:r>
          </w:hyperlink>
        </w:p>
        <w:p w14:paraId="78E10A1F" w14:textId="1FF45A70"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3" w:history="1">
            <w:r w:rsidRPr="00FF2CDF">
              <w:rPr>
                <w:rStyle w:val="Hyperlink"/>
                <w:noProof/>
                <w:sz w:val="24"/>
                <w:szCs w:val="24"/>
              </w:rPr>
              <w:t>3.6.4 Fragmented Examination of Key Determinants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_Toc227353513 \h </w:instrText>
            </w:r>
            <w:r w:rsidRPr="00FF2CDF">
              <w:rPr>
                <w:noProof/>
                <w:webHidden/>
                <w:sz w:val="24"/>
                <w:szCs w:val="24"/>
              </w:rPr>
            </w:r>
            <w:r w:rsidRPr="00FF2CDF">
              <w:rPr>
                <w:noProof/>
                <w:webHidden/>
                <w:sz w:val="24"/>
                <w:szCs w:val="24"/>
              </w:rPr>
              <w:fldChar w:fldCharType="separate"/>
            </w:r>
            <w:r w:rsidRPr="00FF2CDF">
              <w:rPr>
                <w:noProof/>
                <w:webHidden/>
                <w:sz w:val="24"/>
                <w:szCs w:val="24"/>
              </w:rPr>
              <w:t>23</w:t>
            </w:r>
            <w:r w:rsidRPr="00FF2CDF">
              <w:rPr>
                <w:noProof/>
                <w:webHidden/>
                <w:sz w:val="24"/>
                <w:szCs w:val="24"/>
              </w:rPr>
              <w:fldChar w:fldCharType="end"/>
            </w:r>
          </w:hyperlink>
        </w:p>
        <w:p w14:paraId="6C4E4C2F" w14:textId="7D129E29"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4" w:history="1">
            <w:r w:rsidRPr="00FF2CDF">
              <w:rPr>
                <w:rStyle w:val="Hyperlink"/>
                <w:noProof/>
                <w:sz w:val="24"/>
                <w:szCs w:val="24"/>
              </w:rPr>
              <w:t>3.6.5 Contextual Limitations in Existing Research</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_Toc227353514 \h </w:instrText>
            </w:r>
            <w:r w:rsidRPr="00FF2CDF">
              <w:rPr>
                <w:noProof/>
                <w:webHidden/>
                <w:sz w:val="24"/>
                <w:szCs w:val="24"/>
              </w:rPr>
            </w:r>
            <w:r w:rsidRPr="00FF2CDF">
              <w:rPr>
                <w:noProof/>
                <w:webHidden/>
                <w:sz w:val="24"/>
                <w:szCs w:val="24"/>
              </w:rPr>
              <w:fldChar w:fldCharType="separate"/>
            </w:r>
            <w:r w:rsidRPr="00FF2CDF">
              <w:rPr>
                <w:noProof/>
                <w:webHidden/>
                <w:sz w:val="24"/>
                <w:szCs w:val="24"/>
              </w:rPr>
              <w:t>24</w:t>
            </w:r>
            <w:r w:rsidRPr="00FF2CDF">
              <w:rPr>
                <w:noProof/>
                <w:webHidden/>
                <w:sz w:val="24"/>
                <w:szCs w:val="24"/>
              </w:rPr>
              <w:fldChar w:fldCharType="end"/>
            </w:r>
          </w:hyperlink>
        </w:p>
        <w:p w14:paraId="12CD89E8" w14:textId="1DB884F8"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5" w:history="1">
            <w:r w:rsidRPr="00FF2CDF">
              <w:rPr>
                <w:rStyle w:val="Hyperlink"/>
                <w:noProof/>
                <w:sz w:val="24"/>
                <w:szCs w:val="24"/>
              </w:rPr>
              <w:t>3.6.6 Methodological Limitations and Lack of Qualitative Insight</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_Toc227353515 \h </w:instrText>
            </w:r>
            <w:r w:rsidRPr="00FF2CDF">
              <w:rPr>
                <w:noProof/>
                <w:webHidden/>
                <w:sz w:val="24"/>
                <w:szCs w:val="24"/>
              </w:rPr>
            </w:r>
            <w:r w:rsidRPr="00FF2CDF">
              <w:rPr>
                <w:noProof/>
                <w:webHidden/>
                <w:sz w:val="24"/>
                <w:szCs w:val="24"/>
              </w:rPr>
              <w:fldChar w:fldCharType="separate"/>
            </w:r>
            <w:r w:rsidRPr="00FF2CDF">
              <w:rPr>
                <w:noProof/>
                <w:webHidden/>
                <w:sz w:val="24"/>
                <w:szCs w:val="24"/>
              </w:rPr>
              <w:t>24</w:t>
            </w:r>
            <w:r w:rsidRPr="00FF2CDF">
              <w:rPr>
                <w:noProof/>
                <w:webHidden/>
                <w:sz w:val="24"/>
                <w:szCs w:val="24"/>
              </w:rPr>
              <w:fldChar w:fldCharType="end"/>
            </w:r>
          </w:hyperlink>
        </w:p>
        <w:p w14:paraId="7230533C" w14:textId="6F393602"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6" w:history="1">
            <w:r w:rsidRPr="00FF2CDF">
              <w:rPr>
                <w:rStyle w:val="Hyperlink"/>
                <w:noProof/>
                <w:sz w:val="24"/>
                <w:szCs w:val="24"/>
              </w:rPr>
              <w:t>3.6.7 Research Directions and Positioning of the Study</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_Toc227353516 \h </w:instrText>
            </w:r>
            <w:r w:rsidRPr="00FF2CDF">
              <w:rPr>
                <w:noProof/>
                <w:webHidden/>
                <w:sz w:val="24"/>
                <w:szCs w:val="24"/>
              </w:rPr>
            </w:r>
            <w:r w:rsidRPr="00FF2CDF">
              <w:rPr>
                <w:noProof/>
                <w:webHidden/>
                <w:sz w:val="24"/>
                <w:szCs w:val="24"/>
              </w:rPr>
              <w:fldChar w:fldCharType="separate"/>
            </w:r>
            <w:r w:rsidRPr="00FF2CDF">
              <w:rPr>
                <w:noProof/>
                <w:webHidden/>
                <w:sz w:val="24"/>
                <w:szCs w:val="24"/>
              </w:rPr>
              <w:t>24</w:t>
            </w:r>
            <w:r w:rsidRPr="00FF2CDF">
              <w:rPr>
                <w:noProof/>
                <w:webHidden/>
                <w:sz w:val="24"/>
                <w:szCs w:val="24"/>
              </w:rPr>
              <w:fldChar w:fldCharType="end"/>
            </w:r>
          </w:hyperlink>
        </w:p>
        <w:p w14:paraId="42F6095A" w14:textId="42B1E2A9"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7" w:history="1">
            <w:r w:rsidRPr="00FF2CDF">
              <w:rPr>
                <w:rStyle w:val="Hyperlink"/>
                <w:noProof/>
                <w:sz w:val="24"/>
                <w:szCs w:val="24"/>
              </w:rPr>
              <w:t>3.7 Research Questions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_Toc227353517 \h </w:instrText>
            </w:r>
            <w:r w:rsidRPr="00FF2CDF">
              <w:rPr>
                <w:noProof/>
                <w:webHidden/>
                <w:sz w:val="24"/>
                <w:szCs w:val="24"/>
              </w:rPr>
            </w:r>
            <w:r w:rsidRPr="00FF2CDF">
              <w:rPr>
                <w:noProof/>
                <w:webHidden/>
                <w:sz w:val="24"/>
                <w:szCs w:val="24"/>
              </w:rPr>
              <w:fldChar w:fldCharType="separate"/>
            </w:r>
            <w:r w:rsidRPr="00FF2CDF">
              <w:rPr>
                <w:noProof/>
                <w:webHidden/>
                <w:sz w:val="24"/>
                <w:szCs w:val="24"/>
              </w:rPr>
              <w:t>25</w:t>
            </w:r>
            <w:r w:rsidRPr="00FF2CDF">
              <w:rPr>
                <w:noProof/>
                <w:webHidden/>
                <w:sz w:val="24"/>
                <w:szCs w:val="24"/>
              </w:rPr>
              <w:fldChar w:fldCharType="end"/>
            </w:r>
          </w:hyperlink>
        </w:p>
        <w:p w14:paraId="73D1928A" w14:textId="70B3D69D"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8" w:history="1">
            <w:r w:rsidRPr="00FF2CDF">
              <w:rPr>
                <w:rStyle w:val="Hyperlink"/>
                <w:noProof/>
                <w:sz w:val="24"/>
                <w:szCs w:val="24"/>
              </w:rPr>
              <w:t>3.8 Conclusion</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_Toc227353518 \h </w:instrText>
            </w:r>
            <w:r w:rsidRPr="00FF2CDF">
              <w:rPr>
                <w:noProof/>
                <w:webHidden/>
                <w:sz w:val="24"/>
                <w:szCs w:val="24"/>
              </w:rPr>
            </w:r>
            <w:r w:rsidRPr="00FF2CDF">
              <w:rPr>
                <w:noProof/>
                <w:webHidden/>
                <w:sz w:val="24"/>
                <w:szCs w:val="24"/>
              </w:rPr>
              <w:fldChar w:fldCharType="separate"/>
            </w:r>
            <w:r w:rsidRPr="00FF2CDF">
              <w:rPr>
                <w:noProof/>
                <w:webHidden/>
                <w:sz w:val="24"/>
                <w:szCs w:val="24"/>
              </w:rPr>
              <w:t>25</w:t>
            </w:r>
            <w:r w:rsidRPr="00FF2CDF">
              <w:rPr>
                <w:noProof/>
                <w:webHidden/>
                <w:sz w:val="24"/>
                <w:szCs w:val="24"/>
              </w:rPr>
              <w:fldChar w:fldCharType="end"/>
            </w:r>
          </w:hyperlink>
        </w:p>
        <w:p w14:paraId="49EFB7F6" w14:textId="4D7F5EF6"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19" w:history="1">
            <w:r w:rsidRPr="00FF2CDF">
              <w:rPr>
                <w:rStyle w:val="Hyperlink"/>
                <w:noProof/>
                <w:sz w:val="24"/>
                <w:szCs w:val="24"/>
              </w:rPr>
              <w:t>4 References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_Toc227353519 \h </w:instrText>
            </w:r>
            <w:r w:rsidRPr="00FF2CDF">
              <w:rPr>
                <w:noProof/>
                <w:webHidden/>
                <w:sz w:val="24"/>
                <w:szCs w:val="24"/>
              </w:rPr>
            </w:r>
            <w:r w:rsidRPr="00FF2CDF">
              <w:rPr>
                <w:noProof/>
                <w:webHidden/>
                <w:sz w:val="24"/>
                <w:szCs w:val="24"/>
              </w:rPr>
              <w:fldChar w:fldCharType="separate"/>
            </w:r>
            <w:r w:rsidRPr="00FF2CDF">
              <w:rPr>
                <w:noProof/>
                <w:webHidden/>
                <w:sz w:val="24"/>
                <w:szCs w:val="24"/>
              </w:rPr>
              <w:t>27</w:t>
            </w:r>
            <w:r w:rsidRPr="00FF2CDF">
              <w:rPr>
                <w:noProof/>
                <w:webHidden/>
                <w:sz w:val="24"/>
                <w:szCs w:val="24"/>
              </w:rPr>
              <w:fldChar w:fldCharType="end"/>
            </w:r>
          </w:hyperlink>
        </w:p>
        <w:p w14:paraId="0C712DB7" w14:textId="619261F7" w:rsidR="00FF2CDF" w:rsidRPr="00FF2CDF" w:rsidRDefault="00FF2CDF">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353520" w:history="1">
            <w:r w:rsidRPr="00FF2CDF">
              <w:rPr>
                <w:rStyle w:val="Hyperlink"/>
                <w:noProof/>
                <w:sz w:val="24"/>
                <w:szCs w:val="24"/>
              </w:rPr>
              <w:t>5 Appendices</w:t>
            </w:r>
            <w:r w:rsidRPr="00FF2CDF">
              <w:rPr>
                <w:noProof/>
                <w:webHidden/>
                <w:sz w:val="24"/>
                <w:szCs w:val="24"/>
              </w:rPr>
              <w:tab/>
            </w:r>
            <w:r w:rsidRPr="00FF2CDF">
              <w:rPr>
                <w:noProof/>
                <w:webHidden/>
                <w:sz w:val="24"/>
                <w:szCs w:val="24"/>
              </w:rPr>
              <w:fldChar w:fldCharType="begin"/>
            </w:r>
            <w:r w:rsidRPr="00FF2CDF">
              <w:rPr>
                <w:noProof/>
                <w:webHidden/>
                <w:sz w:val="24"/>
                <w:szCs w:val="24"/>
              </w:rPr>
              <w:instrText xml:space="preserve"> PAGEREF _Toc227353520 \h </w:instrText>
            </w:r>
            <w:r w:rsidRPr="00FF2CDF">
              <w:rPr>
                <w:noProof/>
                <w:webHidden/>
                <w:sz w:val="24"/>
                <w:szCs w:val="24"/>
              </w:rPr>
            </w:r>
            <w:r w:rsidRPr="00FF2CDF">
              <w:rPr>
                <w:noProof/>
                <w:webHidden/>
                <w:sz w:val="24"/>
                <w:szCs w:val="24"/>
              </w:rPr>
              <w:fldChar w:fldCharType="separate"/>
            </w:r>
            <w:r w:rsidRPr="00FF2CDF">
              <w:rPr>
                <w:noProof/>
                <w:webHidden/>
                <w:sz w:val="24"/>
                <w:szCs w:val="24"/>
              </w:rPr>
              <w:t>34</w:t>
            </w:r>
            <w:r w:rsidRPr="00FF2CDF">
              <w:rPr>
                <w:noProof/>
                <w:webHidden/>
                <w:sz w:val="24"/>
                <w:szCs w:val="24"/>
              </w:rPr>
              <w:fldChar w:fldCharType="end"/>
            </w:r>
          </w:hyperlink>
        </w:p>
        <w:p w14:paraId="42A02619" w14:textId="6CF374AF" w:rsidR="004F7E38" w:rsidRPr="00F70CB0" w:rsidRDefault="004F7E38">
          <w:pPr>
            <w:rPr>
              <w:sz w:val="24"/>
              <w:szCs w:val="24"/>
            </w:rPr>
          </w:pPr>
          <w:r w:rsidRPr="00FF2CDF">
            <w:rPr>
              <w:b/>
              <w:bCs/>
              <w:sz w:val="24"/>
              <w:szCs w:val="24"/>
            </w:rPr>
            <w:fldChar w:fldCharType="end"/>
          </w:r>
        </w:p>
      </w:sdtContent>
    </w:sdt>
    <w:p w14:paraId="2FCA1E46" w14:textId="43CF4FC8" w:rsidR="00F46854" w:rsidRPr="00F70CB0" w:rsidRDefault="00F46854" w:rsidP="009A48AE">
      <w:pPr>
        <w:spacing w:before="0" w:after="160" w:line="360" w:lineRule="auto"/>
        <w:jc w:val="both"/>
        <w:rPr>
          <w:b/>
          <w:bCs/>
          <w:sz w:val="32"/>
          <w:szCs w:val="32"/>
        </w:rPr>
      </w:pPr>
    </w:p>
    <w:p w14:paraId="675E9AC1" w14:textId="77777777" w:rsidR="00785D90" w:rsidRPr="00F70CB0" w:rsidRDefault="00785D90" w:rsidP="009A48AE">
      <w:pPr>
        <w:spacing w:before="0" w:after="160" w:line="360" w:lineRule="auto"/>
        <w:jc w:val="both"/>
        <w:rPr>
          <w:sz w:val="24"/>
          <w:szCs w:val="24"/>
        </w:rPr>
      </w:pPr>
    </w:p>
    <w:p w14:paraId="166EFC77" w14:textId="77777777" w:rsidR="00785D90" w:rsidRPr="00F70CB0" w:rsidRDefault="00785D90" w:rsidP="009A48AE">
      <w:pPr>
        <w:spacing w:before="0" w:after="160" w:line="360" w:lineRule="auto"/>
        <w:jc w:val="both"/>
        <w:rPr>
          <w:sz w:val="24"/>
          <w:szCs w:val="24"/>
        </w:rPr>
      </w:pPr>
    </w:p>
    <w:p w14:paraId="12AA06DF" w14:textId="77777777" w:rsidR="00785D90" w:rsidRPr="00F70CB0" w:rsidRDefault="00785D90" w:rsidP="009A48AE">
      <w:pPr>
        <w:spacing w:before="0" w:after="160" w:line="360" w:lineRule="auto"/>
        <w:jc w:val="both"/>
        <w:rPr>
          <w:sz w:val="24"/>
          <w:szCs w:val="24"/>
        </w:rPr>
      </w:pPr>
    </w:p>
    <w:p w14:paraId="4A7D3008" w14:textId="77777777" w:rsidR="001D0D81" w:rsidRPr="00F70CB0" w:rsidRDefault="001D0D81" w:rsidP="009A48AE">
      <w:pPr>
        <w:spacing w:before="0" w:after="160" w:line="360" w:lineRule="auto"/>
        <w:jc w:val="both"/>
        <w:rPr>
          <w:sz w:val="24"/>
          <w:szCs w:val="24"/>
        </w:rPr>
      </w:pPr>
    </w:p>
    <w:p w14:paraId="61E08174" w14:textId="77777777" w:rsidR="001D0D81" w:rsidRPr="00F70CB0" w:rsidRDefault="001D0D81" w:rsidP="009A48AE">
      <w:pPr>
        <w:spacing w:before="0" w:after="160" w:line="360" w:lineRule="auto"/>
        <w:jc w:val="both"/>
        <w:rPr>
          <w:sz w:val="24"/>
          <w:szCs w:val="24"/>
        </w:rPr>
      </w:pPr>
    </w:p>
    <w:p w14:paraId="532C537A" w14:textId="77777777" w:rsidR="00C84641" w:rsidRPr="00F70CB0" w:rsidRDefault="00C84641" w:rsidP="009A48AE">
      <w:pPr>
        <w:spacing w:before="0" w:after="160" w:line="360" w:lineRule="auto"/>
        <w:jc w:val="both"/>
        <w:rPr>
          <w:sz w:val="24"/>
          <w:szCs w:val="24"/>
        </w:rPr>
      </w:pPr>
    </w:p>
    <w:p w14:paraId="3900E7B1" w14:textId="72C54E6F" w:rsidR="00C84641" w:rsidRPr="00F70CB0" w:rsidRDefault="00785D90" w:rsidP="00C84641">
      <w:pPr>
        <w:pStyle w:val="Heading1"/>
        <w:rPr>
          <w:rFonts w:ascii="Times New Roman" w:hAnsi="Times New Roman" w:cs="Times New Roman"/>
          <w:sz w:val="32"/>
          <w:szCs w:val="32"/>
        </w:rPr>
      </w:pPr>
      <w:bookmarkStart w:id="0" w:name="_Toc227353468"/>
      <w:r w:rsidRPr="00F70CB0">
        <w:rPr>
          <w:rFonts w:ascii="Times New Roman" w:hAnsi="Times New Roman" w:cs="Times New Roman"/>
          <w:sz w:val="32"/>
          <w:szCs w:val="32"/>
        </w:rPr>
        <w:lastRenderedPageBreak/>
        <w:t>Part 1</w:t>
      </w:r>
      <w:bookmarkEnd w:id="0"/>
    </w:p>
    <w:p w14:paraId="48444D58" w14:textId="66D141BF" w:rsidR="00F73394" w:rsidRPr="00F70CB0" w:rsidRDefault="00BB41D7">
      <w:pPr>
        <w:pStyle w:val="Heading1"/>
        <w:numPr>
          <w:ilvl w:val="1"/>
          <w:numId w:val="37"/>
        </w:numPr>
        <w:rPr>
          <w:rFonts w:ascii="Times New Roman" w:hAnsi="Times New Roman" w:cs="Times New Roman"/>
          <w:sz w:val="32"/>
          <w:szCs w:val="32"/>
        </w:rPr>
      </w:pPr>
      <w:bookmarkStart w:id="1" w:name="_Toc227353469"/>
      <w:r w:rsidRPr="00F70CB0">
        <w:rPr>
          <w:rFonts w:ascii="Times New Roman" w:hAnsi="Times New Roman" w:cs="Times New Roman"/>
          <w:sz w:val="32"/>
          <w:szCs w:val="32"/>
        </w:rPr>
        <w:t>Introduction</w:t>
      </w:r>
      <w:bookmarkEnd w:id="1"/>
    </w:p>
    <w:p w14:paraId="7D54552F" w14:textId="651BB9FD" w:rsidR="00B3085B" w:rsidRPr="00F70CB0" w:rsidRDefault="00B3085B" w:rsidP="00B3085B">
      <w:pPr>
        <w:pStyle w:val="NormalWeb"/>
        <w:jc w:val="both"/>
      </w:pPr>
      <w:r w:rsidRPr="00F70CB0">
        <w:t xml:space="preserve">A critical literature review (CLR) </w:t>
      </w:r>
      <w:r w:rsidR="0087548A" w:rsidRPr="00F70CB0">
        <w:t>goes beyond a descriptive summary of existing studies and instead provides a systematic, analytical assessment</w:t>
      </w:r>
      <w:r w:rsidRPr="00F70CB0">
        <w:t xml:space="preserve"> of scholarly work within a particular field (Ridley, 2012; Machi and McEvoy, 2016). It involves </w:t>
      </w:r>
      <w:r w:rsidR="0087548A" w:rsidRPr="00F70CB0">
        <w:t>critically considering</w:t>
      </w:r>
      <w:r w:rsidRPr="00F70CB0">
        <w:t xml:space="preserve"> </w:t>
      </w:r>
      <w:r w:rsidR="00DD1759" w:rsidRPr="00F70CB0">
        <w:t>previous</w:t>
      </w:r>
      <w:r w:rsidRPr="00F70CB0">
        <w:t xml:space="preserve"> research, assessing its strengths, limitations, and overall contributions. Unlike descriptive reviews, which primarily report findings, a CLR </w:t>
      </w:r>
      <w:r w:rsidR="00DD1759" w:rsidRPr="00F70CB0">
        <w:t>involves</w:t>
      </w:r>
      <w:r w:rsidRPr="00F70CB0">
        <w:t xml:space="preserve"> active engagement with the literature, </w:t>
      </w:r>
      <w:r w:rsidR="00DD1759" w:rsidRPr="00F70CB0">
        <w:t>allowing</w:t>
      </w:r>
      <w:r w:rsidRPr="00F70CB0">
        <w:t xml:space="preserve"> the researcher to evaluate the quality, relevance, and applicability of existing knowledge within a doctoral research context (Torraco, 2005; Webster and Watson, 2002). This </w:t>
      </w:r>
      <w:r w:rsidR="00DD1759" w:rsidRPr="00F70CB0">
        <w:t>underlines</w:t>
      </w:r>
      <w:r w:rsidRPr="00F70CB0">
        <w:t xml:space="preserve"> that a CLR is not only concerned with what is known, but also with how knowledge has been </w:t>
      </w:r>
      <w:r w:rsidR="00DD1759" w:rsidRPr="00F70CB0">
        <w:t>built</w:t>
      </w:r>
      <w:r w:rsidRPr="00F70CB0">
        <w:t xml:space="preserve"> and where its limitations lie.</w:t>
      </w:r>
    </w:p>
    <w:p w14:paraId="2754FA84" w14:textId="6D8946EC" w:rsidR="00B3085B" w:rsidRPr="00F70CB0" w:rsidRDefault="00B3085B" w:rsidP="00B3085B">
      <w:pPr>
        <w:pStyle w:val="NormalWeb"/>
        <w:jc w:val="both"/>
      </w:pPr>
      <w:r w:rsidRPr="00F70CB0">
        <w:t xml:space="preserve">Within doctoral research, a CLR plays </w:t>
      </w:r>
      <w:r w:rsidR="00DD1759" w:rsidRPr="00F70CB0">
        <w:t>an</w:t>
      </w:r>
      <w:r w:rsidRPr="00F70CB0">
        <w:t xml:space="preserve"> </w:t>
      </w:r>
      <w:r w:rsidR="00DD1759" w:rsidRPr="00F70CB0">
        <w:t>underlying</w:t>
      </w:r>
      <w:r w:rsidRPr="00F70CB0">
        <w:t xml:space="preserve"> role in </w:t>
      </w:r>
      <w:r w:rsidR="00DD1759" w:rsidRPr="00F70CB0">
        <w:t>determining</w:t>
      </w:r>
      <w:r w:rsidRPr="00F70CB0">
        <w:t xml:space="preserve"> the direction and </w:t>
      </w:r>
      <w:r w:rsidR="00DD1759" w:rsidRPr="00F70CB0">
        <w:t>logical</w:t>
      </w:r>
      <w:r w:rsidRPr="00F70CB0">
        <w:t xml:space="preserve"> foundation of the study. It enables researchers to develop a comprehensive understanding of existing knowledge while </w:t>
      </w:r>
      <w:r w:rsidR="00DD1759" w:rsidRPr="00F70CB0">
        <w:t>detecting</w:t>
      </w:r>
      <w:r w:rsidRPr="00F70CB0">
        <w:t xml:space="preserve"> inconsistencies, theoretical limitations, and under-</w:t>
      </w:r>
      <w:r w:rsidR="00DD1759" w:rsidRPr="00F70CB0">
        <w:t>investigated</w:t>
      </w:r>
      <w:r w:rsidRPr="00F70CB0">
        <w:t xml:space="preserve"> areas (Booth et al., 2016; Snyder, 2019). Through critical engagement, researchers can </w:t>
      </w:r>
      <w:r w:rsidR="00DD1759" w:rsidRPr="00F70CB0">
        <w:t>verify</w:t>
      </w:r>
      <w:r w:rsidRPr="00F70CB0">
        <w:t xml:space="preserve"> where evidence is insufficient, where theoretical frameworks require refinement, and where findings lack consistency. This process is essential for justifying the need for further research and ensuring that the study contributes meaningfully to academic discourse.</w:t>
      </w:r>
    </w:p>
    <w:p w14:paraId="021B58F9" w14:textId="0F3F7DE5" w:rsidR="00B3085B" w:rsidRPr="00F70CB0" w:rsidRDefault="00B3085B" w:rsidP="00B3085B">
      <w:pPr>
        <w:pStyle w:val="NormalWeb"/>
        <w:jc w:val="both"/>
      </w:pPr>
      <w:r w:rsidRPr="00F70CB0">
        <w:t xml:space="preserve">Furthermore, a CLR </w:t>
      </w:r>
      <w:r w:rsidR="00DD1759" w:rsidRPr="00F70CB0">
        <w:t>determines</w:t>
      </w:r>
      <w:r w:rsidRPr="00F70CB0">
        <w:t xml:space="preserve"> the theoretical and conceptual foundation that </w:t>
      </w:r>
      <w:r w:rsidR="00DD1759" w:rsidRPr="00F70CB0">
        <w:t>supports</w:t>
      </w:r>
      <w:r w:rsidRPr="00F70CB0">
        <w:t xml:space="preserve"> the research. It ensures that the study is grounded in established literature while also </w:t>
      </w:r>
      <w:r w:rsidR="00DD1759" w:rsidRPr="00F70CB0">
        <w:t>driving</w:t>
      </w:r>
      <w:r w:rsidRPr="00F70CB0">
        <w:t xml:space="preserve"> the development of research questions and </w:t>
      </w:r>
      <w:r w:rsidR="00DD1759" w:rsidRPr="00F70CB0">
        <w:t>critical</w:t>
      </w:r>
      <w:r w:rsidRPr="00F70CB0">
        <w:t xml:space="preserve"> direction. In this sense, the CLR supports the </w:t>
      </w:r>
      <w:r w:rsidR="00DD1759" w:rsidRPr="00F70CB0">
        <w:t>shift</w:t>
      </w:r>
      <w:r w:rsidRPr="00F70CB0">
        <w:t xml:space="preserve"> of the researcher from </w:t>
      </w:r>
      <w:r w:rsidR="00DD1759" w:rsidRPr="00F70CB0">
        <w:t>an</w:t>
      </w:r>
      <w:r w:rsidRPr="00F70CB0">
        <w:t xml:space="preserve"> </w:t>
      </w:r>
      <w:r w:rsidR="00DD1759" w:rsidRPr="00F70CB0">
        <w:t>inactive</w:t>
      </w:r>
      <w:r w:rsidRPr="00F70CB0">
        <w:t xml:space="preserve"> consumer of knowledge to an active contributor to the field. Therefore, a critical literature review can be understood as </w:t>
      </w:r>
      <w:r w:rsidR="00057E24" w:rsidRPr="00F70CB0">
        <w:t xml:space="preserve">a principal </w:t>
      </w:r>
      <w:r w:rsidR="00DD1759" w:rsidRPr="00F70CB0">
        <w:t>element</w:t>
      </w:r>
      <w:r w:rsidRPr="00F70CB0">
        <w:t xml:space="preserve"> of doctoral research, demonstrating critical engagement, analytical capability, and the identification of meaningful research gaps (Ridley, 2012; Booth et al., 2016).</w:t>
      </w:r>
    </w:p>
    <w:p w14:paraId="6E30F2B7" w14:textId="66397847" w:rsidR="00B3085B" w:rsidRPr="00F70CB0" w:rsidRDefault="00B3085B" w:rsidP="00B3085B">
      <w:pPr>
        <w:pStyle w:val="NormalWeb"/>
        <w:jc w:val="both"/>
      </w:pPr>
      <w:r w:rsidRPr="00F70CB0">
        <w:t xml:space="preserve">The </w:t>
      </w:r>
      <w:r w:rsidR="00DD1759" w:rsidRPr="00F70CB0">
        <w:t>leading</w:t>
      </w:r>
      <w:r w:rsidRPr="00F70CB0">
        <w:t xml:space="preserve"> purpose of a CLR is to develop a comprehensive and critical understanding of existing literature through systematic analysis (Booth et al., 2016; Snyder, 2019). It enables the identification of key gaps, avoids </w:t>
      </w:r>
      <w:r w:rsidR="00DD1759" w:rsidRPr="00F70CB0">
        <w:t>excessive</w:t>
      </w:r>
      <w:r w:rsidRPr="00F70CB0">
        <w:t xml:space="preserve"> duplication of research, and supports the development of theoretically </w:t>
      </w:r>
      <w:r w:rsidR="00DD1759" w:rsidRPr="00F70CB0">
        <w:t>based</w:t>
      </w:r>
      <w:r w:rsidRPr="00F70CB0">
        <w:t xml:space="preserve"> research questions. In this way, the CLR not only consolidates existing knowledge but also guides the direction of future research.</w:t>
      </w:r>
    </w:p>
    <w:p w14:paraId="4C334B01" w14:textId="518D2D55" w:rsidR="00B3085B" w:rsidRPr="00F70CB0" w:rsidRDefault="00B3085B" w:rsidP="008A5D84">
      <w:pPr>
        <w:pStyle w:val="NormalWeb"/>
        <w:jc w:val="both"/>
      </w:pPr>
      <w:r w:rsidRPr="00F70CB0">
        <w:t>In the context of this study, the CLR focuses on digital banking services, with particular emphasis on factors influencing customer preference and continued usage within the UK retail banking sector.</w:t>
      </w:r>
    </w:p>
    <w:p w14:paraId="211AE13E" w14:textId="7F81BF58" w:rsidR="004534F2" w:rsidRPr="00F70CB0" w:rsidRDefault="00483BD7" w:rsidP="00483BD7">
      <w:pPr>
        <w:pStyle w:val="Heading1"/>
        <w:rPr>
          <w:rFonts w:ascii="Times New Roman" w:hAnsi="Times New Roman" w:cs="Times New Roman"/>
          <w:sz w:val="32"/>
          <w:szCs w:val="32"/>
        </w:rPr>
      </w:pPr>
      <w:bookmarkStart w:id="2" w:name="_Toc227353470"/>
      <w:r w:rsidRPr="00F70CB0">
        <w:rPr>
          <w:rFonts w:ascii="Times New Roman" w:hAnsi="Times New Roman" w:cs="Times New Roman"/>
          <w:sz w:val="32"/>
          <w:szCs w:val="32"/>
        </w:rPr>
        <w:t xml:space="preserve">1.2 </w:t>
      </w:r>
      <w:r w:rsidR="004534F2" w:rsidRPr="00F70CB0">
        <w:rPr>
          <w:rFonts w:ascii="Times New Roman" w:hAnsi="Times New Roman" w:cs="Times New Roman"/>
          <w:sz w:val="32"/>
          <w:szCs w:val="32"/>
        </w:rPr>
        <w:t>Types of Literature Review</w:t>
      </w:r>
      <w:bookmarkEnd w:id="2"/>
    </w:p>
    <w:p w14:paraId="15706ECC" w14:textId="6F5A7F6C" w:rsidR="00A81EEE" w:rsidRPr="00F70CB0" w:rsidRDefault="0054161B" w:rsidP="00A81EEE">
      <w:pPr>
        <w:spacing w:before="100" w:beforeAutospacing="1" w:after="100" w:afterAutospacing="1"/>
        <w:jc w:val="both"/>
        <w:rPr>
          <w:sz w:val="24"/>
          <w:szCs w:val="24"/>
          <w:lang w:val="en-GB" w:eastAsia="en-GB"/>
        </w:rPr>
      </w:pPr>
      <w:r w:rsidRPr="00F70CB0">
        <w:rPr>
          <w:sz w:val="24"/>
          <w:szCs w:val="24"/>
          <w:lang w:eastAsia="en-GB"/>
        </w:rPr>
        <w:t xml:space="preserve">Three main </w:t>
      </w:r>
      <w:r w:rsidR="00244A15" w:rsidRPr="00F70CB0">
        <w:rPr>
          <w:sz w:val="24"/>
          <w:szCs w:val="24"/>
          <w:lang w:eastAsia="en-GB"/>
        </w:rPr>
        <w:t>forms</w:t>
      </w:r>
      <w:r w:rsidRPr="00F70CB0">
        <w:rPr>
          <w:sz w:val="24"/>
          <w:szCs w:val="24"/>
          <w:lang w:eastAsia="en-GB"/>
        </w:rPr>
        <w:t xml:space="preserve"> of literature reviews are </w:t>
      </w:r>
      <w:r w:rsidR="00244A15" w:rsidRPr="00F70CB0">
        <w:rPr>
          <w:sz w:val="24"/>
          <w:szCs w:val="24"/>
          <w:lang w:eastAsia="en-GB"/>
        </w:rPr>
        <w:t>generally</w:t>
      </w:r>
      <w:r w:rsidRPr="00F70CB0">
        <w:rPr>
          <w:sz w:val="24"/>
          <w:szCs w:val="24"/>
          <w:lang w:eastAsia="en-GB"/>
        </w:rPr>
        <w:t xml:space="preserve"> used in academic research: narrative, systematic, and scoping reviews. Each approach </w:t>
      </w:r>
      <w:r w:rsidR="00244A15" w:rsidRPr="00F70CB0">
        <w:rPr>
          <w:sz w:val="24"/>
          <w:szCs w:val="24"/>
          <w:lang w:eastAsia="en-GB"/>
        </w:rPr>
        <w:t>varies</w:t>
      </w:r>
      <w:r w:rsidRPr="00F70CB0">
        <w:rPr>
          <w:sz w:val="24"/>
          <w:szCs w:val="24"/>
          <w:lang w:eastAsia="en-GB"/>
        </w:rPr>
        <w:t xml:space="preserve"> in terms of structure, purpose, and level of methodological rigour. The choice of review type depends on the research </w:t>
      </w:r>
      <w:r w:rsidR="00D435DD" w:rsidRPr="00F70CB0">
        <w:rPr>
          <w:sz w:val="24"/>
          <w:szCs w:val="24"/>
          <w:lang w:eastAsia="en-GB"/>
        </w:rPr>
        <w:t>aims</w:t>
      </w:r>
      <w:r w:rsidRPr="00F70CB0">
        <w:rPr>
          <w:sz w:val="24"/>
          <w:szCs w:val="24"/>
          <w:lang w:eastAsia="en-GB"/>
        </w:rPr>
        <w:t xml:space="preserve">, scope of the study, and the required level of transparency and </w:t>
      </w:r>
      <w:r w:rsidR="00244A15" w:rsidRPr="00F70CB0">
        <w:rPr>
          <w:sz w:val="24"/>
          <w:szCs w:val="24"/>
          <w:lang w:eastAsia="en-GB"/>
        </w:rPr>
        <w:t>consistency</w:t>
      </w:r>
      <w:r w:rsidRPr="00F70CB0">
        <w:rPr>
          <w:sz w:val="24"/>
          <w:szCs w:val="24"/>
          <w:lang w:eastAsia="en-GB"/>
        </w:rPr>
        <w:t xml:space="preserve"> (Booth et al., 2016; Snyder, </w:t>
      </w:r>
      <w:r w:rsidRPr="00F70CB0">
        <w:rPr>
          <w:sz w:val="24"/>
          <w:szCs w:val="24"/>
          <w:lang w:eastAsia="en-GB"/>
        </w:rPr>
        <w:lastRenderedPageBreak/>
        <w:t xml:space="preserve">2019). A </w:t>
      </w:r>
      <w:r w:rsidR="00244A15" w:rsidRPr="00F70CB0">
        <w:rPr>
          <w:sz w:val="24"/>
          <w:szCs w:val="24"/>
          <w:lang w:eastAsia="en-GB"/>
        </w:rPr>
        <w:t>proportional</w:t>
      </w:r>
      <w:r w:rsidRPr="00F70CB0">
        <w:rPr>
          <w:sz w:val="24"/>
          <w:szCs w:val="24"/>
          <w:lang w:eastAsia="en-GB"/>
        </w:rPr>
        <w:t xml:space="preserve"> evaluation of these approaches is essential to </w:t>
      </w:r>
      <w:r w:rsidR="00D435DD" w:rsidRPr="00F70CB0">
        <w:rPr>
          <w:sz w:val="24"/>
          <w:szCs w:val="24"/>
          <w:lang w:eastAsia="en-GB"/>
        </w:rPr>
        <w:t>find</w:t>
      </w:r>
      <w:r w:rsidRPr="00F70CB0">
        <w:rPr>
          <w:sz w:val="24"/>
          <w:szCs w:val="24"/>
          <w:lang w:eastAsia="en-GB"/>
        </w:rPr>
        <w:t xml:space="preserve"> their suitability within different research contexts.</w:t>
      </w:r>
    </w:p>
    <w:p w14:paraId="155740E8" w14:textId="28DC4F84" w:rsidR="00A81EEE" w:rsidRPr="00F70CB0" w:rsidRDefault="00483BD7" w:rsidP="00326C32">
      <w:pPr>
        <w:pStyle w:val="Heading1"/>
        <w:rPr>
          <w:rFonts w:ascii="Times New Roman" w:hAnsi="Times New Roman" w:cs="Times New Roman"/>
          <w:sz w:val="28"/>
          <w:szCs w:val="28"/>
        </w:rPr>
      </w:pPr>
      <w:bookmarkStart w:id="3" w:name="_Toc227353471"/>
      <w:r w:rsidRPr="00F70CB0">
        <w:rPr>
          <w:rFonts w:ascii="Times New Roman" w:hAnsi="Times New Roman" w:cs="Times New Roman"/>
          <w:sz w:val="28"/>
          <w:szCs w:val="28"/>
        </w:rPr>
        <w:t>1.2.</w:t>
      </w:r>
      <w:r w:rsidR="00A81EEE" w:rsidRPr="00F70CB0">
        <w:rPr>
          <w:rFonts w:ascii="Times New Roman" w:hAnsi="Times New Roman" w:cs="Times New Roman"/>
          <w:sz w:val="28"/>
          <w:szCs w:val="28"/>
        </w:rPr>
        <w:t>1. Narrative Review</w:t>
      </w:r>
      <w:bookmarkEnd w:id="3"/>
    </w:p>
    <w:p w14:paraId="76C171E2" w14:textId="10889BEB" w:rsidR="00A81EEE" w:rsidRPr="00F70CB0" w:rsidRDefault="004878D1" w:rsidP="00A81EEE">
      <w:pPr>
        <w:spacing w:before="100" w:beforeAutospacing="1" w:after="100" w:afterAutospacing="1"/>
        <w:jc w:val="both"/>
        <w:rPr>
          <w:b/>
          <w:bCs/>
          <w:sz w:val="24"/>
          <w:szCs w:val="24"/>
          <w:lang w:val="en-GB" w:eastAsia="en-GB"/>
        </w:rPr>
      </w:pPr>
      <w:r w:rsidRPr="00F70CB0">
        <w:rPr>
          <w:sz w:val="24"/>
          <w:szCs w:val="24"/>
          <w:lang w:eastAsia="en-GB"/>
        </w:rPr>
        <w:t xml:space="preserve">A narrative review provides a broad and flexible </w:t>
      </w:r>
      <w:r w:rsidR="009B2C27" w:rsidRPr="00F70CB0">
        <w:rPr>
          <w:sz w:val="24"/>
          <w:szCs w:val="24"/>
          <w:lang w:eastAsia="en-GB"/>
        </w:rPr>
        <w:t>outline</w:t>
      </w:r>
      <w:r w:rsidRPr="00F70CB0">
        <w:rPr>
          <w:sz w:val="24"/>
          <w:szCs w:val="24"/>
          <w:lang w:eastAsia="en-GB"/>
        </w:rPr>
        <w:t xml:space="preserve"> of a topic, often used to trace the development of concepts or offer general </w:t>
      </w:r>
      <w:r w:rsidR="009B2C27" w:rsidRPr="00F70CB0">
        <w:rPr>
          <w:sz w:val="24"/>
          <w:szCs w:val="24"/>
          <w:lang w:eastAsia="en-GB"/>
        </w:rPr>
        <w:t>visions</w:t>
      </w:r>
      <w:r w:rsidRPr="00F70CB0">
        <w:rPr>
          <w:sz w:val="24"/>
          <w:szCs w:val="24"/>
          <w:lang w:eastAsia="en-GB"/>
        </w:rPr>
        <w:t xml:space="preserve"> within a field. However, due to the absence of a clearly defined methodological structure, narrative reviews may lack transparency and consistency. This can reduce their reliability and make them less suitable for rigorous academic research (Torraco, 2005).</w:t>
      </w:r>
    </w:p>
    <w:p w14:paraId="763AD3EC" w14:textId="7224B9E2" w:rsidR="00A81EEE" w:rsidRPr="00F70CB0" w:rsidRDefault="00483BD7" w:rsidP="00326C32">
      <w:pPr>
        <w:pStyle w:val="Heading1"/>
        <w:rPr>
          <w:rFonts w:ascii="Times New Roman" w:hAnsi="Times New Roman" w:cs="Times New Roman"/>
          <w:sz w:val="28"/>
          <w:szCs w:val="28"/>
        </w:rPr>
      </w:pPr>
      <w:bookmarkStart w:id="4" w:name="_Toc227353472"/>
      <w:r w:rsidRPr="00F70CB0">
        <w:rPr>
          <w:rFonts w:ascii="Times New Roman" w:hAnsi="Times New Roman" w:cs="Times New Roman"/>
          <w:sz w:val="28"/>
          <w:szCs w:val="28"/>
        </w:rPr>
        <w:t>1.2.</w:t>
      </w:r>
      <w:r w:rsidR="00A81EEE" w:rsidRPr="00F70CB0">
        <w:rPr>
          <w:rFonts w:ascii="Times New Roman" w:hAnsi="Times New Roman" w:cs="Times New Roman"/>
          <w:sz w:val="28"/>
          <w:szCs w:val="28"/>
        </w:rPr>
        <w:t>2. Systematic Review</w:t>
      </w:r>
      <w:bookmarkEnd w:id="4"/>
    </w:p>
    <w:p w14:paraId="5933B52C" w14:textId="23666F04" w:rsidR="00A81EEE" w:rsidRPr="00F70CB0" w:rsidRDefault="009C50F6" w:rsidP="00A81EEE">
      <w:pPr>
        <w:spacing w:before="100" w:beforeAutospacing="1" w:after="100" w:afterAutospacing="1"/>
        <w:jc w:val="both"/>
        <w:rPr>
          <w:b/>
          <w:bCs/>
          <w:sz w:val="24"/>
          <w:szCs w:val="24"/>
          <w:lang w:val="en-GB" w:eastAsia="en-GB"/>
        </w:rPr>
      </w:pPr>
      <w:r w:rsidRPr="00F70CB0">
        <w:rPr>
          <w:sz w:val="24"/>
          <w:szCs w:val="24"/>
          <w:lang w:eastAsia="en-GB"/>
        </w:rPr>
        <w:t xml:space="preserve">A systematic review adopts a </w:t>
      </w:r>
      <w:r w:rsidR="009B2C27" w:rsidRPr="00F70CB0">
        <w:rPr>
          <w:sz w:val="24"/>
          <w:szCs w:val="24"/>
          <w:lang w:eastAsia="en-GB"/>
        </w:rPr>
        <w:t>vastly</w:t>
      </w:r>
      <w:r w:rsidRPr="00F70CB0">
        <w:rPr>
          <w:sz w:val="24"/>
          <w:szCs w:val="24"/>
          <w:lang w:eastAsia="en-GB"/>
        </w:rPr>
        <w:t xml:space="preserve"> structured and transparent approach, designed to address a specific research question. It involves the identification, evaluation, and synthesis of </w:t>
      </w:r>
      <w:r w:rsidR="00C12F99" w:rsidRPr="00F70CB0">
        <w:rPr>
          <w:sz w:val="24"/>
          <w:szCs w:val="24"/>
          <w:lang w:eastAsia="en-GB"/>
        </w:rPr>
        <w:t>proper studies</w:t>
      </w:r>
      <w:r w:rsidRPr="00F70CB0">
        <w:rPr>
          <w:sz w:val="24"/>
          <w:szCs w:val="24"/>
          <w:lang w:eastAsia="en-GB"/>
        </w:rPr>
        <w:t xml:space="preserve"> using predefined inclusion and exclusion criteria. This approach enhances reliability, replicability, and methodological </w:t>
      </w:r>
      <w:r w:rsidR="009B2C27" w:rsidRPr="00F70CB0">
        <w:rPr>
          <w:sz w:val="24"/>
          <w:szCs w:val="24"/>
          <w:lang w:eastAsia="en-GB"/>
        </w:rPr>
        <w:t>attention</w:t>
      </w:r>
      <w:r w:rsidRPr="00F70CB0">
        <w:rPr>
          <w:sz w:val="24"/>
          <w:szCs w:val="24"/>
          <w:lang w:eastAsia="en-GB"/>
        </w:rPr>
        <w:t>, making it one of the most robust forms of literature review in academic research (</w:t>
      </w:r>
      <w:proofErr w:type="spellStart"/>
      <w:r w:rsidRPr="00F70CB0">
        <w:rPr>
          <w:sz w:val="24"/>
          <w:szCs w:val="24"/>
          <w:lang w:eastAsia="en-GB"/>
        </w:rPr>
        <w:t>Tranfield</w:t>
      </w:r>
      <w:proofErr w:type="spellEnd"/>
      <w:r w:rsidRPr="00F70CB0">
        <w:rPr>
          <w:sz w:val="24"/>
          <w:szCs w:val="24"/>
          <w:lang w:eastAsia="en-GB"/>
        </w:rPr>
        <w:t xml:space="preserve"> et al., 2003; Booth et al., 2016).</w:t>
      </w:r>
    </w:p>
    <w:p w14:paraId="2FBA4EA0" w14:textId="20CD1CAE" w:rsidR="00A81EEE" w:rsidRPr="00F70CB0" w:rsidRDefault="00483BD7" w:rsidP="00326C32">
      <w:pPr>
        <w:pStyle w:val="Heading1"/>
        <w:rPr>
          <w:rFonts w:ascii="Times New Roman" w:hAnsi="Times New Roman" w:cs="Times New Roman"/>
          <w:sz w:val="28"/>
          <w:szCs w:val="28"/>
        </w:rPr>
      </w:pPr>
      <w:bookmarkStart w:id="5" w:name="_Toc227353473"/>
      <w:r w:rsidRPr="00F70CB0">
        <w:rPr>
          <w:rFonts w:ascii="Times New Roman" w:hAnsi="Times New Roman" w:cs="Times New Roman"/>
          <w:sz w:val="28"/>
          <w:szCs w:val="28"/>
        </w:rPr>
        <w:t>1.2.</w:t>
      </w:r>
      <w:r w:rsidR="00A81EEE" w:rsidRPr="00F70CB0">
        <w:rPr>
          <w:rFonts w:ascii="Times New Roman" w:hAnsi="Times New Roman" w:cs="Times New Roman"/>
          <w:sz w:val="28"/>
          <w:szCs w:val="28"/>
        </w:rPr>
        <w:t>3. Scoping Review</w:t>
      </w:r>
      <w:bookmarkEnd w:id="5"/>
    </w:p>
    <w:p w14:paraId="2104B0FB" w14:textId="15E35A6A" w:rsidR="00A81EEE" w:rsidRPr="00F70CB0" w:rsidRDefault="004244F5" w:rsidP="00A81EEE">
      <w:pPr>
        <w:spacing w:before="100" w:beforeAutospacing="1" w:after="100" w:afterAutospacing="1"/>
        <w:jc w:val="both"/>
        <w:rPr>
          <w:b/>
          <w:bCs/>
          <w:sz w:val="24"/>
          <w:szCs w:val="24"/>
          <w:lang w:val="en-GB" w:eastAsia="en-GB"/>
        </w:rPr>
      </w:pPr>
      <w:r w:rsidRPr="00F70CB0">
        <w:rPr>
          <w:sz w:val="24"/>
          <w:szCs w:val="24"/>
          <w:lang w:eastAsia="en-GB"/>
        </w:rPr>
        <w:t xml:space="preserve">A scoping review </w:t>
      </w:r>
      <w:r w:rsidR="00944DE6" w:rsidRPr="00F70CB0">
        <w:rPr>
          <w:sz w:val="24"/>
          <w:szCs w:val="24"/>
          <w:lang w:eastAsia="en-GB"/>
        </w:rPr>
        <w:t>aims</w:t>
      </w:r>
      <w:r w:rsidRPr="00F70CB0">
        <w:rPr>
          <w:sz w:val="24"/>
          <w:szCs w:val="24"/>
          <w:lang w:eastAsia="en-GB"/>
        </w:rPr>
        <w:t xml:space="preserve"> to map the breadth of literature within a particular field. It is used to </w:t>
      </w:r>
      <w:r w:rsidR="00D435DD" w:rsidRPr="00F70CB0">
        <w:rPr>
          <w:sz w:val="24"/>
          <w:szCs w:val="24"/>
          <w:lang w:eastAsia="en-GB"/>
        </w:rPr>
        <w:t>show</w:t>
      </w:r>
      <w:r w:rsidRPr="00F70CB0">
        <w:rPr>
          <w:sz w:val="24"/>
          <w:szCs w:val="24"/>
          <w:lang w:eastAsia="en-GB"/>
        </w:rPr>
        <w:t xml:space="preserve"> key concepts, types of evidence, and existing research gaps. Unlike systematic reviews, it does not </w:t>
      </w:r>
      <w:r w:rsidR="00944DE6" w:rsidRPr="00F70CB0">
        <w:rPr>
          <w:sz w:val="24"/>
          <w:szCs w:val="24"/>
          <w:lang w:eastAsia="en-GB"/>
        </w:rPr>
        <w:t>normally</w:t>
      </w:r>
      <w:r w:rsidRPr="00F70CB0">
        <w:rPr>
          <w:sz w:val="24"/>
          <w:szCs w:val="24"/>
          <w:lang w:eastAsia="en-GB"/>
        </w:rPr>
        <w:t xml:space="preserve"> focus on answering a narrowly defined research question but instead provides </w:t>
      </w:r>
      <w:r w:rsidR="00944DE6" w:rsidRPr="00F70CB0">
        <w:rPr>
          <w:sz w:val="24"/>
          <w:szCs w:val="24"/>
          <w:lang w:eastAsia="en-GB"/>
        </w:rPr>
        <w:t>a</w:t>
      </w:r>
      <w:r w:rsidRPr="00F70CB0">
        <w:rPr>
          <w:sz w:val="24"/>
          <w:szCs w:val="24"/>
          <w:lang w:eastAsia="en-GB"/>
        </w:rPr>
        <w:t xml:space="preserve"> </w:t>
      </w:r>
      <w:r w:rsidR="00944DE6" w:rsidRPr="00F70CB0">
        <w:rPr>
          <w:sz w:val="24"/>
          <w:szCs w:val="24"/>
          <w:lang w:eastAsia="en-GB"/>
        </w:rPr>
        <w:t>probing</w:t>
      </w:r>
      <w:r w:rsidRPr="00F70CB0">
        <w:rPr>
          <w:sz w:val="24"/>
          <w:szCs w:val="24"/>
          <w:lang w:eastAsia="en-GB"/>
        </w:rPr>
        <w:t xml:space="preserve"> overview of the research landscape (Arksey and O’Malley, 2005).</w:t>
      </w:r>
    </w:p>
    <w:p w14:paraId="4C064CF2" w14:textId="359AC324" w:rsidR="00A81EEE" w:rsidRPr="00F70CB0" w:rsidRDefault="00483BD7" w:rsidP="00326C32">
      <w:pPr>
        <w:pStyle w:val="Heading1"/>
        <w:rPr>
          <w:rFonts w:ascii="Times New Roman" w:hAnsi="Times New Roman" w:cs="Times New Roman"/>
          <w:sz w:val="28"/>
          <w:szCs w:val="28"/>
        </w:rPr>
      </w:pPr>
      <w:bookmarkStart w:id="6" w:name="_Toc227353474"/>
      <w:r w:rsidRPr="00F70CB0">
        <w:rPr>
          <w:rFonts w:ascii="Times New Roman" w:hAnsi="Times New Roman" w:cs="Times New Roman"/>
          <w:sz w:val="28"/>
          <w:szCs w:val="28"/>
        </w:rPr>
        <w:t>1.2.</w:t>
      </w:r>
      <w:r w:rsidR="00A81EEE" w:rsidRPr="00F70CB0">
        <w:rPr>
          <w:rFonts w:ascii="Times New Roman" w:hAnsi="Times New Roman" w:cs="Times New Roman"/>
          <w:sz w:val="28"/>
          <w:szCs w:val="28"/>
        </w:rPr>
        <w:t>4. Comparative Evaluation</w:t>
      </w:r>
      <w:bookmarkEnd w:id="6"/>
    </w:p>
    <w:p w14:paraId="59DB9C86" w14:textId="24A8FD41" w:rsidR="00B83C9C" w:rsidRPr="00F70CB0" w:rsidRDefault="00B83C9C" w:rsidP="00B83C9C">
      <w:pPr>
        <w:spacing w:before="100" w:beforeAutospacing="1" w:after="100" w:afterAutospacing="1"/>
        <w:jc w:val="both"/>
        <w:rPr>
          <w:sz w:val="24"/>
          <w:szCs w:val="24"/>
          <w:lang w:val="en-GB" w:eastAsia="en-GB"/>
        </w:rPr>
      </w:pPr>
      <w:r w:rsidRPr="00F70CB0">
        <w:rPr>
          <w:sz w:val="24"/>
          <w:szCs w:val="24"/>
          <w:lang w:val="en-GB" w:eastAsia="en-GB"/>
        </w:rPr>
        <w:t xml:space="preserve">Systematic reviews are </w:t>
      </w:r>
      <w:r w:rsidR="008F0660" w:rsidRPr="00F70CB0">
        <w:rPr>
          <w:sz w:val="24"/>
          <w:szCs w:val="24"/>
          <w:lang w:val="en-GB" w:eastAsia="en-GB"/>
        </w:rPr>
        <w:t>usually</w:t>
      </w:r>
      <w:r w:rsidRPr="00F70CB0">
        <w:rPr>
          <w:sz w:val="24"/>
          <w:szCs w:val="24"/>
          <w:lang w:val="en-GB" w:eastAsia="en-GB"/>
        </w:rPr>
        <w:t xml:space="preserve"> </w:t>
      </w:r>
      <w:r w:rsidR="008F0660" w:rsidRPr="00F70CB0">
        <w:rPr>
          <w:sz w:val="24"/>
          <w:szCs w:val="24"/>
          <w:lang w:val="en-GB" w:eastAsia="en-GB"/>
        </w:rPr>
        <w:t>counted</w:t>
      </w:r>
      <w:r w:rsidRPr="00F70CB0">
        <w:rPr>
          <w:sz w:val="24"/>
          <w:szCs w:val="24"/>
          <w:lang w:val="en-GB" w:eastAsia="en-GB"/>
        </w:rPr>
        <w:t xml:space="preserve"> </w:t>
      </w:r>
      <w:r w:rsidR="008F0660" w:rsidRPr="00F70CB0">
        <w:rPr>
          <w:sz w:val="24"/>
          <w:szCs w:val="24"/>
          <w:lang w:val="en-GB" w:eastAsia="en-GB"/>
        </w:rPr>
        <w:t xml:space="preserve">as </w:t>
      </w:r>
      <w:r w:rsidRPr="00F70CB0">
        <w:rPr>
          <w:sz w:val="24"/>
          <w:szCs w:val="24"/>
          <w:lang w:val="en-GB" w:eastAsia="en-GB"/>
        </w:rPr>
        <w:t xml:space="preserve">the most </w:t>
      </w:r>
      <w:r w:rsidR="00484B83" w:rsidRPr="00F70CB0">
        <w:rPr>
          <w:sz w:val="24"/>
          <w:szCs w:val="24"/>
          <w:lang w:val="en-GB" w:eastAsia="en-GB"/>
        </w:rPr>
        <w:t>accurate</w:t>
      </w:r>
      <w:r w:rsidR="000F4663" w:rsidRPr="00F70CB0">
        <w:rPr>
          <w:sz w:val="24"/>
          <w:szCs w:val="24"/>
          <w:lang w:val="en-GB" w:eastAsia="en-GB"/>
        </w:rPr>
        <w:t>, owing</w:t>
      </w:r>
      <w:r w:rsidRPr="00F70CB0">
        <w:rPr>
          <w:sz w:val="24"/>
          <w:szCs w:val="24"/>
          <w:lang w:val="en-GB" w:eastAsia="en-GB"/>
        </w:rPr>
        <w:t xml:space="preserve"> to their structured and transparent methodology. Narrative reviews offer </w:t>
      </w:r>
      <w:r w:rsidR="003C3D90" w:rsidRPr="00F70CB0">
        <w:rPr>
          <w:sz w:val="24"/>
          <w:szCs w:val="24"/>
          <w:lang w:val="en-GB" w:eastAsia="en-GB"/>
        </w:rPr>
        <w:t>elasticity</w:t>
      </w:r>
      <w:r w:rsidRPr="00F70CB0">
        <w:rPr>
          <w:sz w:val="24"/>
          <w:szCs w:val="24"/>
          <w:lang w:val="en-GB" w:eastAsia="en-GB"/>
        </w:rPr>
        <w:t xml:space="preserve"> but may lack methodological consistency, while scoping reviews are valuable for exploratory purposes and identifying research gaps. This comparison highlights that the </w:t>
      </w:r>
      <w:r w:rsidR="003C3D90" w:rsidRPr="00F70CB0">
        <w:rPr>
          <w:sz w:val="24"/>
          <w:szCs w:val="24"/>
          <w:lang w:val="en-GB" w:eastAsia="en-GB"/>
        </w:rPr>
        <w:t>range</w:t>
      </w:r>
      <w:r w:rsidRPr="00F70CB0">
        <w:rPr>
          <w:sz w:val="24"/>
          <w:szCs w:val="24"/>
          <w:lang w:val="en-GB" w:eastAsia="en-GB"/>
        </w:rPr>
        <w:t xml:space="preserve"> of a review type should </w:t>
      </w:r>
      <w:r w:rsidR="003C3D90" w:rsidRPr="00F70CB0">
        <w:rPr>
          <w:sz w:val="24"/>
          <w:szCs w:val="24"/>
          <w:lang w:val="en-GB" w:eastAsia="en-GB"/>
        </w:rPr>
        <w:t>align</w:t>
      </w:r>
      <w:r w:rsidRPr="00F70CB0">
        <w:rPr>
          <w:sz w:val="24"/>
          <w:szCs w:val="24"/>
          <w:lang w:val="en-GB" w:eastAsia="en-GB"/>
        </w:rPr>
        <w:t xml:space="preserve"> with the research </w:t>
      </w:r>
      <w:r w:rsidR="003C3D90" w:rsidRPr="00F70CB0">
        <w:rPr>
          <w:sz w:val="24"/>
          <w:szCs w:val="24"/>
          <w:lang w:val="en-GB" w:eastAsia="en-GB"/>
        </w:rPr>
        <w:t>goals</w:t>
      </w:r>
      <w:r w:rsidRPr="00F70CB0">
        <w:rPr>
          <w:sz w:val="24"/>
          <w:szCs w:val="24"/>
          <w:lang w:val="en-GB" w:eastAsia="en-GB"/>
        </w:rPr>
        <w:t xml:space="preserve"> and the </w:t>
      </w:r>
      <w:r w:rsidR="003C3D90" w:rsidRPr="00F70CB0">
        <w:rPr>
          <w:sz w:val="24"/>
          <w:szCs w:val="24"/>
          <w:lang w:val="en-GB" w:eastAsia="en-GB"/>
        </w:rPr>
        <w:t>necessary</w:t>
      </w:r>
      <w:r w:rsidRPr="00F70CB0">
        <w:rPr>
          <w:sz w:val="24"/>
          <w:szCs w:val="24"/>
          <w:lang w:val="en-GB" w:eastAsia="en-GB"/>
        </w:rPr>
        <w:t xml:space="preserve"> level of analytical depth (Snyder, 2019).</w:t>
      </w:r>
    </w:p>
    <w:p w14:paraId="5910B7D1" w14:textId="3263BC6B" w:rsidR="00B83C9C" w:rsidRPr="00F70CB0" w:rsidRDefault="00B83C9C" w:rsidP="00B83C9C">
      <w:pPr>
        <w:spacing w:before="100" w:beforeAutospacing="1" w:after="100" w:afterAutospacing="1"/>
        <w:jc w:val="both"/>
        <w:rPr>
          <w:sz w:val="24"/>
          <w:szCs w:val="24"/>
          <w:lang w:val="en-GB" w:eastAsia="en-GB"/>
        </w:rPr>
      </w:pPr>
      <w:r w:rsidRPr="00F70CB0">
        <w:rPr>
          <w:sz w:val="24"/>
          <w:szCs w:val="24"/>
          <w:lang w:val="en-GB" w:eastAsia="en-GB"/>
        </w:rPr>
        <w:t xml:space="preserve">For this study, a structured </w:t>
      </w:r>
      <w:r w:rsidR="003C3D90" w:rsidRPr="00F70CB0">
        <w:rPr>
          <w:sz w:val="24"/>
          <w:szCs w:val="24"/>
          <w:lang w:val="en-GB" w:eastAsia="en-GB"/>
        </w:rPr>
        <w:t>and</w:t>
      </w:r>
      <w:r w:rsidRPr="00F70CB0">
        <w:rPr>
          <w:sz w:val="24"/>
          <w:szCs w:val="24"/>
          <w:lang w:val="en-GB" w:eastAsia="en-GB"/>
        </w:rPr>
        <w:t xml:space="preserve"> critical review </w:t>
      </w:r>
      <w:r w:rsidR="003C3D90" w:rsidRPr="00F70CB0">
        <w:rPr>
          <w:sz w:val="24"/>
          <w:szCs w:val="24"/>
          <w:lang w:val="en-GB" w:eastAsia="en-GB"/>
        </w:rPr>
        <w:t>line</w:t>
      </w:r>
      <w:r w:rsidRPr="00F70CB0">
        <w:rPr>
          <w:sz w:val="24"/>
          <w:szCs w:val="24"/>
          <w:lang w:val="en-GB" w:eastAsia="en-GB"/>
        </w:rPr>
        <w:t xml:space="preserve"> is adopted to examine digital banking literature, enabling the systematic identification of key themes, theoretical frameworks, and research gaps.</w:t>
      </w:r>
    </w:p>
    <w:p w14:paraId="3E9182EB" w14:textId="42B33F9B" w:rsidR="004534F2" w:rsidRPr="00F70CB0" w:rsidRDefault="00483BD7" w:rsidP="00875323">
      <w:pPr>
        <w:pStyle w:val="Heading1"/>
        <w:rPr>
          <w:rFonts w:ascii="Times New Roman" w:hAnsi="Times New Roman" w:cs="Times New Roman"/>
          <w:sz w:val="32"/>
          <w:szCs w:val="32"/>
        </w:rPr>
      </w:pPr>
      <w:bookmarkStart w:id="7" w:name="_Toc227353475"/>
      <w:r w:rsidRPr="00F70CB0">
        <w:rPr>
          <w:rFonts w:ascii="Times New Roman" w:hAnsi="Times New Roman" w:cs="Times New Roman"/>
          <w:sz w:val="32"/>
          <w:szCs w:val="32"/>
        </w:rPr>
        <w:t xml:space="preserve">1.3 </w:t>
      </w:r>
      <w:r w:rsidR="004534F2" w:rsidRPr="00F70CB0">
        <w:rPr>
          <w:rFonts w:ascii="Times New Roman" w:hAnsi="Times New Roman" w:cs="Times New Roman"/>
          <w:sz w:val="32"/>
          <w:szCs w:val="32"/>
        </w:rPr>
        <w:t>Role of CLR in Doctoral Research</w:t>
      </w:r>
      <w:bookmarkEnd w:id="7"/>
    </w:p>
    <w:p w14:paraId="6D8C15D8" w14:textId="4E23765E" w:rsidR="00E257D6" w:rsidRPr="00F70CB0" w:rsidRDefault="00E257D6" w:rsidP="00E257D6">
      <w:pPr>
        <w:spacing w:before="100" w:beforeAutospacing="1" w:after="100" w:afterAutospacing="1"/>
        <w:jc w:val="both"/>
        <w:rPr>
          <w:sz w:val="24"/>
          <w:szCs w:val="24"/>
          <w:lang w:val="en-GB" w:eastAsia="en-GB"/>
        </w:rPr>
      </w:pPr>
      <w:r w:rsidRPr="00F70CB0">
        <w:rPr>
          <w:sz w:val="24"/>
          <w:szCs w:val="24"/>
          <w:lang w:val="en-GB" w:eastAsia="en-GB"/>
        </w:rPr>
        <w:t xml:space="preserve">Doctoral research </w:t>
      </w:r>
      <w:r w:rsidR="00043BE7" w:rsidRPr="00F70CB0">
        <w:rPr>
          <w:sz w:val="24"/>
          <w:szCs w:val="24"/>
          <w:lang w:val="en-GB" w:eastAsia="en-GB"/>
        </w:rPr>
        <w:t>needs</w:t>
      </w:r>
      <w:r w:rsidRPr="00F70CB0">
        <w:rPr>
          <w:sz w:val="24"/>
          <w:szCs w:val="24"/>
          <w:lang w:val="en-GB" w:eastAsia="en-GB"/>
        </w:rPr>
        <w:t xml:space="preserve"> </w:t>
      </w:r>
      <w:r w:rsidR="00057E24" w:rsidRPr="00F70CB0">
        <w:rPr>
          <w:sz w:val="24"/>
          <w:szCs w:val="24"/>
          <w:lang w:val="en-GB" w:eastAsia="en-GB"/>
        </w:rPr>
        <w:t>a prominent level</w:t>
      </w:r>
      <w:r w:rsidRPr="00F70CB0">
        <w:rPr>
          <w:sz w:val="24"/>
          <w:szCs w:val="24"/>
          <w:lang w:val="en-GB" w:eastAsia="en-GB"/>
        </w:rPr>
        <w:t xml:space="preserve"> of critical </w:t>
      </w:r>
      <w:r w:rsidR="00043BE7" w:rsidRPr="00F70CB0">
        <w:rPr>
          <w:sz w:val="24"/>
          <w:szCs w:val="24"/>
          <w:lang w:val="en-GB" w:eastAsia="en-GB"/>
        </w:rPr>
        <w:t>commitment</w:t>
      </w:r>
      <w:r w:rsidRPr="00F70CB0">
        <w:rPr>
          <w:sz w:val="24"/>
          <w:szCs w:val="24"/>
          <w:lang w:val="en-GB" w:eastAsia="en-GB"/>
        </w:rPr>
        <w:t xml:space="preserve">, and a CLR plays </w:t>
      </w:r>
      <w:r w:rsidR="00147E15" w:rsidRPr="00F70CB0">
        <w:rPr>
          <w:sz w:val="24"/>
          <w:szCs w:val="24"/>
          <w:lang w:val="en-GB" w:eastAsia="en-GB"/>
        </w:rPr>
        <w:t>a leading role</w:t>
      </w:r>
      <w:r w:rsidRPr="00F70CB0">
        <w:rPr>
          <w:sz w:val="24"/>
          <w:szCs w:val="24"/>
          <w:lang w:val="en-GB" w:eastAsia="en-GB"/>
        </w:rPr>
        <w:t xml:space="preserve"> in </w:t>
      </w:r>
      <w:r w:rsidR="00043BE7" w:rsidRPr="00F70CB0">
        <w:rPr>
          <w:sz w:val="24"/>
          <w:szCs w:val="24"/>
          <w:lang w:val="en-GB" w:eastAsia="en-GB"/>
        </w:rPr>
        <w:t>reaching</w:t>
      </w:r>
      <w:r w:rsidRPr="00F70CB0">
        <w:rPr>
          <w:sz w:val="24"/>
          <w:szCs w:val="24"/>
          <w:lang w:val="en-GB" w:eastAsia="en-GB"/>
        </w:rPr>
        <w:t xml:space="preserve"> this. It supports the identification of research problems and the </w:t>
      </w:r>
      <w:r w:rsidR="00043BE7" w:rsidRPr="00F70CB0">
        <w:rPr>
          <w:sz w:val="24"/>
          <w:szCs w:val="24"/>
          <w:lang w:val="en-GB" w:eastAsia="en-GB"/>
        </w:rPr>
        <w:t>improvement</w:t>
      </w:r>
      <w:r w:rsidRPr="00F70CB0">
        <w:rPr>
          <w:sz w:val="24"/>
          <w:szCs w:val="24"/>
          <w:lang w:val="en-GB" w:eastAsia="en-GB"/>
        </w:rPr>
        <w:t xml:space="preserve"> of focused research questions by critically analysing existing studies. In addition, a CLR </w:t>
      </w:r>
      <w:r w:rsidR="00043BE7" w:rsidRPr="00F70CB0">
        <w:rPr>
          <w:sz w:val="24"/>
          <w:szCs w:val="24"/>
          <w:lang w:val="en-GB" w:eastAsia="en-GB"/>
        </w:rPr>
        <w:t>influences</w:t>
      </w:r>
      <w:r w:rsidRPr="00F70CB0">
        <w:rPr>
          <w:sz w:val="24"/>
          <w:szCs w:val="24"/>
          <w:lang w:val="en-GB" w:eastAsia="en-GB"/>
        </w:rPr>
        <w:t xml:space="preserve"> theory development by establishing a strong conceptual and theoretical foundation that connects the research to existing academic knowledge (Ridley, 2012; Booth et al., 2016).</w:t>
      </w:r>
    </w:p>
    <w:p w14:paraId="322F02E5" w14:textId="15229312" w:rsidR="00E257D6" w:rsidRPr="00F70CB0" w:rsidRDefault="00E257D6" w:rsidP="00E257D6">
      <w:pPr>
        <w:spacing w:before="100" w:beforeAutospacing="1" w:after="100" w:afterAutospacing="1"/>
        <w:jc w:val="both"/>
        <w:rPr>
          <w:sz w:val="24"/>
          <w:szCs w:val="24"/>
          <w:lang w:val="en-GB" w:eastAsia="en-GB"/>
        </w:rPr>
      </w:pPr>
      <w:r w:rsidRPr="00F70CB0">
        <w:rPr>
          <w:sz w:val="24"/>
          <w:szCs w:val="24"/>
          <w:lang w:val="en-GB" w:eastAsia="en-GB"/>
        </w:rPr>
        <w:lastRenderedPageBreak/>
        <w:t xml:space="preserve">Furthermore, a CLR enables researchers to </w:t>
      </w:r>
      <w:r w:rsidR="00043BE7" w:rsidRPr="00F70CB0">
        <w:rPr>
          <w:sz w:val="24"/>
          <w:szCs w:val="24"/>
          <w:lang w:val="en-GB" w:eastAsia="en-GB"/>
        </w:rPr>
        <w:t>distinguish</w:t>
      </w:r>
      <w:r w:rsidRPr="00F70CB0">
        <w:rPr>
          <w:sz w:val="24"/>
          <w:szCs w:val="24"/>
          <w:lang w:val="en-GB" w:eastAsia="en-GB"/>
        </w:rPr>
        <w:t xml:space="preserve"> key debates, contradictions, and gaps within the literature, thereby </w:t>
      </w:r>
      <w:r w:rsidR="00043BE7" w:rsidRPr="00F70CB0">
        <w:rPr>
          <w:sz w:val="24"/>
          <w:szCs w:val="24"/>
          <w:lang w:val="en-GB" w:eastAsia="en-GB"/>
        </w:rPr>
        <w:t>placing</w:t>
      </w:r>
      <w:r w:rsidRPr="00F70CB0">
        <w:rPr>
          <w:sz w:val="24"/>
          <w:szCs w:val="24"/>
          <w:lang w:val="en-GB" w:eastAsia="en-GB"/>
        </w:rPr>
        <w:t xml:space="preserve"> the research within ongoing academic discourse (Snyder, 2019). It also informs methodological decisions by providing insight into the strengths and limitations of previous research approaches.</w:t>
      </w:r>
    </w:p>
    <w:p w14:paraId="508ED5BF" w14:textId="65887273" w:rsidR="00E257D6" w:rsidRPr="00F70CB0" w:rsidRDefault="00E257D6" w:rsidP="00E257D6">
      <w:pPr>
        <w:spacing w:before="100" w:beforeAutospacing="1" w:after="100" w:afterAutospacing="1"/>
        <w:jc w:val="both"/>
        <w:rPr>
          <w:sz w:val="24"/>
          <w:szCs w:val="24"/>
          <w:lang w:val="en-GB" w:eastAsia="en-GB"/>
        </w:rPr>
      </w:pPr>
      <w:r w:rsidRPr="00F70CB0">
        <w:rPr>
          <w:sz w:val="24"/>
          <w:szCs w:val="24"/>
          <w:lang w:val="en-GB" w:eastAsia="en-GB"/>
        </w:rPr>
        <w:t xml:space="preserve">Overall, the CLR provides a structured and critical foundation for doctoral research, ensuring that the study is </w:t>
      </w:r>
      <w:r w:rsidR="00043BE7" w:rsidRPr="00F70CB0">
        <w:rPr>
          <w:sz w:val="24"/>
          <w:szCs w:val="24"/>
          <w:lang w:val="en-GB" w:eastAsia="en-GB"/>
        </w:rPr>
        <w:t>hypothetically</w:t>
      </w:r>
      <w:r w:rsidRPr="00F70CB0">
        <w:rPr>
          <w:sz w:val="24"/>
          <w:szCs w:val="24"/>
          <w:lang w:val="en-GB" w:eastAsia="en-GB"/>
        </w:rPr>
        <w:t xml:space="preserve"> grounded, methodologically justified, and </w:t>
      </w:r>
      <w:r w:rsidR="00043BE7" w:rsidRPr="00F70CB0">
        <w:rPr>
          <w:sz w:val="24"/>
          <w:szCs w:val="24"/>
          <w:lang w:val="en-GB" w:eastAsia="en-GB"/>
        </w:rPr>
        <w:t>able</w:t>
      </w:r>
      <w:r w:rsidRPr="00F70CB0">
        <w:rPr>
          <w:sz w:val="24"/>
          <w:szCs w:val="24"/>
          <w:lang w:val="en-GB" w:eastAsia="en-GB"/>
        </w:rPr>
        <w:t xml:space="preserve"> </w:t>
      </w:r>
      <w:r w:rsidR="00043BE7" w:rsidRPr="00F70CB0">
        <w:rPr>
          <w:sz w:val="24"/>
          <w:szCs w:val="24"/>
          <w:lang w:val="en-GB" w:eastAsia="en-GB"/>
        </w:rPr>
        <w:t>to contribute</w:t>
      </w:r>
      <w:r w:rsidRPr="00F70CB0">
        <w:rPr>
          <w:sz w:val="24"/>
          <w:szCs w:val="24"/>
          <w:lang w:val="en-GB" w:eastAsia="en-GB"/>
        </w:rPr>
        <w:t xml:space="preserve"> to knowledge. In the context of this study, the CLR supports the development of an integrated conceptual </w:t>
      </w:r>
      <w:r w:rsidR="00043BE7" w:rsidRPr="00F70CB0">
        <w:rPr>
          <w:sz w:val="24"/>
          <w:szCs w:val="24"/>
          <w:lang w:val="en-GB" w:eastAsia="en-GB"/>
        </w:rPr>
        <w:t>structure</w:t>
      </w:r>
      <w:r w:rsidRPr="00F70CB0">
        <w:rPr>
          <w:sz w:val="24"/>
          <w:szCs w:val="24"/>
          <w:lang w:val="en-GB" w:eastAsia="en-GB"/>
        </w:rPr>
        <w:t xml:space="preserve"> linking adoption, satisfaction, and continued usage behaviour in digital banking.</w:t>
      </w:r>
    </w:p>
    <w:p w14:paraId="36D208CA" w14:textId="3CB014B0" w:rsidR="004534F2" w:rsidRPr="00F70CB0" w:rsidRDefault="00483BD7" w:rsidP="00875323">
      <w:pPr>
        <w:pStyle w:val="Heading1"/>
        <w:rPr>
          <w:rFonts w:ascii="Times New Roman" w:hAnsi="Times New Roman" w:cs="Times New Roman"/>
          <w:sz w:val="32"/>
          <w:szCs w:val="32"/>
        </w:rPr>
      </w:pPr>
      <w:bookmarkStart w:id="8" w:name="_Toc227353476"/>
      <w:r w:rsidRPr="00F70CB0">
        <w:rPr>
          <w:rFonts w:ascii="Times New Roman" w:hAnsi="Times New Roman" w:cs="Times New Roman"/>
          <w:sz w:val="32"/>
          <w:szCs w:val="32"/>
        </w:rPr>
        <w:t xml:space="preserve">1.4 </w:t>
      </w:r>
      <w:r w:rsidR="004534F2" w:rsidRPr="00F70CB0">
        <w:rPr>
          <w:rFonts w:ascii="Times New Roman" w:hAnsi="Times New Roman" w:cs="Times New Roman"/>
          <w:sz w:val="32"/>
          <w:szCs w:val="32"/>
        </w:rPr>
        <w:t>Critical vs Descriptive</w:t>
      </w:r>
      <w:bookmarkEnd w:id="8"/>
    </w:p>
    <w:p w14:paraId="0C093906" w14:textId="7D6C6B03" w:rsidR="00176F2D" w:rsidRPr="00F70CB0" w:rsidRDefault="00176F2D" w:rsidP="00176F2D">
      <w:pPr>
        <w:spacing w:before="100" w:beforeAutospacing="1" w:after="100" w:afterAutospacing="1"/>
        <w:jc w:val="both"/>
        <w:rPr>
          <w:sz w:val="24"/>
          <w:szCs w:val="24"/>
          <w:lang w:val="en-GB" w:eastAsia="en-GB"/>
        </w:rPr>
      </w:pPr>
      <w:r w:rsidRPr="00F70CB0">
        <w:rPr>
          <w:sz w:val="24"/>
          <w:szCs w:val="24"/>
          <w:lang w:val="en-GB" w:eastAsia="en-GB"/>
        </w:rPr>
        <w:t xml:space="preserve">A clear </w:t>
      </w:r>
      <w:r w:rsidR="003C0739" w:rsidRPr="00F70CB0">
        <w:rPr>
          <w:sz w:val="24"/>
          <w:szCs w:val="24"/>
          <w:lang w:val="en-GB" w:eastAsia="en-GB"/>
        </w:rPr>
        <w:t>trait</w:t>
      </w:r>
      <w:r w:rsidRPr="00F70CB0">
        <w:rPr>
          <w:sz w:val="24"/>
          <w:szCs w:val="24"/>
          <w:lang w:val="en-GB" w:eastAsia="en-GB"/>
        </w:rPr>
        <w:t xml:space="preserve"> exists between descriptive and critical approaches to literature review, particularly in doctoral-level research. A descriptive literature review focuses on summarising existing studies, presenting findings without deeper analysis. While useful for </w:t>
      </w:r>
      <w:r w:rsidR="008E55E9" w:rsidRPr="00F70CB0">
        <w:rPr>
          <w:sz w:val="24"/>
          <w:szCs w:val="24"/>
          <w:lang w:val="en-GB" w:eastAsia="en-GB"/>
        </w:rPr>
        <w:t>presenting</w:t>
      </w:r>
      <w:r w:rsidRPr="00F70CB0">
        <w:rPr>
          <w:sz w:val="24"/>
          <w:szCs w:val="24"/>
          <w:lang w:val="en-GB" w:eastAsia="en-GB"/>
        </w:rPr>
        <w:t xml:space="preserve"> </w:t>
      </w:r>
      <w:r w:rsidR="008E55E9" w:rsidRPr="00F70CB0">
        <w:rPr>
          <w:sz w:val="24"/>
          <w:szCs w:val="24"/>
          <w:lang w:val="en-GB" w:eastAsia="en-GB"/>
        </w:rPr>
        <w:t>a</w:t>
      </w:r>
      <w:r w:rsidRPr="00F70CB0">
        <w:rPr>
          <w:sz w:val="24"/>
          <w:szCs w:val="24"/>
          <w:lang w:val="en-GB" w:eastAsia="en-GB"/>
        </w:rPr>
        <w:t xml:space="preserve"> </w:t>
      </w:r>
      <w:r w:rsidR="008E55E9" w:rsidRPr="00F70CB0">
        <w:rPr>
          <w:sz w:val="24"/>
          <w:szCs w:val="24"/>
          <w:lang w:val="en-GB" w:eastAsia="en-GB"/>
        </w:rPr>
        <w:t>summary</w:t>
      </w:r>
      <w:r w:rsidRPr="00F70CB0">
        <w:rPr>
          <w:sz w:val="24"/>
          <w:szCs w:val="24"/>
          <w:lang w:val="en-GB" w:eastAsia="en-GB"/>
        </w:rPr>
        <w:t>, such an approach often lacks analytical depth and offers limited contribution to academic development (Torraco, 2005).</w:t>
      </w:r>
    </w:p>
    <w:p w14:paraId="58DD4B6F" w14:textId="7EC01B96" w:rsidR="00176F2D" w:rsidRPr="00F70CB0" w:rsidRDefault="00176F2D" w:rsidP="00176F2D">
      <w:pPr>
        <w:spacing w:before="100" w:beforeAutospacing="1" w:after="100" w:afterAutospacing="1"/>
        <w:jc w:val="both"/>
        <w:rPr>
          <w:sz w:val="24"/>
          <w:szCs w:val="24"/>
          <w:lang w:val="en-GB" w:eastAsia="en-GB"/>
        </w:rPr>
      </w:pPr>
      <w:r w:rsidRPr="00F70CB0">
        <w:rPr>
          <w:sz w:val="24"/>
          <w:szCs w:val="24"/>
          <w:lang w:val="en-GB" w:eastAsia="en-GB"/>
        </w:rPr>
        <w:t xml:space="preserve">In contrast, a critical literature review </w:t>
      </w:r>
      <w:r w:rsidR="008E55E9" w:rsidRPr="00F70CB0">
        <w:rPr>
          <w:sz w:val="24"/>
          <w:szCs w:val="24"/>
          <w:lang w:val="en-GB" w:eastAsia="en-GB"/>
        </w:rPr>
        <w:t>assumes</w:t>
      </w:r>
      <w:r w:rsidRPr="00F70CB0">
        <w:rPr>
          <w:sz w:val="24"/>
          <w:szCs w:val="24"/>
          <w:lang w:val="en-GB" w:eastAsia="en-GB"/>
        </w:rPr>
        <w:t xml:space="preserve"> an analytical and evaluative approach. It </w:t>
      </w:r>
      <w:r w:rsidR="008E55E9" w:rsidRPr="00F70CB0">
        <w:rPr>
          <w:sz w:val="24"/>
          <w:szCs w:val="24"/>
          <w:lang w:val="en-GB" w:eastAsia="en-GB"/>
        </w:rPr>
        <w:t>affects</w:t>
      </w:r>
      <w:r w:rsidRPr="00F70CB0">
        <w:rPr>
          <w:sz w:val="24"/>
          <w:szCs w:val="24"/>
          <w:lang w:val="en-GB" w:eastAsia="en-GB"/>
        </w:rPr>
        <w:t xml:space="preserve"> comparing and synthesising studies, </w:t>
      </w:r>
      <w:r w:rsidR="008E55E9" w:rsidRPr="00F70CB0">
        <w:rPr>
          <w:sz w:val="24"/>
          <w:szCs w:val="24"/>
          <w:lang w:val="en-GB" w:eastAsia="en-GB"/>
        </w:rPr>
        <w:t>measuring</w:t>
      </w:r>
      <w:r w:rsidRPr="00F70CB0">
        <w:rPr>
          <w:sz w:val="24"/>
          <w:szCs w:val="24"/>
          <w:lang w:val="en-GB" w:eastAsia="en-GB"/>
        </w:rPr>
        <w:t xml:space="preserve"> their strengths and limitations, and examining their contribution to the field. A critical review also questions </w:t>
      </w:r>
      <w:r w:rsidR="008E55E9" w:rsidRPr="00F70CB0">
        <w:rPr>
          <w:sz w:val="24"/>
          <w:szCs w:val="24"/>
          <w:lang w:val="en-GB" w:eastAsia="en-GB"/>
        </w:rPr>
        <w:t>primary</w:t>
      </w:r>
      <w:r w:rsidRPr="00F70CB0">
        <w:rPr>
          <w:sz w:val="24"/>
          <w:szCs w:val="24"/>
          <w:lang w:val="en-GB" w:eastAsia="en-GB"/>
        </w:rPr>
        <w:t xml:space="preserve"> assumptions, identifies inconsistencies, and highlights theoretical and empirical gaps (Webster and Watson, 2002).</w:t>
      </w:r>
    </w:p>
    <w:p w14:paraId="3CA3BA44" w14:textId="284DFABC" w:rsidR="00176F2D" w:rsidRPr="00F70CB0" w:rsidRDefault="00176F2D" w:rsidP="00176F2D">
      <w:pPr>
        <w:spacing w:before="100" w:beforeAutospacing="1" w:after="100" w:afterAutospacing="1"/>
        <w:jc w:val="both"/>
        <w:rPr>
          <w:sz w:val="24"/>
          <w:szCs w:val="24"/>
          <w:lang w:val="en-GB" w:eastAsia="en-GB"/>
        </w:rPr>
      </w:pPr>
      <w:r w:rsidRPr="00F70CB0">
        <w:rPr>
          <w:sz w:val="24"/>
          <w:szCs w:val="24"/>
          <w:lang w:val="en-GB" w:eastAsia="en-GB"/>
        </w:rPr>
        <w:t xml:space="preserve">Importantly, a critical approach </w:t>
      </w:r>
      <w:r w:rsidR="008E55E9" w:rsidRPr="00F70CB0">
        <w:rPr>
          <w:sz w:val="24"/>
          <w:szCs w:val="24"/>
          <w:lang w:val="en-GB" w:eastAsia="en-GB"/>
        </w:rPr>
        <w:t>goes</w:t>
      </w:r>
      <w:r w:rsidRPr="00F70CB0">
        <w:rPr>
          <w:sz w:val="24"/>
          <w:szCs w:val="24"/>
          <w:lang w:val="en-GB" w:eastAsia="en-GB"/>
        </w:rPr>
        <w:t xml:space="preserve"> beyond acceptance of existing knowledge and instead </w:t>
      </w:r>
      <w:r w:rsidR="008E55E9" w:rsidRPr="00F70CB0">
        <w:rPr>
          <w:sz w:val="24"/>
          <w:szCs w:val="24"/>
          <w:lang w:val="en-GB" w:eastAsia="en-GB"/>
        </w:rPr>
        <w:t>encounters</w:t>
      </w:r>
      <w:r w:rsidRPr="00F70CB0">
        <w:rPr>
          <w:sz w:val="24"/>
          <w:szCs w:val="24"/>
          <w:lang w:val="en-GB" w:eastAsia="en-GB"/>
        </w:rPr>
        <w:t xml:space="preserve"> it, enabling the development of new insights. This is </w:t>
      </w:r>
      <w:r w:rsidR="008E55E9" w:rsidRPr="00F70CB0">
        <w:rPr>
          <w:sz w:val="24"/>
          <w:szCs w:val="24"/>
          <w:lang w:val="en-GB" w:eastAsia="en-GB"/>
        </w:rPr>
        <w:t>critical</w:t>
      </w:r>
      <w:r w:rsidRPr="00F70CB0">
        <w:rPr>
          <w:sz w:val="24"/>
          <w:szCs w:val="24"/>
          <w:lang w:val="en-GB" w:eastAsia="en-GB"/>
        </w:rPr>
        <w:t xml:space="preserve"> at the doctoral level, where research is expected to demonstrate originality, critical thinking, and meaningful contribution to academic discourse (Snyder, 2019).</w:t>
      </w:r>
    </w:p>
    <w:p w14:paraId="37E152BC" w14:textId="290DAD5B" w:rsidR="00BC5460" w:rsidRPr="00F70CB0" w:rsidRDefault="00483BD7" w:rsidP="00875323">
      <w:pPr>
        <w:pStyle w:val="Heading1"/>
        <w:rPr>
          <w:rFonts w:ascii="Times New Roman" w:hAnsi="Times New Roman" w:cs="Times New Roman"/>
          <w:sz w:val="32"/>
          <w:szCs w:val="32"/>
        </w:rPr>
      </w:pPr>
      <w:bookmarkStart w:id="9" w:name="_Toc227353477"/>
      <w:r w:rsidRPr="00F70CB0">
        <w:rPr>
          <w:rFonts w:ascii="Times New Roman" w:hAnsi="Times New Roman" w:cs="Times New Roman"/>
          <w:sz w:val="32"/>
          <w:szCs w:val="32"/>
        </w:rPr>
        <w:t xml:space="preserve">1.5 </w:t>
      </w:r>
      <w:r w:rsidR="00E353EC" w:rsidRPr="00F70CB0">
        <w:rPr>
          <w:rFonts w:ascii="Times New Roman" w:hAnsi="Times New Roman" w:cs="Times New Roman"/>
          <w:sz w:val="32"/>
          <w:szCs w:val="32"/>
        </w:rPr>
        <w:t>Role in theory-building and gap identification</w:t>
      </w:r>
      <w:r w:rsidR="008B0FB9" w:rsidRPr="00F70CB0">
        <w:rPr>
          <w:rFonts w:ascii="Times New Roman" w:hAnsi="Times New Roman" w:cs="Times New Roman"/>
          <w:sz w:val="32"/>
          <w:szCs w:val="32"/>
        </w:rPr>
        <w:t xml:space="preserve"> &amp; How CLR shapes research questions</w:t>
      </w:r>
      <w:bookmarkEnd w:id="9"/>
      <w:r w:rsidR="008B0FB9" w:rsidRPr="00F70CB0">
        <w:rPr>
          <w:rFonts w:ascii="Times New Roman" w:hAnsi="Times New Roman" w:cs="Times New Roman"/>
          <w:sz w:val="32"/>
          <w:szCs w:val="32"/>
        </w:rPr>
        <w:t xml:space="preserve"> </w:t>
      </w:r>
    </w:p>
    <w:p w14:paraId="1FA88819" w14:textId="2C9E09F9" w:rsidR="00BD57E7" w:rsidRPr="00F70CB0" w:rsidRDefault="00BD57E7" w:rsidP="00BD57E7">
      <w:pPr>
        <w:spacing w:before="100" w:beforeAutospacing="1" w:after="100" w:afterAutospacing="1"/>
        <w:jc w:val="both"/>
        <w:rPr>
          <w:sz w:val="24"/>
          <w:szCs w:val="24"/>
          <w:lang w:val="en-GB" w:eastAsia="en-GB"/>
        </w:rPr>
      </w:pPr>
      <w:r w:rsidRPr="00F70CB0">
        <w:rPr>
          <w:sz w:val="24"/>
          <w:szCs w:val="24"/>
          <w:lang w:val="en-GB" w:eastAsia="en-GB"/>
        </w:rPr>
        <w:t xml:space="preserve">A CLR plays a </w:t>
      </w:r>
      <w:r w:rsidR="007178E7" w:rsidRPr="00F70CB0">
        <w:rPr>
          <w:sz w:val="24"/>
          <w:szCs w:val="24"/>
          <w:lang w:val="en-GB" w:eastAsia="en-GB"/>
        </w:rPr>
        <w:t>meaningful</w:t>
      </w:r>
      <w:r w:rsidRPr="00F70CB0">
        <w:rPr>
          <w:sz w:val="24"/>
          <w:szCs w:val="24"/>
          <w:lang w:val="en-GB" w:eastAsia="en-GB"/>
        </w:rPr>
        <w:t xml:space="preserve"> role in theory building by enabling the </w:t>
      </w:r>
      <w:r w:rsidR="007178E7" w:rsidRPr="00F70CB0">
        <w:rPr>
          <w:sz w:val="24"/>
          <w:szCs w:val="24"/>
          <w:lang w:val="en-GB" w:eastAsia="en-GB"/>
        </w:rPr>
        <w:t>assessment</w:t>
      </w:r>
      <w:r w:rsidRPr="00F70CB0">
        <w:rPr>
          <w:sz w:val="24"/>
          <w:szCs w:val="24"/>
          <w:lang w:val="en-GB" w:eastAsia="en-GB"/>
        </w:rPr>
        <w:t xml:space="preserve"> and comparison of different theoretical perspectives. It helps identify the most </w:t>
      </w:r>
      <w:r w:rsidR="007178E7" w:rsidRPr="00F70CB0">
        <w:rPr>
          <w:sz w:val="24"/>
          <w:szCs w:val="24"/>
          <w:lang w:val="en-GB" w:eastAsia="en-GB"/>
        </w:rPr>
        <w:t>significant</w:t>
      </w:r>
      <w:r w:rsidRPr="00F70CB0">
        <w:rPr>
          <w:sz w:val="24"/>
          <w:szCs w:val="24"/>
          <w:lang w:val="en-GB" w:eastAsia="en-GB"/>
        </w:rPr>
        <w:t xml:space="preserve"> frameworks for a specific research context while also supporting the </w:t>
      </w:r>
      <w:r w:rsidR="007178E7" w:rsidRPr="00F70CB0">
        <w:rPr>
          <w:sz w:val="24"/>
          <w:szCs w:val="24"/>
          <w:lang w:val="en-GB" w:eastAsia="en-GB"/>
        </w:rPr>
        <w:t>improvement</w:t>
      </w:r>
      <w:r w:rsidRPr="00F70CB0">
        <w:rPr>
          <w:sz w:val="24"/>
          <w:szCs w:val="24"/>
          <w:lang w:val="en-GB" w:eastAsia="en-GB"/>
        </w:rPr>
        <w:t xml:space="preserve"> and extension of existing theories (Ridley, 2012; Machi and McEvoy, 2016).</w:t>
      </w:r>
    </w:p>
    <w:p w14:paraId="1F79D910" w14:textId="2F418E06" w:rsidR="00BD57E7" w:rsidRPr="00F70CB0" w:rsidRDefault="00BD57E7" w:rsidP="00BD57E7">
      <w:pPr>
        <w:spacing w:before="100" w:beforeAutospacing="1" w:after="100" w:afterAutospacing="1"/>
        <w:jc w:val="both"/>
        <w:rPr>
          <w:sz w:val="24"/>
          <w:szCs w:val="24"/>
          <w:lang w:val="en-GB" w:eastAsia="en-GB"/>
        </w:rPr>
      </w:pPr>
      <w:r w:rsidRPr="00F70CB0">
        <w:rPr>
          <w:sz w:val="24"/>
          <w:szCs w:val="24"/>
          <w:lang w:val="en-GB" w:eastAsia="en-GB"/>
        </w:rPr>
        <w:t xml:space="preserve">In addition, the CLR is essential for identifying research gaps. These may </w:t>
      </w:r>
      <w:r w:rsidR="007178E7" w:rsidRPr="00F70CB0">
        <w:rPr>
          <w:sz w:val="24"/>
          <w:szCs w:val="24"/>
          <w:lang w:val="en-GB" w:eastAsia="en-GB"/>
        </w:rPr>
        <w:t>contain</w:t>
      </w:r>
      <w:r w:rsidRPr="00F70CB0">
        <w:rPr>
          <w:sz w:val="24"/>
          <w:szCs w:val="24"/>
          <w:lang w:val="en-GB" w:eastAsia="en-GB"/>
        </w:rPr>
        <w:t xml:space="preserve"> limited empirical evidence, inconsistent findings, or under-researched contexts. Identifying such gaps provides </w:t>
      </w:r>
      <w:r w:rsidR="00147E15" w:rsidRPr="00F70CB0">
        <w:rPr>
          <w:sz w:val="24"/>
          <w:szCs w:val="24"/>
          <w:lang w:val="en-GB" w:eastAsia="en-GB"/>
        </w:rPr>
        <w:t>an obvious reason</w:t>
      </w:r>
      <w:r w:rsidRPr="00F70CB0">
        <w:rPr>
          <w:sz w:val="24"/>
          <w:szCs w:val="24"/>
          <w:lang w:val="en-GB" w:eastAsia="en-GB"/>
        </w:rPr>
        <w:t xml:space="preserve"> for new research and establishes the </w:t>
      </w:r>
      <w:r w:rsidR="007178E7" w:rsidRPr="00F70CB0">
        <w:rPr>
          <w:sz w:val="24"/>
          <w:szCs w:val="24"/>
          <w:lang w:val="en-GB" w:eastAsia="en-GB"/>
        </w:rPr>
        <w:t>consequence</w:t>
      </w:r>
      <w:r w:rsidRPr="00F70CB0">
        <w:rPr>
          <w:sz w:val="24"/>
          <w:szCs w:val="24"/>
          <w:lang w:val="en-GB" w:eastAsia="en-GB"/>
        </w:rPr>
        <w:t xml:space="preserve"> of the study (Booth et al., 2016; Snyder, 2019).</w:t>
      </w:r>
    </w:p>
    <w:p w14:paraId="2088F436" w14:textId="69659EC1" w:rsidR="00BD57E7" w:rsidRPr="00F70CB0" w:rsidRDefault="00BD57E7" w:rsidP="00BD57E7">
      <w:pPr>
        <w:spacing w:before="100" w:beforeAutospacing="1" w:after="100" w:afterAutospacing="1"/>
        <w:jc w:val="both"/>
        <w:rPr>
          <w:sz w:val="24"/>
          <w:szCs w:val="24"/>
          <w:lang w:val="en-GB" w:eastAsia="en-GB"/>
        </w:rPr>
      </w:pPr>
      <w:r w:rsidRPr="00F70CB0">
        <w:rPr>
          <w:sz w:val="24"/>
          <w:szCs w:val="24"/>
          <w:lang w:val="en-GB" w:eastAsia="en-GB"/>
        </w:rPr>
        <w:t xml:space="preserve">Furthermore, a CLR supports the </w:t>
      </w:r>
      <w:r w:rsidR="00734556" w:rsidRPr="00F70CB0">
        <w:rPr>
          <w:sz w:val="24"/>
          <w:szCs w:val="24"/>
          <w:lang w:val="en-GB" w:eastAsia="en-GB"/>
        </w:rPr>
        <w:t>expansion</w:t>
      </w:r>
      <w:r w:rsidRPr="00F70CB0">
        <w:rPr>
          <w:sz w:val="24"/>
          <w:szCs w:val="24"/>
          <w:lang w:val="en-GB" w:eastAsia="en-GB"/>
        </w:rPr>
        <w:t xml:space="preserve"> of research questions by refining a broad topic into a focused research problem. Through critical engagement with existing literature, researchers can ensure that research questions are theoretically grounded, relevant, and aligned with current academic debates.</w:t>
      </w:r>
    </w:p>
    <w:p w14:paraId="31BE785F" w14:textId="4F6E6E0A" w:rsidR="00446AAB" w:rsidRPr="00F70CB0" w:rsidRDefault="00BD57E7" w:rsidP="00BD57E7">
      <w:pPr>
        <w:spacing w:before="100" w:beforeAutospacing="1" w:after="100" w:afterAutospacing="1"/>
        <w:jc w:val="both"/>
        <w:rPr>
          <w:sz w:val="24"/>
          <w:szCs w:val="24"/>
          <w:lang w:val="en-GB" w:eastAsia="en-GB"/>
        </w:rPr>
      </w:pPr>
      <w:r w:rsidRPr="00F70CB0">
        <w:rPr>
          <w:sz w:val="24"/>
          <w:szCs w:val="24"/>
          <w:lang w:val="en-GB" w:eastAsia="en-GB"/>
        </w:rPr>
        <w:lastRenderedPageBreak/>
        <w:t xml:space="preserve">Overall, the CLR </w:t>
      </w:r>
      <w:r w:rsidR="00734556" w:rsidRPr="00F70CB0">
        <w:rPr>
          <w:sz w:val="24"/>
          <w:szCs w:val="24"/>
          <w:lang w:val="en-GB" w:eastAsia="en-GB"/>
        </w:rPr>
        <w:t>combines</w:t>
      </w:r>
      <w:r w:rsidRPr="00F70CB0">
        <w:rPr>
          <w:sz w:val="24"/>
          <w:szCs w:val="24"/>
          <w:lang w:val="en-GB" w:eastAsia="en-GB"/>
        </w:rPr>
        <w:t xml:space="preserve"> theory development, gap identification, and research question formulation into a coherent process. </w:t>
      </w:r>
      <w:r w:rsidR="00C701F2" w:rsidRPr="00F70CB0">
        <w:rPr>
          <w:sz w:val="24"/>
          <w:szCs w:val="24"/>
          <w:lang w:val="en-GB" w:eastAsia="en-GB"/>
        </w:rPr>
        <w:t>This</w:t>
      </w:r>
      <w:r w:rsidRPr="00F70CB0">
        <w:rPr>
          <w:sz w:val="24"/>
          <w:szCs w:val="24"/>
          <w:lang w:val="en-GB" w:eastAsia="en-GB"/>
        </w:rPr>
        <w:t xml:space="preserve"> study, it facilitates the </w:t>
      </w:r>
      <w:r w:rsidR="00734556" w:rsidRPr="00F70CB0">
        <w:rPr>
          <w:sz w:val="24"/>
          <w:szCs w:val="24"/>
          <w:lang w:val="en-GB" w:eastAsia="en-GB"/>
        </w:rPr>
        <w:t>classification</w:t>
      </w:r>
      <w:r w:rsidRPr="00F70CB0">
        <w:rPr>
          <w:sz w:val="24"/>
          <w:szCs w:val="24"/>
          <w:lang w:val="en-GB" w:eastAsia="en-GB"/>
        </w:rPr>
        <w:t xml:space="preserve"> of key gaps in digital banking research, particularly the lack of integrated models combining trust, service quality, and user experience within the UK context.</w:t>
      </w:r>
    </w:p>
    <w:p w14:paraId="7A4E5BD7" w14:textId="2A911DE3" w:rsidR="00E340E1" w:rsidRPr="00F70CB0" w:rsidRDefault="00483BD7" w:rsidP="00875323">
      <w:pPr>
        <w:pStyle w:val="Heading1"/>
        <w:rPr>
          <w:rFonts w:ascii="Times New Roman" w:hAnsi="Times New Roman" w:cs="Times New Roman"/>
          <w:sz w:val="32"/>
          <w:szCs w:val="32"/>
        </w:rPr>
      </w:pPr>
      <w:bookmarkStart w:id="10" w:name="_Toc227353478"/>
      <w:r w:rsidRPr="00F70CB0">
        <w:rPr>
          <w:rFonts w:ascii="Times New Roman" w:hAnsi="Times New Roman" w:cs="Times New Roman"/>
          <w:sz w:val="32"/>
          <w:szCs w:val="32"/>
        </w:rPr>
        <w:t xml:space="preserve">1.6 </w:t>
      </w:r>
      <w:r w:rsidR="00E340E1" w:rsidRPr="00F70CB0">
        <w:rPr>
          <w:rFonts w:ascii="Times New Roman" w:hAnsi="Times New Roman" w:cs="Times New Roman"/>
          <w:sz w:val="32"/>
          <w:szCs w:val="32"/>
        </w:rPr>
        <w:t>Conclusion</w:t>
      </w:r>
      <w:bookmarkEnd w:id="10"/>
    </w:p>
    <w:p w14:paraId="34263173" w14:textId="7B46036A" w:rsidR="00C701F2" w:rsidRPr="00F70CB0" w:rsidRDefault="00C701F2" w:rsidP="00C701F2">
      <w:pPr>
        <w:spacing w:before="100" w:beforeAutospacing="1" w:after="100" w:afterAutospacing="1"/>
        <w:jc w:val="both"/>
        <w:rPr>
          <w:sz w:val="24"/>
          <w:szCs w:val="24"/>
          <w:lang w:val="en-GB" w:eastAsia="en-GB"/>
        </w:rPr>
      </w:pPr>
      <w:r w:rsidRPr="00F70CB0">
        <w:rPr>
          <w:sz w:val="24"/>
          <w:szCs w:val="24"/>
          <w:lang w:val="en-GB" w:eastAsia="en-GB"/>
        </w:rPr>
        <w:t xml:space="preserve">In conclusion, a critical literature review plays </w:t>
      </w:r>
      <w:r w:rsidR="0007254D" w:rsidRPr="00F70CB0">
        <w:rPr>
          <w:sz w:val="24"/>
          <w:szCs w:val="24"/>
          <w:lang w:val="en-GB" w:eastAsia="en-GB"/>
        </w:rPr>
        <w:t>an</w:t>
      </w:r>
      <w:r w:rsidRPr="00F70CB0">
        <w:rPr>
          <w:sz w:val="24"/>
          <w:szCs w:val="24"/>
          <w:lang w:val="en-GB" w:eastAsia="en-GB"/>
        </w:rPr>
        <w:t xml:space="preserve"> </w:t>
      </w:r>
      <w:r w:rsidR="0007254D" w:rsidRPr="00F70CB0">
        <w:rPr>
          <w:sz w:val="24"/>
          <w:szCs w:val="24"/>
          <w:lang w:val="en-GB" w:eastAsia="en-GB"/>
        </w:rPr>
        <w:t>underlying</w:t>
      </w:r>
      <w:r w:rsidRPr="00F70CB0">
        <w:rPr>
          <w:sz w:val="24"/>
          <w:szCs w:val="24"/>
          <w:lang w:val="en-GB" w:eastAsia="en-GB"/>
        </w:rPr>
        <w:t xml:space="preserve"> role in doctoral research by providing a structured and analytical examination of existing studies. It enables the identification of research gaps, supports theory development, and ensures that research is grounded in established academic knowledge (Ridley, 2012; Booth et al., 2016).</w:t>
      </w:r>
    </w:p>
    <w:p w14:paraId="3843D38E" w14:textId="28E5FACB" w:rsidR="00C701F2" w:rsidRPr="00F70CB0" w:rsidRDefault="00147E15" w:rsidP="00C701F2">
      <w:pPr>
        <w:spacing w:before="100" w:beforeAutospacing="1" w:after="100" w:afterAutospacing="1"/>
        <w:jc w:val="both"/>
        <w:rPr>
          <w:sz w:val="24"/>
          <w:szCs w:val="24"/>
          <w:lang w:val="en-GB" w:eastAsia="en-GB"/>
        </w:rPr>
      </w:pPr>
      <w:r w:rsidRPr="00F70CB0">
        <w:rPr>
          <w:sz w:val="24"/>
          <w:szCs w:val="24"/>
          <w:lang w:val="en-GB" w:eastAsia="en-GB"/>
        </w:rPr>
        <w:t>Diverse types</w:t>
      </w:r>
      <w:r w:rsidR="00C701F2" w:rsidRPr="00F70CB0">
        <w:rPr>
          <w:sz w:val="24"/>
          <w:szCs w:val="24"/>
          <w:lang w:val="en-GB" w:eastAsia="en-GB"/>
        </w:rPr>
        <w:t xml:space="preserve"> of literature reviews serve distinct purposes; however, a critical approach is most appropriate for doctoral-level research due to its emphasis on analysis, synthesis, and evaluation (Snyder, 2019).</w:t>
      </w:r>
    </w:p>
    <w:p w14:paraId="1D17D311" w14:textId="4C29B6AB" w:rsidR="00C701F2" w:rsidRPr="00F70CB0" w:rsidRDefault="00C701F2" w:rsidP="00C701F2">
      <w:pPr>
        <w:spacing w:before="100" w:beforeAutospacing="1" w:after="100" w:afterAutospacing="1"/>
        <w:jc w:val="both"/>
        <w:rPr>
          <w:sz w:val="24"/>
          <w:szCs w:val="24"/>
          <w:lang w:val="en-GB" w:eastAsia="en-GB"/>
        </w:rPr>
      </w:pPr>
      <w:r w:rsidRPr="00F70CB0">
        <w:rPr>
          <w:sz w:val="24"/>
          <w:szCs w:val="24"/>
          <w:lang w:val="en-GB" w:eastAsia="en-GB"/>
        </w:rPr>
        <w:t xml:space="preserve">Overall, the CLR </w:t>
      </w:r>
      <w:r w:rsidR="0007254D" w:rsidRPr="00F70CB0">
        <w:rPr>
          <w:sz w:val="24"/>
          <w:szCs w:val="24"/>
          <w:lang w:val="en-GB" w:eastAsia="en-GB"/>
        </w:rPr>
        <w:t>expands</w:t>
      </w:r>
      <w:r w:rsidRPr="00F70CB0">
        <w:rPr>
          <w:sz w:val="24"/>
          <w:szCs w:val="24"/>
          <w:lang w:val="en-GB" w:eastAsia="en-GB"/>
        </w:rPr>
        <w:t xml:space="preserve"> beyond summarising existing knowledge by positioning the research within academic debates and guiding future investigation. It therefore provides </w:t>
      </w:r>
      <w:r w:rsidR="00057E24" w:rsidRPr="00F70CB0">
        <w:rPr>
          <w:sz w:val="24"/>
          <w:szCs w:val="24"/>
          <w:lang w:val="en-GB" w:eastAsia="en-GB"/>
        </w:rPr>
        <w:t>a solid foundation</w:t>
      </w:r>
      <w:r w:rsidRPr="00F70CB0">
        <w:rPr>
          <w:sz w:val="24"/>
          <w:szCs w:val="24"/>
          <w:lang w:val="en-GB" w:eastAsia="en-GB"/>
        </w:rPr>
        <w:t xml:space="preserve"> for </w:t>
      </w:r>
      <w:r w:rsidR="0007254D" w:rsidRPr="00F70CB0">
        <w:rPr>
          <w:sz w:val="24"/>
          <w:szCs w:val="24"/>
          <w:lang w:val="en-GB" w:eastAsia="en-GB"/>
        </w:rPr>
        <w:t>examining</w:t>
      </w:r>
      <w:r w:rsidRPr="00F70CB0">
        <w:rPr>
          <w:sz w:val="24"/>
          <w:szCs w:val="24"/>
          <w:lang w:val="en-GB" w:eastAsia="en-GB"/>
        </w:rPr>
        <w:t xml:space="preserve"> digital banking behaviour and supports the development of research questions aligned with the study’s objectives.</w:t>
      </w:r>
    </w:p>
    <w:p w14:paraId="54C5B14F" w14:textId="77777777" w:rsidR="00674866" w:rsidRPr="00F70CB0" w:rsidRDefault="00674866" w:rsidP="00E6343C">
      <w:pPr>
        <w:spacing w:before="100" w:beforeAutospacing="1" w:after="100" w:afterAutospacing="1"/>
        <w:jc w:val="both"/>
        <w:rPr>
          <w:sz w:val="24"/>
          <w:szCs w:val="24"/>
          <w:lang w:eastAsia="en-GB"/>
        </w:rPr>
      </w:pPr>
    </w:p>
    <w:p w14:paraId="45CFF3BF" w14:textId="77777777" w:rsidR="00674866" w:rsidRPr="00F70CB0" w:rsidRDefault="00674866" w:rsidP="00E6343C">
      <w:pPr>
        <w:spacing w:before="100" w:beforeAutospacing="1" w:after="100" w:afterAutospacing="1"/>
        <w:jc w:val="both"/>
        <w:rPr>
          <w:sz w:val="24"/>
          <w:szCs w:val="24"/>
          <w:lang w:eastAsia="en-GB"/>
        </w:rPr>
      </w:pPr>
    </w:p>
    <w:p w14:paraId="14614F8F" w14:textId="77777777" w:rsidR="00674866" w:rsidRPr="00F70CB0" w:rsidRDefault="00674866" w:rsidP="00E6343C">
      <w:pPr>
        <w:spacing w:before="100" w:beforeAutospacing="1" w:after="100" w:afterAutospacing="1"/>
        <w:jc w:val="both"/>
        <w:rPr>
          <w:sz w:val="24"/>
          <w:szCs w:val="24"/>
          <w:lang w:eastAsia="en-GB"/>
        </w:rPr>
      </w:pPr>
    </w:p>
    <w:p w14:paraId="0EF60F8C" w14:textId="77777777" w:rsidR="00674866" w:rsidRPr="00F70CB0" w:rsidRDefault="00674866" w:rsidP="00E6343C">
      <w:pPr>
        <w:spacing w:before="100" w:beforeAutospacing="1" w:after="100" w:afterAutospacing="1"/>
        <w:jc w:val="both"/>
        <w:rPr>
          <w:sz w:val="24"/>
          <w:szCs w:val="24"/>
          <w:lang w:eastAsia="en-GB"/>
        </w:rPr>
      </w:pPr>
    </w:p>
    <w:p w14:paraId="7428EDDD" w14:textId="77777777" w:rsidR="00674866" w:rsidRPr="00F70CB0" w:rsidRDefault="00674866" w:rsidP="00E6343C">
      <w:pPr>
        <w:spacing w:before="100" w:beforeAutospacing="1" w:after="100" w:afterAutospacing="1"/>
        <w:jc w:val="both"/>
        <w:rPr>
          <w:sz w:val="24"/>
          <w:szCs w:val="24"/>
          <w:lang w:eastAsia="en-GB"/>
        </w:rPr>
      </w:pPr>
    </w:p>
    <w:p w14:paraId="338521F7" w14:textId="77777777" w:rsidR="00674866" w:rsidRPr="00F70CB0" w:rsidRDefault="00674866" w:rsidP="00E6343C">
      <w:pPr>
        <w:spacing w:before="100" w:beforeAutospacing="1" w:after="100" w:afterAutospacing="1"/>
        <w:jc w:val="both"/>
        <w:rPr>
          <w:sz w:val="24"/>
          <w:szCs w:val="24"/>
          <w:lang w:eastAsia="en-GB"/>
        </w:rPr>
      </w:pPr>
    </w:p>
    <w:p w14:paraId="7A863DB0" w14:textId="77777777" w:rsidR="00674866" w:rsidRPr="00F70CB0" w:rsidRDefault="00674866" w:rsidP="00E6343C">
      <w:pPr>
        <w:spacing w:before="100" w:beforeAutospacing="1" w:after="100" w:afterAutospacing="1"/>
        <w:jc w:val="both"/>
        <w:rPr>
          <w:sz w:val="24"/>
          <w:szCs w:val="24"/>
          <w:lang w:eastAsia="en-GB"/>
        </w:rPr>
      </w:pPr>
    </w:p>
    <w:p w14:paraId="701D5E6E" w14:textId="77777777" w:rsidR="00674866" w:rsidRPr="00F70CB0" w:rsidRDefault="00674866" w:rsidP="00E6343C">
      <w:pPr>
        <w:spacing w:before="100" w:beforeAutospacing="1" w:after="100" w:afterAutospacing="1"/>
        <w:jc w:val="both"/>
        <w:rPr>
          <w:sz w:val="24"/>
          <w:szCs w:val="24"/>
          <w:lang w:eastAsia="en-GB"/>
        </w:rPr>
      </w:pPr>
    </w:p>
    <w:p w14:paraId="17AD899F" w14:textId="77777777" w:rsidR="00674866" w:rsidRPr="00F70CB0" w:rsidRDefault="00674866" w:rsidP="00E6343C">
      <w:pPr>
        <w:spacing w:before="100" w:beforeAutospacing="1" w:after="100" w:afterAutospacing="1"/>
        <w:jc w:val="both"/>
        <w:rPr>
          <w:sz w:val="24"/>
          <w:szCs w:val="24"/>
          <w:lang w:eastAsia="en-GB"/>
        </w:rPr>
      </w:pPr>
    </w:p>
    <w:p w14:paraId="27314D3C" w14:textId="77777777" w:rsidR="009F1DF3" w:rsidRPr="00F70CB0" w:rsidRDefault="009F1DF3" w:rsidP="00E6343C">
      <w:pPr>
        <w:spacing w:before="100" w:beforeAutospacing="1" w:after="100" w:afterAutospacing="1"/>
        <w:jc w:val="both"/>
        <w:rPr>
          <w:sz w:val="24"/>
          <w:szCs w:val="24"/>
          <w:lang w:eastAsia="en-GB"/>
        </w:rPr>
      </w:pPr>
    </w:p>
    <w:p w14:paraId="5CE8F8D7" w14:textId="77777777" w:rsidR="00674866" w:rsidRPr="00F70CB0" w:rsidRDefault="00674866" w:rsidP="00E6343C">
      <w:pPr>
        <w:spacing w:before="100" w:beforeAutospacing="1" w:after="100" w:afterAutospacing="1"/>
        <w:jc w:val="both"/>
        <w:rPr>
          <w:sz w:val="24"/>
          <w:szCs w:val="24"/>
          <w:lang w:eastAsia="en-GB"/>
        </w:rPr>
      </w:pPr>
    </w:p>
    <w:p w14:paraId="50BADAAE" w14:textId="77777777" w:rsidR="00674866" w:rsidRPr="00F70CB0" w:rsidRDefault="00674866" w:rsidP="00E6343C">
      <w:pPr>
        <w:spacing w:before="100" w:beforeAutospacing="1" w:after="100" w:afterAutospacing="1"/>
        <w:jc w:val="both"/>
        <w:rPr>
          <w:sz w:val="24"/>
          <w:szCs w:val="24"/>
          <w:lang w:val="en-GB" w:eastAsia="en-GB"/>
        </w:rPr>
      </w:pPr>
    </w:p>
    <w:p w14:paraId="0B6520EA" w14:textId="3EB52025" w:rsidR="0039181A" w:rsidRPr="00F70CB0" w:rsidRDefault="00995793" w:rsidP="00F67637">
      <w:pPr>
        <w:pStyle w:val="Heading1"/>
        <w:rPr>
          <w:rFonts w:ascii="Times New Roman" w:hAnsi="Times New Roman" w:cs="Times New Roman"/>
          <w:sz w:val="32"/>
          <w:szCs w:val="32"/>
        </w:rPr>
      </w:pPr>
      <w:bookmarkStart w:id="11" w:name="_Toc227353479"/>
      <w:r w:rsidRPr="00F70CB0">
        <w:rPr>
          <w:rFonts w:ascii="Times New Roman" w:hAnsi="Times New Roman" w:cs="Times New Roman"/>
          <w:sz w:val="32"/>
          <w:szCs w:val="32"/>
        </w:rPr>
        <w:lastRenderedPageBreak/>
        <w:t>Part 2</w:t>
      </w:r>
      <w:bookmarkEnd w:id="11"/>
    </w:p>
    <w:p w14:paraId="04E39E85" w14:textId="77786900" w:rsidR="00995793" w:rsidRPr="00F70CB0" w:rsidRDefault="00875323" w:rsidP="00F67637">
      <w:pPr>
        <w:pStyle w:val="Heading1"/>
        <w:rPr>
          <w:rFonts w:ascii="Times New Roman" w:hAnsi="Times New Roman" w:cs="Times New Roman"/>
          <w:sz w:val="32"/>
          <w:szCs w:val="32"/>
        </w:rPr>
      </w:pPr>
      <w:bookmarkStart w:id="12" w:name="_Toc227353480"/>
      <w:r w:rsidRPr="00F70CB0">
        <w:rPr>
          <w:rFonts w:ascii="Times New Roman" w:hAnsi="Times New Roman" w:cs="Times New Roman"/>
          <w:sz w:val="32"/>
          <w:szCs w:val="32"/>
        </w:rPr>
        <w:t xml:space="preserve">2.1 </w:t>
      </w:r>
      <w:r w:rsidR="003E5338" w:rsidRPr="00F70CB0">
        <w:rPr>
          <w:rFonts w:ascii="Times New Roman" w:hAnsi="Times New Roman" w:cs="Times New Roman"/>
          <w:sz w:val="32"/>
          <w:szCs w:val="32"/>
        </w:rPr>
        <w:t xml:space="preserve">Introduction to </w:t>
      </w:r>
      <w:r w:rsidR="00995793" w:rsidRPr="00F70CB0">
        <w:rPr>
          <w:rFonts w:ascii="Times New Roman" w:hAnsi="Times New Roman" w:cs="Times New Roman"/>
          <w:sz w:val="32"/>
          <w:szCs w:val="32"/>
        </w:rPr>
        <w:t>Annotated Bibliography</w:t>
      </w:r>
      <w:bookmarkEnd w:id="12"/>
    </w:p>
    <w:p w14:paraId="62C9B2D9" w14:textId="1E65F027" w:rsidR="00330372" w:rsidRPr="00F70CB0" w:rsidRDefault="00330372" w:rsidP="00330372">
      <w:pPr>
        <w:spacing w:before="100" w:beforeAutospacing="1" w:after="100" w:afterAutospacing="1"/>
        <w:jc w:val="both"/>
        <w:rPr>
          <w:sz w:val="24"/>
          <w:szCs w:val="24"/>
          <w:lang w:val="en-GB" w:eastAsia="en-GB"/>
        </w:rPr>
      </w:pPr>
      <w:r w:rsidRPr="00F70CB0">
        <w:rPr>
          <w:sz w:val="24"/>
          <w:szCs w:val="24"/>
          <w:lang w:val="en-GB" w:eastAsia="en-GB"/>
        </w:rPr>
        <w:t xml:space="preserve">This annotated bibliography </w:t>
      </w:r>
      <w:r w:rsidR="00003EB0" w:rsidRPr="00F70CB0">
        <w:rPr>
          <w:sz w:val="24"/>
          <w:szCs w:val="24"/>
          <w:lang w:val="en-GB" w:eastAsia="en-GB"/>
        </w:rPr>
        <w:t>states</w:t>
      </w:r>
      <w:r w:rsidRPr="00F70CB0">
        <w:rPr>
          <w:sz w:val="24"/>
          <w:szCs w:val="24"/>
          <w:lang w:val="en-GB" w:eastAsia="en-GB"/>
        </w:rPr>
        <w:t xml:space="preserve"> a structured and critically informed review of academic literature related to digital banking, with a particular </w:t>
      </w:r>
      <w:r w:rsidR="00003EB0" w:rsidRPr="00F70CB0">
        <w:rPr>
          <w:sz w:val="24"/>
          <w:szCs w:val="24"/>
          <w:lang w:val="en-GB" w:eastAsia="en-GB"/>
        </w:rPr>
        <w:t>attention</w:t>
      </w:r>
      <w:r w:rsidRPr="00F70CB0">
        <w:rPr>
          <w:sz w:val="24"/>
          <w:szCs w:val="24"/>
          <w:lang w:val="en-GB" w:eastAsia="en-GB"/>
        </w:rPr>
        <w:t xml:space="preserve"> on customer preference and continuance intention. The literature was </w:t>
      </w:r>
      <w:r w:rsidR="00003EB0" w:rsidRPr="00F70CB0">
        <w:rPr>
          <w:sz w:val="24"/>
          <w:szCs w:val="24"/>
          <w:lang w:val="en-GB" w:eastAsia="en-GB"/>
        </w:rPr>
        <w:t>obtained</w:t>
      </w:r>
      <w:r w:rsidRPr="00F70CB0">
        <w:rPr>
          <w:sz w:val="24"/>
          <w:szCs w:val="24"/>
          <w:lang w:val="en-GB" w:eastAsia="en-GB"/>
        </w:rPr>
        <w:t xml:space="preserve"> primarily from academic databases such as Google Scholar, using </w:t>
      </w:r>
      <w:r w:rsidR="00003EB0" w:rsidRPr="00F70CB0">
        <w:rPr>
          <w:sz w:val="24"/>
          <w:szCs w:val="24"/>
          <w:lang w:val="en-GB" w:eastAsia="en-GB"/>
        </w:rPr>
        <w:t>related</w:t>
      </w:r>
      <w:r w:rsidRPr="00F70CB0">
        <w:rPr>
          <w:sz w:val="24"/>
          <w:szCs w:val="24"/>
          <w:lang w:val="en-GB" w:eastAsia="en-GB"/>
        </w:rPr>
        <w:t xml:space="preserve"> keywords including digital banking, mobile banking, customer satisfaction, continuance intention, Technology Acceptance Model (TAM), and trust and security.</w:t>
      </w:r>
    </w:p>
    <w:p w14:paraId="6EDF2930" w14:textId="458140C5" w:rsidR="00330372" w:rsidRPr="00F70CB0" w:rsidRDefault="00330372" w:rsidP="00330372">
      <w:pPr>
        <w:spacing w:before="100" w:beforeAutospacing="1" w:after="100" w:afterAutospacing="1"/>
        <w:jc w:val="both"/>
        <w:rPr>
          <w:sz w:val="24"/>
          <w:szCs w:val="24"/>
          <w:lang w:val="en-GB" w:eastAsia="en-GB"/>
        </w:rPr>
      </w:pPr>
      <w:r w:rsidRPr="00F70CB0">
        <w:rPr>
          <w:sz w:val="24"/>
          <w:szCs w:val="24"/>
          <w:lang w:val="en-GB" w:eastAsia="en-GB"/>
        </w:rPr>
        <w:t xml:space="preserve">The selection of studies </w:t>
      </w:r>
      <w:r w:rsidR="00003EB0" w:rsidRPr="00F70CB0">
        <w:rPr>
          <w:sz w:val="24"/>
          <w:szCs w:val="24"/>
          <w:lang w:val="en-GB" w:eastAsia="en-GB"/>
        </w:rPr>
        <w:t>highlights</w:t>
      </w:r>
      <w:r w:rsidRPr="00F70CB0">
        <w:rPr>
          <w:sz w:val="24"/>
          <w:szCs w:val="24"/>
          <w:lang w:val="en-GB" w:eastAsia="en-GB"/>
        </w:rPr>
        <w:t xml:space="preserve"> recent research published between 2020 and 2026 to ensure </w:t>
      </w:r>
      <w:r w:rsidR="00003EB0" w:rsidRPr="00F70CB0">
        <w:rPr>
          <w:sz w:val="24"/>
          <w:szCs w:val="24"/>
          <w:lang w:val="en-GB" w:eastAsia="en-GB"/>
        </w:rPr>
        <w:t>modern</w:t>
      </w:r>
      <w:r w:rsidRPr="00F70CB0">
        <w:rPr>
          <w:sz w:val="24"/>
          <w:szCs w:val="24"/>
          <w:lang w:val="en-GB" w:eastAsia="en-GB"/>
        </w:rPr>
        <w:t xml:space="preserve"> relevance, while also incorporating a limited number of seminal works, particularly early TAM-based studies, to provide </w:t>
      </w:r>
      <w:r w:rsidR="00003EB0" w:rsidRPr="00F70CB0">
        <w:rPr>
          <w:sz w:val="24"/>
          <w:szCs w:val="24"/>
          <w:lang w:val="en-GB" w:eastAsia="en-GB"/>
        </w:rPr>
        <w:t xml:space="preserve">a </w:t>
      </w:r>
      <w:r w:rsidRPr="00F70CB0">
        <w:rPr>
          <w:sz w:val="24"/>
          <w:szCs w:val="24"/>
          <w:lang w:val="en-GB" w:eastAsia="en-GB"/>
        </w:rPr>
        <w:t xml:space="preserve">theoretical </w:t>
      </w:r>
      <w:r w:rsidR="00003EB0" w:rsidRPr="00F70CB0">
        <w:rPr>
          <w:sz w:val="24"/>
          <w:szCs w:val="24"/>
          <w:lang w:val="en-GB" w:eastAsia="en-GB"/>
        </w:rPr>
        <w:t>foundation</w:t>
      </w:r>
      <w:r w:rsidRPr="00F70CB0">
        <w:rPr>
          <w:sz w:val="24"/>
          <w:szCs w:val="24"/>
          <w:lang w:val="en-GB" w:eastAsia="en-GB"/>
        </w:rPr>
        <w:t>. Priority was given to peer-reviewed journal articles to ensure academic credibility and reliability.</w:t>
      </w:r>
    </w:p>
    <w:p w14:paraId="023C0808" w14:textId="584BA225" w:rsidR="00330372" w:rsidRPr="00F70CB0" w:rsidRDefault="00330372" w:rsidP="00330372">
      <w:pPr>
        <w:spacing w:before="100" w:beforeAutospacing="1" w:after="100" w:afterAutospacing="1"/>
        <w:jc w:val="both"/>
        <w:rPr>
          <w:sz w:val="24"/>
          <w:szCs w:val="24"/>
          <w:lang w:val="en-GB" w:eastAsia="en-GB"/>
        </w:rPr>
      </w:pPr>
      <w:r w:rsidRPr="00F70CB0">
        <w:rPr>
          <w:sz w:val="24"/>
          <w:szCs w:val="24"/>
          <w:lang w:val="en-GB" w:eastAsia="en-GB"/>
        </w:rPr>
        <w:t xml:space="preserve">In terms of exclusion criteria, non-academic sources, studies from </w:t>
      </w:r>
      <w:r w:rsidR="00003EB0" w:rsidRPr="00F70CB0">
        <w:rPr>
          <w:sz w:val="24"/>
          <w:szCs w:val="24"/>
          <w:lang w:val="en-GB" w:eastAsia="en-GB"/>
        </w:rPr>
        <w:t>irrelevant</w:t>
      </w:r>
      <w:r w:rsidRPr="00F70CB0">
        <w:rPr>
          <w:sz w:val="24"/>
          <w:szCs w:val="24"/>
          <w:lang w:val="en-GB" w:eastAsia="en-GB"/>
        </w:rPr>
        <w:t xml:space="preserve"> industries, and duplicate records were removed to maintain focus and quality. The selected literature has been </w:t>
      </w:r>
      <w:r w:rsidR="00003EB0" w:rsidRPr="00F70CB0">
        <w:rPr>
          <w:sz w:val="24"/>
          <w:szCs w:val="24"/>
          <w:lang w:val="en-GB" w:eastAsia="en-GB"/>
        </w:rPr>
        <w:t>structured</w:t>
      </w:r>
      <w:r w:rsidRPr="00F70CB0">
        <w:rPr>
          <w:sz w:val="24"/>
          <w:szCs w:val="24"/>
          <w:lang w:val="en-GB" w:eastAsia="en-GB"/>
        </w:rPr>
        <w:t xml:space="preserve"> thematically, including key areas such as technology adoption, continuance intention, trust and security, and service quality.</w:t>
      </w:r>
    </w:p>
    <w:p w14:paraId="1022163E" w14:textId="16C15AE7" w:rsidR="00316F0F" w:rsidRPr="00F70CB0" w:rsidRDefault="00330372" w:rsidP="00E6343C">
      <w:pPr>
        <w:spacing w:before="100" w:beforeAutospacing="1" w:after="100" w:afterAutospacing="1"/>
        <w:jc w:val="both"/>
        <w:rPr>
          <w:sz w:val="24"/>
          <w:szCs w:val="24"/>
          <w:lang w:val="en-GB" w:eastAsia="en-GB"/>
        </w:rPr>
      </w:pPr>
      <w:r w:rsidRPr="00F70CB0">
        <w:rPr>
          <w:sz w:val="24"/>
          <w:szCs w:val="24"/>
          <w:lang w:val="en-GB" w:eastAsia="en-GB"/>
        </w:rPr>
        <w:t xml:space="preserve">Importantly, while the annotated bibliography adopts a thematic structure, it also seeks to move beyond descriptive summarisation by identifying patterns, limitations, and areas of </w:t>
      </w:r>
      <w:r w:rsidR="00003EB0" w:rsidRPr="00F70CB0">
        <w:rPr>
          <w:sz w:val="24"/>
          <w:szCs w:val="24"/>
          <w:lang w:val="en-GB" w:eastAsia="en-GB"/>
        </w:rPr>
        <w:t>division</w:t>
      </w:r>
      <w:r w:rsidRPr="00F70CB0">
        <w:rPr>
          <w:sz w:val="24"/>
          <w:szCs w:val="24"/>
          <w:lang w:val="en-GB" w:eastAsia="en-GB"/>
        </w:rPr>
        <w:t xml:space="preserve"> within the literature. This approach provides a </w:t>
      </w:r>
      <w:r w:rsidR="00003EB0" w:rsidRPr="00F70CB0">
        <w:rPr>
          <w:sz w:val="24"/>
          <w:szCs w:val="24"/>
          <w:lang w:val="en-GB" w:eastAsia="en-GB"/>
        </w:rPr>
        <w:t>solid</w:t>
      </w:r>
      <w:r w:rsidRPr="00F70CB0">
        <w:rPr>
          <w:sz w:val="24"/>
          <w:szCs w:val="24"/>
          <w:lang w:val="en-GB" w:eastAsia="en-GB"/>
        </w:rPr>
        <w:t xml:space="preserve"> foundation for the subsequent critical literature review by highlighting key theoretical perspectives, inconsistencies, and emerging research gaps within digital banking.</w:t>
      </w:r>
    </w:p>
    <w:p w14:paraId="76A455E1" w14:textId="1218D2B6" w:rsidR="000A2E61" w:rsidRPr="00F70CB0" w:rsidRDefault="000A2E61" w:rsidP="0083450D">
      <w:pPr>
        <w:pStyle w:val="Heading1"/>
        <w:jc w:val="both"/>
        <w:rPr>
          <w:rFonts w:ascii="Times New Roman" w:hAnsi="Times New Roman" w:cs="Times New Roman"/>
          <w:sz w:val="28"/>
          <w:szCs w:val="28"/>
        </w:rPr>
      </w:pPr>
      <w:bookmarkStart w:id="13" w:name="_Toc227353481"/>
      <w:r w:rsidRPr="00F70CB0">
        <w:rPr>
          <w:rFonts w:ascii="Times New Roman" w:hAnsi="Times New Roman" w:cs="Times New Roman"/>
          <w:sz w:val="28"/>
          <w:szCs w:val="28"/>
        </w:rPr>
        <w:t xml:space="preserve">2.1.1 Literature </w:t>
      </w:r>
      <w:r w:rsidR="005B488D">
        <w:rPr>
          <w:rFonts w:ascii="Times New Roman" w:hAnsi="Times New Roman" w:cs="Times New Roman"/>
          <w:sz w:val="28"/>
          <w:szCs w:val="28"/>
        </w:rPr>
        <w:t>Search Strategy</w:t>
      </w:r>
      <w:r w:rsidRPr="00F70CB0">
        <w:rPr>
          <w:rFonts w:ascii="Times New Roman" w:hAnsi="Times New Roman" w:cs="Times New Roman"/>
          <w:sz w:val="28"/>
          <w:szCs w:val="28"/>
        </w:rPr>
        <w:t xml:space="preserve"> </w:t>
      </w:r>
      <w:r w:rsidR="00BC4DCA">
        <w:rPr>
          <w:rFonts w:ascii="Times New Roman" w:hAnsi="Times New Roman" w:cs="Times New Roman"/>
          <w:sz w:val="28"/>
          <w:szCs w:val="28"/>
        </w:rPr>
        <w:t>Study Selection Process</w:t>
      </w:r>
      <w:bookmarkEnd w:id="13"/>
    </w:p>
    <w:p w14:paraId="43392A97" w14:textId="77777777" w:rsidR="00AD571C" w:rsidRPr="00AD571C" w:rsidRDefault="00AD571C" w:rsidP="00AD571C">
      <w:pPr>
        <w:jc w:val="both"/>
        <w:rPr>
          <w:sz w:val="24"/>
          <w:szCs w:val="24"/>
          <w:lang w:val="en-GB" w:eastAsia="en-US"/>
        </w:rPr>
      </w:pPr>
      <w:r w:rsidRPr="00AD571C">
        <w:rPr>
          <w:sz w:val="24"/>
          <w:szCs w:val="24"/>
          <w:lang w:val="en-GB" w:eastAsia="en-US"/>
        </w:rPr>
        <w:t>A structured literature search and selection process was conducted in line with PRISMA (Preferred Reporting Items for Systematic Reviews and Meta-Analyses) guidelines to ensure transparency and accuracy. Relevant studies were identified through academic databases, including Google Scholar, using keywords such as “digital banking”, “customer satisfaction”, “continuance intention”, “TAM”, and “trust and security”.</w:t>
      </w:r>
    </w:p>
    <w:p w14:paraId="0323C59D" w14:textId="77777777" w:rsidR="00AD571C" w:rsidRPr="00AD571C" w:rsidRDefault="00AD571C" w:rsidP="00AD571C">
      <w:pPr>
        <w:jc w:val="both"/>
        <w:rPr>
          <w:sz w:val="24"/>
          <w:szCs w:val="24"/>
          <w:lang w:val="en-GB" w:eastAsia="en-US"/>
        </w:rPr>
      </w:pPr>
      <w:r w:rsidRPr="00AD571C">
        <w:rPr>
          <w:sz w:val="24"/>
          <w:szCs w:val="24"/>
          <w:lang w:val="en-GB" w:eastAsia="en-US"/>
        </w:rPr>
        <w:t>The initial search yielded 120 studies. After removing 2 duplicate records, 118 studies remained for screening. Titles and abstracts were reviewed to assess relevance, resulting in the exclusion of 12 studies that were not related to digital banking or customer behaviour.</w:t>
      </w:r>
    </w:p>
    <w:p w14:paraId="0E60DAF3" w14:textId="77777777" w:rsidR="00AD571C" w:rsidRPr="00AD571C" w:rsidRDefault="00AD571C" w:rsidP="00AD571C">
      <w:pPr>
        <w:jc w:val="both"/>
        <w:rPr>
          <w:sz w:val="24"/>
          <w:szCs w:val="24"/>
          <w:lang w:val="en-GB" w:eastAsia="en-US"/>
        </w:rPr>
      </w:pPr>
      <w:r w:rsidRPr="00AD571C">
        <w:rPr>
          <w:sz w:val="24"/>
          <w:szCs w:val="24"/>
          <w:lang w:val="en-GB" w:eastAsia="en-US"/>
        </w:rPr>
        <w:t>A total of 106 full-text articles were then assessed for eligibility. Of these, 8 studies were excluded due to lack of relevance, conceptual limitations, or failure to meet the predefined inclusion criteria. Ultimately, 98 studies were included in the final review.</w:t>
      </w:r>
    </w:p>
    <w:p w14:paraId="3E1804AA" w14:textId="77777777" w:rsidR="0083450D" w:rsidRPr="00F70CB0" w:rsidRDefault="0083450D" w:rsidP="0083450D">
      <w:pPr>
        <w:rPr>
          <w:sz w:val="24"/>
          <w:szCs w:val="24"/>
          <w:lang w:val="en-GB" w:eastAsia="en-US"/>
        </w:rPr>
      </w:pPr>
    </w:p>
    <w:p w14:paraId="30BA6FF6" w14:textId="77777777" w:rsidR="0032772E" w:rsidRPr="00F70CB0" w:rsidRDefault="0032772E" w:rsidP="0083450D">
      <w:pPr>
        <w:rPr>
          <w:sz w:val="24"/>
          <w:szCs w:val="24"/>
          <w:lang w:val="en-GB" w:eastAsia="en-US"/>
        </w:rPr>
      </w:pPr>
    </w:p>
    <w:p w14:paraId="0380CFDA" w14:textId="2F60DEDE" w:rsidR="001007D1" w:rsidRPr="00F70CB0" w:rsidRDefault="001007D1" w:rsidP="001007D1">
      <w:pPr>
        <w:spacing w:before="0" w:after="160" w:line="259" w:lineRule="auto"/>
        <w:rPr>
          <w:sz w:val="32"/>
          <w:szCs w:val="32"/>
          <w:lang w:val="en-GB"/>
        </w:rPr>
      </w:pPr>
      <w:r w:rsidRPr="00F70CB0">
        <w:rPr>
          <w:sz w:val="32"/>
          <w:szCs w:val="32"/>
        </w:rPr>
        <w:br w:type="page"/>
      </w:r>
      <w:r w:rsidR="00935657" w:rsidRPr="00F70CB0">
        <w:rPr>
          <w:noProof/>
          <w:sz w:val="32"/>
          <w:szCs w:val="32"/>
          <w:lang w:val="en-GB"/>
        </w:rPr>
        <w:lastRenderedPageBreak/>
        <mc:AlternateContent>
          <mc:Choice Requires="wpi">
            <w:drawing>
              <wp:anchor distT="0" distB="0" distL="114300" distR="114300" simplePos="0" relativeHeight="251659264" behindDoc="0" locked="0" layoutInCell="1" allowOverlap="1" wp14:anchorId="3252B1AE" wp14:editId="0961DA22">
                <wp:simplePos x="0" y="0"/>
                <wp:positionH relativeFrom="column">
                  <wp:posOffset>3526287</wp:posOffset>
                </wp:positionH>
                <wp:positionV relativeFrom="paragraph">
                  <wp:posOffset>8513084</wp:posOffset>
                </wp:positionV>
                <wp:extent cx="1319400" cy="189000"/>
                <wp:effectExtent l="133350" t="133350" r="128905" b="135255"/>
                <wp:wrapNone/>
                <wp:docPr id="1980404984"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1319400" cy="189000"/>
                      </w14:xfrm>
                    </w14:contentPart>
                  </a:graphicData>
                </a:graphic>
              </wp:anchor>
            </w:drawing>
          </mc:Choice>
          <mc:Fallback>
            <w:pict>
              <v:shapetype w14:anchorId="071534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72.7pt;margin-top:665.35pt;width:113.85pt;height:24.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">
                <v:imagedata r:id="rId10" o:title=""/>
              </v:shape>
            </w:pict>
          </mc:Fallback>
        </mc:AlternateContent>
      </w:r>
      <w:r w:rsidRPr="00F70CB0">
        <w:rPr>
          <w:noProof/>
          <w:sz w:val="32"/>
          <w:szCs w:val="32"/>
          <w:lang w:val="en-GB"/>
        </w:rPr>
        <w:drawing>
          <wp:inline distT="0" distB="0" distL="0" distR="0" wp14:anchorId="22BB38DA" wp14:editId="31DF1C3A">
            <wp:extent cx="4866640" cy="8863330"/>
            <wp:effectExtent l="0" t="0" r="0" b="0"/>
            <wp:docPr id="379687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6640" cy="8863330"/>
                    </a:xfrm>
                    <a:prstGeom prst="rect">
                      <a:avLst/>
                    </a:prstGeom>
                    <a:noFill/>
                    <a:ln>
                      <a:noFill/>
                    </a:ln>
                  </pic:spPr>
                </pic:pic>
              </a:graphicData>
            </a:graphic>
          </wp:inline>
        </w:drawing>
      </w:r>
    </w:p>
    <w:p w14:paraId="7762CD3B" w14:textId="3670EFCD" w:rsidR="006A3AAE" w:rsidRPr="00F70CB0" w:rsidRDefault="00875323" w:rsidP="00F67637">
      <w:pPr>
        <w:pStyle w:val="Heading1"/>
        <w:rPr>
          <w:rFonts w:ascii="Times New Roman" w:hAnsi="Times New Roman" w:cs="Times New Roman"/>
          <w:sz w:val="32"/>
          <w:szCs w:val="32"/>
        </w:rPr>
      </w:pPr>
      <w:bookmarkStart w:id="14" w:name="_Toc227353482"/>
      <w:r w:rsidRPr="00F70CB0">
        <w:rPr>
          <w:rFonts w:ascii="Times New Roman" w:hAnsi="Times New Roman" w:cs="Times New Roman"/>
          <w:sz w:val="32"/>
          <w:szCs w:val="32"/>
        </w:rPr>
        <w:lastRenderedPageBreak/>
        <w:t xml:space="preserve">2.2 </w:t>
      </w:r>
      <w:r w:rsidR="00AC5664" w:rsidRPr="00F70CB0">
        <w:rPr>
          <w:rFonts w:ascii="Times New Roman" w:hAnsi="Times New Roman" w:cs="Times New Roman"/>
          <w:sz w:val="32"/>
          <w:szCs w:val="32"/>
        </w:rPr>
        <w:t>Thematic</w:t>
      </w:r>
      <w:r w:rsidR="00491559" w:rsidRPr="00F70CB0">
        <w:rPr>
          <w:rFonts w:ascii="Times New Roman" w:hAnsi="Times New Roman" w:cs="Times New Roman"/>
          <w:sz w:val="32"/>
          <w:szCs w:val="32"/>
        </w:rPr>
        <w:t xml:space="preserve"> critical discussion</w:t>
      </w:r>
      <w:bookmarkEnd w:id="14"/>
      <w:r w:rsidR="00491559" w:rsidRPr="00F70CB0">
        <w:rPr>
          <w:rFonts w:ascii="Times New Roman" w:hAnsi="Times New Roman" w:cs="Times New Roman"/>
          <w:sz w:val="32"/>
          <w:szCs w:val="32"/>
        </w:rPr>
        <w:t xml:space="preserve"> </w:t>
      </w:r>
    </w:p>
    <w:p w14:paraId="1F810416" w14:textId="68A5AA84" w:rsidR="00913472" w:rsidRPr="00F70CB0" w:rsidRDefault="00875323" w:rsidP="00F67637">
      <w:pPr>
        <w:pStyle w:val="Heading1"/>
        <w:rPr>
          <w:rFonts w:ascii="Times New Roman" w:hAnsi="Times New Roman" w:cs="Times New Roman"/>
          <w:sz w:val="28"/>
          <w:szCs w:val="28"/>
        </w:rPr>
      </w:pPr>
      <w:bookmarkStart w:id="15" w:name="_Toc227353483"/>
      <w:r w:rsidRPr="00F70CB0">
        <w:rPr>
          <w:rFonts w:ascii="Times New Roman" w:hAnsi="Times New Roman" w:cs="Times New Roman"/>
          <w:sz w:val="28"/>
          <w:szCs w:val="28"/>
        </w:rPr>
        <w:t>2.</w:t>
      </w:r>
      <w:r w:rsidR="00B816AB" w:rsidRPr="00F70CB0">
        <w:rPr>
          <w:rFonts w:ascii="Times New Roman" w:hAnsi="Times New Roman" w:cs="Times New Roman"/>
          <w:sz w:val="28"/>
          <w:szCs w:val="28"/>
        </w:rPr>
        <w:t>2.1</w:t>
      </w:r>
      <w:r w:rsidR="00F67637" w:rsidRPr="00F70CB0">
        <w:rPr>
          <w:rFonts w:ascii="Times New Roman" w:hAnsi="Times New Roman" w:cs="Times New Roman"/>
          <w:sz w:val="28"/>
          <w:szCs w:val="28"/>
        </w:rPr>
        <w:t xml:space="preserve"> </w:t>
      </w:r>
      <w:r w:rsidR="00AC5664" w:rsidRPr="00F70CB0">
        <w:rPr>
          <w:rFonts w:ascii="Times New Roman" w:hAnsi="Times New Roman" w:cs="Times New Roman"/>
          <w:sz w:val="28"/>
          <w:szCs w:val="28"/>
        </w:rPr>
        <w:t>Digital banking adoption</w:t>
      </w:r>
      <w:bookmarkEnd w:id="15"/>
    </w:p>
    <w:p w14:paraId="3248AEDD" w14:textId="0DCB7FC4" w:rsidR="0032772E" w:rsidRPr="00F70CB0" w:rsidRDefault="0032772E" w:rsidP="0032772E">
      <w:pPr>
        <w:jc w:val="both"/>
        <w:rPr>
          <w:sz w:val="24"/>
          <w:szCs w:val="24"/>
          <w:lang w:val="en-GB" w:eastAsia="en-US"/>
        </w:rPr>
      </w:pPr>
      <w:r w:rsidRPr="00F70CB0">
        <w:rPr>
          <w:sz w:val="24"/>
          <w:szCs w:val="24"/>
          <w:lang w:val="en-GB" w:eastAsia="en-US"/>
        </w:rPr>
        <w:t xml:space="preserve">Research on digital banking adoption has </w:t>
      </w:r>
      <w:r w:rsidR="00B543ED" w:rsidRPr="00F70CB0">
        <w:rPr>
          <w:sz w:val="24"/>
          <w:szCs w:val="24"/>
          <w:lang w:val="en-GB" w:eastAsia="en-US"/>
        </w:rPr>
        <w:t>broadly</w:t>
      </w:r>
      <w:r w:rsidRPr="00F70CB0">
        <w:rPr>
          <w:sz w:val="24"/>
          <w:szCs w:val="24"/>
          <w:lang w:val="en-GB" w:eastAsia="en-US"/>
        </w:rPr>
        <w:t xml:space="preserve"> examined factors influencing user acceptance of technology-based financial services. A substantial body of literature identifies perceived usefulness, perceived ease of use, trust, and perceived risk as key </w:t>
      </w:r>
      <w:r w:rsidR="00B543ED" w:rsidRPr="00F70CB0">
        <w:rPr>
          <w:sz w:val="24"/>
          <w:szCs w:val="24"/>
          <w:lang w:val="en-GB" w:eastAsia="en-US"/>
        </w:rPr>
        <w:t>elements</w:t>
      </w:r>
      <w:r w:rsidRPr="00F70CB0">
        <w:rPr>
          <w:sz w:val="24"/>
          <w:szCs w:val="24"/>
          <w:lang w:val="en-GB" w:eastAsia="en-US"/>
        </w:rPr>
        <w:t xml:space="preserve"> of adoption behaviour (Albort-Morant et al., 2022; Kumar et al., 2023). Much of this research is grounded in the Technology Acceptance Model (TAM) and commonly employs quantitative methodologies, particularly survey-based approaches and Structural Equation Modelling (SEM), to analyse user behaviour (Sharma and Kumar, 2025).</w:t>
      </w:r>
    </w:p>
    <w:p w14:paraId="29691F37" w14:textId="4B7BBCDE" w:rsidR="0032772E" w:rsidRPr="00F70CB0" w:rsidRDefault="0032772E" w:rsidP="0032772E">
      <w:pPr>
        <w:jc w:val="both"/>
        <w:rPr>
          <w:sz w:val="24"/>
          <w:szCs w:val="24"/>
          <w:lang w:val="en-GB" w:eastAsia="en-US"/>
        </w:rPr>
      </w:pPr>
      <w:r w:rsidRPr="00F70CB0">
        <w:rPr>
          <w:sz w:val="24"/>
          <w:szCs w:val="24"/>
          <w:lang w:val="en-GB" w:eastAsia="en-US"/>
        </w:rPr>
        <w:t xml:space="preserve">However, despite its </w:t>
      </w:r>
      <w:r w:rsidR="00B543ED" w:rsidRPr="00F70CB0">
        <w:rPr>
          <w:sz w:val="24"/>
          <w:szCs w:val="24"/>
          <w:lang w:val="en-GB" w:eastAsia="en-US"/>
        </w:rPr>
        <w:t>massive</w:t>
      </w:r>
      <w:r w:rsidRPr="00F70CB0">
        <w:rPr>
          <w:sz w:val="24"/>
          <w:szCs w:val="24"/>
          <w:lang w:val="en-GB" w:eastAsia="en-US"/>
        </w:rPr>
        <w:t xml:space="preserve"> development, the adoption literature </w:t>
      </w:r>
      <w:r w:rsidR="00B543ED" w:rsidRPr="00F70CB0">
        <w:rPr>
          <w:sz w:val="24"/>
          <w:szCs w:val="24"/>
          <w:lang w:val="en-GB" w:eastAsia="en-US"/>
        </w:rPr>
        <w:t>remains</w:t>
      </w:r>
      <w:r w:rsidRPr="00F70CB0">
        <w:rPr>
          <w:sz w:val="24"/>
          <w:szCs w:val="24"/>
          <w:lang w:val="en-GB" w:eastAsia="en-US"/>
        </w:rPr>
        <w:t xml:space="preserve"> conceptually constrained. </w:t>
      </w:r>
      <w:r w:rsidR="00B543ED" w:rsidRPr="00F70CB0">
        <w:rPr>
          <w:sz w:val="24"/>
          <w:szCs w:val="24"/>
          <w:lang w:val="en-GB" w:eastAsia="en-US"/>
        </w:rPr>
        <w:t>A</w:t>
      </w:r>
      <w:r w:rsidRPr="00F70CB0">
        <w:rPr>
          <w:sz w:val="24"/>
          <w:szCs w:val="24"/>
          <w:lang w:val="en-GB" w:eastAsia="en-US"/>
        </w:rPr>
        <w:t xml:space="preserve"> </w:t>
      </w:r>
      <w:r w:rsidR="00B543ED" w:rsidRPr="00F70CB0">
        <w:rPr>
          <w:sz w:val="24"/>
          <w:szCs w:val="24"/>
          <w:lang w:val="en-GB" w:eastAsia="en-US"/>
        </w:rPr>
        <w:t>huge</w:t>
      </w:r>
      <w:r w:rsidRPr="00F70CB0">
        <w:rPr>
          <w:sz w:val="24"/>
          <w:szCs w:val="24"/>
          <w:lang w:val="en-GB" w:eastAsia="en-US"/>
        </w:rPr>
        <w:t xml:space="preserve"> proportion of studies are conducted in developing economies such as India and Bangladesh, raising concerns regarding the generalisability of findings to mature banking environments such as the United Kingdom. In addition, the literature </w:t>
      </w:r>
      <w:r w:rsidR="00B543ED" w:rsidRPr="00F70CB0">
        <w:rPr>
          <w:sz w:val="24"/>
          <w:szCs w:val="24"/>
          <w:lang w:val="en-GB" w:eastAsia="en-US"/>
        </w:rPr>
        <w:t>principally</w:t>
      </w:r>
      <w:r w:rsidRPr="00F70CB0">
        <w:rPr>
          <w:sz w:val="24"/>
          <w:szCs w:val="24"/>
          <w:lang w:val="en-GB" w:eastAsia="en-US"/>
        </w:rPr>
        <w:t xml:space="preserve"> focuses on </w:t>
      </w:r>
      <w:r w:rsidR="00B543ED" w:rsidRPr="00F70CB0">
        <w:rPr>
          <w:sz w:val="24"/>
          <w:szCs w:val="24"/>
          <w:lang w:val="en-GB" w:eastAsia="en-US"/>
        </w:rPr>
        <w:t>primary</w:t>
      </w:r>
      <w:r w:rsidRPr="00F70CB0">
        <w:rPr>
          <w:sz w:val="24"/>
          <w:szCs w:val="24"/>
          <w:lang w:val="en-GB" w:eastAsia="en-US"/>
        </w:rPr>
        <w:t xml:space="preserve"> adoption and whether adoption naturally leads to continued usage. This linear assumption </w:t>
      </w:r>
      <w:r w:rsidR="00B543ED" w:rsidRPr="00F70CB0">
        <w:rPr>
          <w:sz w:val="24"/>
          <w:szCs w:val="24"/>
          <w:lang w:val="en-GB" w:eastAsia="en-US"/>
        </w:rPr>
        <w:t>directs</w:t>
      </w:r>
      <w:r w:rsidRPr="00F70CB0">
        <w:rPr>
          <w:sz w:val="24"/>
          <w:szCs w:val="24"/>
          <w:lang w:val="en-GB" w:eastAsia="en-US"/>
        </w:rPr>
        <w:t xml:space="preserve"> the complexity of post-adoption behaviour.</w:t>
      </w:r>
    </w:p>
    <w:p w14:paraId="40687889" w14:textId="40E0B6CD" w:rsidR="00354253" w:rsidRPr="00F70CB0" w:rsidRDefault="0032772E" w:rsidP="008A5D84">
      <w:pPr>
        <w:jc w:val="both"/>
        <w:rPr>
          <w:sz w:val="24"/>
          <w:szCs w:val="24"/>
          <w:lang w:val="en-GB" w:eastAsia="en-US"/>
        </w:rPr>
      </w:pPr>
      <w:r w:rsidRPr="00F70CB0">
        <w:rPr>
          <w:sz w:val="24"/>
          <w:szCs w:val="24"/>
          <w:lang w:val="en-GB" w:eastAsia="en-US"/>
        </w:rPr>
        <w:t xml:space="preserve">Furthermore, many </w:t>
      </w:r>
      <w:r w:rsidR="00B543ED" w:rsidRPr="00F70CB0">
        <w:rPr>
          <w:sz w:val="24"/>
          <w:szCs w:val="24"/>
          <w:lang w:val="en-GB" w:eastAsia="en-US"/>
        </w:rPr>
        <w:t>considerations</w:t>
      </w:r>
      <w:r w:rsidRPr="00F70CB0">
        <w:rPr>
          <w:sz w:val="24"/>
          <w:szCs w:val="24"/>
          <w:lang w:val="en-GB" w:eastAsia="en-US"/>
        </w:rPr>
        <w:t xml:space="preserve"> examine technological factors in isolation, with limited consideration of broader experiential and relational </w:t>
      </w:r>
      <w:r w:rsidR="00B543ED" w:rsidRPr="00F70CB0">
        <w:rPr>
          <w:sz w:val="24"/>
          <w:szCs w:val="24"/>
          <w:lang w:val="en-GB" w:eastAsia="en-US"/>
        </w:rPr>
        <w:t>scope,</w:t>
      </w:r>
      <w:r w:rsidRPr="00F70CB0">
        <w:rPr>
          <w:sz w:val="24"/>
          <w:szCs w:val="24"/>
          <w:lang w:val="en-GB" w:eastAsia="en-US"/>
        </w:rPr>
        <w:t xml:space="preserve"> such as customer experience and service quality. This fragmented approach </w:t>
      </w:r>
      <w:r w:rsidR="00B543ED" w:rsidRPr="00F70CB0">
        <w:rPr>
          <w:sz w:val="24"/>
          <w:szCs w:val="24"/>
          <w:lang w:val="en-GB" w:eastAsia="en-US"/>
        </w:rPr>
        <w:t>indicates</w:t>
      </w:r>
      <w:r w:rsidRPr="00F70CB0">
        <w:rPr>
          <w:sz w:val="24"/>
          <w:szCs w:val="24"/>
          <w:lang w:val="en-GB" w:eastAsia="en-US"/>
        </w:rPr>
        <w:t xml:space="preserve"> an over-reliance on technology-centric models, limiting the ability to fully capture user behaviour in advanced digital contexts. Therefore, there is a </w:t>
      </w:r>
      <w:r w:rsidR="00B543ED" w:rsidRPr="00F70CB0">
        <w:rPr>
          <w:sz w:val="24"/>
          <w:szCs w:val="24"/>
          <w:lang w:val="en-GB" w:eastAsia="en-US"/>
        </w:rPr>
        <w:t>requirement</w:t>
      </w:r>
      <w:r w:rsidRPr="00F70CB0">
        <w:rPr>
          <w:sz w:val="24"/>
          <w:szCs w:val="24"/>
          <w:lang w:val="en-GB" w:eastAsia="en-US"/>
        </w:rPr>
        <w:t xml:space="preserve"> for a more integrated perspective that </w:t>
      </w:r>
      <w:r w:rsidR="00B543ED" w:rsidRPr="00F70CB0">
        <w:rPr>
          <w:sz w:val="24"/>
          <w:szCs w:val="24"/>
          <w:lang w:val="en-GB" w:eastAsia="en-US"/>
        </w:rPr>
        <w:t>ties</w:t>
      </w:r>
      <w:r w:rsidRPr="00F70CB0">
        <w:rPr>
          <w:sz w:val="24"/>
          <w:szCs w:val="24"/>
          <w:lang w:val="en-GB" w:eastAsia="en-US"/>
        </w:rPr>
        <w:t xml:space="preserve"> adoption with post-adoption behaviour, particularly within the UK digital banking environment.</w:t>
      </w:r>
    </w:p>
    <w:p w14:paraId="12FF03D7" w14:textId="7916AB76" w:rsidR="00D563DD" w:rsidRPr="00F70CB0" w:rsidRDefault="00F67637" w:rsidP="00F67637">
      <w:pPr>
        <w:pStyle w:val="Heading1"/>
        <w:rPr>
          <w:rFonts w:ascii="Times New Roman" w:hAnsi="Times New Roman" w:cs="Times New Roman"/>
          <w:sz w:val="28"/>
          <w:szCs w:val="28"/>
        </w:rPr>
      </w:pPr>
      <w:bookmarkStart w:id="16" w:name="_Toc227353484"/>
      <w:r w:rsidRPr="00F70CB0">
        <w:rPr>
          <w:rFonts w:ascii="Times New Roman" w:hAnsi="Times New Roman" w:cs="Times New Roman"/>
          <w:sz w:val="28"/>
          <w:szCs w:val="28"/>
        </w:rPr>
        <w:t>2.2.</w:t>
      </w:r>
      <w:r w:rsidR="008A1094" w:rsidRPr="00F70CB0">
        <w:rPr>
          <w:rFonts w:ascii="Times New Roman" w:hAnsi="Times New Roman" w:cs="Times New Roman"/>
          <w:sz w:val="28"/>
          <w:szCs w:val="28"/>
        </w:rPr>
        <w:t>2 Continuance Intention</w:t>
      </w:r>
      <w:bookmarkEnd w:id="16"/>
    </w:p>
    <w:p w14:paraId="12CB0494" w14:textId="72D6CD26" w:rsidR="0032772E" w:rsidRPr="00F70CB0" w:rsidRDefault="0032772E" w:rsidP="0032772E">
      <w:pPr>
        <w:jc w:val="both"/>
        <w:rPr>
          <w:sz w:val="24"/>
          <w:szCs w:val="24"/>
          <w:lang w:val="en-GB" w:eastAsia="en-US"/>
        </w:rPr>
      </w:pPr>
      <w:r w:rsidRPr="00F70CB0">
        <w:rPr>
          <w:sz w:val="24"/>
          <w:szCs w:val="24"/>
          <w:lang w:val="en-GB" w:eastAsia="en-US"/>
        </w:rPr>
        <w:t xml:space="preserve">Recent research has </w:t>
      </w:r>
      <w:r w:rsidR="00565C73" w:rsidRPr="00F70CB0">
        <w:rPr>
          <w:sz w:val="24"/>
          <w:szCs w:val="24"/>
          <w:lang w:val="en-GB" w:eastAsia="en-US"/>
        </w:rPr>
        <w:t>progressively</w:t>
      </w:r>
      <w:r w:rsidRPr="00F70CB0">
        <w:rPr>
          <w:sz w:val="24"/>
          <w:szCs w:val="24"/>
          <w:lang w:val="en-GB" w:eastAsia="en-US"/>
        </w:rPr>
        <w:t xml:space="preserve"> </w:t>
      </w:r>
      <w:r w:rsidR="00565C73" w:rsidRPr="00F70CB0">
        <w:rPr>
          <w:sz w:val="24"/>
          <w:szCs w:val="24"/>
          <w:lang w:val="en-GB" w:eastAsia="en-US"/>
        </w:rPr>
        <w:t>moved</w:t>
      </w:r>
      <w:r w:rsidRPr="00F70CB0">
        <w:rPr>
          <w:sz w:val="24"/>
          <w:szCs w:val="24"/>
          <w:lang w:val="en-GB" w:eastAsia="en-US"/>
        </w:rPr>
        <w:t xml:space="preserve"> towards understanding continuance intention, </w:t>
      </w:r>
      <w:r w:rsidR="00565C73" w:rsidRPr="00F70CB0">
        <w:rPr>
          <w:sz w:val="24"/>
          <w:szCs w:val="24"/>
          <w:lang w:val="en-GB" w:eastAsia="en-US"/>
        </w:rPr>
        <w:t>knowing</w:t>
      </w:r>
      <w:r w:rsidRPr="00F70CB0">
        <w:rPr>
          <w:sz w:val="24"/>
          <w:szCs w:val="24"/>
          <w:lang w:val="en-GB" w:eastAsia="en-US"/>
        </w:rPr>
        <w:t xml:space="preserve"> that initial adoption alone does not ensure sustained usage. Much of this literature is based on post-adoption frameworks such as the Expectation Confirmation Model (ECM), alongside extensions of TAM and the Information Systems Success Model. These frameworks highlight </w:t>
      </w:r>
      <w:r w:rsidR="00565C73" w:rsidRPr="00F70CB0">
        <w:rPr>
          <w:sz w:val="24"/>
          <w:szCs w:val="24"/>
          <w:lang w:val="en-GB" w:eastAsia="en-US"/>
        </w:rPr>
        <w:t>elements</w:t>
      </w:r>
      <w:r w:rsidRPr="00F70CB0">
        <w:rPr>
          <w:sz w:val="24"/>
          <w:szCs w:val="24"/>
          <w:lang w:val="en-GB" w:eastAsia="en-US"/>
        </w:rPr>
        <w:t xml:space="preserve"> such as satisfaction, confirmation, perceived usefulness, and trust as key drivers of continued usage (Naeem et al., 2026; Nguyen and Dao, 2024; Saibaba, 2024).</w:t>
      </w:r>
    </w:p>
    <w:p w14:paraId="117B6DAC" w14:textId="702841FC" w:rsidR="0032772E" w:rsidRPr="00F70CB0" w:rsidRDefault="0032772E" w:rsidP="0032772E">
      <w:pPr>
        <w:jc w:val="both"/>
        <w:rPr>
          <w:sz w:val="24"/>
          <w:szCs w:val="24"/>
          <w:lang w:val="en-GB" w:eastAsia="en-US"/>
        </w:rPr>
      </w:pPr>
      <w:r w:rsidRPr="00F70CB0">
        <w:rPr>
          <w:sz w:val="24"/>
          <w:szCs w:val="24"/>
          <w:lang w:val="en-GB" w:eastAsia="en-US"/>
        </w:rPr>
        <w:t xml:space="preserve">While these models provide </w:t>
      </w:r>
      <w:r w:rsidR="00565C73" w:rsidRPr="00F70CB0">
        <w:rPr>
          <w:sz w:val="24"/>
          <w:szCs w:val="24"/>
          <w:lang w:val="en-GB" w:eastAsia="en-US"/>
        </w:rPr>
        <w:t>significant</w:t>
      </w:r>
      <w:r w:rsidRPr="00F70CB0">
        <w:rPr>
          <w:sz w:val="24"/>
          <w:szCs w:val="24"/>
          <w:lang w:val="en-GB" w:eastAsia="en-US"/>
        </w:rPr>
        <w:t xml:space="preserve"> insights, they often operate within narrow theoretical boundaries, resulting in a fragmented understanding of continuance behaviour. The </w:t>
      </w:r>
      <w:r w:rsidR="00565C73" w:rsidRPr="00F70CB0">
        <w:rPr>
          <w:sz w:val="24"/>
          <w:szCs w:val="24"/>
          <w:lang w:val="en-GB" w:eastAsia="en-US"/>
        </w:rPr>
        <w:t>dependence</w:t>
      </w:r>
      <w:r w:rsidRPr="00F70CB0">
        <w:rPr>
          <w:sz w:val="24"/>
          <w:szCs w:val="24"/>
          <w:lang w:val="en-GB" w:eastAsia="en-US"/>
        </w:rPr>
        <w:t xml:space="preserve"> on single theoretical frameworks limits the ability to capture the interaction between cognitive, experiential, and relational factors. In addition, </w:t>
      </w:r>
      <w:r w:rsidR="004D31FA" w:rsidRPr="00F70CB0">
        <w:rPr>
          <w:sz w:val="24"/>
          <w:szCs w:val="24"/>
          <w:lang w:val="en-GB" w:eastAsia="en-US"/>
        </w:rPr>
        <w:t>like</w:t>
      </w:r>
      <w:r w:rsidRPr="00F70CB0">
        <w:rPr>
          <w:sz w:val="24"/>
          <w:szCs w:val="24"/>
          <w:lang w:val="en-GB" w:eastAsia="en-US"/>
        </w:rPr>
        <w:t xml:space="preserve"> adoption studies, much of this research is conducted outside the UK, raising questions about contextual applicability.</w:t>
      </w:r>
    </w:p>
    <w:p w14:paraId="472B1309" w14:textId="624948E5" w:rsidR="0032772E" w:rsidRPr="00F70CB0" w:rsidRDefault="0032772E" w:rsidP="0032772E">
      <w:pPr>
        <w:jc w:val="both"/>
        <w:rPr>
          <w:sz w:val="24"/>
          <w:szCs w:val="24"/>
          <w:lang w:val="en-GB" w:eastAsia="en-US"/>
        </w:rPr>
      </w:pPr>
      <w:r w:rsidRPr="00F70CB0">
        <w:rPr>
          <w:sz w:val="24"/>
          <w:szCs w:val="24"/>
          <w:lang w:val="en-GB" w:eastAsia="en-US"/>
        </w:rPr>
        <w:t xml:space="preserve">Another important limitation is the limited </w:t>
      </w:r>
      <w:r w:rsidR="00565C73" w:rsidRPr="00F70CB0">
        <w:rPr>
          <w:sz w:val="24"/>
          <w:szCs w:val="24"/>
          <w:lang w:val="en-GB" w:eastAsia="en-US"/>
        </w:rPr>
        <w:t>consideration</w:t>
      </w:r>
      <w:r w:rsidRPr="00F70CB0">
        <w:rPr>
          <w:sz w:val="24"/>
          <w:szCs w:val="24"/>
          <w:lang w:val="en-GB" w:eastAsia="en-US"/>
        </w:rPr>
        <w:t xml:space="preserve"> of customer preference as a distinct construct influencing continuance intention. Existing studies </w:t>
      </w:r>
      <w:r w:rsidR="00565C73" w:rsidRPr="00F70CB0">
        <w:rPr>
          <w:sz w:val="24"/>
          <w:szCs w:val="24"/>
          <w:lang w:val="en-GB" w:eastAsia="en-US"/>
        </w:rPr>
        <w:t>manage</w:t>
      </w:r>
      <w:r w:rsidRPr="00F70CB0">
        <w:rPr>
          <w:sz w:val="24"/>
          <w:szCs w:val="24"/>
          <w:lang w:val="en-GB" w:eastAsia="en-US"/>
        </w:rPr>
        <w:t xml:space="preserve"> to focus on satisfaction and usefulness while overlooking how user preferences </w:t>
      </w:r>
      <w:r w:rsidR="00565C73" w:rsidRPr="00F70CB0">
        <w:rPr>
          <w:sz w:val="24"/>
          <w:szCs w:val="24"/>
          <w:lang w:val="en-GB" w:eastAsia="en-US"/>
        </w:rPr>
        <w:t>grow</w:t>
      </w:r>
      <w:r w:rsidRPr="00F70CB0">
        <w:rPr>
          <w:sz w:val="24"/>
          <w:szCs w:val="24"/>
          <w:lang w:val="en-GB" w:eastAsia="en-US"/>
        </w:rPr>
        <w:t xml:space="preserve">. This suggests that continuance behaviour is more complex than current models assume, requiring a more </w:t>
      </w:r>
      <w:r w:rsidR="00565C73" w:rsidRPr="00F70CB0">
        <w:rPr>
          <w:sz w:val="24"/>
          <w:szCs w:val="24"/>
          <w:lang w:val="en-GB" w:eastAsia="en-US"/>
        </w:rPr>
        <w:t>comprehensive</w:t>
      </w:r>
      <w:r w:rsidRPr="00F70CB0">
        <w:rPr>
          <w:sz w:val="24"/>
          <w:szCs w:val="24"/>
          <w:lang w:val="en-GB" w:eastAsia="en-US"/>
        </w:rPr>
        <w:t xml:space="preserve"> and dynamic framework. Such an approach is particularly relevant in the UK, where digital banking usage is already well established.</w:t>
      </w:r>
    </w:p>
    <w:p w14:paraId="21030E8E" w14:textId="77777777" w:rsidR="0032772E" w:rsidRPr="00F70CB0" w:rsidRDefault="0032772E" w:rsidP="0032772E">
      <w:pPr>
        <w:rPr>
          <w:lang w:val="en-GB" w:eastAsia="en-US"/>
        </w:rPr>
      </w:pPr>
    </w:p>
    <w:p w14:paraId="42C3578A" w14:textId="3D8FFD4B" w:rsidR="00EB2476" w:rsidRPr="00F70CB0" w:rsidRDefault="00F67637" w:rsidP="00F67637">
      <w:pPr>
        <w:pStyle w:val="Heading1"/>
        <w:rPr>
          <w:rFonts w:ascii="Times New Roman" w:hAnsi="Times New Roman" w:cs="Times New Roman"/>
          <w:sz w:val="28"/>
          <w:szCs w:val="28"/>
        </w:rPr>
      </w:pPr>
      <w:bookmarkStart w:id="17" w:name="_Toc227353485"/>
      <w:r w:rsidRPr="00F70CB0">
        <w:rPr>
          <w:rFonts w:ascii="Times New Roman" w:hAnsi="Times New Roman" w:cs="Times New Roman"/>
          <w:sz w:val="28"/>
          <w:szCs w:val="28"/>
        </w:rPr>
        <w:lastRenderedPageBreak/>
        <w:t>2.2.</w:t>
      </w:r>
      <w:r w:rsidR="008B77BB" w:rsidRPr="00F70CB0">
        <w:rPr>
          <w:rFonts w:ascii="Times New Roman" w:hAnsi="Times New Roman" w:cs="Times New Roman"/>
          <w:sz w:val="28"/>
          <w:szCs w:val="28"/>
        </w:rPr>
        <w:t xml:space="preserve">3 Trust </w:t>
      </w:r>
      <w:r w:rsidR="00C80567" w:rsidRPr="00F70CB0">
        <w:rPr>
          <w:rFonts w:ascii="Times New Roman" w:hAnsi="Times New Roman" w:cs="Times New Roman"/>
          <w:sz w:val="28"/>
          <w:szCs w:val="28"/>
        </w:rPr>
        <w:t>and</w:t>
      </w:r>
      <w:r w:rsidR="008B77BB" w:rsidRPr="00F70CB0">
        <w:rPr>
          <w:rFonts w:ascii="Times New Roman" w:hAnsi="Times New Roman" w:cs="Times New Roman"/>
          <w:sz w:val="28"/>
          <w:szCs w:val="28"/>
        </w:rPr>
        <w:t xml:space="preserve"> </w:t>
      </w:r>
      <w:r w:rsidR="007865B4" w:rsidRPr="00F70CB0">
        <w:rPr>
          <w:rFonts w:ascii="Times New Roman" w:hAnsi="Times New Roman" w:cs="Times New Roman"/>
          <w:sz w:val="28"/>
          <w:szCs w:val="28"/>
        </w:rPr>
        <w:t>S</w:t>
      </w:r>
      <w:r w:rsidR="008B77BB" w:rsidRPr="00F70CB0">
        <w:rPr>
          <w:rFonts w:ascii="Times New Roman" w:hAnsi="Times New Roman" w:cs="Times New Roman"/>
          <w:sz w:val="28"/>
          <w:szCs w:val="28"/>
        </w:rPr>
        <w:t>ecurity</w:t>
      </w:r>
      <w:bookmarkEnd w:id="17"/>
    </w:p>
    <w:p w14:paraId="426EE7E8" w14:textId="44277812" w:rsidR="0032772E" w:rsidRPr="00F70CB0" w:rsidRDefault="0032772E" w:rsidP="0032772E">
      <w:pPr>
        <w:jc w:val="both"/>
        <w:rPr>
          <w:sz w:val="24"/>
          <w:szCs w:val="24"/>
          <w:lang w:val="en-GB" w:eastAsia="en-US"/>
        </w:rPr>
      </w:pPr>
      <w:r w:rsidRPr="00F70CB0">
        <w:rPr>
          <w:sz w:val="24"/>
          <w:szCs w:val="24"/>
          <w:lang w:val="en-GB" w:eastAsia="en-US"/>
        </w:rPr>
        <w:t xml:space="preserve">Trust and security are </w:t>
      </w:r>
      <w:r w:rsidR="00C2021B" w:rsidRPr="00F70CB0">
        <w:rPr>
          <w:sz w:val="24"/>
          <w:szCs w:val="24"/>
          <w:lang w:val="en-GB" w:eastAsia="en-US"/>
        </w:rPr>
        <w:t>extensively</w:t>
      </w:r>
      <w:r w:rsidRPr="00F70CB0">
        <w:rPr>
          <w:sz w:val="24"/>
          <w:szCs w:val="24"/>
          <w:lang w:val="en-GB" w:eastAsia="en-US"/>
        </w:rPr>
        <w:t xml:space="preserve"> acknowledged as </w:t>
      </w:r>
      <w:r w:rsidR="00C2021B" w:rsidRPr="00F70CB0">
        <w:rPr>
          <w:sz w:val="24"/>
          <w:szCs w:val="24"/>
          <w:lang w:val="en-GB" w:eastAsia="en-US"/>
        </w:rPr>
        <w:t>key</w:t>
      </w:r>
      <w:r w:rsidRPr="00F70CB0">
        <w:rPr>
          <w:sz w:val="24"/>
          <w:szCs w:val="24"/>
          <w:lang w:val="en-GB" w:eastAsia="en-US"/>
        </w:rPr>
        <w:t xml:space="preserve"> </w:t>
      </w:r>
      <w:r w:rsidR="00C2021B" w:rsidRPr="00F70CB0">
        <w:rPr>
          <w:sz w:val="24"/>
          <w:szCs w:val="24"/>
          <w:lang w:val="en-GB" w:eastAsia="en-US"/>
        </w:rPr>
        <w:t>elements</w:t>
      </w:r>
      <w:r w:rsidRPr="00F70CB0">
        <w:rPr>
          <w:sz w:val="24"/>
          <w:szCs w:val="24"/>
          <w:lang w:val="en-GB" w:eastAsia="en-US"/>
        </w:rPr>
        <w:t xml:space="preserve"> of digital banking behaviour, </w:t>
      </w:r>
      <w:r w:rsidR="00C2021B" w:rsidRPr="00F70CB0">
        <w:rPr>
          <w:sz w:val="24"/>
          <w:szCs w:val="24"/>
          <w:lang w:val="en-GB" w:eastAsia="en-US"/>
        </w:rPr>
        <w:t>affecting</w:t>
      </w:r>
      <w:r w:rsidRPr="00F70CB0">
        <w:rPr>
          <w:sz w:val="24"/>
          <w:szCs w:val="24"/>
          <w:lang w:val="en-GB" w:eastAsia="en-US"/>
        </w:rPr>
        <w:t xml:space="preserve"> both adoption and continuance intention. Existing studies </w:t>
      </w:r>
      <w:r w:rsidR="00E43A7C">
        <w:rPr>
          <w:sz w:val="24"/>
          <w:szCs w:val="24"/>
          <w:lang w:val="en-GB" w:eastAsia="en-US"/>
        </w:rPr>
        <w:t>consistently demonstrate that higher levels of trust enhance user confidence and reassure continued engagement, while concerns about data privacy, perceived risk, and system exposure serve</w:t>
      </w:r>
      <w:r w:rsidR="004D31FA" w:rsidRPr="00F70CB0">
        <w:rPr>
          <w:sz w:val="24"/>
          <w:szCs w:val="24"/>
          <w:lang w:val="en-GB" w:eastAsia="en-US"/>
        </w:rPr>
        <w:t xml:space="preserve"> as</w:t>
      </w:r>
      <w:r w:rsidRPr="00F70CB0">
        <w:rPr>
          <w:sz w:val="24"/>
          <w:szCs w:val="24"/>
          <w:lang w:val="en-GB" w:eastAsia="en-US"/>
        </w:rPr>
        <w:t xml:space="preserve"> barriers to adoption (Kumar et al., 2023; </w:t>
      </w:r>
      <w:proofErr w:type="spellStart"/>
      <w:r w:rsidRPr="00F70CB0">
        <w:rPr>
          <w:sz w:val="24"/>
          <w:szCs w:val="24"/>
          <w:lang w:val="en-GB" w:eastAsia="en-US"/>
        </w:rPr>
        <w:t>Almaiah</w:t>
      </w:r>
      <w:proofErr w:type="spellEnd"/>
      <w:r w:rsidRPr="00F70CB0">
        <w:rPr>
          <w:sz w:val="24"/>
          <w:szCs w:val="24"/>
          <w:lang w:val="en-GB" w:eastAsia="en-US"/>
        </w:rPr>
        <w:t xml:space="preserve"> et al., 2023; </w:t>
      </w:r>
      <w:proofErr w:type="spellStart"/>
      <w:r w:rsidRPr="00F70CB0">
        <w:rPr>
          <w:sz w:val="24"/>
          <w:szCs w:val="24"/>
          <w:lang w:val="en-GB" w:eastAsia="en-US"/>
        </w:rPr>
        <w:t>Apaua</w:t>
      </w:r>
      <w:proofErr w:type="spellEnd"/>
      <w:r w:rsidRPr="00F70CB0">
        <w:rPr>
          <w:sz w:val="24"/>
          <w:szCs w:val="24"/>
          <w:lang w:val="en-GB" w:eastAsia="en-US"/>
        </w:rPr>
        <w:t xml:space="preserve"> and Lallie, 2022).</w:t>
      </w:r>
    </w:p>
    <w:p w14:paraId="33C381DA" w14:textId="6ADF88C6" w:rsidR="0032772E" w:rsidRPr="00F70CB0" w:rsidRDefault="0032772E" w:rsidP="0032772E">
      <w:pPr>
        <w:jc w:val="both"/>
        <w:rPr>
          <w:sz w:val="24"/>
          <w:szCs w:val="24"/>
          <w:lang w:val="en-GB" w:eastAsia="en-US"/>
        </w:rPr>
      </w:pPr>
      <w:r w:rsidRPr="00F70CB0">
        <w:rPr>
          <w:sz w:val="24"/>
          <w:szCs w:val="24"/>
          <w:lang w:val="en-GB" w:eastAsia="en-US"/>
        </w:rPr>
        <w:t xml:space="preserve">However, the literature often </w:t>
      </w:r>
      <w:r w:rsidR="00C2021B" w:rsidRPr="00F70CB0">
        <w:rPr>
          <w:sz w:val="24"/>
          <w:szCs w:val="24"/>
          <w:lang w:val="en-GB" w:eastAsia="en-US"/>
        </w:rPr>
        <w:t>considers</w:t>
      </w:r>
      <w:r w:rsidRPr="00F70CB0">
        <w:rPr>
          <w:sz w:val="24"/>
          <w:szCs w:val="24"/>
          <w:lang w:val="en-GB" w:eastAsia="en-US"/>
        </w:rPr>
        <w:t xml:space="preserve"> trust and security as independent constructs, with limited integration into broader behavioural models. This </w:t>
      </w:r>
      <w:r w:rsidR="00E43A7C">
        <w:rPr>
          <w:sz w:val="24"/>
          <w:szCs w:val="24"/>
          <w:lang w:val="en-GB" w:eastAsia="en-US"/>
        </w:rPr>
        <w:t>limitation restricts understanding of</w:t>
      </w:r>
      <w:r w:rsidRPr="00F70CB0">
        <w:rPr>
          <w:sz w:val="24"/>
          <w:szCs w:val="24"/>
          <w:lang w:val="en-GB" w:eastAsia="en-US"/>
        </w:rPr>
        <w:t xml:space="preserve"> how trust </w:t>
      </w:r>
      <w:r w:rsidR="007412E5" w:rsidRPr="00F70CB0">
        <w:rPr>
          <w:sz w:val="24"/>
          <w:szCs w:val="24"/>
          <w:lang w:val="en-GB" w:eastAsia="en-US"/>
        </w:rPr>
        <w:t>relates</w:t>
      </w:r>
      <w:r w:rsidRPr="00F70CB0">
        <w:rPr>
          <w:sz w:val="24"/>
          <w:szCs w:val="24"/>
          <w:lang w:val="en-GB" w:eastAsia="en-US"/>
        </w:rPr>
        <w:t xml:space="preserve"> </w:t>
      </w:r>
      <w:r w:rsidR="007412E5" w:rsidRPr="00F70CB0">
        <w:rPr>
          <w:sz w:val="24"/>
          <w:szCs w:val="24"/>
          <w:lang w:val="en-GB" w:eastAsia="en-US"/>
        </w:rPr>
        <w:t>to</w:t>
      </w:r>
      <w:r w:rsidRPr="00F70CB0">
        <w:rPr>
          <w:sz w:val="24"/>
          <w:szCs w:val="24"/>
          <w:lang w:val="en-GB" w:eastAsia="en-US"/>
        </w:rPr>
        <w:t xml:space="preserve"> other factors</w:t>
      </w:r>
      <w:r w:rsidR="00C2021B" w:rsidRPr="00F70CB0">
        <w:rPr>
          <w:sz w:val="24"/>
          <w:szCs w:val="24"/>
          <w:lang w:val="en-GB" w:eastAsia="en-US"/>
        </w:rPr>
        <w:t>,</w:t>
      </w:r>
      <w:r w:rsidRPr="00F70CB0">
        <w:rPr>
          <w:sz w:val="24"/>
          <w:szCs w:val="24"/>
          <w:lang w:val="en-GB" w:eastAsia="en-US"/>
        </w:rPr>
        <w:t xml:space="preserve"> such as service quality, user experience, and satisfaction. Moreover, </w:t>
      </w:r>
      <w:r w:rsidR="004D31FA" w:rsidRPr="00F70CB0">
        <w:rPr>
          <w:sz w:val="24"/>
          <w:szCs w:val="24"/>
          <w:lang w:val="en-GB" w:eastAsia="en-US"/>
        </w:rPr>
        <w:t>most</w:t>
      </w:r>
      <w:r w:rsidRPr="00F70CB0">
        <w:rPr>
          <w:sz w:val="24"/>
          <w:szCs w:val="24"/>
          <w:lang w:val="en-GB" w:eastAsia="en-US"/>
        </w:rPr>
        <w:t xml:space="preserve"> studies are conducted in developing contexts, which may not reflect the institutional and technological maturity of the UK banking sector.</w:t>
      </w:r>
    </w:p>
    <w:p w14:paraId="193664D8" w14:textId="74536EB7" w:rsidR="0032772E" w:rsidRPr="00F70CB0" w:rsidRDefault="0032772E" w:rsidP="008A5D84">
      <w:pPr>
        <w:jc w:val="both"/>
        <w:rPr>
          <w:sz w:val="24"/>
          <w:szCs w:val="24"/>
          <w:lang w:val="en-GB" w:eastAsia="en-US"/>
        </w:rPr>
      </w:pPr>
      <w:r w:rsidRPr="00F70CB0">
        <w:rPr>
          <w:sz w:val="24"/>
          <w:szCs w:val="24"/>
          <w:lang w:val="en-GB" w:eastAsia="en-US"/>
        </w:rPr>
        <w:t xml:space="preserve">In addition, existing research tends to conceptualise trust as a </w:t>
      </w:r>
      <w:r w:rsidR="00366B6D" w:rsidRPr="00F70CB0">
        <w:rPr>
          <w:sz w:val="24"/>
          <w:szCs w:val="24"/>
          <w:lang w:val="en-GB" w:eastAsia="en-US"/>
        </w:rPr>
        <w:t>constant</w:t>
      </w:r>
      <w:r w:rsidRPr="00F70CB0">
        <w:rPr>
          <w:sz w:val="24"/>
          <w:szCs w:val="24"/>
          <w:lang w:val="en-GB" w:eastAsia="en-US"/>
        </w:rPr>
        <w:t xml:space="preserve"> variable, rather than recognising its dynamic nature. Trust evolves through user experience and service interactions, suggesting that its role in digital banking behaviour is more </w:t>
      </w:r>
      <w:r w:rsidR="00366B6D" w:rsidRPr="00F70CB0">
        <w:rPr>
          <w:sz w:val="24"/>
          <w:szCs w:val="24"/>
          <w:lang w:val="en-GB" w:eastAsia="en-US"/>
        </w:rPr>
        <w:t>complicated</w:t>
      </w:r>
      <w:r w:rsidRPr="00F70CB0">
        <w:rPr>
          <w:sz w:val="24"/>
          <w:szCs w:val="24"/>
          <w:lang w:val="en-GB" w:eastAsia="en-US"/>
        </w:rPr>
        <w:t xml:space="preserve"> than currently represented. Therefore, a more integrated and process-oriented </w:t>
      </w:r>
      <w:r w:rsidR="00366B6D" w:rsidRPr="00F70CB0">
        <w:rPr>
          <w:sz w:val="24"/>
          <w:szCs w:val="24"/>
          <w:lang w:val="en-GB" w:eastAsia="en-US"/>
        </w:rPr>
        <w:t>viewpoint</w:t>
      </w:r>
      <w:r w:rsidRPr="00F70CB0">
        <w:rPr>
          <w:sz w:val="24"/>
          <w:szCs w:val="24"/>
          <w:lang w:val="en-GB" w:eastAsia="en-US"/>
        </w:rPr>
        <w:t xml:space="preserve"> is required to understand how trust influences both customer preference and long-term usage.</w:t>
      </w:r>
    </w:p>
    <w:p w14:paraId="4F801F42" w14:textId="0D9D40C4" w:rsidR="006A3AAE" w:rsidRPr="00F70CB0" w:rsidRDefault="00F67637" w:rsidP="00F67637">
      <w:pPr>
        <w:pStyle w:val="Heading1"/>
        <w:rPr>
          <w:rFonts w:ascii="Times New Roman" w:hAnsi="Times New Roman" w:cs="Times New Roman"/>
          <w:sz w:val="28"/>
          <w:szCs w:val="28"/>
        </w:rPr>
      </w:pPr>
      <w:bookmarkStart w:id="18" w:name="_Toc227353486"/>
      <w:r w:rsidRPr="00F70CB0">
        <w:rPr>
          <w:rFonts w:ascii="Times New Roman" w:hAnsi="Times New Roman" w:cs="Times New Roman"/>
          <w:sz w:val="28"/>
          <w:szCs w:val="28"/>
        </w:rPr>
        <w:t>2.2.</w:t>
      </w:r>
      <w:r w:rsidR="00C54825" w:rsidRPr="00F70CB0">
        <w:rPr>
          <w:rFonts w:ascii="Times New Roman" w:hAnsi="Times New Roman" w:cs="Times New Roman"/>
          <w:sz w:val="28"/>
          <w:szCs w:val="28"/>
        </w:rPr>
        <w:t xml:space="preserve">4 </w:t>
      </w:r>
      <w:r w:rsidR="00143411" w:rsidRPr="00F70CB0">
        <w:rPr>
          <w:rFonts w:ascii="Times New Roman" w:hAnsi="Times New Roman" w:cs="Times New Roman"/>
          <w:sz w:val="28"/>
          <w:szCs w:val="28"/>
        </w:rPr>
        <w:t>S</w:t>
      </w:r>
      <w:r w:rsidR="00C54825" w:rsidRPr="00F70CB0">
        <w:rPr>
          <w:rFonts w:ascii="Times New Roman" w:hAnsi="Times New Roman" w:cs="Times New Roman"/>
          <w:sz w:val="28"/>
          <w:szCs w:val="28"/>
        </w:rPr>
        <w:t xml:space="preserve">ervice </w:t>
      </w:r>
      <w:r w:rsidR="00143411" w:rsidRPr="00F70CB0">
        <w:rPr>
          <w:rFonts w:ascii="Times New Roman" w:hAnsi="Times New Roman" w:cs="Times New Roman"/>
          <w:sz w:val="28"/>
          <w:szCs w:val="28"/>
        </w:rPr>
        <w:t>Q</w:t>
      </w:r>
      <w:r w:rsidR="00C54825" w:rsidRPr="00F70CB0">
        <w:rPr>
          <w:rFonts w:ascii="Times New Roman" w:hAnsi="Times New Roman" w:cs="Times New Roman"/>
          <w:sz w:val="28"/>
          <w:szCs w:val="28"/>
        </w:rPr>
        <w:t xml:space="preserve">uality </w:t>
      </w:r>
      <w:r w:rsidR="00C80567" w:rsidRPr="00F70CB0">
        <w:rPr>
          <w:rFonts w:ascii="Times New Roman" w:hAnsi="Times New Roman" w:cs="Times New Roman"/>
          <w:sz w:val="28"/>
          <w:szCs w:val="28"/>
        </w:rPr>
        <w:t>and</w:t>
      </w:r>
      <w:r w:rsidR="00C54825" w:rsidRPr="00F70CB0">
        <w:rPr>
          <w:rFonts w:ascii="Times New Roman" w:hAnsi="Times New Roman" w:cs="Times New Roman"/>
          <w:sz w:val="28"/>
          <w:szCs w:val="28"/>
        </w:rPr>
        <w:t xml:space="preserve"> </w:t>
      </w:r>
      <w:r w:rsidR="00143411" w:rsidRPr="00F70CB0">
        <w:rPr>
          <w:rFonts w:ascii="Times New Roman" w:hAnsi="Times New Roman" w:cs="Times New Roman"/>
          <w:sz w:val="28"/>
          <w:szCs w:val="28"/>
        </w:rPr>
        <w:t>C</w:t>
      </w:r>
      <w:r w:rsidR="00C54825" w:rsidRPr="00F70CB0">
        <w:rPr>
          <w:rFonts w:ascii="Times New Roman" w:hAnsi="Times New Roman" w:cs="Times New Roman"/>
          <w:sz w:val="28"/>
          <w:szCs w:val="28"/>
        </w:rPr>
        <w:t xml:space="preserve">ustomer </w:t>
      </w:r>
      <w:r w:rsidR="00143411" w:rsidRPr="00F70CB0">
        <w:rPr>
          <w:rFonts w:ascii="Times New Roman" w:hAnsi="Times New Roman" w:cs="Times New Roman"/>
          <w:sz w:val="28"/>
          <w:szCs w:val="28"/>
        </w:rPr>
        <w:t>E</w:t>
      </w:r>
      <w:r w:rsidR="00C54825" w:rsidRPr="00F70CB0">
        <w:rPr>
          <w:rFonts w:ascii="Times New Roman" w:hAnsi="Times New Roman" w:cs="Times New Roman"/>
          <w:sz w:val="28"/>
          <w:szCs w:val="28"/>
        </w:rPr>
        <w:t>xperience</w:t>
      </w:r>
      <w:bookmarkEnd w:id="18"/>
    </w:p>
    <w:p w14:paraId="2114A5BD" w14:textId="444E6A38" w:rsidR="0032772E" w:rsidRPr="00F70CB0" w:rsidRDefault="0032772E" w:rsidP="0032772E">
      <w:pPr>
        <w:jc w:val="both"/>
        <w:rPr>
          <w:sz w:val="24"/>
          <w:szCs w:val="24"/>
          <w:lang w:val="en-GB" w:eastAsia="en-US"/>
        </w:rPr>
      </w:pPr>
      <w:r w:rsidRPr="00F70CB0">
        <w:rPr>
          <w:sz w:val="24"/>
          <w:szCs w:val="24"/>
          <w:lang w:val="en-GB" w:eastAsia="en-US"/>
        </w:rPr>
        <w:t xml:space="preserve">Service quality and customer experience are </w:t>
      </w:r>
      <w:r w:rsidR="005B383A" w:rsidRPr="00F70CB0">
        <w:rPr>
          <w:sz w:val="24"/>
          <w:szCs w:val="24"/>
          <w:lang w:val="en-GB" w:eastAsia="en-US"/>
        </w:rPr>
        <w:t>progressively</w:t>
      </w:r>
      <w:r w:rsidRPr="00F70CB0">
        <w:rPr>
          <w:sz w:val="24"/>
          <w:szCs w:val="24"/>
          <w:lang w:val="en-GB" w:eastAsia="en-US"/>
        </w:rPr>
        <w:t xml:space="preserve"> </w:t>
      </w:r>
      <w:r w:rsidR="005B383A" w:rsidRPr="00F70CB0">
        <w:rPr>
          <w:sz w:val="24"/>
          <w:szCs w:val="24"/>
          <w:lang w:val="en-GB" w:eastAsia="en-US"/>
        </w:rPr>
        <w:t>acknowledged</w:t>
      </w:r>
      <w:r w:rsidRPr="00F70CB0">
        <w:rPr>
          <w:sz w:val="24"/>
          <w:szCs w:val="24"/>
          <w:lang w:val="en-GB" w:eastAsia="en-US"/>
        </w:rPr>
        <w:t xml:space="preserve"> as important components of digital banking behaviour. Existing research highlights </w:t>
      </w:r>
      <w:r w:rsidR="005B383A" w:rsidRPr="00F70CB0">
        <w:rPr>
          <w:sz w:val="24"/>
          <w:szCs w:val="24"/>
          <w:lang w:val="en-GB" w:eastAsia="en-US"/>
        </w:rPr>
        <w:t>proportions</w:t>
      </w:r>
      <w:r w:rsidRPr="00F70CB0">
        <w:rPr>
          <w:sz w:val="24"/>
          <w:szCs w:val="24"/>
          <w:lang w:val="en-GB" w:eastAsia="en-US"/>
        </w:rPr>
        <w:t xml:space="preserve"> such as reliability, responsiveness, system quality, and ease of use as key indicators of service quality, while customer experience reflects the overall interaction between users and digital platforms (</w:t>
      </w:r>
      <w:proofErr w:type="spellStart"/>
      <w:r w:rsidRPr="00F70CB0">
        <w:rPr>
          <w:sz w:val="24"/>
          <w:szCs w:val="24"/>
          <w:lang w:val="en-GB" w:eastAsia="en-US"/>
        </w:rPr>
        <w:t>Mbama</w:t>
      </w:r>
      <w:proofErr w:type="spellEnd"/>
      <w:r w:rsidRPr="00F70CB0">
        <w:rPr>
          <w:sz w:val="24"/>
          <w:szCs w:val="24"/>
          <w:lang w:val="en-GB" w:eastAsia="en-US"/>
        </w:rPr>
        <w:t xml:space="preserve"> and </w:t>
      </w:r>
      <w:proofErr w:type="spellStart"/>
      <w:r w:rsidRPr="00F70CB0">
        <w:rPr>
          <w:sz w:val="24"/>
          <w:szCs w:val="24"/>
          <w:lang w:val="en-GB" w:eastAsia="en-US"/>
        </w:rPr>
        <w:t>Ezepue</w:t>
      </w:r>
      <w:proofErr w:type="spellEnd"/>
      <w:r w:rsidRPr="00F70CB0">
        <w:rPr>
          <w:sz w:val="24"/>
          <w:szCs w:val="24"/>
          <w:lang w:val="en-GB" w:eastAsia="en-US"/>
        </w:rPr>
        <w:t xml:space="preserve">, 2018; Shankar and </w:t>
      </w:r>
      <w:proofErr w:type="spellStart"/>
      <w:r w:rsidRPr="00F70CB0">
        <w:rPr>
          <w:sz w:val="24"/>
          <w:szCs w:val="24"/>
          <w:lang w:val="en-GB" w:eastAsia="en-US"/>
        </w:rPr>
        <w:t>Jebarajakirthy</w:t>
      </w:r>
      <w:proofErr w:type="spellEnd"/>
      <w:r w:rsidRPr="00F70CB0">
        <w:rPr>
          <w:sz w:val="24"/>
          <w:szCs w:val="24"/>
          <w:lang w:val="en-GB" w:eastAsia="en-US"/>
        </w:rPr>
        <w:t>, 2019).</w:t>
      </w:r>
    </w:p>
    <w:p w14:paraId="3026F75D" w14:textId="534408C5" w:rsidR="0032772E" w:rsidRPr="00F70CB0" w:rsidRDefault="0032772E" w:rsidP="0032772E">
      <w:pPr>
        <w:jc w:val="both"/>
        <w:rPr>
          <w:sz w:val="24"/>
          <w:szCs w:val="24"/>
          <w:lang w:val="en-GB" w:eastAsia="en-US"/>
        </w:rPr>
      </w:pPr>
      <w:r w:rsidRPr="00F70CB0">
        <w:rPr>
          <w:sz w:val="24"/>
          <w:szCs w:val="24"/>
          <w:lang w:val="en-GB" w:eastAsia="en-US"/>
        </w:rPr>
        <w:t xml:space="preserve">Empirical </w:t>
      </w:r>
      <w:r w:rsidR="00F23741" w:rsidRPr="00F70CB0">
        <w:rPr>
          <w:sz w:val="24"/>
          <w:szCs w:val="24"/>
          <w:lang w:val="en-GB" w:eastAsia="en-US"/>
        </w:rPr>
        <w:t>outcomes</w:t>
      </w:r>
      <w:r w:rsidRPr="00F70CB0">
        <w:rPr>
          <w:sz w:val="24"/>
          <w:szCs w:val="24"/>
          <w:lang w:val="en-GB" w:eastAsia="en-US"/>
        </w:rPr>
        <w:t xml:space="preserve"> suggest that higher levels of service quality contribute to increased customer satisfaction, while positive customer experiences </w:t>
      </w:r>
      <w:r w:rsidR="00F23741" w:rsidRPr="00F70CB0">
        <w:rPr>
          <w:sz w:val="24"/>
          <w:szCs w:val="24"/>
          <w:lang w:val="en-GB" w:eastAsia="en-US"/>
        </w:rPr>
        <w:t>develop</w:t>
      </w:r>
      <w:r w:rsidRPr="00F70CB0">
        <w:rPr>
          <w:sz w:val="24"/>
          <w:szCs w:val="24"/>
          <w:lang w:val="en-GB" w:eastAsia="en-US"/>
        </w:rPr>
        <w:t xml:space="preserve"> loyalty and continuance intention (</w:t>
      </w:r>
      <w:proofErr w:type="spellStart"/>
      <w:r w:rsidRPr="00F70CB0">
        <w:rPr>
          <w:sz w:val="24"/>
          <w:szCs w:val="24"/>
          <w:lang w:val="en-GB" w:eastAsia="en-US"/>
        </w:rPr>
        <w:t>Bankuoru</w:t>
      </w:r>
      <w:proofErr w:type="spellEnd"/>
      <w:r w:rsidRPr="00F70CB0">
        <w:rPr>
          <w:sz w:val="24"/>
          <w:szCs w:val="24"/>
          <w:lang w:val="en-GB" w:eastAsia="en-US"/>
        </w:rPr>
        <w:t xml:space="preserve"> Egala et al., 2021; Velika and Adnas, 2025). However, the literature </w:t>
      </w:r>
      <w:r w:rsidR="00F23741" w:rsidRPr="00F70CB0">
        <w:rPr>
          <w:sz w:val="24"/>
          <w:szCs w:val="24"/>
          <w:lang w:val="en-GB" w:eastAsia="en-US"/>
        </w:rPr>
        <w:t>remains</w:t>
      </w:r>
      <w:r w:rsidRPr="00F70CB0">
        <w:rPr>
          <w:sz w:val="24"/>
          <w:szCs w:val="24"/>
          <w:lang w:val="en-GB" w:eastAsia="en-US"/>
        </w:rPr>
        <w:t xml:space="preserve"> limited by its tendency to examine service quality and customer experience in </w:t>
      </w:r>
      <w:r w:rsidR="00F23741" w:rsidRPr="00F70CB0">
        <w:rPr>
          <w:sz w:val="24"/>
          <w:szCs w:val="24"/>
          <w:lang w:val="en-GB" w:eastAsia="en-US"/>
        </w:rPr>
        <w:t>inaccessibility</w:t>
      </w:r>
      <w:r w:rsidRPr="00F70CB0">
        <w:rPr>
          <w:sz w:val="24"/>
          <w:szCs w:val="24"/>
          <w:lang w:val="en-GB" w:eastAsia="en-US"/>
        </w:rPr>
        <w:t xml:space="preserve"> from established behavioural models such as TAM and ECM.</w:t>
      </w:r>
    </w:p>
    <w:p w14:paraId="61EC6AFF" w14:textId="3F29BD99" w:rsidR="0032772E" w:rsidRPr="00F70CB0" w:rsidRDefault="0032772E" w:rsidP="0032772E">
      <w:pPr>
        <w:jc w:val="both"/>
        <w:rPr>
          <w:sz w:val="24"/>
          <w:szCs w:val="24"/>
          <w:lang w:val="en-GB" w:eastAsia="en-US"/>
        </w:rPr>
      </w:pPr>
      <w:r w:rsidRPr="00F70CB0">
        <w:rPr>
          <w:sz w:val="24"/>
          <w:szCs w:val="24"/>
          <w:lang w:val="en-GB" w:eastAsia="en-US"/>
        </w:rPr>
        <w:t xml:space="preserve">Furthermore, there is limited </w:t>
      </w:r>
      <w:r w:rsidR="000D09AA" w:rsidRPr="00F70CB0">
        <w:rPr>
          <w:sz w:val="24"/>
          <w:szCs w:val="24"/>
          <w:lang w:val="en-GB" w:eastAsia="en-US"/>
        </w:rPr>
        <w:t>discovery</w:t>
      </w:r>
      <w:r w:rsidRPr="00F70CB0">
        <w:rPr>
          <w:sz w:val="24"/>
          <w:szCs w:val="24"/>
          <w:lang w:val="en-GB" w:eastAsia="en-US"/>
        </w:rPr>
        <w:t xml:space="preserve"> of how these constructs </w:t>
      </w:r>
      <w:r w:rsidR="000D09AA" w:rsidRPr="00F70CB0">
        <w:rPr>
          <w:sz w:val="24"/>
          <w:szCs w:val="24"/>
          <w:lang w:val="en-GB" w:eastAsia="en-US"/>
        </w:rPr>
        <w:t>relate</w:t>
      </w:r>
      <w:r w:rsidRPr="00F70CB0">
        <w:rPr>
          <w:sz w:val="24"/>
          <w:szCs w:val="24"/>
          <w:lang w:val="en-GB" w:eastAsia="en-US"/>
        </w:rPr>
        <w:t xml:space="preserve"> </w:t>
      </w:r>
      <w:r w:rsidR="000D09AA" w:rsidRPr="00F70CB0">
        <w:rPr>
          <w:sz w:val="24"/>
          <w:szCs w:val="24"/>
          <w:lang w:val="en-GB" w:eastAsia="en-US"/>
        </w:rPr>
        <w:t>to</w:t>
      </w:r>
      <w:r w:rsidRPr="00F70CB0">
        <w:rPr>
          <w:sz w:val="24"/>
          <w:szCs w:val="24"/>
          <w:lang w:val="en-GB" w:eastAsia="en-US"/>
        </w:rPr>
        <w:t xml:space="preserve"> trust and continuance intention, resulting in a fragmented understanding of digital banking behaviour. </w:t>
      </w:r>
      <w:r w:rsidR="004D31FA" w:rsidRPr="00F70CB0">
        <w:rPr>
          <w:sz w:val="24"/>
          <w:szCs w:val="24"/>
          <w:lang w:val="en-GB" w:eastAsia="en-US"/>
        </w:rPr>
        <w:t>Like</w:t>
      </w:r>
      <w:r w:rsidRPr="00F70CB0">
        <w:rPr>
          <w:sz w:val="24"/>
          <w:szCs w:val="24"/>
          <w:lang w:val="en-GB" w:eastAsia="en-US"/>
        </w:rPr>
        <w:t xml:space="preserve"> other areas of the literature, many studies are context-specific and lack focus on the UK, reducing their generalisability.</w:t>
      </w:r>
    </w:p>
    <w:p w14:paraId="15F599F3" w14:textId="56AAD3A3" w:rsidR="0032772E" w:rsidRPr="00F70CB0" w:rsidRDefault="0032772E" w:rsidP="008A5D84">
      <w:pPr>
        <w:jc w:val="both"/>
        <w:rPr>
          <w:sz w:val="24"/>
          <w:szCs w:val="24"/>
          <w:lang w:val="en-GB" w:eastAsia="en-US"/>
        </w:rPr>
      </w:pPr>
      <w:r w:rsidRPr="00F70CB0">
        <w:rPr>
          <w:sz w:val="24"/>
          <w:szCs w:val="24"/>
          <w:lang w:val="en-GB" w:eastAsia="en-US"/>
        </w:rPr>
        <w:t xml:space="preserve">This suggests the </w:t>
      </w:r>
      <w:r w:rsidR="000D09AA" w:rsidRPr="00F70CB0">
        <w:rPr>
          <w:sz w:val="24"/>
          <w:szCs w:val="24"/>
          <w:lang w:val="en-GB" w:eastAsia="en-US"/>
        </w:rPr>
        <w:t>need</w:t>
      </w:r>
      <w:r w:rsidRPr="00F70CB0">
        <w:rPr>
          <w:sz w:val="24"/>
          <w:szCs w:val="24"/>
          <w:lang w:val="en-GB" w:eastAsia="en-US"/>
        </w:rPr>
        <w:t xml:space="preserve"> for a more </w:t>
      </w:r>
      <w:r w:rsidR="000D09AA" w:rsidRPr="00F70CB0">
        <w:rPr>
          <w:sz w:val="24"/>
          <w:szCs w:val="24"/>
          <w:lang w:val="en-GB" w:eastAsia="en-US"/>
        </w:rPr>
        <w:t>combined</w:t>
      </w:r>
      <w:r w:rsidRPr="00F70CB0">
        <w:rPr>
          <w:sz w:val="24"/>
          <w:szCs w:val="24"/>
          <w:lang w:val="en-GB" w:eastAsia="en-US"/>
        </w:rPr>
        <w:t xml:space="preserve"> approach that combines service quality, customer experience, and behavioural </w:t>
      </w:r>
      <w:r w:rsidR="000D09AA" w:rsidRPr="00F70CB0">
        <w:rPr>
          <w:sz w:val="24"/>
          <w:szCs w:val="24"/>
          <w:lang w:val="en-GB" w:eastAsia="en-US"/>
        </w:rPr>
        <w:t>concepts</w:t>
      </w:r>
      <w:r w:rsidRPr="00F70CB0">
        <w:rPr>
          <w:sz w:val="24"/>
          <w:szCs w:val="24"/>
          <w:lang w:val="en-GB" w:eastAsia="en-US"/>
        </w:rPr>
        <w:t xml:space="preserve"> to provide a more comprehensive understanding of digital banking usage.</w:t>
      </w:r>
    </w:p>
    <w:p w14:paraId="6230C9C4" w14:textId="40099682" w:rsidR="00C54825" w:rsidRPr="00F70CB0" w:rsidRDefault="00F67637" w:rsidP="00F67637">
      <w:pPr>
        <w:pStyle w:val="Heading1"/>
        <w:rPr>
          <w:rFonts w:ascii="Times New Roman" w:hAnsi="Times New Roman" w:cs="Times New Roman"/>
          <w:sz w:val="28"/>
          <w:szCs w:val="28"/>
        </w:rPr>
      </w:pPr>
      <w:bookmarkStart w:id="19" w:name="_Toc227353487"/>
      <w:r w:rsidRPr="00F70CB0">
        <w:rPr>
          <w:rFonts w:ascii="Times New Roman" w:hAnsi="Times New Roman" w:cs="Times New Roman"/>
          <w:sz w:val="28"/>
          <w:szCs w:val="28"/>
        </w:rPr>
        <w:t>2.2.</w:t>
      </w:r>
      <w:r w:rsidR="00163791" w:rsidRPr="00F70CB0">
        <w:rPr>
          <w:rFonts w:ascii="Times New Roman" w:hAnsi="Times New Roman" w:cs="Times New Roman"/>
          <w:sz w:val="28"/>
          <w:szCs w:val="28"/>
        </w:rPr>
        <w:t xml:space="preserve">5 </w:t>
      </w:r>
      <w:r w:rsidR="00BE38E6" w:rsidRPr="00F70CB0">
        <w:rPr>
          <w:rFonts w:ascii="Times New Roman" w:hAnsi="Times New Roman" w:cs="Times New Roman"/>
          <w:sz w:val="28"/>
          <w:szCs w:val="28"/>
        </w:rPr>
        <w:t>I</w:t>
      </w:r>
      <w:r w:rsidR="00163791" w:rsidRPr="00F70CB0">
        <w:rPr>
          <w:rFonts w:ascii="Times New Roman" w:hAnsi="Times New Roman" w:cs="Times New Roman"/>
          <w:sz w:val="28"/>
          <w:szCs w:val="28"/>
        </w:rPr>
        <w:t xml:space="preserve">ntegrated Model </w:t>
      </w:r>
      <w:r w:rsidR="00C80567" w:rsidRPr="00F70CB0">
        <w:rPr>
          <w:rFonts w:ascii="Times New Roman" w:hAnsi="Times New Roman" w:cs="Times New Roman"/>
          <w:sz w:val="28"/>
          <w:szCs w:val="28"/>
        </w:rPr>
        <w:t xml:space="preserve">and </w:t>
      </w:r>
      <w:r w:rsidR="00163791" w:rsidRPr="00F70CB0">
        <w:rPr>
          <w:rFonts w:ascii="Times New Roman" w:hAnsi="Times New Roman" w:cs="Times New Roman"/>
          <w:sz w:val="28"/>
          <w:szCs w:val="28"/>
        </w:rPr>
        <w:t>Research Gap</w:t>
      </w:r>
      <w:bookmarkEnd w:id="19"/>
      <w:r w:rsidR="00163791" w:rsidRPr="00F70CB0">
        <w:rPr>
          <w:rFonts w:ascii="Times New Roman" w:hAnsi="Times New Roman" w:cs="Times New Roman"/>
          <w:sz w:val="28"/>
          <w:szCs w:val="28"/>
        </w:rPr>
        <w:t xml:space="preserve"> </w:t>
      </w:r>
    </w:p>
    <w:p w14:paraId="04585069" w14:textId="62994A96" w:rsidR="0032772E" w:rsidRPr="00F70CB0" w:rsidRDefault="0032772E" w:rsidP="0032772E">
      <w:pPr>
        <w:jc w:val="both"/>
        <w:rPr>
          <w:sz w:val="24"/>
          <w:szCs w:val="24"/>
          <w:lang w:val="en-GB" w:eastAsia="en-US"/>
        </w:rPr>
      </w:pPr>
      <w:r w:rsidRPr="00F70CB0">
        <w:rPr>
          <w:sz w:val="24"/>
          <w:szCs w:val="24"/>
          <w:lang w:val="en-GB" w:eastAsia="en-US"/>
        </w:rPr>
        <w:t xml:space="preserve">Some studies attempt to </w:t>
      </w:r>
      <w:r w:rsidR="005A6999" w:rsidRPr="00F70CB0">
        <w:rPr>
          <w:sz w:val="24"/>
          <w:szCs w:val="24"/>
          <w:lang w:val="en-GB" w:eastAsia="en-US"/>
        </w:rPr>
        <w:t>combine</w:t>
      </w:r>
      <w:r w:rsidRPr="00F70CB0">
        <w:rPr>
          <w:sz w:val="24"/>
          <w:szCs w:val="24"/>
          <w:lang w:val="en-GB" w:eastAsia="en-US"/>
        </w:rPr>
        <w:t xml:space="preserve"> multiple theoretical frameworks, including TAM, ECM, UTAUT, and service quality models, to provide a </w:t>
      </w:r>
      <w:r w:rsidR="00123562" w:rsidRPr="00F70CB0">
        <w:rPr>
          <w:sz w:val="24"/>
          <w:szCs w:val="24"/>
          <w:lang w:val="en-GB" w:eastAsia="en-US"/>
        </w:rPr>
        <w:t>broader</w:t>
      </w:r>
      <w:r w:rsidRPr="00F70CB0">
        <w:rPr>
          <w:sz w:val="24"/>
          <w:szCs w:val="24"/>
          <w:lang w:val="en-GB" w:eastAsia="en-US"/>
        </w:rPr>
        <w:t xml:space="preserve"> explanation of digital banking behaviour (</w:t>
      </w:r>
      <w:r w:rsidR="007C6B92" w:rsidRPr="00F70CB0">
        <w:rPr>
          <w:sz w:val="24"/>
          <w:szCs w:val="24"/>
          <w:lang w:eastAsia="en-US"/>
        </w:rPr>
        <w:t xml:space="preserve">Singh, 2020; </w:t>
      </w:r>
      <w:proofErr w:type="spellStart"/>
      <w:r w:rsidR="007C6B92" w:rsidRPr="00F70CB0">
        <w:rPr>
          <w:sz w:val="24"/>
          <w:szCs w:val="24"/>
          <w:lang w:eastAsia="en-US"/>
        </w:rPr>
        <w:t>Ozecan</w:t>
      </w:r>
      <w:proofErr w:type="spellEnd"/>
      <w:r w:rsidR="007C6B92" w:rsidRPr="00F70CB0">
        <w:rPr>
          <w:sz w:val="24"/>
          <w:szCs w:val="24"/>
          <w:lang w:eastAsia="en-US"/>
        </w:rPr>
        <w:t xml:space="preserve"> and Arıkan, 2022)</w:t>
      </w:r>
      <w:r w:rsidRPr="00F70CB0">
        <w:rPr>
          <w:sz w:val="24"/>
          <w:szCs w:val="24"/>
          <w:lang w:val="en-GB" w:eastAsia="en-US"/>
        </w:rPr>
        <w:t xml:space="preserve">. However, such </w:t>
      </w:r>
      <w:r w:rsidR="00123562" w:rsidRPr="00F70CB0">
        <w:rPr>
          <w:sz w:val="24"/>
          <w:szCs w:val="24"/>
          <w:lang w:val="en-GB" w:eastAsia="en-US"/>
        </w:rPr>
        <w:t>incorporation</w:t>
      </w:r>
      <w:r w:rsidRPr="00F70CB0">
        <w:rPr>
          <w:sz w:val="24"/>
          <w:szCs w:val="24"/>
          <w:lang w:val="en-GB" w:eastAsia="en-US"/>
        </w:rPr>
        <w:t xml:space="preserve"> remains partial and often lacks theoretical coherence.</w:t>
      </w:r>
    </w:p>
    <w:p w14:paraId="4B1187F0" w14:textId="105BA90F" w:rsidR="0032772E" w:rsidRPr="00F70CB0" w:rsidRDefault="0032772E" w:rsidP="0032772E">
      <w:pPr>
        <w:jc w:val="both"/>
        <w:rPr>
          <w:sz w:val="24"/>
          <w:szCs w:val="24"/>
          <w:lang w:val="en-GB" w:eastAsia="en-US"/>
        </w:rPr>
      </w:pPr>
      <w:r w:rsidRPr="00F70CB0">
        <w:rPr>
          <w:sz w:val="24"/>
          <w:szCs w:val="24"/>
          <w:lang w:val="en-GB" w:eastAsia="en-US"/>
        </w:rPr>
        <w:t xml:space="preserve">A key limitation within the literature is the tendency to examine adoption and continuance intention separately, rather than as </w:t>
      </w:r>
      <w:r w:rsidR="00123562" w:rsidRPr="00F70CB0">
        <w:rPr>
          <w:sz w:val="24"/>
          <w:szCs w:val="24"/>
          <w:lang w:val="en-GB" w:eastAsia="en-US"/>
        </w:rPr>
        <w:t>connected</w:t>
      </w:r>
      <w:r w:rsidRPr="00F70CB0">
        <w:rPr>
          <w:sz w:val="24"/>
          <w:szCs w:val="24"/>
          <w:lang w:val="en-GB" w:eastAsia="en-US"/>
        </w:rPr>
        <w:t xml:space="preserve"> stages of user behaviour. In addition, important constructs such as customer preference and experiential factors are frequently </w:t>
      </w:r>
      <w:r w:rsidR="00123562" w:rsidRPr="00F70CB0">
        <w:rPr>
          <w:sz w:val="24"/>
          <w:szCs w:val="24"/>
          <w:lang w:val="en-GB" w:eastAsia="en-US"/>
        </w:rPr>
        <w:t>diminished</w:t>
      </w:r>
      <w:r w:rsidRPr="00F70CB0">
        <w:rPr>
          <w:sz w:val="24"/>
          <w:szCs w:val="24"/>
          <w:lang w:val="en-GB" w:eastAsia="en-US"/>
        </w:rPr>
        <w:t xml:space="preserve">. This </w:t>
      </w:r>
      <w:r w:rsidRPr="00F70CB0">
        <w:rPr>
          <w:sz w:val="24"/>
          <w:szCs w:val="24"/>
          <w:lang w:val="en-GB" w:eastAsia="en-US"/>
        </w:rPr>
        <w:lastRenderedPageBreak/>
        <w:t xml:space="preserve">reflects a broader issue within the field, where theoretical models </w:t>
      </w:r>
      <w:r w:rsidR="00123562" w:rsidRPr="00F70CB0">
        <w:rPr>
          <w:sz w:val="24"/>
          <w:szCs w:val="24"/>
          <w:lang w:val="en-GB" w:eastAsia="en-US"/>
        </w:rPr>
        <w:t>endure</w:t>
      </w:r>
      <w:r w:rsidRPr="00F70CB0">
        <w:rPr>
          <w:sz w:val="24"/>
          <w:szCs w:val="24"/>
          <w:lang w:val="en-GB" w:eastAsia="en-US"/>
        </w:rPr>
        <w:t xml:space="preserve"> </w:t>
      </w:r>
      <w:r w:rsidR="00123562" w:rsidRPr="00F70CB0">
        <w:rPr>
          <w:sz w:val="24"/>
          <w:szCs w:val="24"/>
          <w:lang w:val="en-GB" w:eastAsia="en-US"/>
        </w:rPr>
        <w:t xml:space="preserve">as </w:t>
      </w:r>
      <w:r w:rsidRPr="00F70CB0">
        <w:rPr>
          <w:sz w:val="24"/>
          <w:szCs w:val="24"/>
          <w:lang w:val="en-GB" w:eastAsia="en-US"/>
        </w:rPr>
        <w:t>fragmented and insufficiently integrated.</w:t>
      </w:r>
    </w:p>
    <w:p w14:paraId="7A98DA13" w14:textId="4CECE965" w:rsidR="0032772E" w:rsidRPr="00F70CB0" w:rsidRDefault="0032772E" w:rsidP="0032772E">
      <w:pPr>
        <w:jc w:val="both"/>
        <w:rPr>
          <w:sz w:val="24"/>
          <w:szCs w:val="24"/>
          <w:lang w:val="en-GB" w:eastAsia="en-US"/>
        </w:rPr>
      </w:pPr>
      <w:r w:rsidRPr="00F70CB0">
        <w:rPr>
          <w:sz w:val="24"/>
          <w:szCs w:val="24"/>
          <w:lang w:val="en-GB" w:eastAsia="en-US"/>
        </w:rPr>
        <w:t xml:space="preserve">Moreover, </w:t>
      </w:r>
      <w:r w:rsidR="004D31FA" w:rsidRPr="00F70CB0">
        <w:rPr>
          <w:sz w:val="24"/>
          <w:szCs w:val="24"/>
          <w:lang w:val="en-GB" w:eastAsia="en-US"/>
        </w:rPr>
        <w:t>many</w:t>
      </w:r>
      <w:r w:rsidRPr="00F70CB0">
        <w:rPr>
          <w:sz w:val="24"/>
          <w:szCs w:val="24"/>
          <w:lang w:val="en-GB" w:eastAsia="en-US"/>
        </w:rPr>
        <w:t xml:space="preserve"> studies are </w:t>
      </w:r>
      <w:r w:rsidR="00123562" w:rsidRPr="00F70CB0">
        <w:rPr>
          <w:sz w:val="24"/>
          <w:szCs w:val="24"/>
          <w:lang w:val="en-GB" w:eastAsia="en-US"/>
        </w:rPr>
        <w:t>overseen</w:t>
      </w:r>
      <w:r w:rsidRPr="00F70CB0">
        <w:rPr>
          <w:sz w:val="24"/>
          <w:szCs w:val="24"/>
          <w:lang w:val="en-GB" w:eastAsia="en-US"/>
        </w:rPr>
        <w:t xml:space="preserve"> outside the UK, resulting in limited context-</w:t>
      </w:r>
      <w:r w:rsidR="00123562" w:rsidRPr="00F70CB0">
        <w:rPr>
          <w:sz w:val="24"/>
          <w:szCs w:val="24"/>
          <w:lang w:val="en-GB" w:eastAsia="en-US"/>
        </w:rPr>
        <w:t>precise</w:t>
      </w:r>
      <w:r w:rsidRPr="00F70CB0">
        <w:rPr>
          <w:sz w:val="24"/>
          <w:szCs w:val="24"/>
          <w:lang w:val="en-GB" w:eastAsia="en-US"/>
        </w:rPr>
        <w:t xml:space="preserve"> insights. Given the maturity of the UK digital banking sector, </w:t>
      </w:r>
      <w:r w:rsidR="00123562" w:rsidRPr="00F70CB0">
        <w:rPr>
          <w:sz w:val="24"/>
          <w:szCs w:val="24"/>
          <w:lang w:val="en-GB" w:eastAsia="en-US"/>
        </w:rPr>
        <w:t>categorised</w:t>
      </w:r>
      <w:r w:rsidRPr="00F70CB0">
        <w:rPr>
          <w:sz w:val="24"/>
          <w:szCs w:val="24"/>
          <w:lang w:val="en-GB" w:eastAsia="en-US"/>
        </w:rPr>
        <w:t xml:space="preserve"> by advanced fintech adoption and evolving customer expectations, this represents a significant contextual gap (Bacha et al., 2025; Ndlovu et al., 2024).</w:t>
      </w:r>
    </w:p>
    <w:p w14:paraId="782CBDBA" w14:textId="461EE1B4" w:rsidR="0032772E" w:rsidRPr="00F70CB0" w:rsidRDefault="0032772E" w:rsidP="008A5D84">
      <w:pPr>
        <w:jc w:val="both"/>
        <w:rPr>
          <w:sz w:val="24"/>
          <w:szCs w:val="24"/>
          <w:lang w:val="en-GB" w:eastAsia="en-US"/>
        </w:rPr>
      </w:pPr>
      <w:r w:rsidRPr="00F70CB0">
        <w:rPr>
          <w:sz w:val="24"/>
          <w:szCs w:val="24"/>
          <w:lang w:val="en-GB" w:eastAsia="en-US"/>
        </w:rPr>
        <w:t xml:space="preserve">Another important </w:t>
      </w:r>
      <w:r w:rsidR="00123562" w:rsidRPr="00F70CB0">
        <w:rPr>
          <w:sz w:val="24"/>
          <w:szCs w:val="24"/>
          <w:lang w:val="en-GB" w:eastAsia="en-US"/>
        </w:rPr>
        <w:t>constraint</w:t>
      </w:r>
      <w:r w:rsidRPr="00F70CB0">
        <w:rPr>
          <w:sz w:val="24"/>
          <w:szCs w:val="24"/>
          <w:lang w:val="en-GB" w:eastAsia="en-US"/>
        </w:rPr>
        <w:t xml:space="preserve"> is the lack of a dynamic perspective, as most studies adopt cross-sectional approaches and do not capture changes in user behaviour over time. This highlights the need for a more </w:t>
      </w:r>
      <w:r w:rsidR="00123562" w:rsidRPr="00F70CB0">
        <w:rPr>
          <w:sz w:val="24"/>
          <w:szCs w:val="24"/>
          <w:lang w:val="en-GB" w:eastAsia="en-US"/>
        </w:rPr>
        <w:t>ample</w:t>
      </w:r>
      <w:r w:rsidRPr="00F70CB0">
        <w:rPr>
          <w:sz w:val="24"/>
          <w:szCs w:val="24"/>
          <w:lang w:val="en-GB" w:eastAsia="en-US"/>
        </w:rPr>
        <w:t xml:space="preserve"> and </w:t>
      </w:r>
      <w:r w:rsidR="00123562" w:rsidRPr="00F70CB0">
        <w:rPr>
          <w:sz w:val="24"/>
          <w:szCs w:val="24"/>
          <w:lang w:val="en-GB" w:eastAsia="en-US"/>
        </w:rPr>
        <w:t>inclusive</w:t>
      </w:r>
      <w:r w:rsidRPr="00F70CB0">
        <w:rPr>
          <w:sz w:val="24"/>
          <w:szCs w:val="24"/>
          <w:lang w:val="en-GB" w:eastAsia="en-US"/>
        </w:rPr>
        <w:t xml:space="preserve"> framework that incorporates adoption, satisfaction, customer preference, and continuance intention within </w:t>
      </w:r>
      <w:r w:rsidR="00147E15" w:rsidRPr="00F70CB0">
        <w:rPr>
          <w:sz w:val="24"/>
          <w:szCs w:val="24"/>
          <w:lang w:val="en-GB" w:eastAsia="en-US"/>
        </w:rPr>
        <w:t>an</w:t>
      </w:r>
      <w:r w:rsidRPr="00F70CB0">
        <w:rPr>
          <w:sz w:val="24"/>
          <w:szCs w:val="24"/>
          <w:lang w:val="en-GB" w:eastAsia="en-US"/>
        </w:rPr>
        <w:t xml:space="preserve"> </w:t>
      </w:r>
      <w:r w:rsidR="00123562" w:rsidRPr="00F70CB0">
        <w:rPr>
          <w:sz w:val="24"/>
          <w:szCs w:val="24"/>
          <w:lang w:val="en-GB" w:eastAsia="en-US"/>
        </w:rPr>
        <w:t>integrated</w:t>
      </w:r>
      <w:r w:rsidRPr="00F70CB0">
        <w:rPr>
          <w:sz w:val="24"/>
          <w:szCs w:val="24"/>
          <w:lang w:val="en-GB" w:eastAsia="en-US"/>
        </w:rPr>
        <w:t xml:space="preserve"> model.</w:t>
      </w:r>
    </w:p>
    <w:p w14:paraId="74E80FE9" w14:textId="5168502F" w:rsidR="001C6222" w:rsidRPr="00F70CB0" w:rsidRDefault="00F67637" w:rsidP="00F67637">
      <w:pPr>
        <w:pStyle w:val="Heading1"/>
        <w:rPr>
          <w:rFonts w:ascii="Times New Roman" w:hAnsi="Times New Roman" w:cs="Times New Roman"/>
          <w:sz w:val="32"/>
          <w:szCs w:val="32"/>
        </w:rPr>
      </w:pPr>
      <w:bookmarkStart w:id="20" w:name="_Toc227353488"/>
      <w:r w:rsidRPr="00F70CB0">
        <w:rPr>
          <w:rFonts w:ascii="Times New Roman" w:hAnsi="Times New Roman" w:cs="Times New Roman"/>
          <w:sz w:val="32"/>
          <w:szCs w:val="32"/>
        </w:rPr>
        <w:t xml:space="preserve">2.3 </w:t>
      </w:r>
      <w:r w:rsidR="001C6222" w:rsidRPr="00F70CB0">
        <w:rPr>
          <w:rFonts w:ascii="Times New Roman" w:hAnsi="Times New Roman" w:cs="Times New Roman"/>
          <w:sz w:val="32"/>
          <w:szCs w:val="32"/>
        </w:rPr>
        <w:t>Conclusion</w:t>
      </w:r>
      <w:bookmarkEnd w:id="20"/>
      <w:r w:rsidR="001C6222" w:rsidRPr="00F70CB0">
        <w:rPr>
          <w:rFonts w:ascii="Times New Roman" w:hAnsi="Times New Roman" w:cs="Times New Roman"/>
          <w:sz w:val="32"/>
          <w:szCs w:val="32"/>
        </w:rPr>
        <w:t xml:space="preserve"> </w:t>
      </w:r>
    </w:p>
    <w:p w14:paraId="4A42EA7B" w14:textId="5F1A287F" w:rsidR="0032772E" w:rsidRPr="00F70CB0" w:rsidRDefault="0032772E" w:rsidP="0032772E">
      <w:pPr>
        <w:jc w:val="both"/>
        <w:rPr>
          <w:sz w:val="24"/>
          <w:szCs w:val="24"/>
          <w:lang w:val="en-GB"/>
        </w:rPr>
      </w:pPr>
      <w:r w:rsidRPr="00F70CB0">
        <w:rPr>
          <w:sz w:val="24"/>
          <w:szCs w:val="24"/>
          <w:lang w:val="en-GB"/>
        </w:rPr>
        <w:t xml:space="preserve">The literature </w:t>
      </w:r>
      <w:r w:rsidR="00BF1B41" w:rsidRPr="00F70CB0">
        <w:rPr>
          <w:sz w:val="24"/>
          <w:szCs w:val="24"/>
          <w:lang w:val="en-GB"/>
        </w:rPr>
        <w:t>emphasises</w:t>
      </w:r>
      <w:r w:rsidRPr="00F70CB0">
        <w:rPr>
          <w:sz w:val="24"/>
          <w:szCs w:val="24"/>
          <w:lang w:val="en-GB"/>
        </w:rPr>
        <w:t xml:space="preserve"> several key themes in digital banking research, including adoption, continuance intention, trust and security, and service quality. While these areas have been </w:t>
      </w:r>
      <w:r w:rsidR="00BF1B41" w:rsidRPr="00F70CB0">
        <w:rPr>
          <w:sz w:val="24"/>
          <w:szCs w:val="24"/>
          <w:lang w:val="en-GB"/>
        </w:rPr>
        <w:t>considerably</w:t>
      </w:r>
      <w:r w:rsidRPr="00F70CB0">
        <w:rPr>
          <w:sz w:val="24"/>
          <w:szCs w:val="24"/>
          <w:lang w:val="en-GB"/>
        </w:rPr>
        <w:t xml:space="preserve"> studied, the findings remain fragmented and lack integration </w:t>
      </w:r>
      <w:r w:rsidR="00BF1B41" w:rsidRPr="00F70CB0">
        <w:rPr>
          <w:sz w:val="24"/>
          <w:szCs w:val="24"/>
          <w:lang w:val="en-GB"/>
        </w:rPr>
        <w:t>through</w:t>
      </w:r>
      <w:r w:rsidRPr="00F70CB0">
        <w:rPr>
          <w:sz w:val="24"/>
          <w:szCs w:val="24"/>
          <w:lang w:val="en-GB"/>
        </w:rPr>
        <w:t xml:space="preserve"> key constructs (Albort-Morant et al., 2022; Nguyen and Dao, 2024; Jafri et al., 2024).</w:t>
      </w:r>
    </w:p>
    <w:p w14:paraId="042A45E2" w14:textId="0D88BF40" w:rsidR="0032772E" w:rsidRPr="00F70CB0" w:rsidRDefault="0032772E" w:rsidP="0032772E">
      <w:pPr>
        <w:jc w:val="both"/>
        <w:rPr>
          <w:sz w:val="24"/>
          <w:szCs w:val="24"/>
          <w:lang w:val="en-GB"/>
        </w:rPr>
      </w:pPr>
      <w:r w:rsidRPr="00F70CB0">
        <w:rPr>
          <w:sz w:val="24"/>
          <w:szCs w:val="24"/>
          <w:lang w:val="en-GB"/>
        </w:rPr>
        <w:t xml:space="preserve">A </w:t>
      </w:r>
      <w:r w:rsidR="00BF1B41" w:rsidRPr="00F70CB0">
        <w:rPr>
          <w:sz w:val="24"/>
          <w:szCs w:val="24"/>
          <w:lang w:val="en-GB"/>
        </w:rPr>
        <w:t>key</w:t>
      </w:r>
      <w:r w:rsidRPr="00F70CB0">
        <w:rPr>
          <w:sz w:val="24"/>
          <w:szCs w:val="24"/>
          <w:lang w:val="en-GB"/>
        </w:rPr>
        <w:t xml:space="preserve"> limitation is the continued reliance on single theoretical models, which </w:t>
      </w:r>
      <w:r w:rsidR="00BF1B41" w:rsidRPr="00F70CB0">
        <w:rPr>
          <w:sz w:val="24"/>
          <w:szCs w:val="24"/>
          <w:lang w:val="en-GB"/>
        </w:rPr>
        <w:t>limits</w:t>
      </w:r>
      <w:r w:rsidRPr="00F70CB0">
        <w:rPr>
          <w:sz w:val="24"/>
          <w:szCs w:val="24"/>
          <w:lang w:val="en-GB"/>
        </w:rPr>
        <w:t xml:space="preserve"> the </w:t>
      </w:r>
      <w:r w:rsidR="00BF1B41" w:rsidRPr="00F70CB0">
        <w:rPr>
          <w:sz w:val="24"/>
          <w:szCs w:val="24"/>
          <w:lang w:val="en-GB"/>
        </w:rPr>
        <w:t>capability</w:t>
      </w:r>
      <w:r w:rsidRPr="00F70CB0">
        <w:rPr>
          <w:sz w:val="24"/>
          <w:szCs w:val="24"/>
          <w:lang w:val="en-GB"/>
        </w:rPr>
        <w:t xml:space="preserve"> to capture the </w:t>
      </w:r>
      <w:r w:rsidR="00BF1B41" w:rsidRPr="00F70CB0">
        <w:rPr>
          <w:sz w:val="24"/>
          <w:szCs w:val="24"/>
          <w:lang w:val="en-GB"/>
        </w:rPr>
        <w:t>difficulty</w:t>
      </w:r>
      <w:r w:rsidRPr="00F70CB0">
        <w:rPr>
          <w:sz w:val="24"/>
          <w:szCs w:val="24"/>
          <w:lang w:val="en-GB"/>
        </w:rPr>
        <w:t xml:space="preserve"> of digital banking behaviour. In addition, much of the </w:t>
      </w:r>
      <w:r w:rsidR="00BF1B41" w:rsidRPr="00F70CB0">
        <w:rPr>
          <w:sz w:val="24"/>
          <w:szCs w:val="24"/>
          <w:lang w:val="en-GB"/>
        </w:rPr>
        <w:t>accessible</w:t>
      </w:r>
      <w:r w:rsidRPr="00F70CB0">
        <w:rPr>
          <w:sz w:val="24"/>
          <w:szCs w:val="24"/>
          <w:lang w:val="en-GB"/>
        </w:rPr>
        <w:t xml:space="preserve"> research is conducted </w:t>
      </w:r>
      <w:r w:rsidR="00BF1B41" w:rsidRPr="00F70CB0">
        <w:rPr>
          <w:sz w:val="24"/>
          <w:szCs w:val="24"/>
          <w:lang w:val="en-GB"/>
        </w:rPr>
        <w:t>outside</w:t>
      </w:r>
      <w:r w:rsidRPr="00F70CB0">
        <w:rPr>
          <w:sz w:val="24"/>
          <w:szCs w:val="24"/>
          <w:lang w:val="en-GB"/>
        </w:rPr>
        <w:t xml:space="preserve"> the UK, resulting in limited contextual relevance. Importantly, adoption and continuance intention are often </w:t>
      </w:r>
      <w:r w:rsidR="00BF1B41" w:rsidRPr="00F70CB0">
        <w:rPr>
          <w:sz w:val="24"/>
          <w:szCs w:val="24"/>
          <w:lang w:val="en-GB"/>
        </w:rPr>
        <w:t>preserved</w:t>
      </w:r>
      <w:r w:rsidRPr="00F70CB0">
        <w:rPr>
          <w:sz w:val="24"/>
          <w:szCs w:val="24"/>
          <w:lang w:val="en-GB"/>
        </w:rPr>
        <w:t xml:space="preserve"> as separate processes, while customer preference remains underexplored.</w:t>
      </w:r>
    </w:p>
    <w:p w14:paraId="64C7905E" w14:textId="55F23D83" w:rsidR="0032772E" w:rsidRPr="00F70CB0" w:rsidRDefault="0032772E" w:rsidP="0032772E">
      <w:pPr>
        <w:jc w:val="both"/>
        <w:rPr>
          <w:sz w:val="24"/>
          <w:szCs w:val="24"/>
          <w:lang w:val="en-GB"/>
        </w:rPr>
      </w:pPr>
      <w:r w:rsidRPr="00F70CB0">
        <w:rPr>
          <w:sz w:val="24"/>
          <w:szCs w:val="24"/>
          <w:lang w:val="en-GB"/>
        </w:rPr>
        <w:t xml:space="preserve">Furthermore, key constructs such as trust, service quality, and customer experience are </w:t>
      </w:r>
      <w:r w:rsidR="00BF1B41" w:rsidRPr="00F70CB0">
        <w:rPr>
          <w:sz w:val="24"/>
          <w:szCs w:val="24"/>
          <w:lang w:val="en-GB"/>
        </w:rPr>
        <w:t>regularly</w:t>
      </w:r>
      <w:r w:rsidRPr="00F70CB0">
        <w:rPr>
          <w:sz w:val="24"/>
          <w:szCs w:val="24"/>
          <w:lang w:val="en-GB"/>
        </w:rPr>
        <w:t xml:space="preserve"> examined in isolation, limiting a holistic understanding of user behaviour. These limitations highlight the need for a more integrated and context-sensitive approach.</w:t>
      </w:r>
    </w:p>
    <w:p w14:paraId="56FA58DD" w14:textId="615AFE31" w:rsidR="0032772E" w:rsidRPr="00F70CB0" w:rsidRDefault="0032772E" w:rsidP="0032772E">
      <w:pPr>
        <w:jc w:val="both"/>
        <w:rPr>
          <w:sz w:val="24"/>
          <w:szCs w:val="24"/>
          <w:lang w:val="en-GB"/>
        </w:rPr>
      </w:pPr>
      <w:r w:rsidRPr="00F70CB0">
        <w:rPr>
          <w:sz w:val="24"/>
          <w:szCs w:val="24"/>
          <w:lang w:val="en-GB"/>
        </w:rPr>
        <w:t xml:space="preserve">Therefore, this study </w:t>
      </w:r>
      <w:r w:rsidR="00BF1B41" w:rsidRPr="00F70CB0">
        <w:rPr>
          <w:sz w:val="24"/>
          <w:szCs w:val="24"/>
          <w:lang w:val="en-GB"/>
        </w:rPr>
        <w:t>discloses</w:t>
      </w:r>
      <w:r w:rsidRPr="00F70CB0">
        <w:rPr>
          <w:sz w:val="24"/>
          <w:szCs w:val="24"/>
          <w:lang w:val="en-GB"/>
        </w:rPr>
        <w:t xml:space="preserve"> these gaps by </w:t>
      </w:r>
      <w:r w:rsidR="00BF1B41" w:rsidRPr="00F70CB0">
        <w:rPr>
          <w:sz w:val="24"/>
          <w:szCs w:val="24"/>
          <w:lang w:val="en-GB"/>
        </w:rPr>
        <w:t>recommending</w:t>
      </w:r>
      <w:r w:rsidRPr="00F70CB0">
        <w:rPr>
          <w:sz w:val="24"/>
          <w:szCs w:val="24"/>
          <w:lang w:val="en-GB"/>
        </w:rPr>
        <w:t xml:space="preserve"> a more comprehensive framework that combines technological, behavioural, and experiential factors within the UK context, aiming to provide a deeper understanding of customer preference and continued usage of digital banking services.</w:t>
      </w:r>
    </w:p>
    <w:p w14:paraId="7930DF38" w14:textId="77777777" w:rsidR="006A3AAE" w:rsidRPr="00F70CB0" w:rsidRDefault="006A3AAE" w:rsidP="0036012E">
      <w:pPr>
        <w:jc w:val="both"/>
        <w:rPr>
          <w:sz w:val="24"/>
          <w:szCs w:val="24"/>
        </w:rPr>
      </w:pPr>
    </w:p>
    <w:p w14:paraId="3C0ED431" w14:textId="77777777" w:rsidR="006A3AAE" w:rsidRPr="00F70CB0" w:rsidRDefault="006A3AAE" w:rsidP="0036012E">
      <w:pPr>
        <w:jc w:val="both"/>
        <w:rPr>
          <w:sz w:val="24"/>
          <w:szCs w:val="24"/>
        </w:rPr>
      </w:pPr>
    </w:p>
    <w:p w14:paraId="33C1EA97" w14:textId="77777777" w:rsidR="006A3AAE" w:rsidRPr="00F70CB0" w:rsidRDefault="006A3AAE" w:rsidP="0036012E">
      <w:pPr>
        <w:jc w:val="both"/>
        <w:rPr>
          <w:sz w:val="24"/>
          <w:szCs w:val="24"/>
        </w:rPr>
      </w:pPr>
    </w:p>
    <w:p w14:paraId="75FE8B83" w14:textId="77777777" w:rsidR="006A3AAE" w:rsidRPr="00F70CB0" w:rsidRDefault="006A3AAE" w:rsidP="0036012E">
      <w:pPr>
        <w:jc w:val="both"/>
        <w:rPr>
          <w:sz w:val="24"/>
          <w:szCs w:val="24"/>
        </w:rPr>
      </w:pPr>
    </w:p>
    <w:p w14:paraId="371D0462" w14:textId="77777777" w:rsidR="00E340E1" w:rsidRPr="00F70CB0" w:rsidRDefault="00E340E1" w:rsidP="0036012E">
      <w:pPr>
        <w:jc w:val="both"/>
        <w:rPr>
          <w:sz w:val="24"/>
          <w:szCs w:val="24"/>
        </w:rPr>
      </w:pPr>
    </w:p>
    <w:p w14:paraId="10A2E8BF" w14:textId="77777777" w:rsidR="006A3AAE" w:rsidRPr="00F70CB0" w:rsidRDefault="006A3AAE" w:rsidP="0036012E">
      <w:pPr>
        <w:jc w:val="both"/>
        <w:rPr>
          <w:sz w:val="24"/>
          <w:szCs w:val="24"/>
        </w:rPr>
      </w:pPr>
    </w:p>
    <w:p w14:paraId="0EA5A407" w14:textId="77777777" w:rsidR="00E848A2" w:rsidRPr="00F70CB0" w:rsidRDefault="00E848A2" w:rsidP="0036012E">
      <w:pPr>
        <w:jc w:val="both"/>
        <w:rPr>
          <w:b/>
          <w:bCs/>
          <w:sz w:val="32"/>
          <w:szCs w:val="32"/>
        </w:rPr>
      </w:pPr>
    </w:p>
    <w:p w14:paraId="2D88EF79" w14:textId="77777777" w:rsidR="005D6D55" w:rsidRPr="00F70CB0" w:rsidRDefault="005D6D55" w:rsidP="0036012E">
      <w:pPr>
        <w:jc w:val="both"/>
        <w:rPr>
          <w:b/>
          <w:bCs/>
          <w:sz w:val="32"/>
          <w:szCs w:val="32"/>
        </w:rPr>
      </w:pPr>
    </w:p>
    <w:p w14:paraId="086783A4" w14:textId="44B76693" w:rsidR="006A3AAE" w:rsidRPr="00F70CB0" w:rsidRDefault="006A3AAE" w:rsidP="00515456">
      <w:pPr>
        <w:pStyle w:val="Heading1"/>
        <w:rPr>
          <w:rFonts w:ascii="Times New Roman" w:hAnsi="Times New Roman" w:cs="Times New Roman"/>
          <w:sz w:val="32"/>
          <w:szCs w:val="32"/>
        </w:rPr>
      </w:pPr>
      <w:bookmarkStart w:id="21" w:name="_Toc227353489"/>
      <w:r w:rsidRPr="00F70CB0">
        <w:rPr>
          <w:rFonts w:ascii="Times New Roman" w:hAnsi="Times New Roman" w:cs="Times New Roman"/>
          <w:sz w:val="32"/>
          <w:szCs w:val="32"/>
        </w:rPr>
        <w:lastRenderedPageBreak/>
        <w:t>Part 3</w:t>
      </w:r>
      <w:bookmarkEnd w:id="21"/>
    </w:p>
    <w:p w14:paraId="341F6C2C" w14:textId="4C7813E0" w:rsidR="0049116F" w:rsidRPr="00F70CB0" w:rsidRDefault="00667AB7" w:rsidP="00515456">
      <w:pPr>
        <w:pStyle w:val="Heading1"/>
        <w:rPr>
          <w:rFonts w:ascii="Times New Roman" w:hAnsi="Times New Roman" w:cs="Times New Roman"/>
          <w:sz w:val="32"/>
          <w:szCs w:val="32"/>
        </w:rPr>
      </w:pPr>
      <w:bookmarkStart w:id="22" w:name="_Toc227353490"/>
      <w:r w:rsidRPr="00F70CB0">
        <w:rPr>
          <w:rFonts w:ascii="Times New Roman" w:hAnsi="Times New Roman" w:cs="Times New Roman"/>
          <w:sz w:val="32"/>
          <w:szCs w:val="32"/>
        </w:rPr>
        <w:t xml:space="preserve">3.1 </w:t>
      </w:r>
      <w:r w:rsidR="0049116F" w:rsidRPr="00F70CB0">
        <w:rPr>
          <w:rFonts w:ascii="Times New Roman" w:hAnsi="Times New Roman" w:cs="Times New Roman"/>
          <w:sz w:val="32"/>
          <w:szCs w:val="32"/>
        </w:rPr>
        <w:t>Introduction</w:t>
      </w:r>
      <w:bookmarkEnd w:id="22"/>
    </w:p>
    <w:p w14:paraId="0F31BBA1" w14:textId="66E3AC83" w:rsidR="00B1560A" w:rsidRPr="00F70CB0" w:rsidRDefault="00B1560A" w:rsidP="00B1560A">
      <w:pPr>
        <w:jc w:val="both"/>
        <w:rPr>
          <w:sz w:val="24"/>
          <w:szCs w:val="24"/>
          <w:lang w:val="en-GB" w:eastAsia="en-US"/>
        </w:rPr>
      </w:pPr>
      <w:r w:rsidRPr="00F70CB0">
        <w:rPr>
          <w:sz w:val="24"/>
          <w:szCs w:val="24"/>
          <w:lang w:val="en-GB" w:eastAsia="en-US"/>
        </w:rPr>
        <w:t xml:space="preserve">Digital banking </w:t>
      </w:r>
      <w:r w:rsidR="002E6A58" w:rsidRPr="00F70CB0">
        <w:rPr>
          <w:sz w:val="24"/>
          <w:szCs w:val="24"/>
          <w:lang w:val="en-GB" w:eastAsia="en-US"/>
        </w:rPr>
        <w:t>concerns</w:t>
      </w:r>
      <w:r w:rsidRPr="00F70CB0">
        <w:rPr>
          <w:sz w:val="24"/>
          <w:szCs w:val="24"/>
          <w:lang w:val="en-GB" w:eastAsia="en-US"/>
        </w:rPr>
        <w:t xml:space="preserve"> to the </w:t>
      </w:r>
      <w:r w:rsidR="002E6A58" w:rsidRPr="00F70CB0">
        <w:rPr>
          <w:sz w:val="24"/>
          <w:szCs w:val="24"/>
          <w:lang w:val="en-GB" w:eastAsia="en-US"/>
        </w:rPr>
        <w:t>widespread</w:t>
      </w:r>
      <w:r w:rsidRPr="00F70CB0">
        <w:rPr>
          <w:sz w:val="24"/>
          <w:szCs w:val="24"/>
          <w:lang w:val="en-GB" w:eastAsia="en-US"/>
        </w:rPr>
        <w:t xml:space="preserve"> digitisation of traditional banking services, enabling customers to manage financial </w:t>
      </w:r>
      <w:r w:rsidR="002E6A58" w:rsidRPr="00F70CB0">
        <w:rPr>
          <w:sz w:val="24"/>
          <w:szCs w:val="24"/>
          <w:lang w:val="en-GB" w:eastAsia="en-US"/>
        </w:rPr>
        <w:t>behaviour</w:t>
      </w:r>
      <w:r w:rsidRPr="00F70CB0">
        <w:rPr>
          <w:sz w:val="24"/>
          <w:szCs w:val="24"/>
          <w:lang w:val="en-GB" w:eastAsia="en-US"/>
        </w:rPr>
        <w:t xml:space="preserve"> through online platforms and mobile applications without the need for physical branch interaction. It operates on a 24/7 basis, </w:t>
      </w:r>
      <w:r w:rsidR="002E6A58" w:rsidRPr="00F70CB0">
        <w:rPr>
          <w:sz w:val="24"/>
          <w:szCs w:val="24"/>
          <w:lang w:val="en-GB" w:eastAsia="en-US"/>
        </w:rPr>
        <w:t>proposing</w:t>
      </w:r>
      <w:r w:rsidRPr="00F70CB0">
        <w:rPr>
          <w:sz w:val="24"/>
          <w:szCs w:val="24"/>
          <w:lang w:val="en-GB" w:eastAsia="en-US"/>
        </w:rPr>
        <w:t xml:space="preserve"> increased convenience, transaction efficiency, and cost reduction. In addition, digital banking </w:t>
      </w:r>
      <w:r w:rsidR="002E6A58" w:rsidRPr="00F70CB0">
        <w:rPr>
          <w:sz w:val="24"/>
          <w:szCs w:val="24"/>
          <w:lang w:val="en-GB" w:eastAsia="en-US"/>
        </w:rPr>
        <w:t>unites</w:t>
      </w:r>
      <w:r w:rsidRPr="00F70CB0">
        <w:rPr>
          <w:sz w:val="24"/>
          <w:szCs w:val="24"/>
          <w:lang w:val="en-GB" w:eastAsia="en-US"/>
        </w:rPr>
        <w:t xml:space="preserve"> advanced security features such as biometric authentication, including fingerprint and facial recognition, as well as real-time controls such as instant card blocking. These technological developments have contributed to the rapid expansion of digital banking on a global scale.</w:t>
      </w:r>
    </w:p>
    <w:p w14:paraId="01F7C3A4" w14:textId="69392D1A" w:rsidR="00B1560A" w:rsidRPr="00F70CB0" w:rsidRDefault="00B1560A" w:rsidP="00B1560A">
      <w:pPr>
        <w:jc w:val="both"/>
        <w:rPr>
          <w:sz w:val="24"/>
          <w:szCs w:val="24"/>
          <w:lang w:val="en-GB" w:eastAsia="en-US"/>
        </w:rPr>
      </w:pPr>
      <w:r w:rsidRPr="00F70CB0">
        <w:rPr>
          <w:sz w:val="24"/>
          <w:szCs w:val="24"/>
          <w:lang w:val="en-GB" w:eastAsia="en-US"/>
        </w:rPr>
        <w:t xml:space="preserve">It is important to </w:t>
      </w:r>
      <w:r w:rsidR="002E6A58" w:rsidRPr="00F70CB0">
        <w:rPr>
          <w:sz w:val="24"/>
          <w:szCs w:val="24"/>
          <w:lang w:val="en-GB" w:eastAsia="en-US"/>
        </w:rPr>
        <w:t>differentiate</w:t>
      </w:r>
      <w:r w:rsidRPr="00F70CB0">
        <w:rPr>
          <w:sz w:val="24"/>
          <w:szCs w:val="24"/>
          <w:lang w:val="en-GB" w:eastAsia="en-US"/>
        </w:rPr>
        <w:t xml:space="preserve"> between related concepts within this domain. Online banking typically refers to accessing basic banking services, such as balance enquiries and bill payments, through web-based platforms. Mobile banking extends these </w:t>
      </w:r>
      <w:r w:rsidR="00897943" w:rsidRPr="00F70CB0">
        <w:rPr>
          <w:sz w:val="24"/>
          <w:szCs w:val="24"/>
          <w:lang w:val="en-GB" w:eastAsia="en-US"/>
        </w:rPr>
        <w:t>abilities</w:t>
      </w:r>
      <w:r w:rsidRPr="00F70CB0">
        <w:rPr>
          <w:sz w:val="24"/>
          <w:szCs w:val="24"/>
          <w:lang w:val="en-GB" w:eastAsia="en-US"/>
        </w:rPr>
        <w:t xml:space="preserve"> through dedicated smartphone applications, often incorporating additional functionalities. In contrast, digital banking </w:t>
      </w:r>
      <w:r w:rsidR="00897943" w:rsidRPr="00F70CB0">
        <w:rPr>
          <w:sz w:val="24"/>
          <w:szCs w:val="24"/>
          <w:lang w:val="en-GB" w:eastAsia="en-US"/>
        </w:rPr>
        <w:t>signifies</w:t>
      </w:r>
      <w:r w:rsidRPr="00F70CB0">
        <w:rPr>
          <w:sz w:val="24"/>
          <w:szCs w:val="24"/>
          <w:lang w:val="en-GB" w:eastAsia="en-US"/>
        </w:rPr>
        <w:t xml:space="preserve"> a broader and more integrated concept, </w:t>
      </w:r>
      <w:r w:rsidR="00897943" w:rsidRPr="00F70CB0">
        <w:rPr>
          <w:sz w:val="24"/>
          <w:szCs w:val="24"/>
          <w:lang w:val="en-GB" w:eastAsia="en-US"/>
        </w:rPr>
        <w:t>involving</w:t>
      </w:r>
      <w:r w:rsidRPr="00F70CB0">
        <w:rPr>
          <w:sz w:val="24"/>
          <w:szCs w:val="24"/>
          <w:lang w:val="en-GB" w:eastAsia="en-US"/>
        </w:rPr>
        <w:t xml:space="preserve"> the entire digital ecosystem of banking services and customer interactions.</w:t>
      </w:r>
    </w:p>
    <w:p w14:paraId="19192E3E" w14:textId="0EE8249C" w:rsidR="00B1560A" w:rsidRPr="00F70CB0" w:rsidRDefault="00B1560A" w:rsidP="00B1560A">
      <w:pPr>
        <w:jc w:val="both"/>
        <w:rPr>
          <w:sz w:val="24"/>
          <w:szCs w:val="24"/>
          <w:lang w:val="en-GB" w:eastAsia="en-US"/>
        </w:rPr>
      </w:pPr>
      <w:r w:rsidRPr="00F70CB0">
        <w:rPr>
          <w:sz w:val="24"/>
          <w:szCs w:val="24"/>
          <w:lang w:val="en-GB" w:eastAsia="en-US"/>
        </w:rPr>
        <w:t xml:space="preserve">The United Kingdom represents one of the most mature digital banking environments, </w:t>
      </w:r>
      <w:r w:rsidR="00052AC5" w:rsidRPr="00F70CB0">
        <w:rPr>
          <w:sz w:val="24"/>
          <w:szCs w:val="24"/>
          <w:lang w:val="en-GB" w:eastAsia="en-US"/>
        </w:rPr>
        <w:t>characterised</w:t>
      </w:r>
      <w:r w:rsidRPr="00F70CB0">
        <w:rPr>
          <w:sz w:val="24"/>
          <w:szCs w:val="24"/>
          <w:lang w:val="en-GB" w:eastAsia="en-US"/>
        </w:rPr>
        <w:t xml:space="preserve"> by widespread technology adoption, advanced fintech innovation, and the emergence of digital-only banks such as Monzo and Revolut. These </w:t>
      </w:r>
      <w:r w:rsidR="00052AC5" w:rsidRPr="00F70CB0">
        <w:rPr>
          <w:sz w:val="24"/>
          <w:szCs w:val="24"/>
          <w:lang w:val="en-GB" w:eastAsia="en-US"/>
        </w:rPr>
        <w:t>progresses</w:t>
      </w:r>
      <w:r w:rsidRPr="00F70CB0">
        <w:rPr>
          <w:sz w:val="24"/>
          <w:szCs w:val="24"/>
          <w:lang w:val="en-GB" w:eastAsia="en-US"/>
        </w:rPr>
        <w:t xml:space="preserve"> have </w:t>
      </w:r>
      <w:r w:rsidR="00052AC5" w:rsidRPr="00F70CB0">
        <w:rPr>
          <w:sz w:val="24"/>
          <w:szCs w:val="24"/>
          <w:lang w:val="en-GB" w:eastAsia="en-US"/>
        </w:rPr>
        <w:t>notably</w:t>
      </w:r>
      <w:r w:rsidRPr="00F70CB0">
        <w:rPr>
          <w:sz w:val="24"/>
          <w:szCs w:val="24"/>
          <w:lang w:val="en-GB" w:eastAsia="en-US"/>
        </w:rPr>
        <w:t xml:space="preserve"> transformed customer expectations, with increasing demand for </w:t>
      </w:r>
      <w:r w:rsidR="00052AC5" w:rsidRPr="00F70CB0">
        <w:rPr>
          <w:sz w:val="24"/>
          <w:szCs w:val="24"/>
          <w:lang w:val="en-GB" w:eastAsia="en-US"/>
        </w:rPr>
        <w:t>smooth</w:t>
      </w:r>
      <w:r w:rsidRPr="00F70CB0">
        <w:rPr>
          <w:sz w:val="24"/>
          <w:szCs w:val="24"/>
          <w:lang w:val="en-GB" w:eastAsia="en-US"/>
        </w:rPr>
        <w:t>, efficient, and personalised digital experiences. As a result, digital banking in the UK extends beyond basic service delivery and increasingly reflects a competitive and innovation-driven financial landscape.</w:t>
      </w:r>
    </w:p>
    <w:p w14:paraId="760FB4D3" w14:textId="200C2B57" w:rsidR="00B1560A" w:rsidRPr="00F70CB0" w:rsidRDefault="00B1560A" w:rsidP="00B1560A">
      <w:pPr>
        <w:jc w:val="both"/>
        <w:rPr>
          <w:sz w:val="24"/>
          <w:szCs w:val="24"/>
          <w:lang w:val="en-GB" w:eastAsia="en-US"/>
        </w:rPr>
      </w:pPr>
      <w:r w:rsidRPr="00F70CB0">
        <w:rPr>
          <w:sz w:val="24"/>
          <w:szCs w:val="24"/>
          <w:lang w:val="en-GB" w:eastAsia="en-US"/>
        </w:rPr>
        <w:t xml:space="preserve">Despite the rapid </w:t>
      </w:r>
      <w:r w:rsidR="00F555D3" w:rsidRPr="00F70CB0">
        <w:rPr>
          <w:sz w:val="24"/>
          <w:szCs w:val="24"/>
          <w:lang w:val="en-GB" w:eastAsia="en-US"/>
        </w:rPr>
        <w:t>expansion</w:t>
      </w:r>
      <w:r w:rsidRPr="00F70CB0">
        <w:rPr>
          <w:sz w:val="24"/>
          <w:szCs w:val="24"/>
          <w:lang w:val="en-GB" w:eastAsia="en-US"/>
        </w:rPr>
        <w:t xml:space="preserve"> of digital banking, existing literature remains heavily influenced by technology adoption perspectives, often </w:t>
      </w:r>
      <w:r w:rsidR="00F555D3" w:rsidRPr="00F70CB0">
        <w:rPr>
          <w:sz w:val="24"/>
          <w:szCs w:val="24"/>
          <w:lang w:val="en-GB" w:eastAsia="en-US"/>
        </w:rPr>
        <w:t>ordering</w:t>
      </w:r>
      <w:r w:rsidRPr="00F70CB0">
        <w:rPr>
          <w:sz w:val="24"/>
          <w:szCs w:val="24"/>
          <w:lang w:val="en-GB" w:eastAsia="en-US"/>
        </w:rPr>
        <w:t xml:space="preserve"> initial acceptance over long-term engagement. This reflects a tendency within the field to conceptualise user behaviour as a linear process, where adoption naturally leads to continued usage. However, such an assumption may </w:t>
      </w:r>
      <w:r w:rsidR="00F555D3" w:rsidRPr="00F70CB0">
        <w:rPr>
          <w:sz w:val="24"/>
          <w:szCs w:val="24"/>
          <w:lang w:val="en-GB" w:eastAsia="en-US"/>
        </w:rPr>
        <w:t>generalise</w:t>
      </w:r>
      <w:r w:rsidRPr="00F70CB0">
        <w:rPr>
          <w:sz w:val="24"/>
          <w:szCs w:val="24"/>
          <w:lang w:val="en-GB" w:eastAsia="en-US"/>
        </w:rPr>
        <w:t xml:space="preserve"> the complexity of customer behaviour, particularly in mature markets like the UK, where usage patterns are shaped by evolving preferences, trust, and service experiences.</w:t>
      </w:r>
    </w:p>
    <w:p w14:paraId="026C9B9A" w14:textId="52186336" w:rsidR="00B1560A" w:rsidRPr="00F70CB0" w:rsidRDefault="00B1560A" w:rsidP="00795153">
      <w:pPr>
        <w:jc w:val="both"/>
        <w:rPr>
          <w:lang w:val="en-GB" w:eastAsia="en-US"/>
        </w:rPr>
      </w:pPr>
      <w:r w:rsidRPr="00F70CB0">
        <w:rPr>
          <w:sz w:val="24"/>
          <w:szCs w:val="24"/>
          <w:lang w:val="en-GB" w:eastAsia="en-US"/>
        </w:rPr>
        <w:t xml:space="preserve">Therefore, this </w:t>
      </w:r>
      <w:r w:rsidR="00F555D3" w:rsidRPr="00F70CB0">
        <w:rPr>
          <w:sz w:val="24"/>
          <w:szCs w:val="24"/>
          <w:lang w:val="en-GB" w:eastAsia="en-US"/>
        </w:rPr>
        <w:t>segment</w:t>
      </w:r>
      <w:r w:rsidRPr="00F70CB0">
        <w:rPr>
          <w:sz w:val="24"/>
          <w:szCs w:val="24"/>
          <w:lang w:val="en-GB" w:eastAsia="en-US"/>
        </w:rPr>
        <w:t xml:space="preserve"> examines key theoretical foundations and constructs related to digital banking, including technology adoption and post-adoption behaviour. It also identifies critical gaps within the literature, </w:t>
      </w:r>
      <w:r w:rsidR="00F555D3" w:rsidRPr="00F70CB0">
        <w:rPr>
          <w:sz w:val="24"/>
          <w:szCs w:val="24"/>
          <w:lang w:val="en-GB" w:eastAsia="en-US"/>
        </w:rPr>
        <w:t>mainly</w:t>
      </w:r>
      <w:r w:rsidRPr="00F70CB0">
        <w:rPr>
          <w:sz w:val="24"/>
          <w:szCs w:val="24"/>
          <w:lang w:val="en-GB" w:eastAsia="en-US"/>
        </w:rPr>
        <w:t xml:space="preserve"> the limited integration of adoption and continuance intention, the underrepresentation of customer preference, and the need for context-specific research within the UK retail banking sector</w:t>
      </w:r>
      <w:r w:rsidRPr="00F70CB0">
        <w:rPr>
          <w:lang w:val="en-GB" w:eastAsia="en-US"/>
        </w:rPr>
        <w:t>.</w:t>
      </w:r>
    </w:p>
    <w:p w14:paraId="7C9D458F" w14:textId="2E54870E" w:rsidR="006A3AAE" w:rsidRPr="00F70CB0" w:rsidRDefault="00667AB7" w:rsidP="00515456">
      <w:pPr>
        <w:pStyle w:val="Heading1"/>
        <w:rPr>
          <w:rFonts w:ascii="Times New Roman" w:hAnsi="Times New Roman" w:cs="Times New Roman"/>
          <w:sz w:val="32"/>
          <w:szCs w:val="32"/>
        </w:rPr>
      </w:pPr>
      <w:bookmarkStart w:id="23" w:name="_Toc227353491"/>
      <w:r w:rsidRPr="00F70CB0">
        <w:rPr>
          <w:rFonts w:ascii="Times New Roman" w:hAnsi="Times New Roman" w:cs="Times New Roman"/>
          <w:sz w:val="32"/>
          <w:szCs w:val="32"/>
        </w:rPr>
        <w:t xml:space="preserve">3.2 </w:t>
      </w:r>
      <w:r w:rsidR="00CF64EB" w:rsidRPr="00F70CB0">
        <w:rPr>
          <w:rFonts w:ascii="Times New Roman" w:hAnsi="Times New Roman" w:cs="Times New Roman"/>
          <w:sz w:val="32"/>
          <w:szCs w:val="32"/>
        </w:rPr>
        <w:t>Conceptual Classification</w:t>
      </w:r>
      <w:bookmarkEnd w:id="23"/>
    </w:p>
    <w:p w14:paraId="3A1489AF" w14:textId="53DF0C29" w:rsidR="00CF64EB" w:rsidRPr="00F70CB0" w:rsidRDefault="00667AB7" w:rsidP="00515456">
      <w:pPr>
        <w:pStyle w:val="Heading1"/>
        <w:rPr>
          <w:rFonts w:ascii="Times New Roman" w:hAnsi="Times New Roman" w:cs="Times New Roman"/>
          <w:sz w:val="28"/>
          <w:szCs w:val="28"/>
        </w:rPr>
      </w:pPr>
      <w:bookmarkStart w:id="24" w:name="_Toc227353492"/>
      <w:r w:rsidRPr="00F70CB0">
        <w:rPr>
          <w:rFonts w:ascii="Times New Roman" w:hAnsi="Times New Roman" w:cs="Times New Roman"/>
          <w:sz w:val="28"/>
          <w:szCs w:val="28"/>
        </w:rPr>
        <w:t xml:space="preserve">3.2.1 </w:t>
      </w:r>
      <w:r w:rsidR="008549CE" w:rsidRPr="00F70CB0">
        <w:rPr>
          <w:rFonts w:ascii="Times New Roman" w:hAnsi="Times New Roman" w:cs="Times New Roman"/>
          <w:sz w:val="28"/>
          <w:szCs w:val="28"/>
        </w:rPr>
        <w:t xml:space="preserve">Customer </w:t>
      </w:r>
      <w:r w:rsidR="005C4F44" w:rsidRPr="00F70CB0">
        <w:rPr>
          <w:rFonts w:ascii="Times New Roman" w:hAnsi="Times New Roman" w:cs="Times New Roman"/>
          <w:sz w:val="28"/>
          <w:szCs w:val="28"/>
        </w:rPr>
        <w:t>P</w:t>
      </w:r>
      <w:r w:rsidR="008549CE" w:rsidRPr="00F70CB0">
        <w:rPr>
          <w:rFonts w:ascii="Times New Roman" w:hAnsi="Times New Roman" w:cs="Times New Roman"/>
          <w:sz w:val="28"/>
          <w:szCs w:val="28"/>
        </w:rPr>
        <w:t>reference</w:t>
      </w:r>
      <w:bookmarkEnd w:id="24"/>
    </w:p>
    <w:p w14:paraId="08438060" w14:textId="382E6D4C" w:rsidR="001B63E0" w:rsidRPr="00F70CB0" w:rsidRDefault="001B63E0" w:rsidP="001B63E0">
      <w:pPr>
        <w:jc w:val="both"/>
        <w:rPr>
          <w:sz w:val="24"/>
          <w:szCs w:val="24"/>
          <w:lang w:val="en-GB" w:eastAsia="en-US"/>
        </w:rPr>
      </w:pPr>
      <w:r w:rsidRPr="00F70CB0">
        <w:rPr>
          <w:sz w:val="24"/>
          <w:szCs w:val="24"/>
          <w:lang w:val="en-GB" w:eastAsia="en-US"/>
        </w:rPr>
        <w:t xml:space="preserve">Customer preference </w:t>
      </w:r>
      <w:r w:rsidR="00C53B8A" w:rsidRPr="00F70CB0">
        <w:rPr>
          <w:sz w:val="24"/>
          <w:szCs w:val="24"/>
          <w:lang w:val="en-GB" w:eastAsia="en-US"/>
        </w:rPr>
        <w:t>refers</w:t>
      </w:r>
      <w:r w:rsidRPr="00F70CB0">
        <w:rPr>
          <w:sz w:val="24"/>
          <w:szCs w:val="24"/>
          <w:lang w:val="en-GB" w:eastAsia="en-US"/>
        </w:rPr>
        <w:t xml:space="preserve"> to the inclination of consumers towards a particular service over </w:t>
      </w:r>
      <w:r w:rsidR="00C53B8A" w:rsidRPr="00F70CB0">
        <w:rPr>
          <w:sz w:val="24"/>
          <w:szCs w:val="24"/>
          <w:lang w:val="en-GB" w:eastAsia="en-US"/>
        </w:rPr>
        <w:t>challenging</w:t>
      </w:r>
      <w:r w:rsidRPr="00F70CB0">
        <w:rPr>
          <w:sz w:val="24"/>
          <w:szCs w:val="24"/>
          <w:lang w:val="en-GB" w:eastAsia="en-US"/>
        </w:rPr>
        <w:t xml:space="preserve"> alternatives, reflecting the underlying cognitive, emotional, and </w:t>
      </w:r>
      <w:r w:rsidR="00C53B8A" w:rsidRPr="00F70CB0">
        <w:rPr>
          <w:sz w:val="24"/>
          <w:szCs w:val="24"/>
          <w:lang w:val="en-GB" w:eastAsia="en-US"/>
        </w:rPr>
        <w:t>empirical</w:t>
      </w:r>
      <w:r w:rsidRPr="00F70CB0">
        <w:rPr>
          <w:sz w:val="24"/>
          <w:szCs w:val="24"/>
          <w:lang w:val="en-GB" w:eastAsia="en-US"/>
        </w:rPr>
        <w:t xml:space="preserve"> factors influencing decision-making. In the context of digital banking, customer preference is </w:t>
      </w:r>
      <w:r w:rsidR="00C53B8A" w:rsidRPr="00F70CB0">
        <w:rPr>
          <w:sz w:val="24"/>
          <w:szCs w:val="24"/>
          <w:lang w:val="en-GB" w:eastAsia="en-US"/>
        </w:rPr>
        <w:t>modelled</w:t>
      </w:r>
      <w:r w:rsidRPr="00F70CB0">
        <w:rPr>
          <w:sz w:val="24"/>
          <w:szCs w:val="24"/>
          <w:lang w:val="en-GB" w:eastAsia="en-US"/>
        </w:rPr>
        <w:t xml:space="preserve"> by multiple interrelated dimensions, including trust, service quality, user experience, and perceived usefulness. Trust reflects the extent to which users believe that digital banking </w:t>
      </w:r>
      <w:r w:rsidRPr="00F70CB0">
        <w:rPr>
          <w:sz w:val="24"/>
          <w:szCs w:val="24"/>
          <w:lang w:val="en-GB" w:eastAsia="en-US"/>
        </w:rPr>
        <w:lastRenderedPageBreak/>
        <w:t xml:space="preserve">platforms are </w:t>
      </w:r>
      <w:r w:rsidR="00C12F99" w:rsidRPr="00F70CB0">
        <w:rPr>
          <w:sz w:val="24"/>
          <w:szCs w:val="24"/>
          <w:lang w:val="en-GB" w:eastAsia="en-US"/>
        </w:rPr>
        <w:t>dependable</w:t>
      </w:r>
      <w:r w:rsidRPr="00F70CB0">
        <w:rPr>
          <w:sz w:val="24"/>
          <w:szCs w:val="24"/>
          <w:lang w:val="en-GB" w:eastAsia="en-US"/>
        </w:rPr>
        <w:t xml:space="preserve">, while service quality captures the performance of the system in terms of responsiveness, efficiency, and reliability. User experience </w:t>
      </w:r>
      <w:r w:rsidR="00AD455E" w:rsidRPr="00F70CB0">
        <w:rPr>
          <w:sz w:val="24"/>
          <w:szCs w:val="24"/>
          <w:lang w:val="en-GB" w:eastAsia="en-US"/>
        </w:rPr>
        <w:t>embraces</w:t>
      </w:r>
      <w:r w:rsidRPr="00F70CB0">
        <w:rPr>
          <w:sz w:val="24"/>
          <w:szCs w:val="24"/>
          <w:lang w:val="en-GB" w:eastAsia="en-US"/>
        </w:rPr>
        <w:t xml:space="preserve"> interface design, ease of navigation, and overall interaction quality, whereas perceived usefulness reflects the extent to which the service enhances users’ </w:t>
      </w:r>
      <w:r w:rsidR="00147E15" w:rsidRPr="00F70CB0">
        <w:rPr>
          <w:sz w:val="24"/>
          <w:szCs w:val="24"/>
          <w:lang w:val="en-GB" w:eastAsia="en-US"/>
        </w:rPr>
        <w:t>monetary management</w:t>
      </w:r>
      <w:r w:rsidRPr="00F70CB0">
        <w:rPr>
          <w:sz w:val="24"/>
          <w:szCs w:val="24"/>
          <w:lang w:val="en-GB" w:eastAsia="en-US"/>
        </w:rPr>
        <w:t xml:space="preserve"> activities.</w:t>
      </w:r>
    </w:p>
    <w:p w14:paraId="20A08798" w14:textId="6348776A" w:rsidR="001B63E0" w:rsidRPr="00F70CB0" w:rsidRDefault="001B63E0" w:rsidP="001B63E0">
      <w:pPr>
        <w:jc w:val="both"/>
        <w:rPr>
          <w:sz w:val="24"/>
          <w:szCs w:val="24"/>
          <w:lang w:val="en-GB" w:eastAsia="en-US"/>
        </w:rPr>
      </w:pPr>
      <w:r w:rsidRPr="00F70CB0">
        <w:rPr>
          <w:sz w:val="24"/>
          <w:szCs w:val="24"/>
          <w:lang w:val="en-GB" w:eastAsia="en-US"/>
        </w:rPr>
        <w:t xml:space="preserve">However, existing literature tends to conceptualise these factors in </w:t>
      </w:r>
      <w:r w:rsidR="000E5476" w:rsidRPr="00F70CB0">
        <w:rPr>
          <w:sz w:val="24"/>
          <w:szCs w:val="24"/>
          <w:lang w:val="en-GB" w:eastAsia="en-US"/>
        </w:rPr>
        <w:t>separation</w:t>
      </w:r>
      <w:r w:rsidRPr="00F70CB0">
        <w:rPr>
          <w:sz w:val="24"/>
          <w:szCs w:val="24"/>
          <w:lang w:val="en-GB" w:eastAsia="en-US"/>
        </w:rPr>
        <w:t xml:space="preserve">, often </w:t>
      </w:r>
      <w:r w:rsidR="000E5476" w:rsidRPr="00F70CB0">
        <w:rPr>
          <w:sz w:val="24"/>
          <w:szCs w:val="24"/>
          <w:lang w:val="en-GB" w:eastAsia="en-US"/>
        </w:rPr>
        <w:t>overlooking</w:t>
      </w:r>
      <w:r w:rsidRPr="00F70CB0">
        <w:rPr>
          <w:sz w:val="24"/>
          <w:szCs w:val="24"/>
          <w:lang w:val="en-GB" w:eastAsia="en-US"/>
        </w:rPr>
        <w:t xml:space="preserve"> the dynamic </w:t>
      </w:r>
      <w:r w:rsidR="000E5476" w:rsidRPr="00F70CB0">
        <w:rPr>
          <w:sz w:val="24"/>
          <w:szCs w:val="24"/>
          <w:lang w:val="en-GB" w:eastAsia="en-US"/>
        </w:rPr>
        <w:t>connections</w:t>
      </w:r>
      <w:r w:rsidRPr="00F70CB0">
        <w:rPr>
          <w:sz w:val="24"/>
          <w:szCs w:val="24"/>
          <w:lang w:val="en-GB" w:eastAsia="en-US"/>
        </w:rPr>
        <w:t xml:space="preserve"> between them. This fragmented approach limits the understanding of customer preference as a </w:t>
      </w:r>
      <w:r w:rsidR="000E5476" w:rsidRPr="00F70CB0">
        <w:rPr>
          <w:sz w:val="24"/>
          <w:szCs w:val="24"/>
          <w:lang w:val="en-GB" w:eastAsia="en-US"/>
        </w:rPr>
        <w:t>whole</w:t>
      </w:r>
      <w:r w:rsidRPr="00F70CB0">
        <w:rPr>
          <w:sz w:val="24"/>
          <w:szCs w:val="24"/>
          <w:lang w:val="en-GB" w:eastAsia="en-US"/>
        </w:rPr>
        <w:t xml:space="preserve"> construct. </w:t>
      </w:r>
      <w:r w:rsidR="00141E45" w:rsidRPr="00F70CB0">
        <w:rPr>
          <w:sz w:val="24"/>
          <w:szCs w:val="24"/>
          <w:lang w:val="en-GB" w:eastAsia="en-US"/>
        </w:rPr>
        <w:t>Preference</w:t>
      </w:r>
      <w:r w:rsidRPr="00F70CB0">
        <w:rPr>
          <w:sz w:val="24"/>
          <w:szCs w:val="24"/>
          <w:lang w:val="en-GB" w:eastAsia="en-US"/>
        </w:rPr>
        <w:t xml:space="preserve"> is frequently treated as an outcome of technological features alone, </w:t>
      </w:r>
      <w:r w:rsidR="000E5476" w:rsidRPr="00F70CB0">
        <w:rPr>
          <w:sz w:val="24"/>
          <w:szCs w:val="24"/>
          <w:lang w:val="en-GB" w:eastAsia="en-US"/>
        </w:rPr>
        <w:t>abandoning</w:t>
      </w:r>
      <w:r w:rsidRPr="00F70CB0">
        <w:rPr>
          <w:sz w:val="24"/>
          <w:szCs w:val="24"/>
          <w:lang w:val="en-GB" w:eastAsia="en-US"/>
        </w:rPr>
        <w:t xml:space="preserve"> the role of experiential and relational dimensions. This suggests that customer preference is not </w:t>
      </w:r>
      <w:r w:rsidR="000E5476" w:rsidRPr="00F70CB0">
        <w:rPr>
          <w:sz w:val="24"/>
          <w:szCs w:val="24"/>
          <w:lang w:val="en-GB" w:eastAsia="en-US"/>
        </w:rPr>
        <w:t>simply</w:t>
      </w:r>
      <w:r w:rsidRPr="00F70CB0">
        <w:rPr>
          <w:sz w:val="24"/>
          <w:szCs w:val="24"/>
          <w:lang w:val="en-GB" w:eastAsia="en-US"/>
        </w:rPr>
        <w:t xml:space="preserve"> a result of functional evaluation but evolves through continuous interaction with digital banking services.</w:t>
      </w:r>
    </w:p>
    <w:p w14:paraId="644BC44A" w14:textId="60AF9BB5" w:rsidR="004F39BE" w:rsidRPr="00F70CB0" w:rsidRDefault="001B63E0" w:rsidP="001B63E0">
      <w:pPr>
        <w:jc w:val="both"/>
        <w:rPr>
          <w:sz w:val="24"/>
          <w:szCs w:val="24"/>
          <w:lang w:val="en-GB" w:eastAsia="en-US"/>
        </w:rPr>
      </w:pPr>
      <w:r w:rsidRPr="00F70CB0">
        <w:rPr>
          <w:sz w:val="24"/>
          <w:szCs w:val="24"/>
          <w:lang w:val="en-GB" w:eastAsia="en-US"/>
        </w:rPr>
        <w:t xml:space="preserve">Despite its relevance, customer preference remains relatively underexplored in digital banking research, where greater </w:t>
      </w:r>
      <w:r w:rsidR="008511A6" w:rsidRPr="00F70CB0">
        <w:rPr>
          <w:sz w:val="24"/>
          <w:szCs w:val="24"/>
          <w:lang w:val="en-GB" w:eastAsia="en-US"/>
        </w:rPr>
        <w:t>prominence</w:t>
      </w:r>
      <w:r w:rsidRPr="00F70CB0">
        <w:rPr>
          <w:sz w:val="24"/>
          <w:szCs w:val="24"/>
          <w:lang w:val="en-GB" w:eastAsia="en-US"/>
        </w:rPr>
        <w:t xml:space="preserve"> has been placed on adoption and satisfaction. This indicates a need to reconceptualise customer preference as a central construct linking adoption-related perceptions with long-term behavioural outcomes such as continued usage.</w:t>
      </w:r>
    </w:p>
    <w:p w14:paraId="58209D99" w14:textId="41093A36" w:rsidR="008549CE" w:rsidRPr="00F70CB0" w:rsidRDefault="00667AB7" w:rsidP="00515456">
      <w:pPr>
        <w:pStyle w:val="Heading1"/>
        <w:rPr>
          <w:rFonts w:ascii="Times New Roman" w:hAnsi="Times New Roman" w:cs="Times New Roman"/>
          <w:sz w:val="28"/>
          <w:szCs w:val="28"/>
        </w:rPr>
      </w:pPr>
      <w:bookmarkStart w:id="25" w:name="_Toc227353493"/>
      <w:r w:rsidRPr="00F70CB0">
        <w:rPr>
          <w:rFonts w:ascii="Times New Roman" w:hAnsi="Times New Roman" w:cs="Times New Roman"/>
          <w:sz w:val="28"/>
          <w:szCs w:val="28"/>
        </w:rPr>
        <w:t xml:space="preserve">3.2.2 </w:t>
      </w:r>
      <w:r w:rsidR="008549CE" w:rsidRPr="00F70CB0">
        <w:rPr>
          <w:rFonts w:ascii="Times New Roman" w:hAnsi="Times New Roman" w:cs="Times New Roman"/>
          <w:sz w:val="28"/>
          <w:szCs w:val="28"/>
        </w:rPr>
        <w:t xml:space="preserve">Continued </w:t>
      </w:r>
      <w:r w:rsidR="005C4F44" w:rsidRPr="00F70CB0">
        <w:rPr>
          <w:rFonts w:ascii="Times New Roman" w:hAnsi="Times New Roman" w:cs="Times New Roman"/>
          <w:sz w:val="28"/>
          <w:szCs w:val="28"/>
        </w:rPr>
        <w:t>U</w:t>
      </w:r>
      <w:r w:rsidR="008549CE" w:rsidRPr="00F70CB0">
        <w:rPr>
          <w:rFonts w:ascii="Times New Roman" w:hAnsi="Times New Roman" w:cs="Times New Roman"/>
          <w:sz w:val="28"/>
          <w:szCs w:val="28"/>
        </w:rPr>
        <w:t xml:space="preserve">sage </w:t>
      </w:r>
      <w:r w:rsidR="005C4F44" w:rsidRPr="00F70CB0">
        <w:rPr>
          <w:rFonts w:ascii="Times New Roman" w:hAnsi="Times New Roman" w:cs="Times New Roman"/>
          <w:sz w:val="28"/>
          <w:szCs w:val="28"/>
        </w:rPr>
        <w:t>I</w:t>
      </w:r>
      <w:r w:rsidR="008549CE" w:rsidRPr="00F70CB0">
        <w:rPr>
          <w:rFonts w:ascii="Times New Roman" w:hAnsi="Times New Roman" w:cs="Times New Roman"/>
          <w:sz w:val="28"/>
          <w:szCs w:val="28"/>
        </w:rPr>
        <w:t>ntention</w:t>
      </w:r>
      <w:bookmarkEnd w:id="25"/>
      <w:r w:rsidR="008549CE" w:rsidRPr="00F70CB0">
        <w:rPr>
          <w:rFonts w:ascii="Times New Roman" w:hAnsi="Times New Roman" w:cs="Times New Roman"/>
          <w:sz w:val="28"/>
          <w:szCs w:val="28"/>
        </w:rPr>
        <w:t xml:space="preserve"> </w:t>
      </w:r>
    </w:p>
    <w:p w14:paraId="52197EA9" w14:textId="43A44B2A" w:rsidR="001B63E0" w:rsidRPr="00F70CB0" w:rsidRDefault="001B63E0" w:rsidP="001B63E0">
      <w:pPr>
        <w:jc w:val="both"/>
        <w:rPr>
          <w:sz w:val="24"/>
          <w:szCs w:val="24"/>
          <w:lang w:val="en-GB" w:eastAsia="en-US"/>
        </w:rPr>
      </w:pPr>
      <w:r w:rsidRPr="00F70CB0">
        <w:rPr>
          <w:sz w:val="24"/>
          <w:szCs w:val="24"/>
          <w:lang w:val="en-GB" w:eastAsia="en-US"/>
        </w:rPr>
        <w:t xml:space="preserve">Continued usage intention </w:t>
      </w:r>
      <w:r w:rsidR="005D13D0" w:rsidRPr="00F70CB0">
        <w:rPr>
          <w:sz w:val="24"/>
          <w:szCs w:val="24"/>
          <w:lang w:val="en-GB" w:eastAsia="en-US"/>
        </w:rPr>
        <w:t>refers</w:t>
      </w:r>
      <w:r w:rsidRPr="00F70CB0">
        <w:rPr>
          <w:sz w:val="24"/>
          <w:szCs w:val="24"/>
          <w:lang w:val="en-GB" w:eastAsia="en-US"/>
        </w:rPr>
        <w:t xml:space="preserve"> to the </w:t>
      </w:r>
      <w:r w:rsidR="005D13D0" w:rsidRPr="00F70CB0">
        <w:rPr>
          <w:sz w:val="24"/>
          <w:szCs w:val="24"/>
          <w:lang w:val="en-GB" w:eastAsia="en-US"/>
        </w:rPr>
        <w:t>prospect</w:t>
      </w:r>
      <w:r w:rsidRPr="00F70CB0">
        <w:rPr>
          <w:sz w:val="24"/>
          <w:szCs w:val="24"/>
          <w:lang w:val="en-GB" w:eastAsia="en-US"/>
        </w:rPr>
        <w:t xml:space="preserve"> that users will continue using a digital banking service after initial adoption, </w:t>
      </w:r>
      <w:r w:rsidR="005D13D0" w:rsidRPr="00F70CB0">
        <w:rPr>
          <w:sz w:val="24"/>
          <w:szCs w:val="24"/>
          <w:lang w:val="en-GB" w:eastAsia="en-US"/>
        </w:rPr>
        <w:t>indicating</w:t>
      </w:r>
      <w:r w:rsidRPr="00F70CB0">
        <w:rPr>
          <w:sz w:val="24"/>
          <w:szCs w:val="24"/>
          <w:lang w:val="en-GB" w:eastAsia="en-US"/>
        </w:rPr>
        <w:t xml:space="preserve"> a critical post-adoption behavioural </w:t>
      </w:r>
      <w:r w:rsidR="005D13D0" w:rsidRPr="00F70CB0">
        <w:rPr>
          <w:sz w:val="24"/>
          <w:szCs w:val="24"/>
          <w:lang w:val="en-GB" w:eastAsia="en-US"/>
        </w:rPr>
        <w:t>consequence</w:t>
      </w:r>
      <w:r w:rsidRPr="00F70CB0">
        <w:rPr>
          <w:sz w:val="24"/>
          <w:szCs w:val="24"/>
          <w:lang w:val="en-GB" w:eastAsia="en-US"/>
        </w:rPr>
        <w:t>. It is commonly influenced by satisfaction, confirmation of expectations, and perceived usefulness. The Expectation Confirmation Model (ECM)</w:t>
      </w:r>
      <w:r w:rsidR="00316858" w:rsidRPr="00F70CB0">
        <w:rPr>
          <w:sz w:val="24"/>
          <w:szCs w:val="24"/>
          <w:lang w:val="en-GB" w:eastAsia="en-US"/>
        </w:rPr>
        <w:t xml:space="preserve"> developed by </w:t>
      </w:r>
      <w:proofErr w:type="spellStart"/>
      <w:r w:rsidRPr="00F70CB0">
        <w:rPr>
          <w:sz w:val="24"/>
          <w:szCs w:val="24"/>
          <w:lang w:val="en-GB" w:eastAsia="en-US"/>
        </w:rPr>
        <w:t>Bhattacherjee</w:t>
      </w:r>
      <w:proofErr w:type="spellEnd"/>
      <w:r w:rsidR="00316858" w:rsidRPr="00F70CB0">
        <w:rPr>
          <w:sz w:val="24"/>
          <w:szCs w:val="24"/>
          <w:lang w:val="en-GB" w:eastAsia="en-US"/>
        </w:rPr>
        <w:t xml:space="preserve"> (</w:t>
      </w:r>
      <w:r w:rsidRPr="00F70CB0">
        <w:rPr>
          <w:sz w:val="24"/>
          <w:szCs w:val="24"/>
          <w:lang w:val="en-GB" w:eastAsia="en-US"/>
        </w:rPr>
        <w:t xml:space="preserve">2001) provides </w:t>
      </w:r>
      <w:r w:rsidR="005D13D0" w:rsidRPr="00F70CB0">
        <w:rPr>
          <w:sz w:val="24"/>
          <w:szCs w:val="24"/>
          <w:lang w:val="en-GB" w:eastAsia="en-US"/>
        </w:rPr>
        <w:t>an</w:t>
      </w:r>
      <w:r w:rsidRPr="00F70CB0">
        <w:rPr>
          <w:sz w:val="24"/>
          <w:szCs w:val="24"/>
          <w:lang w:val="en-GB" w:eastAsia="en-US"/>
        </w:rPr>
        <w:t xml:space="preserve"> </w:t>
      </w:r>
      <w:r w:rsidR="005D13D0" w:rsidRPr="00F70CB0">
        <w:rPr>
          <w:sz w:val="24"/>
          <w:szCs w:val="24"/>
          <w:lang w:val="en-GB" w:eastAsia="en-US"/>
        </w:rPr>
        <w:t>extensively</w:t>
      </w:r>
      <w:r w:rsidRPr="00F70CB0">
        <w:rPr>
          <w:sz w:val="24"/>
          <w:szCs w:val="24"/>
          <w:lang w:val="en-GB" w:eastAsia="en-US"/>
        </w:rPr>
        <w:t xml:space="preserve"> used theoretical framework for explaining continuance behaviour, suggesting that users are more likely to continue using a system when their expectations are met and when the perceived benefits remain high.</w:t>
      </w:r>
    </w:p>
    <w:p w14:paraId="371CE90B" w14:textId="5BED2F38" w:rsidR="001B63E0" w:rsidRPr="00F70CB0" w:rsidRDefault="001B63E0" w:rsidP="001B63E0">
      <w:pPr>
        <w:jc w:val="both"/>
        <w:rPr>
          <w:sz w:val="24"/>
          <w:szCs w:val="24"/>
          <w:lang w:val="en-GB" w:eastAsia="en-US"/>
        </w:rPr>
      </w:pPr>
      <w:r w:rsidRPr="00F70CB0">
        <w:rPr>
          <w:sz w:val="24"/>
          <w:szCs w:val="24"/>
          <w:lang w:val="en-GB" w:eastAsia="en-US"/>
        </w:rPr>
        <w:t xml:space="preserve">While ECM </w:t>
      </w:r>
      <w:r w:rsidR="005D13D0" w:rsidRPr="00F70CB0">
        <w:rPr>
          <w:sz w:val="24"/>
          <w:szCs w:val="24"/>
          <w:lang w:val="en-GB" w:eastAsia="en-US"/>
        </w:rPr>
        <w:t>presents</w:t>
      </w:r>
      <w:r w:rsidRPr="00F70CB0">
        <w:rPr>
          <w:sz w:val="24"/>
          <w:szCs w:val="24"/>
          <w:lang w:val="en-GB" w:eastAsia="en-US"/>
        </w:rPr>
        <w:t xml:space="preserve"> valuable insights into post-adoption behaviour, its application in digital banking research is often limited by its focus on </w:t>
      </w:r>
      <w:r w:rsidR="005D13D0" w:rsidRPr="00F70CB0">
        <w:rPr>
          <w:sz w:val="24"/>
          <w:szCs w:val="24"/>
          <w:lang w:val="en-GB" w:eastAsia="en-US"/>
        </w:rPr>
        <w:t>rational</w:t>
      </w:r>
      <w:r w:rsidRPr="00F70CB0">
        <w:rPr>
          <w:sz w:val="24"/>
          <w:szCs w:val="24"/>
          <w:lang w:val="en-GB" w:eastAsia="en-US"/>
        </w:rPr>
        <w:t xml:space="preserve"> evaluation, with insufficient consideration of experiential and contextual factors. Moreover, the model assumes a </w:t>
      </w:r>
      <w:r w:rsidR="005D13D0" w:rsidRPr="00F70CB0">
        <w:rPr>
          <w:sz w:val="24"/>
          <w:szCs w:val="24"/>
          <w:lang w:val="en-GB" w:eastAsia="en-US"/>
        </w:rPr>
        <w:t>moderately</w:t>
      </w:r>
      <w:r w:rsidRPr="00F70CB0">
        <w:rPr>
          <w:sz w:val="24"/>
          <w:szCs w:val="24"/>
          <w:lang w:val="en-GB" w:eastAsia="en-US"/>
        </w:rPr>
        <w:t xml:space="preserve"> linear progression from satisfaction to continuance, which may not fully capture the dynamic nature of user engagement in digital environments. In practice, continued usage is influenced by evolving factors such as trust development, service experience, and changing user expectations over time.</w:t>
      </w:r>
    </w:p>
    <w:p w14:paraId="6B25280E" w14:textId="3E91DE00" w:rsidR="001B63E0" w:rsidRPr="00F70CB0" w:rsidRDefault="001B63E0" w:rsidP="001B63E0">
      <w:pPr>
        <w:jc w:val="both"/>
        <w:rPr>
          <w:sz w:val="24"/>
          <w:szCs w:val="24"/>
          <w:lang w:val="en-GB" w:eastAsia="en-US"/>
        </w:rPr>
      </w:pPr>
      <w:r w:rsidRPr="00F70CB0">
        <w:rPr>
          <w:sz w:val="24"/>
          <w:szCs w:val="24"/>
          <w:lang w:val="en-GB" w:eastAsia="en-US"/>
        </w:rPr>
        <w:t xml:space="preserve">Furthermore, existing studies frequently treat continuance intention as independent from earlier decision-making processes, rather than </w:t>
      </w:r>
      <w:r w:rsidR="005D13D0" w:rsidRPr="00F70CB0">
        <w:rPr>
          <w:sz w:val="24"/>
          <w:szCs w:val="24"/>
          <w:lang w:val="en-GB" w:eastAsia="en-US"/>
        </w:rPr>
        <w:t>assessing</w:t>
      </w:r>
      <w:r w:rsidRPr="00F70CB0">
        <w:rPr>
          <w:sz w:val="24"/>
          <w:szCs w:val="24"/>
          <w:lang w:val="en-GB" w:eastAsia="en-US"/>
        </w:rPr>
        <w:t xml:space="preserve"> its relationship with constructs such as customer preference. This </w:t>
      </w:r>
      <w:r w:rsidR="005D13D0" w:rsidRPr="00F70CB0">
        <w:rPr>
          <w:sz w:val="24"/>
          <w:szCs w:val="24"/>
          <w:lang w:val="en-GB" w:eastAsia="en-US"/>
        </w:rPr>
        <w:t>partition</w:t>
      </w:r>
      <w:r w:rsidRPr="00F70CB0">
        <w:rPr>
          <w:sz w:val="24"/>
          <w:szCs w:val="24"/>
          <w:lang w:val="en-GB" w:eastAsia="en-US"/>
        </w:rPr>
        <w:t xml:space="preserve"> restricts a comprehensive understanding of digital banking behaviour. Therefore, there is a need to adopt a more </w:t>
      </w:r>
      <w:r w:rsidR="005D13D0" w:rsidRPr="00F70CB0">
        <w:rPr>
          <w:sz w:val="24"/>
          <w:szCs w:val="24"/>
          <w:lang w:val="en-GB" w:eastAsia="en-US"/>
        </w:rPr>
        <w:t>combined</w:t>
      </w:r>
      <w:r w:rsidRPr="00F70CB0">
        <w:rPr>
          <w:sz w:val="24"/>
          <w:szCs w:val="24"/>
          <w:lang w:val="en-GB" w:eastAsia="en-US"/>
        </w:rPr>
        <w:t xml:space="preserve"> perspective that links adoption, preference formation, and continuance intention within </w:t>
      </w:r>
      <w:r w:rsidR="00C12F99" w:rsidRPr="00F70CB0">
        <w:rPr>
          <w:sz w:val="24"/>
          <w:szCs w:val="24"/>
          <w:lang w:val="en-GB" w:eastAsia="en-US"/>
        </w:rPr>
        <w:t>an</w:t>
      </w:r>
      <w:r w:rsidRPr="00F70CB0">
        <w:rPr>
          <w:sz w:val="24"/>
          <w:szCs w:val="24"/>
          <w:lang w:val="en-GB" w:eastAsia="en-US"/>
        </w:rPr>
        <w:t xml:space="preserve"> </w:t>
      </w:r>
      <w:r w:rsidR="005D13D0" w:rsidRPr="00F70CB0">
        <w:rPr>
          <w:sz w:val="24"/>
          <w:szCs w:val="24"/>
          <w:lang w:val="en-GB" w:eastAsia="en-US"/>
        </w:rPr>
        <w:t>integrated</w:t>
      </w:r>
      <w:r w:rsidRPr="00F70CB0">
        <w:rPr>
          <w:sz w:val="24"/>
          <w:szCs w:val="24"/>
          <w:lang w:val="en-GB" w:eastAsia="en-US"/>
        </w:rPr>
        <w:t xml:space="preserve"> behavioural framework.</w:t>
      </w:r>
    </w:p>
    <w:p w14:paraId="695F201F" w14:textId="78F65588" w:rsidR="008549CE" w:rsidRPr="00F70CB0" w:rsidRDefault="00667AB7" w:rsidP="00515456">
      <w:pPr>
        <w:pStyle w:val="Heading1"/>
        <w:rPr>
          <w:rFonts w:ascii="Times New Roman" w:hAnsi="Times New Roman" w:cs="Times New Roman"/>
          <w:sz w:val="28"/>
          <w:szCs w:val="28"/>
        </w:rPr>
      </w:pPr>
      <w:bookmarkStart w:id="26" w:name="_Toc227353494"/>
      <w:r w:rsidRPr="00F70CB0">
        <w:rPr>
          <w:rFonts w:ascii="Times New Roman" w:hAnsi="Times New Roman" w:cs="Times New Roman"/>
          <w:sz w:val="28"/>
          <w:szCs w:val="28"/>
        </w:rPr>
        <w:t>3.</w:t>
      </w:r>
      <w:r w:rsidR="00515456" w:rsidRPr="00F70CB0">
        <w:rPr>
          <w:rFonts w:ascii="Times New Roman" w:hAnsi="Times New Roman" w:cs="Times New Roman"/>
          <w:sz w:val="28"/>
          <w:szCs w:val="28"/>
        </w:rPr>
        <w:t>2</w:t>
      </w:r>
      <w:r w:rsidRPr="00F70CB0">
        <w:rPr>
          <w:rFonts w:ascii="Times New Roman" w:hAnsi="Times New Roman" w:cs="Times New Roman"/>
          <w:sz w:val="28"/>
          <w:szCs w:val="28"/>
        </w:rPr>
        <w:t xml:space="preserve">.3 </w:t>
      </w:r>
      <w:r w:rsidR="008549CE" w:rsidRPr="00F70CB0">
        <w:rPr>
          <w:rFonts w:ascii="Times New Roman" w:hAnsi="Times New Roman" w:cs="Times New Roman"/>
          <w:sz w:val="28"/>
          <w:szCs w:val="28"/>
        </w:rPr>
        <w:t xml:space="preserve">Digital </w:t>
      </w:r>
      <w:r w:rsidR="005C4F44" w:rsidRPr="00F70CB0">
        <w:rPr>
          <w:rFonts w:ascii="Times New Roman" w:hAnsi="Times New Roman" w:cs="Times New Roman"/>
          <w:sz w:val="28"/>
          <w:szCs w:val="28"/>
        </w:rPr>
        <w:t>B</w:t>
      </w:r>
      <w:r w:rsidR="008549CE" w:rsidRPr="00F70CB0">
        <w:rPr>
          <w:rFonts w:ascii="Times New Roman" w:hAnsi="Times New Roman" w:cs="Times New Roman"/>
          <w:sz w:val="28"/>
          <w:szCs w:val="28"/>
        </w:rPr>
        <w:t xml:space="preserve">anking </w:t>
      </w:r>
      <w:r w:rsidR="005C4F44" w:rsidRPr="00F70CB0">
        <w:rPr>
          <w:rFonts w:ascii="Times New Roman" w:hAnsi="Times New Roman" w:cs="Times New Roman"/>
          <w:sz w:val="28"/>
          <w:szCs w:val="28"/>
        </w:rPr>
        <w:t>C</w:t>
      </w:r>
      <w:r w:rsidR="008549CE" w:rsidRPr="00F70CB0">
        <w:rPr>
          <w:rFonts w:ascii="Times New Roman" w:hAnsi="Times New Roman" w:cs="Times New Roman"/>
          <w:sz w:val="28"/>
          <w:szCs w:val="28"/>
        </w:rPr>
        <w:t>ontext</w:t>
      </w:r>
      <w:bookmarkEnd w:id="26"/>
      <w:r w:rsidR="008549CE" w:rsidRPr="00F70CB0">
        <w:rPr>
          <w:rFonts w:ascii="Times New Roman" w:hAnsi="Times New Roman" w:cs="Times New Roman"/>
          <w:sz w:val="28"/>
          <w:szCs w:val="28"/>
        </w:rPr>
        <w:t xml:space="preserve"> </w:t>
      </w:r>
    </w:p>
    <w:p w14:paraId="18415BFE" w14:textId="37B285C6" w:rsidR="001B63E0" w:rsidRPr="00F70CB0" w:rsidRDefault="001B63E0" w:rsidP="001B63E0">
      <w:pPr>
        <w:jc w:val="both"/>
        <w:rPr>
          <w:sz w:val="24"/>
          <w:szCs w:val="24"/>
          <w:lang w:val="en-GB" w:eastAsia="en-US"/>
        </w:rPr>
      </w:pPr>
      <w:r w:rsidRPr="00F70CB0">
        <w:rPr>
          <w:sz w:val="24"/>
          <w:szCs w:val="24"/>
          <w:lang w:val="en-GB" w:eastAsia="en-US"/>
        </w:rPr>
        <w:t xml:space="preserve">The digital banking environment </w:t>
      </w:r>
      <w:r w:rsidR="00F642FC" w:rsidRPr="00F70CB0">
        <w:rPr>
          <w:sz w:val="24"/>
          <w:szCs w:val="24"/>
          <w:lang w:val="en-GB" w:eastAsia="en-US"/>
        </w:rPr>
        <w:t>involves</w:t>
      </w:r>
      <w:r w:rsidRPr="00F70CB0">
        <w:rPr>
          <w:sz w:val="24"/>
          <w:szCs w:val="24"/>
          <w:lang w:val="en-GB" w:eastAsia="en-US"/>
        </w:rPr>
        <w:t xml:space="preserve"> a range of interconnected service channels, including online banking, mobile banking, and digital-only banks (neobanks). Online banking typically refers to </w:t>
      </w:r>
      <w:r w:rsidR="00F642FC" w:rsidRPr="00F70CB0">
        <w:rPr>
          <w:sz w:val="24"/>
          <w:szCs w:val="24"/>
          <w:lang w:val="en-GB" w:eastAsia="en-US"/>
        </w:rPr>
        <w:t>web-based</w:t>
      </w:r>
      <w:r w:rsidRPr="00F70CB0">
        <w:rPr>
          <w:sz w:val="24"/>
          <w:szCs w:val="24"/>
          <w:lang w:val="en-GB" w:eastAsia="en-US"/>
        </w:rPr>
        <w:t xml:space="preserve"> access to financial services, whereas mobile banking extends these capabilities through smartphone applications offering enhanced functionality. Digital-only banks operate without physical branches, delivering services exclusively through digital platforms.</w:t>
      </w:r>
    </w:p>
    <w:p w14:paraId="1E72D00E" w14:textId="2AFCA7DA" w:rsidR="001B63E0" w:rsidRPr="00F70CB0" w:rsidRDefault="001B63E0" w:rsidP="001B63E0">
      <w:pPr>
        <w:jc w:val="both"/>
        <w:rPr>
          <w:sz w:val="24"/>
          <w:szCs w:val="24"/>
          <w:lang w:val="en-GB" w:eastAsia="en-US"/>
        </w:rPr>
      </w:pPr>
      <w:r w:rsidRPr="00F70CB0">
        <w:rPr>
          <w:sz w:val="24"/>
          <w:szCs w:val="24"/>
          <w:lang w:val="en-GB" w:eastAsia="en-US"/>
        </w:rPr>
        <w:t xml:space="preserve">Contemporary digital banking is characterised by continuous technological innovation, including real-time transaction processing, personalised financial services, and integration with </w:t>
      </w:r>
      <w:r w:rsidRPr="00F70CB0">
        <w:rPr>
          <w:sz w:val="24"/>
          <w:szCs w:val="24"/>
          <w:lang w:val="en-GB" w:eastAsia="en-US"/>
        </w:rPr>
        <w:lastRenderedPageBreak/>
        <w:t xml:space="preserve">fintech ecosystems. In the UK context, this environment is </w:t>
      </w:r>
      <w:r w:rsidR="00F642FC" w:rsidRPr="00F70CB0">
        <w:rPr>
          <w:sz w:val="24"/>
          <w:szCs w:val="24"/>
          <w:lang w:val="en-GB" w:eastAsia="en-US"/>
        </w:rPr>
        <w:t>intensely</w:t>
      </w:r>
      <w:r w:rsidRPr="00F70CB0">
        <w:rPr>
          <w:sz w:val="24"/>
          <w:szCs w:val="24"/>
          <w:lang w:val="en-GB" w:eastAsia="en-US"/>
        </w:rPr>
        <w:t xml:space="preserve"> </w:t>
      </w:r>
      <w:r w:rsidR="00F642FC" w:rsidRPr="00F70CB0">
        <w:rPr>
          <w:sz w:val="24"/>
          <w:szCs w:val="24"/>
          <w:lang w:val="en-GB" w:eastAsia="en-US"/>
        </w:rPr>
        <w:t>progressive</w:t>
      </w:r>
      <w:r w:rsidRPr="00F70CB0">
        <w:rPr>
          <w:sz w:val="24"/>
          <w:szCs w:val="24"/>
          <w:lang w:val="en-GB" w:eastAsia="en-US"/>
        </w:rPr>
        <w:t>, driven by regulatory initiatives such as open banking and the rapid growth of digital-native financial institutions such as Monzo and Revolut. These developments have significantly reshaped customer expectations, with increasing demand for seamless, efficient, and user-centric banking experiences.</w:t>
      </w:r>
    </w:p>
    <w:p w14:paraId="02CA4DD4" w14:textId="456FA2D6" w:rsidR="001B63E0" w:rsidRPr="00F70CB0" w:rsidRDefault="001B63E0" w:rsidP="001B63E0">
      <w:pPr>
        <w:jc w:val="both"/>
        <w:rPr>
          <w:sz w:val="24"/>
          <w:szCs w:val="24"/>
          <w:lang w:val="en-GB" w:eastAsia="en-US"/>
        </w:rPr>
      </w:pPr>
      <w:r w:rsidRPr="00F70CB0">
        <w:rPr>
          <w:sz w:val="24"/>
          <w:szCs w:val="24"/>
          <w:lang w:val="en-GB" w:eastAsia="en-US"/>
        </w:rPr>
        <w:t xml:space="preserve">However, existing research often </w:t>
      </w:r>
      <w:r w:rsidR="00F642FC" w:rsidRPr="00F70CB0">
        <w:rPr>
          <w:sz w:val="24"/>
          <w:szCs w:val="24"/>
          <w:lang w:val="en-GB" w:eastAsia="en-US"/>
        </w:rPr>
        <w:t>discusses</w:t>
      </w:r>
      <w:r w:rsidRPr="00F70CB0">
        <w:rPr>
          <w:sz w:val="24"/>
          <w:szCs w:val="24"/>
          <w:lang w:val="en-GB" w:eastAsia="en-US"/>
        </w:rPr>
        <w:t xml:space="preserve"> the digital banking context as a static background rather than an active influence on user behaviour. This limits the ability to understand how </w:t>
      </w:r>
      <w:r w:rsidR="00F642FC" w:rsidRPr="00F70CB0">
        <w:rPr>
          <w:sz w:val="24"/>
          <w:szCs w:val="24"/>
          <w:lang w:val="en-GB" w:eastAsia="en-US"/>
        </w:rPr>
        <w:t>relative</w:t>
      </w:r>
      <w:r w:rsidRPr="00F70CB0">
        <w:rPr>
          <w:sz w:val="24"/>
          <w:szCs w:val="24"/>
          <w:lang w:val="en-GB" w:eastAsia="en-US"/>
        </w:rPr>
        <w:t xml:space="preserve"> factors shape interactions between key constructs such as trust, service quality, and customer preference. </w:t>
      </w:r>
      <w:r w:rsidR="00AB3D02" w:rsidRPr="00F70CB0">
        <w:rPr>
          <w:sz w:val="24"/>
          <w:szCs w:val="24"/>
          <w:lang w:val="en-GB" w:eastAsia="en-US"/>
        </w:rPr>
        <w:t>The</w:t>
      </w:r>
      <w:r w:rsidRPr="00F70CB0">
        <w:rPr>
          <w:sz w:val="24"/>
          <w:szCs w:val="24"/>
          <w:lang w:val="en-GB" w:eastAsia="en-US"/>
        </w:rPr>
        <w:t xml:space="preserve"> digital banking environment plays a critical role in influencing both the formation of preferences and the sustainability of continued usage, particularly in mature and highly competitive markets such as the UK.</w:t>
      </w:r>
    </w:p>
    <w:p w14:paraId="28EC29DE" w14:textId="04A16727" w:rsidR="008549CE" w:rsidRPr="00F70CB0" w:rsidRDefault="00667AB7" w:rsidP="00515456">
      <w:pPr>
        <w:pStyle w:val="Heading1"/>
        <w:rPr>
          <w:rFonts w:ascii="Times New Roman" w:hAnsi="Times New Roman" w:cs="Times New Roman"/>
          <w:sz w:val="32"/>
          <w:szCs w:val="32"/>
        </w:rPr>
      </w:pPr>
      <w:bookmarkStart w:id="27" w:name="_Toc227353495"/>
      <w:r w:rsidRPr="00F70CB0">
        <w:rPr>
          <w:rFonts w:ascii="Times New Roman" w:hAnsi="Times New Roman" w:cs="Times New Roman"/>
          <w:sz w:val="32"/>
          <w:szCs w:val="32"/>
        </w:rPr>
        <w:t>3.</w:t>
      </w:r>
      <w:r w:rsidR="00002560" w:rsidRPr="00F70CB0">
        <w:rPr>
          <w:rFonts w:ascii="Times New Roman" w:hAnsi="Times New Roman" w:cs="Times New Roman"/>
          <w:sz w:val="32"/>
          <w:szCs w:val="32"/>
        </w:rPr>
        <w:t>3</w:t>
      </w:r>
      <w:r w:rsidRPr="00F70CB0">
        <w:rPr>
          <w:rFonts w:ascii="Times New Roman" w:hAnsi="Times New Roman" w:cs="Times New Roman"/>
          <w:sz w:val="32"/>
          <w:szCs w:val="32"/>
        </w:rPr>
        <w:t xml:space="preserve"> </w:t>
      </w:r>
      <w:r w:rsidR="00101D47" w:rsidRPr="00F70CB0">
        <w:rPr>
          <w:rFonts w:ascii="Times New Roman" w:hAnsi="Times New Roman" w:cs="Times New Roman"/>
          <w:sz w:val="32"/>
          <w:szCs w:val="32"/>
        </w:rPr>
        <w:t>Theoretical foundation</w:t>
      </w:r>
      <w:bookmarkEnd w:id="27"/>
    </w:p>
    <w:p w14:paraId="070D21D6" w14:textId="77C5BB21" w:rsidR="00101D47" w:rsidRPr="00F70CB0" w:rsidRDefault="00667AB7" w:rsidP="00515456">
      <w:pPr>
        <w:pStyle w:val="Heading1"/>
        <w:rPr>
          <w:rFonts w:ascii="Times New Roman" w:hAnsi="Times New Roman" w:cs="Times New Roman"/>
          <w:sz w:val="28"/>
          <w:szCs w:val="28"/>
        </w:rPr>
      </w:pPr>
      <w:bookmarkStart w:id="28" w:name="_Toc227353496"/>
      <w:r w:rsidRPr="00F70CB0">
        <w:rPr>
          <w:rFonts w:ascii="Times New Roman" w:hAnsi="Times New Roman" w:cs="Times New Roman"/>
          <w:sz w:val="28"/>
          <w:szCs w:val="28"/>
        </w:rPr>
        <w:t>3.</w:t>
      </w:r>
      <w:r w:rsidR="00002560" w:rsidRPr="00F70CB0">
        <w:rPr>
          <w:rFonts w:ascii="Times New Roman" w:hAnsi="Times New Roman" w:cs="Times New Roman"/>
          <w:sz w:val="28"/>
          <w:szCs w:val="28"/>
        </w:rPr>
        <w:t>3.</w:t>
      </w:r>
      <w:r w:rsidRPr="00F70CB0">
        <w:rPr>
          <w:rFonts w:ascii="Times New Roman" w:hAnsi="Times New Roman" w:cs="Times New Roman"/>
          <w:sz w:val="28"/>
          <w:szCs w:val="28"/>
        </w:rPr>
        <w:t xml:space="preserve">1 </w:t>
      </w:r>
      <w:r w:rsidR="00101D47" w:rsidRPr="00F70CB0">
        <w:rPr>
          <w:rFonts w:ascii="Times New Roman" w:hAnsi="Times New Roman" w:cs="Times New Roman"/>
          <w:sz w:val="28"/>
          <w:szCs w:val="28"/>
        </w:rPr>
        <w:t>TAM (Technology Acceptance Model)</w:t>
      </w:r>
      <w:bookmarkEnd w:id="28"/>
      <w:r w:rsidR="00101D47" w:rsidRPr="00F70CB0">
        <w:rPr>
          <w:rFonts w:ascii="Times New Roman" w:hAnsi="Times New Roman" w:cs="Times New Roman"/>
          <w:sz w:val="28"/>
          <w:szCs w:val="28"/>
        </w:rPr>
        <w:t xml:space="preserve"> </w:t>
      </w:r>
    </w:p>
    <w:p w14:paraId="73B44514" w14:textId="38C2043A" w:rsidR="00DA3458" w:rsidRPr="00F70CB0" w:rsidRDefault="00DA3458" w:rsidP="00DA3458">
      <w:pPr>
        <w:jc w:val="both"/>
        <w:rPr>
          <w:sz w:val="24"/>
          <w:szCs w:val="24"/>
          <w:lang w:val="en-GB" w:eastAsia="en-US"/>
        </w:rPr>
      </w:pPr>
      <w:r w:rsidRPr="00F70CB0">
        <w:rPr>
          <w:sz w:val="24"/>
          <w:szCs w:val="24"/>
          <w:lang w:val="en-GB" w:eastAsia="en-US"/>
        </w:rPr>
        <w:t xml:space="preserve">The Technology Acceptance Model (TAM), developed by Davis (1989), is one of the most widely </w:t>
      </w:r>
      <w:r w:rsidR="00CB0B43" w:rsidRPr="00F70CB0">
        <w:rPr>
          <w:sz w:val="24"/>
          <w:szCs w:val="24"/>
          <w:lang w:val="en-GB" w:eastAsia="en-US"/>
        </w:rPr>
        <w:t>accepted</w:t>
      </w:r>
      <w:r w:rsidRPr="00F70CB0">
        <w:rPr>
          <w:sz w:val="24"/>
          <w:szCs w:val="24"/>
          <w:lang w:val="en-GB" w:eastAsia="en-US"/>
        </w:rPr>
        <w:t xml:space="preserve"> frameworks for explaining user adoption of information systems. The model </w:t>
      </w:r>
      <w:r w:rsidR="00CB0B43" w:rsidRPr="00F70CB0">
        <w:rPr>
          <w:sz w:val="24"/>
          <w:szCs w:val="24"/>
          <w:lang w:val="en-GB" w:eastAsia="en-US"/>
        </w:rPr>
        <w:t>offers</w:t>
      </w:r>
      <w:r w:rsidRPr="00F70CB0">
        <w:rPr>
          <w:sz w:val="24"/>
          <w:szCs w:val="24"/>
          <w:lang w:val="en-GB" w:eastAsia="en-US"/>
        </w:rPr>
        <w:t xml:space="preserve"> that user acceptance is primarily determined by two cognitive beliefs: perceived usefulness (PU) and perceived ease of use (PEOU). Perceived usefulness refers to the extent to which an individual believes that using a system will enhance their performance, while perceived ease of use </w:t>
      </w:r>
      <w:r w:rsidR="00CB0B43" w:rsidRPr="00F70CB0">
        <w:rPr>
          <w:sz w:val="24"/>
          <w:szCs w:val="24"/>
          <w:lang w:val="en-GB" w:eastAsia="en-US"/>
        </w:rPr>
        <w:t>shows</w:t>
      </w:r>
      <w:r w:rsidRPr="00F70CB0">
        <w:rPr>
          <w:sz w:val="24"/>
          <w:szCs w:val="24"/>
          <w:lang w:val="en-GB" w:eastAsia="en-US"/>
        </w:rPr>
        <w:t xml:space="preserve"> the degree to which the system is perceived as effortless to use. These constructs influence behavioural intention, which in turn determines actual system usage.</w:t>
      </w:r>
    </w:p>
    <w:p w14:paraId="65CAF844" w14:textId="77E45F7E" w:rsidR="00DA3458" w:rsidRPr="00F70CB0" w:rsidRDefault="00DA3458" w:rsidP="00DA3458">
      <w:pPr>
        <w:jc w:val="both"/>
        <w:rPr>
          <w:sz w:val="24"/>
          <w:szCs w:val="24"/>
          <w:lang w:val="en-GB" w:eastAsia="en-US"/>
        </w:rPr>
      </w:pPr>
      <w:r w:rsidRPr="00F70CB0">
        <w:rPr>
          <w:sz w:val="24"/>
          <w:szCs w:val="24"/>
          <w:lang w:val="en-GB" w:eastAsia="en-US"/>
        </w:rPr>
        <w:t xml:space="preserve">In the context of digital banking, TAM has been </w:t>
      </w:r>
      <w:r w:rsidR="00CB0B43" w:rsidRPr="00F70CB0">
        <w:rPr>
          <w:sz w:val="24"/>
          <w:szCs w:val="24"/>
          <w:lang w:val="en-GB" w:eastAsia="en-US"/>
        </w:rPr>
        <w:t>significantly</w:t>
      </w:r>
      <w:r w:rsidRPr="00F70CB0">
        <w:rPr>
          <w:sz w:val="24"/>
          <w:szCs w:val="24"/>
          <w:lang w:val="en-GB" w:eastAsia="en-US"/>
        </w:rPr>
        <w:t xml:space="preserve"> used to explain the adoption of online and mobile banking services. Perceived usefulness is often </w:t>
      </w:r>
      <w:r w:rsidR="00CB0B43" w:rsidRPr="00F70CB0">
        <w:rPr>
          <w:sz w:val="24"/>
          <w:szCs w:val="24"/>
          <w:lang w:val="en-GB" w:eastAsia="en-US"/>
        </w:rPr>
        <w:t>linked</w:t>
      </w:r>
      <w:r w:rsidRPr="00F70CB0">
        <w:rPr>
          <w:sz w:val="24"/>
          <w:szCs w:val="24"/>
          <w:lang w:val="en-GB" w:eastAsia="en-US"/>
        </w:rPr>
        <w:t xml:space="preserve"> with benefits such as convenience, time efficiency, and accessibility, whereas perceived ease of use relates to </w:t>
      </w:r>
      <w:r w:rsidR="00CB0B43" w:rsidRPr="00F70CB0">
        <w:rPr>
          <w:sz w:val="24"/>
          <w:szCs w:val="24"/>
          <w:lang w:val="en-GB" w:eastAsia="en-US"/>
        </w:rPr>
        <w:t>intuitive</w:t>
      </w:r>
      <w:r w:rsidRPr="00F70CB0">
        <w:rPr>
          <w:sz w:val="24"/>
          <w:szCs w:val="24"/>
          <w:lang w:val="en-GB" w:eastAsia="en-US"/>
        </w:rPr>
        <w:t xml:space="preserve"> interfaces and simplified navigation. As a result, the model has contributed significantly to understanding the initial acceptance of digital banking technologies.</w:t>
      </w:r>
    </w:p>
    <w:p w14:paraId="401BA20E" w14:textId="4CB27CBD" w:rsidR="00DA3458" w:rsidRPr="00F70CB0" w:rsidRDefault="00DA3458" w:rsidP="004D26E2">
      <w:pPr>
        <w:jc w:val="both"/>
        <w:rPr>
          <w:sz w:val="24"/>
          <w:szCs w:val="24"/>
          <w:lang w:val="en-GB" w:eastAsia="en-US"/>
        </w:rPr>
      </w:pPr>
      <w:r w:rsidRPr="00F70CB0">
        <w:rPr>
          <w:sz w:val="24"/>
          <w:szCs w:val="24"/>
          <w:lang w:val="en-GB" w:eastAsia="en-US"/>
        </w:rPr>
        <w:t xml:space="preserve">However, </w:t>
      </w:r>
      <w:r w:rsidR="00CB0B43" w:rsidRPr="00F70CB0">
        <w:rPr>
          <w:sz w:val="24"/>
          <w:szCs w:val="24"/>
          <w:lang w:val="en-GB" w:eastAsia="en-US"/>
        </w:rPr>
        <w:t>despite</w:t>
      </w:r>
      <w:r w:rsidRPr="00F70CB0">
        <w:rPr>
          <w:sz w:val="24"/>
          <w:szCs w:val="24"/>
          <w:lang w:val="en-GB" w:eastAsia="en-US"/>
        </w:rPr>
        <w:t xml:space="preserve"> its widespread application, TAM has been subject to significant criticism. The model assumes that user behaviour is primarily driven by </w:t>
      </w:r>
      <w:r w:rsidR="00CB0B43" w:rsidRPr="00F70CB0">
        <w:rPr>
          <w:sz w:val="24"/>
          <w:szCs w:val="24"/>
          <w:lang w:val="en-GB" w:eastAsia="en-US"/>
        </w:rPr>
        <w:t>reasonable</w:t>
      </w:r>
      <w:r w:rsidRPr="00F70CB0">
        <w:rPr>
          <w:sz w:val="24"/>
          <w:szCs w:val="24"/>
          <w:lang w:val="en-GB" w:eastAsia="en-US"/>
        </w:rPr>
        <w:t xml:space="preserve"> cognitive evaluations, thereby reducing complex behavioural processes to technological perceptions. This reflects a form of technological determinism, limiting the model’s ability to capture the broader social, experiential, and emotional dimensions of user behaviour. Furthermore, TAM largely focuses on </w:t>
      </w:r>
      <w:r w:rsidR="00CB0B43" w:rsidRPr="00F70CB0">
        <w:rPr>
          <w:sz w:val="24"/>
          <w:szCs w:val="24"/>
          <w:lang w:val="en-GB" w:eastAsia="en-US"/>
        </w:rPr>
        <w:t>early</w:t>
      </w:r>
      <w:r w:rsidRPr="00F70CB0">
        <w:rPr>
          <w:sz w:val="24"/>
          <w:szCs w:val="24"/>
          <w:lang w:val="en-GB" w:eastAsia="en-US"/>
        </w:rPr>
        <w:t xml:space="preserve"> adoption and does not adequately address post-adoption behaviour or continued usage intention. In </w:t>
      </w:r>
      <w:r w:rsidR="00CB0B43" w:rsidRPr="00F70CB0">
        <w:rPr>
          <w:sz w:val="24"/>
          <w:szCs w:val="24"/>
          <w:lang w:val="en-GB" w:eastAsia="en-US"/>
        </w:rPr>
        <w:t>existing</w:t>
      </w:r>
      <w:r w:rsidRPr="00F70CB0">
        <w:rPr>
          <w:sz w:val="24"/>
          <w:szCs w:val="24"/>
          <w:lang w:val="en-GB" w:eastAsia="en-US"/>
        </w:rPr>
        <w:t xml:space="preserve"> digital banking environments, particularly within mature markets such as the UK, user behaviour is shaped by a wider set of factors, including trust, service quality, and customer experience. Therefore, while TAM provides a useful foundation, it is insufficient as </w:t>
      </w:r>
      <w:r w:rsidR="00CB0B43" w:rsidRPr="00F70CB0">
        <w:rPr>
          <w:sz w:val="24"/>
          <w:szCs w:val="24"/>
          <w:lang w:val="en-GB" w:eastAsia="en-US"/>
        </w:rPr>
        <w:t>an</w:t>
      </w:r>
      <w:r w:rsidRPr="00F70CB0">
        <w:rPr>
          <w:sz w:val="24"/>
          <w:szCs w:val="24"/>
          <w:lang w:val="en-GB" w:eastAsia="en-US"/>
        </w:rPr>
        <w:t xml:space="preserve"> </w:t>
      </w:r>
      <w:r w:rsidR="00CB0B43" w:rsidRPr="00F70CB0">
        <w:rPr>
          <w:sz w:val="24"/>
          <w:szCs w:val="24"/>
          <w:lang w:val="en-GB" w:eastAsia="en-US"/>
        </w:rPr>
        <w:t>unrelated</w:t>
      </w:r>
      <w:r w:rsidRPr="00F70CB0">
        <w:rPr>
          <w:sz w:val="24"/>
          <w:szCs w:val="24"/>
          <w:lang w:val="en-GB" w:eastAsia="en-US"/>
        </w:rPr>
        <w:t xml:space="preserve"> framework for explaining digital banking behaviour.</w:t>
      </w:r>
    </w:p>
    <w:p w14:paraId="6605A414" w14:textId="22C01E8D" w:rsidR="008549CE" w:rsidRPr="00F70CB0" w:rsidRDefault="00667AB7" w:rsidP="00515456">
      <w:pPr>
        <w:pStyle w:val="Heading1"/>
        <w:rPr>
          <w:rFonts w:ascii="Times New Roman" w:hAnsi="Times New Roman" w:cs="Times New Roman"/>
          <w:sz w:val="28"/>
          <w:szCs w:val="28"/>
        </w:rPr>
      </w:pPr>
      <w:bookmarkStart w:id="29" w:name="_Toc227353497"/>
      <w:r w:rsidRPr="00F70CB0">
        <w:rPr>
          <w:rFonts w:ascii="Times New Roman" w:hAnsi="Times New Roman" w:cs="Times New Roman"/>
          <w:sz w:val="28"/>
          <w:szCs w:val="28"/>
        </w:rPr>
        <w:t>3.</w:t>
      </w:r>
      <w:r w:rsidR="00002560" w:rsidRPr="00F70CB0">
        <w:rPr>
          <w:rFonts w:ascii="Times New Roman" w:hAnsi="Times New Roman" w:cs="Times New Roman"/>
          <w:sz w:val="28"/>
          <w:szCs w:val="28"/>
        </w:rPr>
        <w:t>3</w:t>
      </w:r>
      <w:r w:rsidRPr="00F70CB0">
        <w:rPr>
          <w:rFonts w:ascii="Times New Roman" w:hAnsi="Times New Roman" w:cs="Times New Roman"/>
          <w:sz w:val="28"/>
          <w:szCs w:val="28"/>
        </w:rPr>
        <w:t xml:space="preserve">.2 </w:t>
      </w:r>
      <w:r w:rsidR="00CF43A9" w:rsidRPr="00F70CB0">
        <w:rPr>
          <w:rFonts w:ascii="Times New Roman" w:hAnsi="Times New Roman" w:cs="Times New Roman"/>
          <w:sz w:val="28"/>
          <w:szCs w:val="28"/>
        </w:rPr>
        <w:t xml:space="preserve">UTAUT </w:t>
      </w:r>
      <w:r w:rsidR="000F4BB0" w:rsidRPr="00F70CB0">
        <w:rPr>
          <w:rFonts w:ascii="Times New Roman" w:hAnsi="Times New Roman" w:cs="Times New Roman"/>
          <w:sz w:val="28"/>
          <w:szCs w:val="28"/>
        </w:rPr>
        <w:t>(Unified</w:t>
      </w:r>
      <w:r w:rsidR="00050330" w:rsidRPr="00F70CB0">
        <w:rPr>
          <w:rFonts w:ascii="Times New Roman" w:hAnsi="Times New Roman" w:cs="Times New Roman"/>
          <w:sz w:val="28"/>
          <w:szCs w:val="28"/>
        </w:rPr>
        <w:t xml:space="preserve"> Theory of Acceptance and Use of </w:t>
      </w:r>
      <w:r w:rsidR="000F4BB0" w:rsidRPr="00F70CB0">
        <w:rPr>
          <w:rFonts w:ascii="Times New Roman" w:hAnsi="Times New Roman" w:cs="Times New Roman"/>
          <w:sz w:val="28"/>
          <w:szCs w:val="28"/>
        </w:rPr>
        <w:t>Technology)</w:t>
      </w:r>
      <w:bookmarkEnd w:id="29"/>
    </w:p>
    <w:p w14:paraId="2D617139" w14:textId="186F5DA9" w:rsidR="0048724A" w:rsidRPr="00F70CB0" w:rsidRDefault="0048724A" w:rsidP="0048724A">
      <w:pPr>
        <w:jc w:val="both"/>
        <w:rPr>
          <w:sz w:val="24"/>
          <w:szCs w:val="24"/>
          <w:lang w:val="en-GB" w:eastAsia="en-US"/>
        </w:rPr>
      </w:pPr>
      <w:r w:rsidRPr="00F70CB0">
        <w:rPr>
          <w:sz w:val="24"/>
          <w:szCs w:val="24"/>
          <w:lang w:val="en-GB" w:eastAsia="en-US"/>
        </w:rPr>
        <w:t xml:space="preserve">The Unified Theory of Acceptance and Use of Technology (UTAUT), developed by Venkatesh et al. (2003), </w:t>
      </w:r>
      <w:r w:rsidR="00187B27" w:rsidRPr="00F70CB0">
        <w:rPr>
          <w:sz w:val="24"/>
          <w:szCs w:val="24"/>
          <w:lang w:val="en-GB" w:eastAsia="en-US"/>
        </w:rPr>
        <w:t>expands</w:t>
      </w:r>
      <w:r w:rsidRPr="00F70CB0">
        <w:rPr>
          <w:sz w:val="24"/>
          <w:szCs w:val="24"/>
          <w:lang w:val="en-GB" w:eastAsia="en-US"/>
        </w:rPr>
        <w:t xml:space="preserve"> earlier technology adoption models by </w:t>
      </w:r>
      <w:r w:rsidR="00187B27" w:rsidRPr="00F70CB0">
        <w:rPr>
          <w:sz w:val="24"/>
          <w:szCs w:val="24"/>
          <w:lang w:val="en-GB" w:eastAsia="en-US"/>
        </w:rPr>
        <w:t>adding</w:t>
      </w:r>
      <w:r w:rsidRPr="00F70CB0">
        <w:rPr>
          <w:sz w:val="24"/>
          <w:szCs w:val="24"/>
          <w:lang w:val="en-GB" w:eastAsia="en-US"/>
        </w:rPr>
        <w:t xml:space="preserve"> elements from multiple theoretical frameworks. The model </w:t>
      </w:r>
      <w:r w:rsidR="00187B27" w:rsidRPr="00F70CB0">
        <w:rPr>
          <w:sz w:val="24"/>
          <w:szCs w:val="24"/>
          <w:lang w:val="en-GB" w:eastAsia="en-US"/>
        </w:rPr>
        <w:t>discovers</w:t>
      </w:r>
      <w:r w:rsidRPr="00F70CB0">
        <w:rPr>
          <w:sz w:val="24"/>
          <w:szCs w:val="24"/>
          <w:lang w:val="en-GB" w:eastAsia="en-US"/>
        </w:rPr>
        <w:t xml:space="preserve"> four key determinants of user behaviour: performance expectancy, effort expectancy, social influence, and facilitating conditions. Performance expectancy refers to the extent to which using a system enhances performance, while effort expectancy reflects perceived ease of use. Social influence captures the extent to </w:t>
      </w:r>
      <w:r w:rsidRPr="00F70CB0">
        <w:rPr>
          <w:sz w:val="24"/>
          <w:szCs w:val="24"/>
          <w:lang w:val="en-GB" w:eastAsia="en-US"/>
        </w:rPr>
        <w:lastRenderedPageBreak/>
        <w:t xml:space="preserve">which individuals are affected by the opinions of others, and </w:t>
      </w:r>
      <w:r w:rsidR="00054865" w:rsidRPr="00F70CB0">
        <w:rPr>
          <w:sz w:val="24"/>
          <w:szCs w:val="24"/>
          <w:lang w:val="en-GB" w:eastAsia="en-US"/>
        </w:rPr>
        <w:t>accelerating</w:t>
      </w:r>
      <w:r w:rsidRPr="00F70CB0">
        <w:rPr>
          <w:sz w:val="24"/>
          <w:szCs w:val="24"/>
          <w:lang w:val="en-GB" w:eastAsia="en-US"/>
        </w:rPr>
        <w:t xml:space="preserve"> conditions relate to the availability of resources and support required to use the system.</w:t>
      </w:r>
    </w:p>
    <w:p w14:paraId="0E416F60" w14:textId="3F1EA890" w:rsidR="0048724A" w:rsidRPr="00F70CB0" w:rsidRDefault="0048724A" w:rsidP="0048724A">
      <w:pPr>
        <w:jc w:val="both"/>
        <w:rPr>
          <w:sz w:val="24"/>
          <w:szCs w:val="24"/>
          <w:lang w:val="en-GB" w:eastAsia="en-US"/>
        </w:rPr>
      </w:pPr>
      <w:r w:rsidRPr="00F70CB0">
        <w:rPr>
          <w:sz w:val="24"/>
          <w:szCs w:val="24"/>
          <w:lang w:val="en-GB" w:eastAsia="en-US"/>
        </w:rPr>
        <w:t xml:space="preserve">UTAUT has been </w:t>
      </w:r>
      <w:r w:rsidR="00D33DA1" w:rsidRPr="00F70CB0">
        <w:rPr>
          <w:sz w:val="24"/>
          <w:szCs w:val="24"/>
          <w:lang w:val="en-GB" w:eastAsia="en-US"/>
        </w:rPr>
        <w:t>extensively</w:t>
      </w:r>
      <w:r w:rsidRPr="00F70CB0">
        <w:rPr>
          <w:sz w:val="24"/>
          <w:szCs w:val="24"/>
          <w:lang w:val="en-GB" w:eastAsia="en-US"/>
        </w:rPr>
        <w:t xml:space="preserve"> applied in digital banking research due to its strong predictive power and its ability to explain a </w:t>
      </w:r>
      <w:r w:rsidR="00D33DA1" w:rsidRPr="00F70CB0">
        <w:rPr>
          <w:sz w:val="24"/>
          <w:szCs w:val="24"/>
          <w:lang w:val="en-GB" w:eastAsia="en-US"/>
        </w:rPr>
        <w:t>substantial</w:t>
      </w:r>
      <w:r w:rsidRPr="00F70CB0">
        <w:rPr>
          <w:sz w:val="24"/>
          <w:szCs w:val="24"/>
          <w:lang w:val="en-GB" w:eastAsia="en-US"/>
        </w:rPr>
        <w:t xml:space="preserve"> proportion of variance in behavioural intention. The inclusion of social and contextual </w:t>
      </w:r>
      <w:r w:rsidR="00D33DA1" w:rsidRPr="00F70CB0">
        <w:rPr>
          <w:sz w:val="24"/>
          <w:szCs w:val="24"/>
          <w:lang w:val="en-GB" w:eastAsia="en-US"/>
        </w:rPr>
        <w:t>components</w:t>
      </w:r>
      <w:r w:rsidRPr="00F70CB0">
        <w:rPr>
          <w:sz w:val="24"/>
          <w:szCs w:val="24"/>
          <w:lang w:val="en-GB" w:eastAsia="en-US"/>
        </w:rPr>
        <w:t xml:space="preserve"> provides a more comprehensive understanding of technology adoption compared to earlier models such as TAM.</w:t>
      </w:r>
    </w:p>
    <w:p w14:paraId="2DAEE438" w14:textId="7D5DB1D9" w:rsidR="0069125B" w:rsidRPr="00F70CB0" w:rsidRDefault="0048724A" w:rsidP="0069125B">
      <w:pPr>
        <w:jc w:val="both"/>
        <w:rPr>
          <w:sz w:val="24"/>
          <w:szCs w:val="24"/>
          <w:lang w:val="en-GB" w:eastAsia="en-US"/>
        </w:rPr>
      </w:pPr>
      <w:r w:rsidRPr="00F70CB0">
        <w:rPr>
          <w:sz w:val="24"/>
          <w:szCs w:val="24"/>
          <w:lang w:val="en-GB" w:eastAsia="en-US"/>
        </w:rPr>
        <w:t xml:space="preserve">However, the model also presents </w:t>
      </w:r>
      <w:r w:rsidR="00924793" w:rsidRPr="00F70CB0">
        <w:rPr>
          <w:sz w:val="24"/>
          <w:szCs w:val="24"/>
          <w:lang w:val="en-GB" w:eastAsia="en-US"/>
        </w:rPr>
        <w:t>various</w:t>
      </w:r>
      <w:r w:rsidRPr="00F70CB0">
        <w:rPr>
          <w:sz w:val="24"/>
          <w:szCs w:val="24"/>
          <w:lang w:val="en-GB" w:eastAsia="en-US"/>
        </w:rPr>
        <w:t xml:space="preserve"> limitations. Its complexity, resulting from the inclusion of multiple constructs and moderating variables such as age, gender, and experience, may reduce its practical applicability. Moreover, UTAUT was </w:t>
      </w:r>
      <w:r w:rsidR="00924793" w:rsidRPr="00F70CB0">
        <w:rPr>
          <w:sz w:val="24"/>
          <w:szCs w:val="24"/>
          <w:lang w:val="en-GB" w:eastAsia="en-US"/>
        </w:rPr>
        <w:t>initially</w:t>
      </w:r>
      <w:r w:rsidRPr="00F70CB0">
        <w:rPr>
          <w:sz w:val="24"/>
          <w:szCs w:val="24"/>
          <w:lang w:val="en-GB" w:eastAsia="en-US"/>
        </w:rPr>
        <w:t xml:space="preserve"> developed in organisational contexts, which may limit its relevance in consumer-oriented environments such as digital banking. User behaviour in such contexts is often more dynamic and influenced by subjective experiences rather than structured organisational factors. Additionally, like TAM, UTAUT predominantly focuses on initial adoption and provides limited insight into post-adoption behaviour and continued usage. This </w:t>
      </w:r>
      <w:r w:rsidR="00924793" w:rsidRPr="00F70CB0">
        <w:rPr>
          <w:sz w:val="24"/>
          <w:szCs w:val="24"/>
          <w:lang w:val="en-GB" w:eastAsia="en-US"/>
        </w:rPr>
        <w:t>indicates</w:t>
      </w:r>
      <w:r w:rsidRPr="00F70CB0">
        <w:rPr>
          <w:sz w:val="24"/>
          <w:szCs w:val="24"/>
          <w:lang w:val="en-GB" w:eastAsia="en-US"/>
        </w:rPr>
        <w:t xml:space="preserve"> that, while UTAUT enhances explanatory power, it remains </w:t>
      </w:r>
      <w:r w:rsidR="00924793" w:rsidRPr="00F70CB0">
        <w:rPr>
          <w:sz w:val="24"/>
          <w:szCs w:val="24"/>
          <w:lang w:val="en-GB" w:eastAsia="en-US"/>
        </w:rPr>
        <w:t>inadequate</w:t>
      </w:r>
      <w:r w:rsidRPr="00F70CB0">
        <w:rPr>
          <w:sz w:val="24"/>
          <w:szCs w:val="24"/>
          <w:lang w:val="en-GB" w:eastAsia="en-US"/>
        </w:rPr>
        <w:t xml:space="preserve"> in capturing the full complexity of digital banking behaviour.</w:t>
      </w:r>
    </w:p>
    <w:p w14:paraId="1B77D088" w14:textId="7E34A7B2" w:rsidR="000F4BB0" w:rsidRPr="00F70CB0" w:rsidRDefault="00667AB7" w:rsidP="00515456">
      <w:pPr>
        <w:pStyle w:val="Heading1"/>
        <w:rPr>
          <w:rFonts w:ascii="Times New Roman" w:hAnsi="Times New Roman" w:cs="Times New Roman"/>
          <w:sz w:val="28"/>
          <w:szCs w:val="28"/>
        </w:rPr>
      </w:pPr>
      <w:bookmarkStart w:id="30" w:name="_Toc227353498"/>
      <w:r w:rsidRPr="00F70CB0">
        <w:rPr>
          <w:rFonts w:ascii="Times New Roman" w:hAnsi="Times New Roman" w:cs="Times New Roman"/>
          <w:sz w:val="28"/>
          <w:szCs w:val="28"/>
        </w:rPr>
        <w:t>3.</w:t>
      </w:r>
      <w:r w:rsidR="00002560" w:rsidRPr="00F70CB0">
        <w:rPr>
          <w:rFonts w:ascii="Times New Roman" w:hAnsi="Times New Roman" w:cs="Times New Roman"/>
          <w:sz w:val="28"/>
          <w:szCs w:val="28"/>
        </w:rPr>
        <w:t>3</w:t>
      </w:r>
      <w:r w:rsidRPr="00F70CB0">
        <w:rPr>
          <w:rFonts w:ascii="Times New Roman" w:hAnsi="Times New Roman" w:cs="Times New Roman"/>
          <w:sz w:val="28"/>
          <w:szCs w:val="28"/>
        </w:rPr>
        <w:t xml:space="preserve">.3 </w:t>
      </w:r>
      <w:r w:rsidR="00B436F0" w:rsidRPr="00F70CB0">
        <w:rPr>
          <w:rFonts w:ascii="Times New Roman" w:hAnsi="Times New Roman" w:cs="Times New Roman"/>
          <w:sz w:val="28"/>
          <w:szCs w:val="28"/>
        </w:rPr>
        <w:t xml:space="preserve">ECM </w:t>
      </w:r>
      <w:r w:rsidR="00BD16A3" w:rsidRPr="00F70CB0">
        <w:rPr>
          <w:rFonts w:ascii="Times New Roman" w:hAnsi="Times New Roman" w:cs="Times New Roman"/>
          <w:sz w:val="28"/>
          <w:szCs w:val="28"/>
        </w:rPr>
        <w:t>(Expectation Confirmation Model)</w:t>
      </w:r>
      <w:bookmarkEnd w:id="30"/>
      <w:r w:rsidR="00BD16A3" w:rsidRPr="00F70CB0">
        <w:rPr>
          <w:rFonts w:ascii="Times New Roman" w:hAnsi="Times New Roman" w:cs="Times New Roman"/>
          <w:sz w:val="28"/>
          <w:szCs w:val="28"/>
        </w:rPr>
        <w:t xml:space="preserve"> </w:t>
      </w:r>
    </w:p>
    <w:p w14:paraId="7D57E9B4" w14:textId="6C61BF9F" w:rsidR="00D36F6A" w:rsidRPr="00F70CB0" w:rsidRDefault="00D36F6A" w:rsidP="00D36F6A">
      <w:pPr>
        <w:jc w:val="both"/>
        <w:rPr>
          <w:sz w:val="24"/>
          <w:szCs w:val="24"/>
          <w:lang w:val="en-GB" w:eastAsia="en-US"/>
        </w:rPr>
      </w:pPr>
      <w:r w:rsidRPr="00F70CB0">
        <w:rPr>
          <w:sz w:val="24"/>
          <w:szCs w:val="24"/>
          <w:lang w:val="en-GB" w:eastAsia="en-US"/>
        </w:rPr>
        <w:t xml:space="preserve">The Expectation Confirmation Model (ECM), developed by </w:t>
      </w:r>
      <w:proofErr w:type="spellStart"/>
      <w:r w:rsidRPr="00F70CB0">
        <w:rPr>
          <w:sz w:val="24"/>
          <w:szCs w:val="24"/>
          <w:lang w:val="en-GB" w:eastAsia="en-US"/>
        </w:rPr>
        <w:t>Bhattacherjee</w:t>
      </w:r>
      <w:proofErr w:type="spellEnd"/>
      <w:r w:rsidRPr="00F70CB0">
        <w:rPr>
          <w:sz w:val="24"/>
          <w:szCs w:val="24"/>
          <w:lang w:val="en-GB" w:eastAsia="en-US"/>
        </w:rPr>
        <w:t xml:space="preserve"> (2001), is </w:t>
      </w:r>
      <w:r w:rsidR="007D5935" w:rsidRPr="00F70CB0">
        <w:rPr>
          <w:sz w:val="24"/>
          <w:szCs w:val="24"/>
          <w:lang w:val="en-GB" w:eastAsia="en-US"/>
        </w:rPr>
        <w:t>used</w:t>
      </w:r>
      <w:r w:rsidRPr="00F70CB0">
        <w:rPr>
          <w:sz w:val="24"/>
          <w:szCs w:val="24"/>
          <w:lang w:val="en-GB" w:eastAsia="en-US"/>
        </w:rPr>
        <w:t xml:space="preserve"> to explain post-adoption behaviour in information systems research. The model is based on expectation-confirmation theory and focuses on understanding whether users continue to use a system after their </w:t>
      </w:r>
      <w:r w:rsidR="007D5935" w:rsidRPr="00F70CB0">
        <w:rPr>
          <w:sz w:val="24"/>
          <w:szCs w:val="24"/>
          <w:lang w:val="en-GB" w:eastAsia="en-US"/>
        </w:rPr>
        <w:t>primary</w:t>
      </w:r>
      <w:r w:rsidRPr="00F70CB0">
        <w:rPr>
          <w:sz w:val="24"/>
          <w:szCs w:val="24"/>
          <w:lang w:val="en-GB" w:eastAsia="en-US"/>
        </w:rPr>
        <w:t xml:space="preserve"> experience. ECM identifies key constructs including confirmation, satisfaction, perceived usefulness, and continuance intention. Confirmation </w:t>
      </w:r>
      <w:r w:rsidR="007D5935" w:rsidRPr="00F70CB0">
        <w:rPr>
          <w:sz w:val="24"/>
          <w:szCs w:val="24"/>
          <w:lang w:val="en-GB" w:eastAsia="en-US"/>
        </w:rPr>
        <w:t>belongs</w:t>
      </w:r>
      <w:r w:rsidRPr="00F70CB0">
        <w:rPr>
          <w:sz w:val="24"/>
          <w:szCs w:val="24"/>
          <w:lang w:val="en-GB" w:eastAsia="en-US"/>
        </w:rPr>
        <w:t xml:space="preserve"> to the extent to which users’ expectations are met after system use, while satisfaction reflects their overall evaluation of the experience. These factors, along with perceived usefulness, influence the intention to continue using the system.</w:t>
      </w:r>
    </w:p>
    <w:p w14:paraId="30ADA0B1" w14:textId="38AD9E83" w:rsidR="00D36F6A" w:rsidRPr="00F70CB0" w:rsidRDefault="00D36F6A" w:rsidP="00D36F6A">
      <w:pPr>
        <w:jc w:val="both"/>
        <w:rPr>
          <w:sz w:val="24"/>
          <w:szCs w:val="24"/>
          <w:lang w:val="en-GB" w:eastAsia="en-US"/>
        </w:rPr>
      </w:pPr>
      <w:r w:rsidRPr="00F70CB0">
        <w:rPr>
          <w:sz w:val="24"/>
          <w:szCs w:val="24"/>
          <w:lang w:val="en-GB" w:eastAsia="en-US"/>
        </w:rPr>
        <w:t xml:space="preserve">In digital banking, ECM provides </w:t>
      </w:r>
      <w:r w:rsidR="00051F89" w:rsidRPr="00F70CB0">
        <w:rPr>
          <w:sz w:val="24"/>
          <w:szCs w:val="24"/>
          <w:lang w:val="en-GB" w:eastAsia="en-US"/>
        </w:rPr>
        <w:t>significant</w:t>
      </w:r>
      <w:r w:rsidRPr="00F70CB0">
        <w:rPr>
          <w:sz w:val="24"/>
          <w:szCs w:val="24"/>
          <w:lang w:val="en-GB" w:eastAsia="en-US"/>
        </w:rPr>
        <w:t xml:space="preserve"> insights into long-term user behaviour by highlighting the importance of satisfaction and perceived benefits in </w:t>
      </w:r>
      <w:r w:rsidR="00051F89" w:rsidRPr="00F70CB0">
        <w:rPr>
          <w:sz w:val="24"/>
          <w:szCs w:val="24"/>
          <w:lang w:val="en-GB" w:eastAsia="en-US"/>
        </w:rPr>
        <w:t>continuing</w:t>
      </w:r>
      <w:r w:rsidRPr="00F70CB0">
        <w:rPr>
          <w:sz w:val="24"/>
          <w:szCs w:val="24"/>
          <w:lang w:val="en-GB" w:eastAsia="en-US"/>
        </w:rPr>
        <w:t xml:space="preserve"> usage. It shifts the focus from initial adoption to ongoing engagement, which is particularly relevant in highly competitive digital environments.</w:t>
      </w:r>
    </w:p>
    <w:p w14:paraId="2AFD64C6" w14:textId="0AAF270F" w:rsidR="00D36F6A" w:rsidRPr="00F70CB0" w:rsidRDefault="00D36F6A" w:rsidP="004F032E">
      <w:pPr>
        <w:jc w:val="both"/>
        <w:rPr>
          <w:sz w:val="24"/>
          <w:szCs w:val="24"/>
          <w:lang w:val="en-GB" w:eastAsia="en-US"/>
        </w:rPr>
      </w:pPr>
      <w:r w:rsidRPr="00F70CB0">
        <w:rPr>
          <w:sz w:val="24"/>
          <w:szCs w:val="24"/>
          <w:lang w:val="en-GB" w:eastAsia="en-US"/>
        </w:rPr>
        <w:t xml:space="preserve">However, ECM also has </w:t>
      </w:r>
      <w:r w:rsidR="00D037A2" w:rsidRPr="00F70CB0">
        <w:rPr>
          <w:sz w:val="24"/>
          <w:szCs w:val="24"/>
          <w:lang w:val="en-GB" w:eastAsia="en-US"/>
        </w:rPr>
        <w:t>remarkable</w:t>
      </w:r>
      <w:r w:rsidRPr="00F70CB0">
        <w:rPr>
          <w:sz w:val="24"/>
          <w:szCs w:val="24"/>
          <w:lang w:val="en-GB" w:eastAsia="en-US"/>
        </w:rPr>
        <w:t xml:space="preserve"> limitations. The model assumes a relatively stable and linear relationship between satisfaction and continuance intention, which may oversimplify the dynamic nature of user behaviour. Continued usage is </w:t>
      </w:r>
      <w:r w:rsidR="00D037A2" w:rsidRPr="00F70CB0">
        <w:rPr>
          <w:sz w:val="24"/>
          <w:szCs w:val="24"/>
          <w:lang w:val="en-GB" w:eastAsia="en-US"/>
        </w:rPr>
        <w:t>shaped</w:t>
      </w:r>
      <w:r w:rsidRPr="00F70CB0">
        <w:rPr>
          <w:sz w:val="24"/>
          <w:szCs w:val="24"/>
          <w:lang w:val="en-GB" w:eastAsia="en-US"/>
        </w:rPr>
        <w:t xml:space="preserve"> by evolving expectations, competitive alternatives, and ongoing service experiences. Furthermore, ECM does not explicitly incorporate critical factors such as trust, perceived risk, and service quality, which are particularly </w:t>
      </w:r>
      <w:r w:rsidR="00D037A2" w:rsidRPr="00F70CB0">
        <w:rPr>
          <w:sz w:val="24"/>
          <w:szCs w:val="24"/>
          <w:lang w:val="en-GB" w:eastAsia="en-US"/>
        </w:rPr>
        <w:t>important</w:t>
      </w:r>
      <w:r w:rsidRPr="00F70CB0">
        <w:rPr>
          <w:sz w:val="24"/>
          <w:szCs w:val="24"/>
          <w:lang w:val="en-GB" w:eastAsia="en-US"/>
        </w:rPr>
        <w:t xml:space="preserve"> in digital banking contexts involving financial transactions and data security. As a result, ECM, while useful for explaining post-adoption behaviour, requires integration with other frameworks to provide a more comprehensive understanding of user behaviour.</w:t>
      </w:r>
    </w:p>
    <w:p w14:paraId="7038F50A" w14:textId="7EBDFC98" w:rsidR="008549CE" w:rsidRPr="00F70CB0" w:rsidRDefault="00667AB7" w:rsidP="00515456">
      <w:pPr>
        <w:pStyle w:val="Heading1"/>
        <w:rPr>
          <w:rFonts w:ascii="Times New Roman" w:hAnsi="Times New Roman" w:cs="Times New Roman"/>
          <w:sz w:val="28"/>
          <w:szCs w:val="28"/>
        </w:rPr>
      </w:pPr>
      <w:bookmarkStart w:id="31" w:name="_Toc227353499"/>
      <w:r w:rsidRPr="00F70CB0">
        <w:rPr>
          <w:rFonts w:ascii="Times New Roman" w:hAnsi="Times New Roman" w:cs="Times New Roman"/>
          <w:sz w:val="28"/>
          <w:szCs w:val="28"/>
        </w:rPr>
        <w:t>3.</w:t>
      </w:r>
      <w:r w:rsidR="00002560" w:rsidRPr="00F70CB0">
        <w:rPr>
          <w:rFonts w:ascii="Times New Roman" w:hAnsi="Times New Roman" w:cs="Times New Roman"/>
          <w:sz w:val="28"/>
          <w:szCs w:val="28"/>
        </w:rPr>
        <w:t>3</w:t>
      </w:r>
      <w:r w:rsidRPr="00F70CB0">
        <w:rPr>
          <w:rFonts w:ascii="Times New Roman" w:hAnsi="Times New Roman" w:cs="Times New Roman"/>
          <w:sz w:val="28"/>
          <w:szCs w:val="28"/>
        </w:rPr>
        <w:t xml:space="preserve">.4 </w:t>
      </w:r>
      <w:r w:rsidR="008D3AA2" w:rsidRPr="00F70CB0">
        <w:rPr>
          <w:rFonts w:ascii="Times New Roman" w:hAnsi="Times New Roman" w:cs="Times New Roman"/>
          <w:sz w:val="28"/>
          <w:szCs w:val="28"/>
        </w:rPr>
        <w:t xml:space="preserve">Trust and Perceived </w:t>
      </w:r>
      <w:r w:rsidR="009F569D" w:rsidRPr="00F70CB0">
        <w:rPr>
          <w:rFonts w:ascii="Times New Roman" w:hAnsi="Times New Roman" w:cs="Times New Roman"/>
          <w:sz w:val="28"/>
          <w:szCs w:val="28"/>
        </w:rPr>
        <w:t>Risk</w:t>
      </w:r>
      <w:bookmarkEnd w:id="31"/>
      <w:r w:rsidR="008D3AA2" w:rsidRPr="00F70CB0">
        <w:rPr>
          <w:rFonts w:ascii="Times New Roman" w:hAnsi="Times New Roman" w:cs="Times New Roman"/>
          <w:sz w:val="28"/>
          <w:szCs w:val="28"/>
        </w:rPr>
        <w:t xml:space="preserve"> </w:t>
      </w:r>
    </w:p>
    <w:p w14:paraId="3893D7F0" w14:textId="4F3E82EE" w:rsidR="004F032E" w:rsidRPr="00F70CB0" w:rsidRDefault="004F032E" w:rsidP="004F032E">
      <w:pPr>
        <w:jc w:val="both"/>
        <w:rPr>
          <w:sz w:val="24"/>
          <w:szCs w:val="24"/>
          <w:lang w:val="en-GB" w:eastAsia="en-US"/>
        </w:rPr>
      </w:pPr>
      <w:r w:rsidRPr="00F70CB0">
        <w:rPr>
          <w:sz w:val="24"/>
          <w:szCs w:val="24"/>
          <w:lang w:val="en-GB" w:eastAsia="en-US"/>
        </w:rPr>
        <w:t xml:space="preserve">Trust and perceived risk are </w:t>
      </w:r>
      <w:r w:rsidR="00B05FF1" w:rsidRPr="00F70CB0">
        <w:rPr>
          <w:sz w:val="24"/>
          <w:szCs w:val="24"/>
          <w:lang w:val="en-GB" w:eastAsia="en-US"/>
        </w:rPr>
        <w:t>elementary</w:t>
      </w:r>
      <w:r w:rsidRPr="00F70CB0">
        <w:rPr>
          <w:sz w:val="24"/>
          <w:szCs w:val="24"/>
          <w:lang w:val="en-GB" w:eastAsia="en-US"/>
        </w:rPr>
        <w:t xml:space="preserve"> constructs in digital banking, where transactions involve </w:t>
      </w:r>
      <w:r w:rsidR="00231548" w:rsidRPr="00F70CB0">
        <w:rPr>
          <w:sz w:val="24"/>
          <w:szCs w:val="24"/>
          <w:lang w:val="en-GB" w:eastAsia="en-US"/>
        </w:rPr>
        <w:t>sensitive</w:t>
      </w:r>
      <w:r w:rsidRPr="00F70CB0">
        <w:rPr>
          <w:sz w:val="24"/>
          <w:szCs w:val="24"/>
          <w:lang w:val="en-GB" w:eastAsia="en-US"/>
        </w:rPr>
        <w:t xml:space="preserve"> financial and personal information. Trust refers to the belief that a digital banking system is secure, </w:t>
      </w:r>
      <w:r w:rsidR="00370BB0" w:rsidRPr="00F70CB0">
        <w:rPr>
          <w:sz w:val="24"/>
          <w:szCs w:val="24"/>
          <w:lang w:val="en-GB" w:eastAsia="en-US"/>
        </w:rPr>
        <w:t>dependable</w:t>
      </w:r>
      <w:r w:rsidRPr="00F70CB0">
        <w:rPr>
          <w:sz w:val="24"/>
          <w:szCs w:val="24"/>
          <w:lang w:val="en-GB" w:eastAsia="en-US"/>
        </w:rPr>
        <w:t xml:space="preserve">, and capable of protecting user data, while perceived risk reflects concerns about potential </w:t>
      </w:r>
      <w:r w:rsidR="00231548" w:rsidRPr="00F70CB0">
        <w:rPr>
          <w:sz w:val="24"/>
          <w:szCs w:val="24"/>
          <w:lang w:val="en-GB" w:eastAsia="en-US"/>
        </w:rPr>
        <w:t>failures</w:t>
      </w:r>
      <w:r w:rsidRPr="00F70CB0">
        <w:rPr>
          <w:sz w:val="24"/>
          <w:szCs w:val="24"/>
          <w:lang w:val="en-GB" w:eastAsia="en-US"/>
        </w:rPr>
        <w:t xml:space="preserve">, including financial fraud, data breaches, and privacy </w:t>
      </w:r>
      <w:r w:rsidRPr="00F70CB0">
        <w:rPr>
          <w:sz w:val="24"/>
          <w:szCs w:val="24"/>
          <w:lang w:val="en-GB" w:eastAsia="en-US"/>
        </w:rPr>
        <w:lastRenderedPageBreak/>
        <w:t xml:space="preserve">violations. These constructs are closely </w:t>
      </w:r>
      <w:r w:rsidR="00DC53B8" w:rsidRPr="00F70CB0">
        <w:rPr>
          <w:sz w:val="24"/>
          <w:szCs w:val="24"/>
          <w:lang w:val="en-GB" w:eastAsia="en-US"/>
        </w:rPr>
        <w:t>correlated</w:t>
      </w:r>
      <w:r w:rsidRPr="00F70CB0">
        <w:rPr>
          <w:sz w:val="24"/>
          <w:szCs w:val="24"/>
          <w:lang w:val="en-GB" w:eastAsia="en-US"/>
        </w:rPr>
        <w:t>, as higher levels of trust tend to reduce perceived risk, whereas increased risk perception can undermine trust.</w:t>
      </w:r>
    </w:p>
    <w:p w14:paraId="1ACFEF7A" w14:textId="6D92B1C6" w:rsidR="004F032E" w:rsidRPr="00F70CB0" w:rsidRDefault="004F032E" w:rsidP="004F032E">
      <w:pPr>
        <w:jc w:val="both"/>
        <w:rPr>
          <w:sz w:val="24"/>
          <w:szCs w:val="24"/>
          <w:lang w:val="en-GB" w:eastAsia="en-US"/>
        </w:rPr>
      </w:pPr>
      <w:r w:rsidRPr="00F70CB0">
        <w:rPr>
          <w:sz w:val="24"/>
          <w:szCs w:val="24"/>
          <w:lang w:val="en-GB" w:eastAsia="en-US"/>
        </w:rPr>
        <w:t xml:space="preserve">In digital banking environments, trust plays a </w:t>
      </w:r>
      <w:r w:rsidR="00DC53B8" w:rsidRPr="00F70CB0">
        <w:rPr>
          <w:sz w:val="24"/>
          <w:szCs w:val="24"/>
          <w:lang w:val="en-GB" w:eastAsia="en-US"/>
        </w:rPr>
        <w:t>vital</w:t>
      </w:r>
      <w:r w:rsidRPr="00F70CB0">
        <w:rPr>
          <w:sz w:val="24"/>
          <w:szCs w:val="24"/>
          <w:lang w:val="en-GB" w:eastAsia="en-US"/>
        </w:rPr>
        <w:t xml:space="preserve"> role in reducing uncertainty and encouraging both adoption and continued usage. Users are more likely to engage with digital platforms when they perceive them as secure and dependable. Conversely, concerns related to cybersecurity and data protection can </w:t>
      </w:r>
      <w:r w:rsidR="00DC53B8" w:rsidRPr="00F70CB0">
        <w:rPr>
          <w:sz w:val="24"/>
          <w:szCs w:val="24"/>
          <w:lang w:val="en-GB" w:eastAsia="en-US"/>
        </w:rPr>
        <w:t>behave</w:t>
      </w:r>
      <w:r w:rsidR="00F45CDB" w:rsidRPr="00F70CB0">
        <w:rPr>
          <w:sz w:val="24"/>
          <w:szCs w:val="24"/>
          <w:lang w:val="en-GB" w:eastAsia="en-US"/>
        </w:rPr>
        <w:t xml:space="preserve"> as</w:t>
      </w:r>
      <w:r w:rsidRPr="00F70CB0">
        <w:rPr>
          <w:sz w:val="24"/>
          <w:szCs w:val="24"/>
          <w:lang w:val="en-GB" w:eastAsia="en-US"/>
        </w:rPr>
        <w:t xml:space="preserve"> significant barriers to engagement.</w:t>
      </w:r>
    </w:p>
    <w:p w14:paraId="3622D444" w14:textId="6FA860B3" w:rsidR="004F032E" w:rsidRPr="00F70CB0" w:rsidRDefault="004F032E" w:rsidP="004F032E">
      <w:pPr>
        <w:jc w:val="both"/>
        <w:rPr>
          <w:sz w:val="24"/>
          <w:szCs w:val="24"/>
          <w:lang w:val="en-GB" w:eastAsia="en-US"/>
        </w:rPr>
      </w:pPr>
      <w:r w:rsidRPr="00F70CB0">
        <w:rPr>
          <w:sz w:val="24"/>
          <w:szCs w:val="24"/>
          <w:lang w:val="en-GB" w:eastAsia="en-US"/>
        </w:rPr>
        <w:t xml:space="preserve">Despite their importance, trust and perceived risk are often </w:t>
      </w:r>
      <w:r w:rsidR="00E8327C" w:rsidRPr="00F70CB0">
        <w:rPr>
          <w:sz w:val="24"/>
          <w:szCs w:val="24"/>
          <w:lang w:val="en-GB" w:eastAsia="en-US"/>
        </w:rPr>
        <w:t>considered</w:t>
      </w:r>
      <w:r w:rsidRPr="00F70CB0">
        <w:rPr>
          <w:sz w:val="24"/>
          <w:szCs w:val="24"/>
          <w:lang w:val="en-GB" w:eastAsia="en-US"/>
        </w:rPr>
        <w:t xml:space="preserve"> as secondary or </w:t>
      </w:r>
      <w:r w:rsidR="0092643A" w:rsidRPr="00F70CB0">
        <w:rPr>
          <w:sz w:val="24"/>
          <w:szCs w:val="24"/>
          <w:lang w:val="en-GB" w:eastAsia="en-US"/>
        </w:rPr>
        <w:t>outer</w:t>
      </w:r>
      <w:r w:rsidRPr="00F70CB0">
        <w:rPr>
          <w:sz w:val="24"/>
          <w:szCs w:val="24"/>
          <w:lang w:val="en-GB" w:eastAsia="en-US"/>
        </w:rPr>
        <w:t xml:space="preserve"> variables in traditional technology adoption models such as TAM and ECM. This </w:t>
      </w:r>
      <w:r w:rsidR="00E8327C" w:rsidRPr="00F70CB0">
        <w:rPr>
          <w:sz w:val="24"/>
          <w:szCs w:val="24"/>
          <w:lang w:val="en-GB" w:eastAsia="en-US"/>
        </w:rPr>
        <w:t>minor</w:t>
      </w:r>
      <w:r w:rsidRPr="00F70CB0">
        <w:rPr>
          <w:sz w:val="24"/>
          <w:szCs w:val="24"/>
          <w:lang w:val="en-GB" w:eastAsia="en-US"/>
        </w:rPr>
        <w:t xml:space="preserve"> positioning </w:t>
      </w:r>
      <w:r w:rsidR="00F41255" w:rsidRPr="00F70CB0">
        <w:rPr>
          <w:sz w:val="24"/>
          <w:szCs w:val="24"/>
          <w:lang w:val="en-GB" w:eastAsia="en-US"/>
        </w:rPr>
        <w:t>constraints</w:t>
      </w:r>
      <w:r w:rsidRPr="00F70CB0">
        <w:rPr>
          <w:sz w:val="24"/>
          <w:szCs w:val="24"/>
          <w:lang w:val="en-GB" w:eastAsia="en-US"/>
        </w:rPr>
        <w:t xml:space="preserve"> their explanatory power, particularly in digital banking contexts where security considerations are central to user decision-making. Furthermore, existing research frequently examines trust and risk in isolation, without adequately exploring their </w:t>
      </w:r>
      <w:r w:rsidR="00AE4752" w:rsidRPr="00F70CB0">
        <w:rPr>
          <w:sz w:val="24"/>
          <w:szCs w:val="24"/>
          <w:lang w:val="en-GB" w:eastAsia="en-US"/>
        </w:rPr>
        <w:t>relations</w:t>
      </w:r>
      <w:r w:rsidRPr="00F70CB0">
        <w:rPr>
          <w:sz w:val="24"/>
          <w:szCs w:val="24"/>
          <w:lang w:val="en-GB" w:eastAsia="en-US"/>
        </w:rPr>
        <w:t xml:space="preserve"> with other factors such as service quality and user experience. This fragmented treatment suggests the need for a more integrated approach in which trust and perceived risk are positioned as core </w:t>
      </w:r>
      <w:r w:rsidR="00AE4752" w:rsidRPr="00F70CB0">
        <w:rPr>
          <w:sz w:val="24"/>
          <w:szCs w:val="24"/>
          <w:lang w:val="en-GB" w:eastAsia="en-US"/>
        </w:rPr>
        <w:t>elements</w:t>
      </w:r>
      <w:r w:rsidRPr="00F70CB0">
        <w:rPr>
          <w:sz w:val="24"/>
          <w:szCs w:val="24"/>
          <w:lang w:val="en-GB" w:eastAsia="en-US"/>
        </w:rPr>
        <w:t xml:space="preserve"> within a broader behavioural framework.</w:t>
      </w:r>
    </w:p>
    <w:p w14:paraId="47F2896F" w14:textId="0DB2B7E2" w:rsidR="008549CE" w:rsidRPr="00F70CB0" w:rsidRDefault="00667AB7" w:rsidP="00515456">
      <w:pPr>
        <w:pStyle w:val="Heading1"/>
        <w:rPr>
          <w:rFonts w:ascii="Times New Roman" w:hAnsi="Times New Roman" w:cs="Times New Roman"/>
          <w:sz w:val="28"/>
          <w:szCs w:val="28"/>
        </w:rPr>
      </w:pPr>
      <w:bookmarkStart w:id="32" w:name="_Toc227353500"/>
      <w:r w:rsidRPr="00F70CB0">
        <w:rPr>
          <w:rFonts w:ascii="Times New Roman" w:hAnsi="Times New Roman" w:cs="Times New Roman"/>
          <w:sz w:val="28"/>
          <w:szCs w:val="28"/>
        </w:rPr>
        <w:t>3.</w:t>
      </w:r>
      <w:r w:rsidR="00002560" w:rsidRPr="00F70CB0">
        <w:rPr>
          <w:rFonts w:ascii="Times New Roman" w:hAnsi="Times New Roman" w:cs="Times New Roman"/>
          <w:sz w:val="28"/>
          <w:szCs w:val="28"/>
        </w:rPr>
        <w:t>3</w:t>
      </w:r>
      <w:r w:rsidRPr="00F70CB0">
        <w:rPr>
          <w:rFonts w:ascii="Times New Roman" w:hAnsi="Times New Roman" w:cs="Times New Roman"/>
          <w:sz w:val="28"/>
          <w:szCs w:val="28"/>
        </w:rPr>
        <w:t xml:space="preserve">.5 </w:t>
      </w:r>
      <w:r w:rsidR="00085FFA" w:rsidRPr="00F70CB0">
        <w:rPr>
          <w:rFonts w:ascii="Times New Roman" w:hAnsi="Times New Roman" w:cs="Times New Roman"/>
          <w:sz w:val="28"/>
          <w:szCs w:val="28"/>
        </w:rPr>
        <w:t xml:space="preserve">Digital </w:t>
      </w:r>
      <w:r w:rsidR="00D10572" w:rsidRPr="00F70CB0">
        <w:rPr>
          <w:rFonts w:ascii="Times New Roman" w:hAnsi="Times New Roman" w:cs="Times New Roman"/>
          <w:sz w:val="28"/>
          <w:szCs w:val="28"/>
        </w:rPr>
        <w:t>Service Quality</w:t>
      </w:r>
      <w:bookmarkEnd w:id="32"/>
    </w:p>
    <w:p w14:paraId="18F34825" w14:textId="1326C610" w:rsidR="00F841FF" w:rsidRPr="00F70CB0" w:rsidRDefault="00F841FF" w:rsidP="00F841FF">
      <w:pPr>
        <w:jc w:val="both"/>
        <w:rPr>
          <w:sz w:val="24"/>
          <w:szCs w:val="24"/>
          <w:lang w:val="en-GB" w:eastAsia="en-US"/>
        </w:rPr>
      </w:pPr>
      <w:r w:rsidRPr="00F70CB0">
        <w:rPr>
          <w:sz w:val="24"/>
          <w:szCs w:val="24"/>
          <w:lang w:val="en-GB" w:eastAsia="en-US"/>
        </w:rPr>
        <w:t xml:space="preserve">Digital service quality, </w:t>
      </w:r>
      <w:r w:rsidR="00DB2E41" w:rsidRPr="00F70CB0">
        <w:rPr>
          <w:sz w:val="24"/>
          <w:szCs w:val="24"/>
          <w:lang w:val="en-GB" w:eastAsia="en-US"/>
        </w:rPr>
        <w:t>generally</w:t>
      </w:r>
      <w:r w:rsidRPr="00F70CB0">
        <w:rPr>
          <w:sz w:val="24"/>
          <w:szCs w:val="24"/>
          <w:lang w:val="en-GB" w:eastAsia="en-US"/>
        </w:rPr>
        <w:t xml:space="preserve"> </w:t>
      </w:r>
      <w:r w:rsidR="00EC13B7" w:rsidRPr="00F70CB0">
        <w:rPr>
          <w:sz w:val="24"/>
          <w:szCs w:val="24"/>
          <w:lang w:val="en-GB" w:eastAsia="en-US"/>
        </w:rPr>
        <w:t>discussed</w:t>
      </w:r>
      <w:r w:rsidRPr="00F70CB0">
        <w:rPr>
          <w:sz w:val="24"/>
          <w:szCs w:val="24"/>
          <w:lang w:val="en-GB" w:eastAsia="en-US"/>
        </w:rPr>
        <w:t xml:space="preserve"> as e-service quality, reflects the </w:t>
      </w:r>
      <w:r w:rsidR="00EC13B7" w:rsidRPr="00F70CB0">
        <w:rPr>
          <w:sz w:val="24"/>
          <w:szCs w:val="24"/>
          <w:lang w:val="en-GB" w:eastAsia="en-US"/>
        </w:rPr>
        <w:t>efficiency</w:t>
      </w:r>
      <w:r w:rsidRPr="00F70CB0">
        <w:rPr>
          <w:sz w:val="24"/>
          <w:szCs w:val="24"/>
          <w:lang w:val="en-GB" w:eastAsia="en-US"/>
        </w:rPr>
        <w:t xml:space="preserve"> and performance of banking services delivered through digital platforms. It represents the </w:t>
      </w:r>
      <w:r w:rsidR="00DB2E41" w:rsidRPr="00F70CB0">
        <w:rPr>
          <w:sz w:val="24"/>
          <w:szCs w:val="24"/>
          <w:lang w:val="en-GB" w:eastAsia="en-US"/>
        </w:rPr>
        <w:t>limit</w:t>
      </w:r>
      <w:r w:rsidRPr="00F70CB0">
        <w:rPr>
          <w:sz w:val="24"/>
          <w:szCs w:val="24"/>
          <w:lang w:val="en-GB" w:eastAsia="en-US"/>
        </w:rPr>
        <w:t xml:space="preserve"> to which online and mobile banking systems meet user expectations in terms of reliability, </w:t>
      </w:r>
      <w:r w:rsidR="00EC13B7" w:rsidRPr="00F70CB0">
        <w:rPr>
          <w:sz w:val="24"/>
          <w:szCs w:val="24"/>
          <w:lang w:val="en-GB" w:eastAsia="en-US"/>
        </w:rPr>
        <w:t>awareness</w:t>
      </w:r>
      <w:r w:rsidRPr="00F70CB0">
        <w:rPr>
          <w:sz w:val="24"/>
          <w:szCs w:val="24"/>
          <w:lang w:val="en-GB" w:eastAsia="en-US"/>
        </w:rPr>
        <w:t xml:space="preserve">, efficiency, and overall service performance. Reliability refers to the </w:t>
      </w:r>
      <w:r w:rsidR="00004D2A" w:rsidRPr="00F70CB0">
        <w:rPr>
          <w:sz w:val="24"/>
          <w:szCs w:val="24"/>
          <w:lang w:val="en-GB" w:eastAsia="en-US"/>
        </w:rPr>
        <w:t>stability</w:t>
      </w:r>
      <w:r w:rsidRPr="00F70CB0">
        <w:rPr>
          <w:sz w:val="24"/>
          <w:szCs w:val="24"/>
          <w:lang w:val="en-GB" w:eastAsia="en-US"/>
        </w:rPr>
        <w:t xml:space="preserve"> and accuracy of system operations, while responsiveness captures the speed and effectiveness with which user needs are addressed.</w:t>
      </w:r>
    </w:p>
    <w:p w14:paraId="482377C7" w14:textId="2660A1E1" w:rsidR="00F841FF" w:rsidRPr="00F70CB0" w:rsidRDefault="00F841FF" w:rsidP="00F841FF">
      <w:pPr>
        <w:jc w:val="both"/>
        <w:rPr>
          <w:sz w:val="24"/>
          <w:szCs w:val="24"/>
          <w:lang w:val="en-GB" w:eastAsia="en-US"/>
        </w:rPr>
      </w:pPr>
      <w:r w:rsidRPr="00F70CB0">
        <w:rPr>
          <w:sz w:val="24"/>
          <w:szCs w:val="24"/>
          <w:lang w:val="en-GB" w:eastAsia="en-US"/>
        </w:rPr>
        <w:t xml:space="preserve">In the context of digital banking, service quality plays a </w:t>
      </w:r>
      <w:r w:rsidR="00C07311" w:rsidRPr="00F70CB0">
        <w:rPr>
          <w:sz w:val="24"/>
          <w:szCs w:val="24"/>
          <w:lang w:val="en-GB" w:eastAsia="en-US"/>
        </w:rPr>
        <w:t>vital</w:t>
      </w:r>
      <w:r w:rsidRPr="00F70CB0">
        <w:rPr>
          <w:sz w:val="24"/>
          <w:szCs w:val="24"/>
          <w:lang w:val="en-GB" w:eastAsia="en-US"/>
        </w:rPr>
        <w:t xml:space="preserve"> role in shaping customer satisfaction, which in turn </w:t>
      </w:r>
      <w:r w:rsidR="00C07311" w:rsidRPr="00F70CB0">
        <w:rPr>
          <w:sz w:val="24"/>
          <w:szCs w:val="24"/>
          <w:lang w:val="en-GB" w:eastAsia="en-US"/>
        </w:rPr>
        <w:t>impacts</w:t>
      </w:r>
      <w:r w:rsidRPr="00F70CB0">
        <w:rPr>
          <w:sz w:val="24"/>
          <w:szCs w:val="24"/>
          <w:lang w:val="en-GB" w:eastAsia="en-US"/>
        </w:rPr>
        <w:t xml:space="preserve"> continued usage and customer loyalty. High-quality digital platforms enhance user experience by providing </w:t>
      </w:r>
      <w:r w:rsidR="006F43FB" w:rsidRPr="00F70CB0">
        <w:rPr>
          <w:sz w:val="24"/>
          <w:szCs w:val="24"/>
          <w:lang w:val="en-GB" w:eastAsia="en-US"/>
        </w:rPr>
        <w:t>perfect</w:t>
      </w:r>
      <w:r w:rsidRPr="00F70CB0">
        <w:rPr>
          <w:sz w:val="24"/>
          <w:szCs w:val="24"/>
          <w:lang w:val="en-GB" w:eastAsia="en-US"/>
        </w:rPr>
        <w:t xml:space="preserve"> </w:t>
      </w:r>
      <w:r w:rsidR="006F43FB" w:rsidRPr="00F70CB0">
        <w:rPr>
          <w:sz w:val="24"/>
          <w:szCs w:val="24"/>
          <w:lang w:val="en-GB" w:eastAsia="en-US"/>
        </w:rPr>
        <w:t>connections</w:t>
      </w:r>
      <w:r w:rsidRPr="00F70CB0">
        <w:rPr>
          <w:sz w:val="24"/>
          <w:szCs w:val="24"/>
          <w:lang w:val="en-GB" w:eastAsia="en-US"/>
        </w:rPr>
        <w:t xml:space="preserve">, </w:t>
      </w:r>
      <w:r w:rsidR="00F107B3" w:rsidRPr="00F70CB0">
        <w:rPr>
          <w:sz w:val="24"/>
          <w:szCs w:val="24"/>
          <w:lang w:val="en-GB" w:eastAsia="en-US"/>
        </w:rPr>
        <w:t>effective</w:t>
      </w:r>
      <w:r w:rsidRPr="00F70CB0">
        <w:rPr>
          <w:sz w:val="24"/>
          <w:szCs w:val="24"/>
          <w:lang w:val="en-GB" w:eastAsia="en-US"/>
        </w:rPr>
        <w:t xml:space="preserve"> transactions, and </w:t>
      </w:r>
      <w:r w:rsidR="00BA233B" w:rsidRPr="00F70CB0">
        <w:rPr>
          <w:sz w:val="24"/>
          <w:szCs w:val="24"/>
          <w:lang w:val="en-GB" w:eastAsia="en-US"/>
        </w:rPr>
        <w:t>constant</w:t>
      </w:r>
      <w:r w:rsidRPr="00F70CB0">
        <w:rPr>
          <w:sz w:val="24"/>
          <w:szCs w:val="24"/>
          <w:lang w:val="en-GB" w:eastAsia="en-US"/>
        </w:rPr>
        <w:t xml:space="preserve"> service delivery. As digital-only banks </w:t>
      </w:r>
      <w:r w:rsidR="00F107B3" w:rsidRPr="00F70CB0">
        <w:rPr>
          <w:sz w:val="24"/>
          <w:szCs w:val="24"/>
          <w:lang w:val="en-GB" w:eastAsia="en-US"/>
        </w:rPr>
        <w:t>progressively</w:t>
      </w:r>
      <w:r w:rsidRPr="00F70CB0">
        <w:rPr>
          <w:sz w:val="24"/>
          <w:szCs w:val="24"/>
          <w:lang w:val="en-GB" w:eastAsia="en-US"/>
        </w:rPr>
        <w:t xml:space="preserve"> </w:t>
      </w:r>
      <w:r w:rsidR="00AE7408" w:rsidRPr="00F70CB0">
        <w:rPr>
          <w:sz w:val="24"/>
          <w:szCs w:val="24"/>
          <w:lang w:val="en-GB" w:eastAsia="en-US"/>
        </w:rPr>
        <w:t>conduct</w:t>
      </w:r>
      <w:r w:rsidRPr="00F70CB0">
        <w:rPr>
          <w:sz w:val="24"/>
          <w:szCs w:val="24"/>
          <w:lang w:val="en-GB" w:eastAsia="en-US"/>
        </w:rPr>
        <w:t xml:space="preserve"> </w:t>
      </w:r>
      <w:r w:rsidR="00AE7408" w:rsidRPr="00F70CB0">
        <w:rPr>
          <w:sz w:val="24"/>
          <w:szCs w:val="24"/>
          <w:lang w:val="en-GB" w:eastAsia="en-US"/>
        </w:rPr>
        <w:t xml:space="preserve">business </w:t>
      </w:r>
      <w:r w:rsidRPr="00F70CB0">
        <w:rPr>
          <w:sz w:val="24"/>
          <w:szCs w:val="24"/>
          <w:lang w:val="en-GB" w:eastAsia="en-US"/>
        </w:rPr>
        <w:t>without physical branches, service quality becomes a key source of competitive advantage.</w:t>
      </w:r>
    </w:p>
    <w:p w14:paraId="57A47F58" w14:textId="3A47CD0F" w:rsidR="00F841FF" w:rsidRPr="00F70CB0" w:rsidRDefault="00F841FF" w:rsidP="00F45CDB">
      <w:pPr>
        <w:jc w:val="both"/>
        <w:rPr>
          <w:sz w:val="24"/>
          <w:szCs w:val="24"/>
          <w:lang w:val="en-GB" w:eastAsia="en-US"/>
        </w:rPr>
      </w:pPr>
      <w:r w:rsidRPr="00F70CB0">
        <w:rPr>
          <w:sz w:val="24"/>
          <w:szCs w:val="24"/>
          <w:lang w:val="en-GB" w:eastAsia="en-US"/>
        </w:rPr>
        <w:t xml:space="preserve">However, digital service quality models often focus </w:t>
      </w:r>
      <w:r w:rsidR="00022F74" w:rsidRPr="00F70CB0">
        <w:rPr>
          <w:sz w:val="24"/>
          <w:szCs w:val="24"/>
          <w:lang w:val="en-GB" w:eastAsia="en-US"/>
        </w:rPr>
        <w:t>primarily</w:t>
      </w:r>
      <w:r w:rsidRPr="00F70CB0">
        <w:rPr>
          <w:sz w:val="24"/>
          <w:szCs w:val="24"/>
          <w:lang w:val="en-GB" w:eastAsia="en-US"/>
        </w:rPr>
        <w:t xml:space="preserve"> on functional performance, </w:t>
      </w:r>
      <w:r w:rsidR="00EA5936" w:rsidRPr="00F70CB0">
        <w:rPr>
          <w:sz w:val="24"/>
          <w:szCs w:val="24"/>
          <w:lang w:val="en-GB" w:eastAsia="en-US"/>
        </w:rPr>
        <w:t>avoiding</w:t>
      </w:r>
      <w:r w:rsidRPr="00F70CB0">
        <w:rPr>
          <w:sz w:val="24"/>
          <w:szCs w:val="24"/>
          <w:lang w:val="en-GB" w:eastAsia="en-US"/>
        </w:rPr>
        <w:t xml:space="preserve"> the emotional and relational </w:t>
      </w:r>
      <w:r w:rsidR="00022F74" w:rsidRPr="00F70CB0">
        <w:rPr>
          <w:sz w:val="24"/>
          <w:szCs w:val="24"/>
          <w:lang w:val="en-GB" w:eastAsia="en-US"/>
        </w:rPr>
        <w:t>aspects</w:t>
      </w:r>
      <w:r w:rsidRPr="00F70CB0">
        <w:rPr>
          <w:sz w:val="24"/>
          <w:szCs w:val="24"/>
          <w:lang w:val="en-GB" w:eastAsia="en-US"/>
        </w:rPr>
        <w:t xml:space="preserve"> of customer experience. This </w:t>
      </w:r>
      <w:r w:rsidR="00EA5936" w:rsidRPr="00F70CB0">
        <w:rPr>
          <w:sz w:val="24"/>
          <w:szCs w:val="24"/>
          <w:lang w:val="en-GB" w:eastAsia="en-US"/>
        </w:rPr>
        <w:t>restriction</w:t>
      </w:r>
      <w:r w:rsidRPr="00F70CB0">
        <w:rPr>
          <w:sz w:val="24"/>
          <w:szCs w:val="24"/>
          <w:lang w:val="en-GB" w:eastAsia="en-US"/>
        </w:rPr>
        <w:t xml:space="preserve"> </w:t>
      </w:r>
      <w:r w:rsidR="00EA5936" w:rsidRPr="00F70CB0">
        <w:rPr>
          <w:sz w:val="24"/>
          <w:szCs w:val="24"/>
          <w:lang w:val="en-GB" w:eastAsia="en-US"/>
        </w:rPr>
        <w:t xml:space="preserve">reduces </w:t>
      </w:r>
      <w:r w:rsidRPr="00F70CB0">
        <w:rPr>
          <w:sz w:val="24"/>
          <w:szCs w:val="24"/>
          <w:lang w:val="en-GB" w:eastAsia="en-US"/>
        </w:rPr>
        <w:t xml:space="preserve">their </w:t>
      </w:r>
      <w:r w:rsidR="00022F74" w:rsidRPr="00F70CB0">
        <w:rPr>
          <w:sz w:val="24"/>
          <w:szCs w:val="24"/>
          <w:lang w:val="en-GB" w:eastAsia="en-US"/>
        </w:rPr>
        <w:t>capability</w:t>
      </w:r>
      <w:r w:rsidRPr="00F70CB0">
        <w:rPr>
          <w:sz w:val="24"/>
          <w:szCs w:val="24"/>
          <w:lang w:val="en-GB" w:eastAsia="en-US"/>
        </w:rPr>
        <w:t xml:space="preserve"> to fully explain long-term behavioural </w:t>
      </w:r>
      <w:r w:rsidR="00022F74" w:rsidRPr="00F70CB0">
        <w:rPr>
          <w:sz w:val="24"/>
          <w:szCs w:val="24"/>
          <w:lang w:val="en-GB" w:eastAsia="en-US"/>
        </w:rPr>
        <w:t>consequences</w:t>
      </w:r>
      <w:r w:rsidRPr="00F70CB0">
        <w:rPr>
          <w:sz w:val="24"/>
          <w:szCs w:val="24"/>
          <w:lang w:val="en-GB" w:eastAsia="en-US"/>
        </w:rPr>
        <w:t xml:space="preserve"> such as customer preference and sustained engagement. In addition, service quality is highly dependent on technological </w:t>
      </w:r>
      <w:r w:rsidR="00EA5936" w:rsidRPr="00F70CB0">
        <w:rPr>
          <w:sz w:val="24"/>
          <w:szCs w:val="24"/>
          <w:lang w:val="en-GB" w:eastAsia="en-US"/>
        </w:rPr>
        <w:t>infrastructure</w:t>
      </w:r>
      <w:r w:rsidRPr="00F70CB0">
        <w:rPr>
          <w:sz w:val="24"/>
          <w:szCs w:val="24"/>
          <w:lang w:val="en-GB" w:eastAsia="en-US"/>
        </w:rPr>
        <w:t xml:space="preserve">, making it vulnerable to system failures and </w:t>
      </w:r>
      <w:r w:rsidR="00022F74" w:rsidRPr="00F70CB0">
        <w:rPr>
          <w:sz w:val="24"/>
          <w:szCs w:val="24"/>
          <w:lang w:val="en-GB" w:eastAsia="en-US"/>
        </w:rPr>
        <w:t>disorders</w:t>
      </w:r>
      <w:r w:rsidRPr="00F70CB0">
        <w:rPr>
          <w:sz w:val="24"/>
          <w:szCs w:val="24"/>
          <w:lang w:val="en-GB" w:eastAsia="en-US"/>
        </w:rPr>
        <w:t xml:space="preserve">. Security concerns may also influence users’ perceptions of service quality, particularly in relation to data protection and transaction safety. Therefore, while digital service quality is a critical </w:t>
      </w:r>
      <w:r w:rsidR="00022F74" w:rsidRPr="00F70CB0">
        <w:rPr>
          <w:sz w:val="24"/>
          <w:szCs w:val="24"/>
          <w:lang w:val="en-GB" w:eastAsia="en-US"/>
        </w:rPr>
        <w:t>element</w:t>
      </w:r>
      <w:r w:rsidRPr="00F70CB0">
        <w:rPr>
          <w:sz w:val="24"/>
          <w:szCs w:val="24"/>
          <w:lang w:val="en-GB" w:eastAsia="en-US"/>
        </w:rPr>
        <w:t xml:space="preserve"> of satisfaction and usage, it requires integration with behavioural and trust-related factors to provide a more comprehensive explanation of digital banking behaviour.</w:t>
      </w:r>
    </w:p>
    <w:p w14:paraId="44563CED" w14:textId="775E3EFB" w:rsidR="00882F32" w:rsidRPr="00F70CB0" w:rsidRDefault="00667AB7" w:rsidP="00515456">
      <w:pPr>
        <w:pStyle w:val="Heading1"/>
        <w:rPr>
          <w:rFonts w:ascii="Times New Roman" w:hAnsi="Times New Roman" w:cs="Times New Roman"/>
          <w:sz w:val="28"/>
          <w:szCs w:val="28"/>
        </w:rPr>
      </w:pPr>
      <w:bookmarkStart w:id="33" w:name="_Toc227353501"/>
      <w:r w:rsidRPr="00F70CB0">
        <w:rPr>
          <w:rFonts w:ascii="Times New Roman" w:hAnsi="Times New Roman" w:cs="Times New Roman"/>
          <w:sz w:val="28"/>
          <w:szCs w:val="28"/>
        </w:rPr>
        <w:t>3.</w:t>
      </w:r>
      <w:r w:rsidR="00002560" w:rsidRPr="00F70CB0">
        <w:rPr>
          <w:rFonts w:ascii="Times New Roman" w:hAnsi="Times New Roman" w:cs="Times New Roman"/>
          <w:sz w:val="28"/>
          <w:szCs w:val="28"/>
        </w:rPr>
        <w:t>3</w:t>
      </w:r>
      <w:r w:rsidRPr="00F70CB0">
        <w:rPr>
          <w:rFonts w:ascii="Times New Roman" w:hAnsi="Times New Roman" w:cs="Times New Roman"/>
          <w:sz w:val="28"/>
          <w:szCs w:val="28"/>
        </w:rPr>
        <w:t xml:space="preserve">.6 </w:t>
      </w:r>
      <w:r w:rsidR="0076178A" w:rsidRPr="00F70CB0">
        <w:rPr>
          <w:rFonts w:ascii="Times New Roman" w:hAnsi="Times New Roman" w:cs="Times New Roman"/>
          <w:sz w:val="28"/>
          <w:szCs w:val="28"/>
        </w:rPr>
        <w:t>Integration</w:t>
      </w:r>
      <w:r w:rsidR="00053EEE" w:rsidRPr="00F70CB0">
        <w:rPr>
          <w:rFonts w:ascii="Times New Roman" w:hAnsi="Times New Roman" w:cs="Times New Roman"/>
          <w:sz w:val="28"/>
          <w:szCs w:val="28"/>
        </w:rPr>
        <w:t xml:space="preserve"> </w:t>
      </w:r>
      <w:r w:rsidR="00C80567" w:rsidRPr="00F70CB0">
        <w:rPr>
          <w:rFonts w:ascii="Times New Roman" w:hAnsi="Times New Roman" w:cs="Times New Roman"/>
          <w:sz w:val="28"/>
          <w:szCs w:val="28"/>
        </w:rPr>
        <w:t>and</w:t>
      </w:r>
      <w:r w:rsidR="00053EEE" w:rsidRPr="00F70CB0">
        <w:rPr>
          <w:rFonts w:ascii="Times New Roman" w:hAnsi="Times New Roman" w:cs="Times New Roman"/>
          <w:sz w:val="28"/>
          <w:szCs w:val="28"/>
        </w:rPr>
        <w:t xml:space="preserve"> </w:t>
      </w:r>
      <w:r w:rsidR="003309EE" w:rsidRPr="00F70CB0">
        <w:rPr>
          <w:rFonts w:ascii="Times New Roman" w:hAnsi="Times New Roman" w:cs="Times New Roman"/>
          <w:sz w:val="28"/>
          <w:szCs w:val="28"/>
        </w:rPr>
        <w:t>C</w:t>
      </w:r>
      <w:r w:rsidR="00053EEE" w:rsidRPr="00F70CB0">
        <w:rPr>
          <w:rFonts w:ascii="Times New Roman" w:hAnsi="Times New Roman" w:cs="Times New Roman"/>
          <w:sz w:val="28"/>
          <w:szCs w:val="28"/>
        </w:rPr>
        <w:t xml:space="preserve">omparison </w:t>
      </w:r>
      <w:r w:rsidR="00882F32" w:rsidRPr="00F70CB0">
        <w:rPr>
          <w:rFonts w:ascii="Times New Roman" w:hAnsi="Times New Roman" w:cs="Times New Roman"/>
          <w:sz w:val="28"/>
          <w:szCs w:val="28"/>
        </w:rPr>
        <w:t xml:space="preserve">of </w:t>
      </w:r>
      <w:r w:rsidR="00F61AF1" w:rsidRPr="00F70CB0">
        <w:rPr>
          <w:rFonts w:ascii="Times New Roman" w:hAnsi="Times New Roman" w:cs="Times New Roman"/>
          <w:sz w:val="28"/>
          <w:szCs w:val="28"/>
        </w:rPr>
        <w:t xml:space="preserve">the </w:t>
      </w:r>
      <w:r w:rsidR="003309EE" w:rsidRPr="00F70CB0">
        <w:rPr>
          <w:rFonts w:ascii="Times New Roman" w:hAnsi="Times New Roman" w:cs="Times New Roman"/>
          <w:sz w:val="28"/>
          <w:szCs w:val="28"/>
        </w:rPr>
        <w:t>Theoretical Model</w:t>
      </w:r>
      <w:bookmarkEnd w:id="33"/>
    </w:p>
    <w:p w14:paraId="4F77C1F2" w14:textId="10C8C800" w:rsidR="00F61AF1" w:rsidRPr="00F70CB0" w:rsidRDefault="00F61AF1" w:rsidP="00F61AF1">
      <w:pPr>
        <w:jc w:val="both"/>
        <w:rPr>
          <w:sz w:val="24"/>
          <w:szCs w:val="24"/>
          <w:lang w:val="en-GB" w:eastAsia="en-US"/>
        </w:rPr>
      </w:pPr>
      <w:r w:rsidRPr="00F70CB0">
        <w:rPr>
          <w:sz w:val="24"/>
          <w:szCs w:val="24"/>
          <w:lang w:val="en-GB" w:eastAsia="en-US"/>
        </w:rPr>
        <w:t xml:space="preserve">No single theoretical framework is </w:t>
      </w:r>
      <w:r w:rsidR="00012BEB" w:rsidRPr="00F70CB0">
        <w:rPr>
          <w:sz w:val="24"/>
          <w:szCs w:val="24"/>
          <w:lang w:val="en-GB" w:eastAsia="en-US"/>
        </w:rPr>
        <w:t>adequate</w:t>
      </w:r>
      <w:r w:rsidRPr="00F70CB0">
        <w:rPr>
          <w:sz w:val="24"/>
          <w:szCs w:val="24"/>
          <w:lang w:val="en-GB" w:eastAsia="en-US"/>
        </w:rPr>
        <w:t xml:space="preserve"> to comprehensively explain digital banking behaviour, as each model captures only a </w:t>
      </w:r>
      <w:r w:rsidR="00012BEB" w:rsidRPr="00F70CB0">
        <w:rPr>
          <w:sz w:val="24"/>
          <w:szCs w:val="24"/>
          <w:lang w:val="en-GB" w:eastAsia="en-US"/>
        </w:rPr>
        <w:t>biased</w:t>
      </w:r>
      <w:r w:rsidRPr="00F70CB0">
        <w:rPr>
          <w:sz w:val="24"/>
          <w:szCs w:val="24"/>
          <w:lang w:val="en-GB" w:eastAsia="en-US"/>
        </w:rPr>
        <w:t xml:space="preserve"> dimension of user decision-making. TAM and UTAUT primarily focus on initial adoption, emphasising </w:t>
      </w:r>
      <w:r w:rsidR="00012BEB" w:rsidRPr="00F70CB0">
        <w:rPr>
          <w:sz w:val="24"/>
          <w:szCs w:val="24"/>
          <w:lang w:val="en-GB" w:eastAsia="en-US"/>
        </w:rPr>
        <w:t>rational</w:t>
      </w:r>
      <w:r w:rsidRPr="00F70CB0">
        <w:rPr>
          <w:sz w:val="24"/>
          <w:szCs w:val="24"/>
          <w:lang w:val="en-GB" w:eastAsia="en-US"/>
        </w:rPr>
        <w:t xml:space="preserve"> and social determinants, while ECM shifts </w:t>
      </w:r>
      <w:r w:rsidR="00012BEB" w:rsidRPr="00F70CB0">
        <w:rPr>
          <w:sz w:val="24"/>
          <w:szCs w:val="24"/>
          <w:lang w:val="en-GB" w:eastAsia="en-US"/>
        </w:rPr>
        <w:t>consideration</w:t>
      </w:r>
      <w:r w:rsidRPr="00F70CB0">
        <w:rPr>
          <w:sz w:val="24"/>
          <w:szCs w:val="24"/>
          <w:lang w:val="en-GB" w:eastAsia="en-US"/>
        </w:rPr>
        <w:t xml:space="preserve"> towards post-adoption behaviour through satisfaction and confirmation. In contrast, trust and perceived risk frameworks address issues of uncertainty and security, and service quality models focus on </w:t>
      </w:r>
      <w:r w:rsidR="00012BEB" w:rsidRPr="00F70CB0">
        <w:rPr>
          <w:sz w:val="24"/>
          <w:szCs w:val="24"/>
          <w:lang w:val="en-GB" w:eastAsia="en-US"/>
        </w:rPr>
        <w:t>observed</w:t>
      </w:r>
      <w:r w:rsidRPr="00F70CB0">
        <w:rPr>
          <w:sz w:val="24"/>
          <w:szCs w:val="24"/>
          <w:lang w:val="en-GB" w:eastAsia="en-US"/>
        </w:rPr>
        <w:t xml:space="preserve"> and performance-based outcomes.</w:t>
      </w:r>
    </w:p>
    <w:p w14:paraId="405834FC" w14:textId="7B50B95C" w:rsidR="00F61AF1" w:rsidRPr="00F70CB0" w:rsidRDefault="00F61AF1" w:rsidP="00F61AF1">
      <w:pPr>
        <w:jc w:val="both"/>
        <w:rPr>
          <w:sz w:val="24"/>
          <w:szCs w:val="24"/>
          <w:lang w:val="en-GB" w:eastAsia="en-US"/>
        </w:rPr>
      </w:pPr>
      <w:r w:rsidRPr="00F70CB0">
        <w:rPr>
          <w:sz w:val="24"/>
          <w:szCs w:val="24"/>
          <w:lang w:val="en-GB" w:eastAsia="en-US"/>
        </w:rPr>
        <w:lastRenderedPageBreak/>
        <w:t xml:space="preserve">However, the </w:t>
      </w:r>
      <w:r w:rsidR="00E4261B" w:rsidRPr="00F70CB0">
        <w:rPr>
          <w:sz w:val="24"/>
          <w:szCs w:val="24"/>
          <w:lang w:val="en-GB" w:eastAsia="en-US"/>
        </w:rPr>
        <w:t>leading</w:t>
      </w:r>
      <w:r w:rsidRPr="00F70CB0">
        <w:rPr>
          <w:sz w:val="24"/>
          <w:szCs w:val="24"/>
          <w:lang w:val="en-GB" w:eastAsia="en-US"/>
        </w:rPr>
        <w:t xml:space="preserve"> use of these models in isolation reflects a fragmented approach within the literature. This fragmentation </w:t>
      </w:r>
      <w:r w:rsidR="00E4261B" w:rsidRPr="00F70CB0">
        <w:rPr>
          <w:sz w:val="24"/>
          <w:szCs w:val="24"/>
          <w:lang w:val="en-GB" w:eastAsia="en-US"/>
        </w:rPr>
        <w:t>recommends</w:t>
      </w:r>
      <w:r w:rsidRPr="00F70CB0">
        <w:rPr>
          <w:sz w:val="24"/>
          <w:szCs w:val="24"/>
          <w:lang w:val="en-GB" w:eastAsia="en-US"/>
        </w:rPr>
        <w:t xml:space="preserve"> an implicit assumption that user behaviour follows a linear progression from adoption to continuance, an assumption that may not hold in complex and competitive digital banking environments. User behaviour is </w:t>
      </w:r>
      <w:r w:rsidR="0080645D" w:rsidRPr="00F70CB0">
        <w:rPr>
          <w:sz w:val="24"/>
          <w:szCs w:val="24"/>
          <w:lang w:val="en-GB" w:eastAsia="en-US"/>
        </w:rPr>
        <w:t>vigorous</w:t>
      </w:r>
      <w:r w:rsidRPr="00F70CB0">
        <w:rPr>
          <w:sz w:val="24"/>
          <w:szCs w:val="24"/>
          <w:lang w:val="en-GB" w:eastAsia="en-US"/>
        </w:rPr>
        <w:t xml:space="preserve"> and iterative, shaped by continuous interaction between technological perceptions, service experiences, trust development, and evolving customer preferences.</w:t>
      </w:r>
    </w:p>
    <w:p w14:paraId="12F579BF" w14:textId="22549423" w:rsidR="00F61AF1" w:rsidRPr="00F70CB0" w:rsidRDefault="00F61AF1" w:rsidP="00F61AF1">
      <w:pPr>
        <w:jc w:val="both"/>
        <w:rPr>
          <w:sz w:val="24"/>
          <w:szCs w:val="24"/>
          <w:lang w:val="en-GB" w:eastAsia="en-US"/>
        </w:rPr>
      </w:pPr>
      <w:r w:rsidRPr="00F70CB0">
        <w:rPr>
          <w:sz w:val="24"/>
          <w:szCs w:val="24"/>
          <w:lang w:val="en-GB" w:eastAsia="en-US"/>
        </w:rPr>
        <w:t xml:space="preserve">Furthermore, existing models often </w:t>
      </w:r>
      <w:r w:rsidR="00A01E11">
        <w:rPr>
          <w:sz w:val="24"/>
          <w:szCs w:val="24"/>
          <w:lang w:val="en-GB" w:eastAsia="en-US"/>
        </w:rPr>
        <w:t>fail</w:t>
      </w:r>
      <w:r w:rsidRPr="00F70CB0">
        <w:rPr>
          <w:sz w:val="24"/>
          <w:szCs w:val="24"/>
          <w:lang w:val="en-GB" w:eastAsia="en-US"/>
        </w:rPr>
        <w:t xml:space="preserve"> to account for the interdependencies between key </w:t>
      </w:r>
      <w:r w:rsidR="00A01E11" w:rsidRPr="00F70CB0">
        <w:rPr>
          <w:sz w:val="24"/>
          <w:szCs w:val="24"/>
          <w:lang w:val="en-GB" w:eastAsia="en-US"/>
        </w:rPr>
        <w:t>structures</w:t>
      </w:r>
      <w:r w:rsidRPr="00F70CB0">
        <w:rPr>
          <w:sz w:val="24"/>
          <w:szCs w:val="24"/>
          <w:lang w:val="en-GB" w:eastAsia="en-US"/>
        </w:rPr>
        <w:t xml:space="preserve">. For instance, perceived usefulness may be influenced by service quality, while trust may mediate the relationship between user experience and continuance intention. </w:t>
      </w:r>
      <w:r w:rsidR="00A01E11" w:rsidRPr="00F70CB0">
        <w:rPr>
          <w:sz w:val="24"/>
          <w:szCs w:val="24"/>
          <w:lang w:val="en-GB" w:eastAsia="en-US"/>
        </w:rPr>
        <w:t>Likewise</w:t>
      </w:r>
      <w:r w:rsidRPr="00F70CB0">
        <w:rPr>
          <w:sz w:val="24"/>
          <w:szCs w:val="24"/>
          <w:lang w:val="en-GB" w:eastAsia="en-US"/>
        </w:rPr>
        <w:t>, customer preference emerges as a critical but underdeveloped construct that links initial adoption decisions with long-term behavioural outcomes.</w:t>
      </w:r>
    </w:p>
    <w:p w14:paraId="6E4C51D3" w14:textId="2C9DFD9D" w:rsidR="00F61AF1" w:rsidRPr="00F70CB0" w:rsidRDefault="00F61AF1" w:rsidP="00F61AF1">
      <w:pPr>
        <w:jc w:val="both"/>
        <w:rPr>
          <w:sz w:val="24"/>
          <w:szCs w:val="24"/>
          <w:lang w:val="en-GB" w:eastAsia="en-US"/>
        </w:rPr>
      </w:pPr>
      <w:r w:rsidRPr="00F70CB0">
        <w:rPr>
          <w:sz w:val="24"/>
          <w:szCs w:val="24"/>
          <w:lang w:val="en-GB" w:eastAsia="en-US"/>
        </w:rPr>
        <w:t xml:space="preserve">Therefore, there is </w:t>
      </w:r>
      <w:r w:rsidR="00702DEE">
        <w:rPr>
          <w:sz w:val="24"/>
          <w:szCs w:val="24"/>
          <w:lang w:val="en-GB" w:eastAsia="en-US"/>
        </w:rPr>
        <w:t>an</w:t>
      </w:r>
      <w:r w:rsidRPr="00F70CB0">
        <w:rPr>
          <w:sz w:val="24"/>
          <w:szCs w:val="24"/>
          <w:lang w:val="en-GB" w:eastAsia="en-US"/>
        </w:rPr>
        <w:t xml:space="preserve"> </w:t>
      </w:r>
      <w:r w:rsidR="00702DEE" w:rsidRPr="00F70CB0">
        <w:rPr>
          <w:sz w:val="24"/>
          <w:szCs w:val="24"/>
          <w:lang w:val="en-GB" w:eastAsia="en-US"/>
        </w:rPr>
        <w:t>evident</w:t>
      </w:r>
      <w:r w:rsidRPr="00F70CB0">
        <w:rPr>
          <w:sz w:val="24"/>
          <w:szCs w:val="24"/>
          <w:lang w:val="en-GB" w:eastAsia="en-US"/>
        </w:rPr>
        <w:t xml:space="preserve"> need for an integrated theoretical framework that moves beyond single-model explanations and captures the </w:t>
      </w:r>
      <w:r w:rsidR="00702DEE" w:rsidRPr="00F70CB0">
        <w:rPr>
          <w:sz w:val="24"/>
          <w:szCs w:val="24"/>
          <w:lang w:val="en-GB" w:eastAsia="en-US"/>
        </w:rPr>
        <w:t>connected</w:t>
      </w:r>
      <w:r w:rsidRPr="00F70CB0">
        <w:rPr>
          <w:sz w:val="24"/>
          <w:szCs w:val="24"/>
          <w:lang w:val="en-GB" w:eastAsia="en-US"/>
        </w:rPr>
        <w:t xml:space="preserve"> nature of digital banking behaviour. Such a framework should incorporate </w:t>
      </w:r>
      <w:r w:rsidR="00702DEE" w:rsidRPr="00F70CB0">
        <w:rPr>
          <w:sz w:val="24"/>
          <w:szCs w:val="24"/>
          <w:lang w:val="en-GB" w:eastAsia="en-US"/>
        </w:rPr>
        <w:t>rational</w:t>
      </w:r>
      <w:r w:rsidRPr="00F70CB0">
        <w:rPr>
          <w:sz w:val="24"/>
          <w:szCs w:val="24"/>
          <w:lang w:val="en-GB" w:eastAsia="en-US"/>
        </w:rPr>
        <w:t>, behavioural, and experiential factors, providing a more holistic and context-sensitive understanding of customer preference and continued usage, particularly within the UK digital banking sector.</w:t>
      </w:r>
    </w:p>
    <w:p w14:paraId="6FC73942" w14:textId="77777777" w:rsidR="00F61AF1" w:rsidRPr="00F70CB0" w:rsidRDefault="00F61AF1" w:rsidP="00F61AF1">
      <w:pPr>
        <w:jc w:val="both"/>
        <w:rPr>
          <w:sz w:val="24"/>
          <w:szCs w:val="24"/>
          <w:lang w:val="en-GB" w:eastAsia="en-US"/>
        </w:rPr>
      </w:pPr>
    </w:p>
    <w:p w14:paraId="794B1AC8" w14:textId="3755521A" w:rsidR="00085FFA" w:rsidRPr="00F70CB0" w:rsidRDefault="00667AB7" w:rsidP="00220BC1">
      <w:pPr>
        <w:pStyle w:val="Heading1"/>
        <w:rPr>
          <w:rFonts w:ascii="Times New Roman" w:hAnsi="Times New Roman" w:cs="Times New Roman"/>
          <w:sz w:val="28"/>
          <w:szCs w:val="28"/>
        </w:rPr>
      </w:pPr>
      <w:bookmarkStart w:id="34" w:name="_Toc227353502"/>
      <w:r w:rsidRPr="00F70CB0">
        <w:rPr>
          <w:rFonts w:ascii="Times New Roman" w:hAnsi="Times New Roman" w:cs="Times New Roman"/>
          <w:sz w:val="28"/>
          <w:szCs w:val="28"/>
        </w:rPr>
        <w:t>3.</w:t>
      </w:r>
      <w:r w:rsidR="00002560" w:rsidRPr="00F70CB0">
        <w:rPr>
          <w:rFonts w:ascii="Times New Roman" w:hAnsi="Times New Roman" w:cs="Times New Roman"/>
          <w:sz w:val="28"/>
          <w:szCs w:val="28"/>
        </w:rPr>
        <w:t>3</w:t>
      </w:r>
      <w:r w:rsidRPr="00F70CB0">
        <w:rPr>
          <w:rFonts w:ascii="Times New Roman" w:hAnsi="Times New Roman" w:cs="Times New Roman"/>
          <w:sz w:val="28"/>
          <w:szCs w:val="28"/>
        </w:rPr>
        <w:t xml:space="preserve">.7 </w:t>
      </w:r>
      <w:r w:rsidR="00BC50AC" w:rsidRPr="00F70CB0">
        <w:rPr>
          <w:rFonts w:ascii="Times New Roman" w:hAnsi="Times New Roman" w:cs="Times New Roman"/>
          <w:sz w:val="28"/>
          <w:szCs w:val="28"/>
        </w:rPr>
        <w:t>Theory Evolution Table</w:t>
      </w:r>
      <w:bookmarkEnd w:id="34"/>
      <w:r w:rsidR="00882F32" w:rsidRPr="00F70CB0">
        <w:rPr>
          <w:rFonts w:ascii="Times New Roman" w:hAnsi="Times New Roman" w:cs="Times New Roman"/>
          <w:sz w:val="28"/>
          <w:szCs w:val="28"/>
        </w:rPr>
        <w:t xml:space="preserve"> </w:t>
      </w:r>
      <w:r w:rsidR="0076178A" w:rsidRPr="00F70CB0">
        <w:rPr>
          <w:rFonts w:ascii="Times New Roman" w:hAnsi="Times New Roman" w:cs="Times New Roman"/>
          <w:sz w:val="28"/>
          <w:szCs w:val="28"/>
        </w:rPr>
        <w:t xml:space="preserve"> </w:t>
      </w:r>
    </w:p>
    <w:p w14:paraId="1BC34E68" w14:textId="207175E3" w:rsidR="008549CE" w:rsidRPr="00F70CB0" w:rsidRDefault="008401C1" w:rsidP="0036012E">
      <w:pPr>
        <w:jc w:val="both"/>
        <w:rPr>
          <w:sz w:val="24"/>
          <w:szCs w:val="24"/>
        </w:rPr>
      </w:pPr>
      <w:r w:rsidRPr="00F70CB0">
        <w:rPr>
          <w:sz w:val="24"/>
          <w:szCs w:val="24"/>
        </w:rPr>
        <w:t xml:space="preserve">Key theoretical models in digital banking research have </w:t>
      </w:r>
      <w:r w:rsidR="00376DA5">
        <w:rPr>
          <w:sz w:val="24"/>
          <w:szCs w:val="24"/>
        </w:rPr>
        <w:t xml:space="preserve">been </w:t>
      </w:r>
      <w:r w:rsidR="00376DA5" w:rsidRPr="00F70CB0">
        <w:rPr>
          <w:sz w:val="24"/>
          <w:szCs w:val="24"/>
        </w:rPr>
        <w:t>elaborated</w:t>
      </w:r>
      <w:r w:rsidRPr="00F70CB0">
        <w:rPr>
          <w:sz w:val="24"/>
          <w:szCs w:val="24"/>
        </w:rPr>
        <w:t xml:space="preserve"> over time to explain </w:t>
      </w:r>
      <w:r w:rsidR="00376DA5" w:rsidRPr="00F70CB0">
        <w:rPr>
          <w:sz w:val="24"/>
          <w:szCs w:val="24"/>
        </w:rPr>
        <w:t>several</w:t>
      </w:r>
      <w:r w:rsidRPr="00F70CB0">
        <w:rPr>
          <w:sz w:val="24"/>
          <w:szCs w:val="24"/>
        </w:rPr>
        <w:t xml:space="preserve"> aspects of user behaviour. These frameworks provide an essential foundation for understanding both the adoption and continued use of digital banking services. The following table presents a </w:t>
      </w:r>
      <w:r w:rsidR="00220BC1" w:rsidRPr="00F70CB0">
        <w:rPr>
          <w:sz w:val="24"/>
          <w:szCs w:val="24"/>
        </w:rPr>
        <w:t>summary</w:t>
      </w:r>
      <w:r w:rsidRPr="00F70CB0">
        <w:rPr>
          <w:sz w:val="24"/>
          <w:szCs w:val="24"/>
        </w:rPr>
        <w:t xml:space="preserve"> of the evolution and key contributions of these theories.</w:t>
      </w:r>
    </w:p>
    <w:p w14:paraId="362F5BF1" w14:textId="77777777" w:rsidR="004F7E38" w:rsidRPr="00F70CB0" w:rsidRDefault="004F7E38" w:rsidP="0036012E">
      <w:pPr>
        <w:jc w:val="both"/>
        <w:rPr>
          <w:sz w:val="24"/>
          <w:szCs w:val="24"/>
        </w:rPr>
      </w:pPr>
    </w:p>
    <w:tbl>
      <w:tblPr>
        <w:tblW w:w="8357" w:type="dxa"/>
        <w:tblLook w:val="04A0" w:firstRow="1" w:lastRow="0" w:firstColumn="1" w:lastColumn="0" w:noHBand="0" w:noVBand="1"/>
      </w:tblPr>
      <w:tblGrid>
        <w:gridCol w:w="1510"/>
        <w:gridCol w:w="1536"/>
        <w:gridCol w:w="723"/>
        <w:gridCol w:w="1296"/>
        <w:gridCol w:w="1716"/>
        <w:gridCol w:w="1576"/>
      </w:tblGrid>
      <w:tr w:rsidR="00BF461C" w:rsidRPr="00F70CB0" w14:paraId="4F48DDFB" w14:textId="77777777" w:rsidTr="00B72A91">
        <w:trPr>
          <w:trHeight w:val="816"/>
        </w:trPr>
        <w:tc>
          <w:tcPr>
            <w:tcW w:w="1510" w:type="dxa"/>
            <w:tcBorders>
              <w:top w:val="single" w:sz="4" w:space="0" w:color="auto"/>
              <w:left w:val="single" w:sz="4" w:space="0" w:color="auto"/>
              <w:bottom w:val="single" w:sz="4" w:space="0" w:color="auto"/>
              <w:right w:val="single" w:sz="4" w:space="0" w:color="auto"/>
            </w:tcBorders>
            <w:vAlign w:val="center"/>
            <w:hideMark/>
          </w:tcPr>
          <w:p w14:paraId="0C38A199" w14:textId="77777777" w:rsidR="00BF461C" w:rsidRPr="00F70CB0" w:rsidRDefault="00BF461C" w:rsidP="00BF461C">
            <w:pPr>
              <w:spacing w:before="0" w:after="0"/>
              <w:jc w:val="center"/>
              <w:rPr>
                <w:b/>
                <w:bCs/>
                <w:color w:val="000000"/>
                <w:sz w:val="24"/>
                <w:szCs w:val="24"/>
                <w:lang w:val="en-GB" w:eastAsia="en-GB"/>
              </w:rPr>
            </w:pPr>
            <w:r w:rsidRPr="00F70CB0">
              <w:rPr>
                <w:b/>
                <w:bCs/>
                <w:color w:val="000000"/>
                <w:sz w:val="24"/>
                <w:szCs w:val="24"/>
                <w:lang w:val="en-GB" w:eastAsia="en-GB"/>
              </w:rPr>
              <w:t>Theory</w:t>
            </w:r>
          </w:p>
        </w:tc>
        <w:tc>
          <w:tcPr>
            <w:tcW w:w="1536" w:type="dxa"/>
            <w:tcBorders>
              <w:top w:val="single" w:sz="4" w:space="0" w:color="auto"/>
              <w:left w:val="nil"/>
              <w:bottom w:val="single" w:sz="4" w:space="0" w:color="auto"/>
              <w:right w:val="single" w:sz="4" w:space="0" w:color="auto"/>
            </w:tcBorders>
            <w:vAlign w:val="center"/>
            <w:hideMark/>
          </w:tcPr>
          <w:p w14:paraId="739C2865" w14:textId="77777777" w:rsidR="00BF461C" w:rsidRPr="00F70CB0" w:rsidRDefault="00BF461C" w:rsidP="00BF461C">
            <w:pPr>
              <w:spacing w:before="0" w:after="0"/>
              <w:jc w:val="center"/>
              <w:rPr>
                <w:b/>
                <w:bCs/>
                <w:color w:val="000000"/>
                <w:sz w:val="24"/>
                <w:szCs w:val="24"/>
                <w:lang w:val="en-GB" w:eastAsia="en-GB"/>
              </w:rPr>
            </w:pPr>
            <w:r w:rsidRPr="00F70CB0">
              <w:rPr>
                <w:b/>
                <w:bCs/>
                <w:color w:val="000000"/>
                <w:sz w:val="24"/>
                <w:szCs w:val="24"/>
                <w:lang w:val="en-GB" w:eastAsia="en-GB"/>
              </w:rPr>
              <w:t>Author(s)</w:t>
            </w:r>
          </w:p>
        </w:tc>
        <w:tc>
          <w:tcPr>
            <w:tcW w:w="723" w:type="dxa"/>
            <w:tcBorders>
              <w:top w:val="single" w:sz="4" w:space="0" w:color="auto"/>
              <w:left w:val="nil"/>
              <w:bottom w:val="single" w:sz="4" w:space="0" w:color="auto"/>
              <w:right w:val="single" w:sz="4" w:space="0" w:color="auto"/>
            </w:tcBorders>
            <w:vAlign w:val="center"/>
            <w:hideMark/>
          </w:tcPr>
          <w:p w14:paraId="48C6A546" w14:textId="77777777" w:rsidR="00BF461C" w:rsidRPr="00F70CB0" w:rsidRDefault="00BF461C" w:rsidP="00BF461C">
            <w:pPr>
              <w:spacing w:before="0" w:after="0"/>
              <w:jc w:val="center"/>
              <w:rPr>
                <w:b/>
                <w:bCs/>
                <w:color w:val="000000"/>
                <w:sz w:val="24"/>
                <w:szCs w:val="24"/>
                <w:lang w:val="en-GB" w:eastAsia="en-GB"/>
              </w:rPr>
            </w:pPr>
            <w:r w:rsidRPr="00F70CB0">
              <w:rPr>
                <w:b/>
                <w:bCs/>
                <w:color w:val="000000"/>
                <w:sz w:val="24"/>
                <w:szCs w:val="24"/>
                <w:lang w:val="en-GB" w:eastAsia="en-GB"/>
              </w:rPr>
              <w:t>Year</w:t>
            </w:r>
          </w:p>
        </w:tc>
        <w:tc>
          <w:tcPr>
            <w:tcW w:w="1296" w:type="dxa"/>
            <w:tcBorders>
              <w:top w:val="single" w:sz="4" w:space="0" w:color="auto"/>
              <w:left w:val="nil"/>
              <w:bottom w:val="single" w:sz="4" w:space="0" w:color="auto"/>
              <w:right w:val="single" w:sz="4" w:space="0" w:color="auto"/>
            </w:tcBorders>
            <w:vAlign w:val="center"/>
            <w:hideMark/>
          </w:tcPr>
          <w:p w14:paraId="07BF4E91" w14:textId="77777777" w:rsidR="00BF461C" w:rsidRPr="00F70CB0" w:rsidRDefault="00BF461C" w:rsidP="00BF461C">
            <w:pPr>
              <w:spacing w:before="0" w:after="0"/>
              <w:jc w:val="center"/>
              <w:rPr>
                <w:b/>
                <w:bCs/>
                <w:color w:val="000000"/>
                <w:sz w:val="24"/>
                <w:szCs w:val="24"/>
                <w:lang w:val="en-GB" w:eastAsia="en-GB"/>
              </w:rPr>
            </w:pPr>
            <w:r w:rsidRPr="00F70CB0">
              <w:rPr>
                <w:b/>
                <w:bCs/>
                <w:color w:val="000000"/>
                <w:sz w:val="24"/>
                <w:szCs w:val="24"/>
                <w:lang w:val="en-GB" w:eastAsia="en-GB"/>
              </w:rPr>
              <w:t>Key Focus</w:t>
            </w:r>
          </w:p>
        </w:tc>
        <w:tc>
          <w:tcPr>
            <w:tcW w:w="1716" w:type="dxa"/>
            <w:tcBorders>
              <w:top w:val="single" w:sz="4" w:space="0" w:color="auto"/>
              <w:left w:val="nil"/>
              <w:bottom w:val="single" w:sz="4" w:space="0" w:color="auto"/>
              <w:right w:val="single" w:sz="4" w:space="0" w:color="auto"/>
            </w:tcBorders>
            <w:vAlign w:val="center"/>
            <w:hideMark/>
          </w:tcPr>
          <w:p w14:paraId="5135C5E0" w14:textId="77777777" w:rsidR="00BF461C" w:rsidRPr="00F70CB0" w:rsidRDefault="00BF461C" w:rsidP="00BF461C">
            <w:pPr>
              <w:spacing w:before="0" w:after="0"/>
              <w:jc w:val="center"/>
              <w:rPr>
                <w:b/>
                <w:bCs/>
                <w:color w:val="000000"/>
                <w:sz w:val="24"/>
                <w:szCs w:val="24"/>
                <w:lang w:val="en-GB" w:eastAsia="en-GB"/>
              </w:rPr>
            </w:pPr>
            <w:r w:rsidRPr="00F70CB0">
              <w:rPr>
                <w:b/>
                <w:bCs/>
                <w:color w:val="000000"/>
                <w:sz w:val="24"/>
                <w:szCs w:val="24"/>
                <w:lang w:val="en-GB" w:eastAsia="en-GB"/>
              </w:rPr>
              <w:t>Key Variables</w:t>
            </w:r>
          </w:p>
        </w:tc>
        <w:tc>
          <w:tcPr>
            <w:tcW w:w="1576" w:type="dxa"/>
            <w:tcBorders>
              <w:top w:val="single" w:sz="4" w:space="0" w:color="auto"/>
              <w:left w:val="nil"/>
              <w:bottom w:val="single" w:sz="4" w:space="0" w:color="auto"/>
              <w:right w:val="single" w:sz="4" w:space="0" w:color="auto"/>
            </w:tcBorders>
            <w:vAlign w:val="center"/>
            <w:hideMark/>
          </w:tcPr>
          <w:p w14:paraId="16F4FADE" w14:textId="77777777" w:rsidR="00BF461C" w:rsidRPr="00F70CB0" w:rsidRDefault="00BF461C" w:rsidP="00BF461C">
            <w:pPr>
              <w:spacing w:before="0" w:after="0"/>
              <w:jc w:val="center"/>
              <w:rPr>
                <w:b/>
                <w:bCs/>
                <w:color w:val="000000"/>
                <w:sz w:val="24"/>
                <w:szCs w:val="24"/>
                <w:lang w:val="en-GB" w:eastAsia="en-GB"/>
              </w:rPr>
            </w:pPr>
            <w:r w:rsidRPr="00F70CB0">
              <w:rPr>
                <w:b/>
                <w:bCs/>
                <w:color w:val="000000"/>
                <w:sz w:val="24"/>
                <w:szCs w:val="24"/>
                <w:lang w:val="en-GB" w:eastAsia="en-GB"/>
              </w:rPr>
              <w:t>Contribution to Digital Banking</w:t>
            </w:r>
          </w:p>
        </w:tc>
      </w:tr>
      <w:tr w:rsidR="00BF461C" w:rsidRPr="00F70CB0" w14:paraId="3482A2A7" w14:textId="77777777" w:rsidTr="00B72A91">
        <w:trPr>
          <w:trHeight w:val="1596"/>
        </w:trPr>
        <w:tc>
          <w:tcPr>
            <w:tcW w:w="1510" w:type="dxa"/>
            <w:tcBorders>
              <w:top w:val="nil"/>
              <w:left w:val="single" w:sz="4" w:space="0" w:color="auto"/>
              <w:bottom w:val="single" w:sz="4" w:space="0" w:color="auto"/>
              <w:right w:val="single" w:sz="4" w:space="0" w:color="auto"/>
            </w:tcBorders>
            <w:vAlign w:val="center"/>
            <w:hideMark/>
          </w:tcPr>
          <w:p w14:paraId="3978BD07"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Technology Acceptance Model (TAM)</w:t>
            </w:r>
          </w:p>
        </w:tc>
        <w:tc>
          <w:tcPr>
            <w:tcW w:w="1536" w:type="dxa"/>
            <w:tcBorders>
              <w:top w:val="nil"/>
              <w:left w:val="nil"/>
              <w:bottom w:val="single" w:sz="4" w:space="0" w:color="auto"/>
              <w:right w:val="single" w:sz="4" w:space="0" w:color="auto"/>
            </w:tcBorders>
            <w:vAlign w:val="center"/>
            <w:hideMark/>
          </w:tcPr>
          <w:p w14:paraId="67F87D06"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Davis</w:t>
            </w:r>
          </w:p>
        </w:tc>
        <w:tc>
          <w:tcPr>
            <w:tcW w:w="723" w:type="dxa"/>
            <w:tcBorders>
              <w:top w:val="nil"/>
              <w:left w:val="nil"/>
              <w:bottom w:val="single" w:sz="4" w:space="0" w:color="auto"/>
              <w:right w:val="single" w:sz="4" w:space="0" w:color="auto"/>
            </w:tcBorders>
            <w:vAlign w:val="center"/>
            <w:hideMark/>
          </w:tcPr>
          <w:p w14:paraId="42E133F5" w14:textId="77777777" w:rsidR="00BF461C" w:rsidRPr="00F70CB0" w:rsidRDefault="00BF461C" w:rsidP="00BF461C">
            <w:pPr>
              <w:spacing w:before="0" w:after="0"/>
              <w:jc w:val="right"/>
              <w:rPr>
                <w:color w:val="000000"/>
                <w:sz w:val="24"/>
                <w:szCs w:val="24"/>
                <w:lang w:val="en-GB" w:eastAsia="en-GB"/>
              </w:rPr>
            </w:pPr>
            <w:r w:rsidRPr="00F70CB0">
              <w:rPr>
                <w:color w:val="000000"/>
                <w:sz w:val="24"/>
                <w:szCs w:val="24"/>
                <w:lang w:val="en-GB" w:eastAsia="en-GB"/>
              </w:rPr>
              <w:t>1989</w:t>
            </w:r>
          </w:p>
        </w:tc>
        <w:tc>
          <w:tcPr>
            <w:tcW w:w="1296" w:type="dxa"/>
            <w:tcBorders>
              <w:top w:val="nil"/>
              <w:left w:val="nil"/>
              <w:bottom w:val="single" w:sz="4" w:space="0" w:color="auto"/>
              <w:right w:val="single" w:sz="4" w:space="0" w:color="auto"/>
            </w:tcBorders>
            <w:vAlign w:val="center"/>
            <w:hideMark/>
          </w:tcPr>
          <w:p w14:paraId="5493239B"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Initial adoption</w:t>
            </w:r>
          </w:p>
        </w:tc>
        <w:tc>
          <w:tcPr>
            <w:tcW w:w="1716" w:type="dxa"/>
            <w:tcBorders>
              <w:top w:val="nil"/>
              <w:left w:val="nil"/>
              <w:bottom w:val="single" w:sz="4" w:space="0" w:color="auto"/>
              <w:right w:val="single" w:sz="4" w:space="0" w:color="auto"/>
            </w:tcBorders>
            <w:vAlign w:val="center"/>
            <w:hideMark/>
          </w:tcPr>
          <w:p w14:paraId="2BC9D6D7"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Perceived usefulness, perceived ease of use</w:t>
            </w:r>
          </w:p>
        </w:tc>
        <w:tc>
          <w:tcPr>
            <w:tcW w:w="1576" w:type="dxa"/>
            <w:tcBorders>
              <w:top w:val="nil"/>
              <w:left w:val="nil"/>
              <w:bottom w:val="single" w:sz="4" w:space="0" w:color="auto"/>
              <w:right w:val="single" w:sz="4" w:space="0" w:color="auto"/>
            </w:tcBorders>
            <w:vAlign w:val="center"/>
            <w:hideMark/>
          </w:tcPr>
          <w:p w14:paraId="7943AE4C"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Explains how users adopt digital banking services</w:t>
            </w:r>
          </w:p>
        </w:tc>
      </w:tr>
      <w:tr w:rsidR="00BF461C" w:rsidRPr="00F70CB0" w14:paraId="426C708D" w14:textId="77777777" w:rsidTr="00B72A91">
        <w:trPr>
          <w:trHeight w:val="1500"/>
        </w:trPr>
        <w:tc>
          <w:tcPr>
            <w:tcW w:w="1510" w:type="dxa"/>
            <w:tcBorders>
              <w:top w:val="nil"/>
              <w:left w:val="single" w:sz="4" w:space="0" w:color="auto"/>
              <w:bottom w:val="single" w:sz="4" w:space="0" w:color="auto"/>
              <w:right w:val="single" w:sz="4" w:space="0" w:color="auto"/>
            </w:tcBorders>
            <w:vAlign w:val="center"/>
            <w:hideMark/>
          </w:tcPr>
          <w:p w14:paraId="12A6C30D"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Extended TAM</w:t>
            </w:r>
          </w:p>
        </w:tc>
        <w:tc>
          <w:tcPr>
            <w:tcW w:w="1536" w:type="dxa"/>
            <w:tcBorders>
              <w:top w:val="nil"/>
              <w:left w:val="nil"/>
              <w:bottom w:val="single" w:sz="4" w:space="0" w:color="auto"/>
              <w:right w:val="single" w:sz="4" w:space="0" w:color="auto"/>
            </w:tcBorders>
            <w:vAlign w:val="center"/>
            <w:hideMark/>
          </w:tcPr>
          <w:p w14:paraId="22959028"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Venkatesh &amp; Davis</w:t>
            </w:r>
          </w:p>
        </w:tc>
        <w:tc>
          <w:tcPr>
            <w:tcW w:w="723" w:type="dxa"/>
            <w:tcBorders>
              <w:top w:val="nil"/>
              <w:left w:val="nil"/>
              <w:bottom w:val="single" w:sz="4" w:space="0" w:color="auto"/>
              <w:right w:val="single" w:sz="4" w:space="0" w:color="auto"/>
            </w:tcBorders>
            <w:vAlign w:val="center"/>
            <w:hideMark/>
          </w:tcPr>
          <w:p w14:paraId="5EC81E7A" w14:textId="77777777" w:rsidR="00BF461C" w:rsidRPr="00F70CB0" w:rsidRDefault="00BF461C" w:rsidP="00BF461C">
            <w:pPr>
              <w:spacing w:before="0" w:after="0"/>
              <w:jc w:val="right"/>
              <w:rPr>
                <w:color w:val="000000"/>
                <w:sz w:val="24"/>
                <w:szCs w:val="24"/>
                <w:lang w:val="en-GB" w:eastAsia="en-GB"/>
              </w:rPr>
            </w:pPr>
            <w:r w:rsidRPr="00F70CB0">
              <w:rPr>
                <w:color w:val="000000"/>
                <w:sz w:val="24"/>
                <w:szCs w:val="24"/>
                <w:lang w:val="en-GB" w:eastAsia="en-GB"/>
              </w:rPr>
              <w:t>2000</w:t>
            </w:r>
          </w:p>
        </w:tc>
        <w:tc>
          <w:tcPr>
            <w:tcW w:w="1296" w:type="dxa"/>
            <w:tcBorders>
              <w:top w:val="nil"/>
              <w:left w:val="nil"/>
              <w:bottom w:val="single" w:sz="4" w:space="0" w:color="auto"/>
              <w:right w:val="single" w:sz="4" w:space="0" w:color="auto"/>
            </w:tcBorders>
            <w:vAlign w:val="center"/>
            <w:hideMark/>
          </w:tcPr>
          <w:p w14:paraId="3E462741"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Extension of TAM</w:t>
            </w:r>
          </w:p>
        </w:tc>
        <w:tc>
          <w:tcPr>
            <w:tcW w:w="1716" w:type="dxa"/>
            <w:tcBorders>
              <w:top w:val="nil"/>
              <w:left w:val="nil"/>
              <w:bottom w:val="single" w:sz="4" w:space="0" w:color="auto"/>
              <w:right w:val="single" w:sz="4" w:space="0" w:color="auto"/>
            </w:tcBorders>
            <w:vAlign w:val="center"/>
            <w:hideMark/>
          </w:tcPr>
          <w:p w14:paraId="245CC8E6"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Social influence, cognitive factors</w:t>
            </w:r>
          </w:p>
        </w:tc>
        <w:tc>
          <w:tcPr>
            <w:tcW w:w="1576" w:type="dxa"/>
            <w:tcBorders>
              <w:top w:val="nil"/>
              <w:left w:val="nil"/>
              <w:bottom w:val="single" w:sz="4" w:space="0" w:color="auto"/>
              <w:right w:val="single" w:sz="4" w:space="0" w:color="auto"/>
            </w:tcBorders>
            <w:vAlign w:val="center"/>
            <w:hideMark/>
          </w:tcPr>
          <w:p w14:paraId="1693E2B1" w14:textId="4CD522AA"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 xml:space="preserve">Improves understanding of adoption in </w:t>
            </w:r>
            <w:r w:rsidR="00271928">
              <w:rPr>
                <w:color w:val="000000"/>
                <w:sz w:val="24"/>
                <w:szCs w:val="24"/>
                <w:lang w:val="en-GB" w:eastAsia="en-GB"/>
              </w:rPr>
              <w:t xml:space="preserve">a </w:t>
            </w:r>
            <w:r w:rsidRPr="00F70CB0">
              <w:rPr>
                <w:color w:val="000000"/>
                <w:sz w:val="24"/>
                <w:szCs w:val="24"/>
                <w:lang w:val="en-GB" w:eastAsia="en-GB"/>
              </w:rPr>
              <w:t>social context</w:t>
            </w:r>
          </w:p>
        </w:tc>
      </w:tr>
      <w:tr w:rsidR="00BF461C" w:rsidRPr="00F70CB0" w14:paraId="14B0D848" w14:textId="77777777" w:rsidTr="00B72A91">
        <w:trPr>
          <w:trHeight w:val="2412"/>
        </w:trPr>
        <w:tc>
          <w:tcPr>
            <w:tcW w:w="1510" w:type="dxa"/>
            <w:tcBorders>
              <w:top w:val="nil"/>
              <w:left w:val="single" w:sz="4" w:space="0" w:color="auto"/>
              <w:bottom w:val="single" w:sz="4" w:space="0" w:color="auto"/>
              <w:right w:val="single" w:sz="4" w:space="0" w:color="auto"/>
            </w:tcBorders>
            <w:vAlign w:val="center"/>
            <w:hideMark/>
          </w:tcPr>
          <w:p w14:paraId="5526994D"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UTAUT</w:t>
            </w:r>
          </w:p>
        </w:tc>
        <w:tc>
          <w:tcPr>
            <w:tcW w:w="1536" w:type="dxa"/>
            <w:tcBorders>
              <w:top w:val="nil"/>
              <w:left w:val="nil"/>
              <w:bottom w:val="single" w:sz="4" w:space="0" w:color="auto"/>
              <w:right w:val="single" w:sz="4" w:space="0" w:color="auto"/>
            </w:tcBorders>
            <w:vAlign w:val="center"/>
            <w:hideMark/>
          </w:tcPr>
          <w:p w14:paraId="44D41522"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Venkatesh et al.</w:t>
            </w:r>
          </w:p>
        </w:tc>
        <w:tc>
          <w:tcPr>
            <w:tcW w:w="723" w:type="dxa"/>
            <w:tcBorders>
              <w:top w:val="nil"/>
              <w:left w:val="nil"/>
              <w:bottom w:val="single" w:sz="4" w:space="0" w:color="auto"/>
              <w:right w:val="single" w:sz="4" w:space="0" w:color="auto"/>
            </w:tcBorders>
            <w:vAlign w:val="center"/>
            <w:hideMark/>
          </w:tcPr>
          <w:p w14:paraId="173BA45A" w14:textId="77777777" w:rsidR="00BF461C" w:rsidRPr="00F70CB0" w:rsidRDefault="00BF461C" w:rsidP="00BF461C">
            <w:pPr>
              <w:spacing w:before="0" w:after="0"/>
              <w:jc w:val="right"/>
              <w:rPr>
                <w:color w:val="000000"/>
                <w:sz w:val="24"/>
                <w:szCs w:val="24"/>
                <w:lang w:val="en-GB" w:eastAsia="en-GB"/>
              </w:rPr>
            </w:pPr>
            <w:r w:rsidRPr="00F70CB0">
              <w:rPr>
                <w:color w:val="000000"/>
                <w:sz w:val="24"/>
                <w:szCs w:val="24"/>
                <w:lang w:val="en-GB" w:eastAsia="en-GB"/>
              </w:rPr>
              <w:t>2003</w:t>
            </w:r>
          </w:p>
        </w:tc>
        <w:tc>
          <w:tcPr>
            <w:tcW w:w="1296" w:type="dxa"/>
            <w:tcBorders>
              <w:top w:val="nil"/>
              <w:left w:val="nil"/>
              <w:bottom w:val="single" w:sz="4" w:space="0" w:color="auto"/>
              <w:right w:val="single" w:sz="4" w:space="0" w:color="auto"/>
            </w:tcBorders>
            <w:vAlign w:val="center"/>
            <w:hideMark/>
          </w:tcPr>
          <w:p w14:paraId="661CD2DB"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Adoption with context</w:t>
            </w:r>
          </w:p>
        </w:tc>
        <w:tc>
          <w:tcPr>
            <w:tcW w:w="1716" w:type="dxa"/>
            <w:tcBorders>
              <w:top w:val="nil"/>
              <w:left w:val="nil"/>
              <w:bottom w:val="single" w:sz="4" w:space="0" w:color="auto"/>
              <w:right w:val="single" w:sz="4" w:space="0" w:color="auto"/>
            </w:tcBorders>
            <w:vAlign w:val="center"/>
            <w:hideMark/>
          </w:tcPr>
          <w:p w14:paraId="7AD2044E"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Performance expectancy, effort expectancy, social influence, facilitating conditions</w:t>
            </w:r>
          </w:p>
        </w:tc>
        <w:tc>
          <w:tcPr>
            <w:tcW w:w="1576" w:type="dxa"/>
            <w:tcBorders>
              <w:top w:val="nil"/>
              <w:left w:val="nil"/>
              <w:bottom w:val="single" w:sz="4" w:space="0" w:color="auto"/>
              <w:right w:val="single" w:sz="4" w:space="0" w:color="auto"/>
            </w:tcBorders>
            <w:vAlign w:val="center"/>
            <w:hideMark/>
          </w:tcPr>
          <w:p w14:paraId="65FC21FD"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Explains user intention considering social and technical factors</w:t>
            </w:r>
          </w:p>
        </w:tc>
      </w:tr>
      <w:tr w:rsidR="00BF461C" w:rsidRPr="00F70CB0" w14:paraId="49255703" w14:textId="77777777" w:rsidTr="00B72A91">
        <w:trPr>
          <w:trHeight w:val="1632"/>
        </w:trPr>
        <w:tc>
          <w:tcPr>
            <w:tcW w:w="1510" w:type="dxa"/>
            <w:tcBorders>
              <w:top w:val="nil"/>
              <w:left w:val="single" w:sz="4" w:space="0" w:color="auto"/>
              <w:bottom w:val="single" w:sz="4" w:space="0" w:color="auto"/>
              <w:right w:val="single" w:sz="4" w:space="0" w:color="auto"/>
            </w:tcBorders>
            <w:vAlign w:val="center"/>
            <w:hideMark/>
          </w:tcPr>
          <w:p w14:paraId="5F65EED0"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lastRenderedPageBreak/>
              <w:t>Expectation Confirmation Model (ECM)</w:t>
            </w:r>
          </w:p>
        </w:tc>
        <w:tc>
          <w:tcPr>
            <w:tcW w:w="1536" w:type="dxa"/>
            <w:tcBorders>
              <w:top w:val="nil"/>
              <w:left w:val="nil"/>
              <w:bottom w:val="single" w:sz="4" w:space="0" w:color="auto"/>
              <w:right w:val="single" w:sz="4" w:space="0" w:color="auto"/>
            </w:tcBorders>
            <w:vAlign w:val="center"/>
            <w:hideMark/>
          </w:tcPr>
          <w:p w14:paraId="6487854A" w14:textId="77777777" w:rsidR="00BF461C" w:rsidRPr="00F70CB0" w:rsidRDefault="00BF461C" w:rsidP="00BF461C">
            <w:pPr>
              <w:spacing w:before="0" w:after="0"/>
              <w:rPr>
                <w:color w:val="000000"/>
                <w:sz w:val="24"/>
                <w:szCs w:val="24"/>
                <w:lang w:val="en-GB" w:eastAsia="en-GB"/>
              </w:rPr>
            </w:pPr>
            <w:proofErr w:type="spellStart"/>
            <w:r w:rsidRPr="00F70CB0">
              <w:rPr>
                <w:color w:val="000000"/>
                <w:sz w:val="24"/>
                <w:szCs w:val="24"/>
                <w:lang w:val="en-GB" w:eastAsia="en-GB"/>
              </w:rPr>
              <w:t>Bhattacherjee</w:t>
            </w:r>
            <w:proofErr w:type="spellEnd"/>
          </w:p>
        </w:tc>
        <w:tc>
          <w:tcPr>
            <w:tcW w:w="723" w:type="dxa"/>
            <w:tcBorders>
              <w:top w:val="nil"/>
              <w:left w:val="nil"/>
              <w:bottom w:val="single" w:sz="4" w:space="0" w:color="auto"/>
              <w:right w:val="single" w:sz="4" w:space="0" w:color="auto"/>
            </w:tcBorders>
            <w:vAlign w:val="center"/>
            <w:hideMark/>
          </w:tcPr>
          <w:p w14:paraId="3E115F05" w14:textId="77777777" w:rsidR="00BF461C" w:rsidRPr="00F70CB0" w:rsidRDefault="00BF461C" w:rsidP="00BF461C">
            <w:pPr>
              <w:spacing w:before="0" w:after="0"/>
              <w:jc w:val="right"/>
              <w:rPr>
                <w:color w:val="000000"/>
                <w:sz w:val="24"/>
                <w:szCs w:val="24"/>
                <w:lang w:val="en-GB" w:eastAsia="en-GB"/>
              </w:rPr>
            </w:pPr>
            <w:r w:rsidRPr="00F70CB0">
              <w:rPr>
                <w:color w:val="000000"/>
                <w:sz w:val="24"/>
                <w:szCs w:val="24"/>
                <w:lang w:val="en-GB" w:eastAsia="en-GB"/>
              </w:rPr>
              <w:t>2001</w:t>
            </w:r>
          </w:p>
        </w:tc>
        <w:tc>
          <w:tcPr>
            <w:tcW w:w="1296" w:type="dxa"/>
            <w:tcBorders>
              <w:top w:val="nil"/>
              <w:left w:val="nil"/>
              <w:bottom w:val="single" w:sz="4" w:space="0" w:color="auto"/>
              <w:right w:val="single" w:sz="4" w:space="0" w:color="auto"/>
            </w:tcBorders>
            <w:vAlign w:val="center"/>
            <w:hideMark/>
          </w:tcPr>
          <w:p w14:paraId="3B771550"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Post-adoption behaviour</w:t>
            </w:r>
          </w:p>
        </w:tc>
        <w:tc>
          <w:tcPr>
            <w:tcW w:w="1716" w:type="dxa"/>
            <w:tcBorders>
              <w:top w:val="nil"/>
              <w:left w:val="nil"/>
              <w:bottom w:val="single" w:sz="4" w:space="0" w:color="auto"/>
              <w:right w:val="single" w:sz="4" w:space="0" w:color="auto"/>
            </w:tcBorders>
            <w:vAlign w:val="center"/>
            <w:hideMark/>
          </w:tcPr>
          <w:p w14:paraId="62797760"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Satisfaction, confirmation, perceived usefulness</w:t>
            </w:r>
          </w:p>
        </w:tc>
        <w:tc>
          <w:tcPr>
            <w:tcW w:w="1576" w:type="dxa"/>
            <w:tcBorders>
              <w:top w:val="nil"/>
              <w:left w:val="nil"/>
              <w:bottom w:val="single" w:sz="4" w:space="0" w:color="auto"/>
              <w:right w:val="single" w:sz="4" w:space="0" w:color="auto"/>
            </w:tcBorders>
            <w:vAlign w:val="center"/>
            <w:hideMark/>
          </w:tcPr>
          <w:p w14:paraId="68E58B7E"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Explains continuance intention and long-term usage</w:t>
            </w:r>
          </w:p>
        </w:tc>
      </w:tr>
      <w:tr w:rsidR="00BF461C" w:rsidRPr="00F70CB0" w14:paraId="6ACC5102" w14:textId="77777777" w:rsidTr="00B72A91">
        <w:trPr>
          <w:trHeight w:val="1776"/>
        </w:trPr>
        <w:tc>
          <w:tcPr>
            <w:tcW w:w="1510" w:type="dxa"/>
            <w:tcBorders>
              <w:top w:val="single" w:sz="4" w:space="0" w:color="auto"/>
              <w:left w:val="single" w:sz="4" w:space="0" w:color="auto"/>
              <w:bottom w:val="single" w:sz="4" w:space="0" w:color="auto"/>
              <w:right w:val="single" w:sz="4" w:space="0" w:color="auto"/>
            </w:tcBorders>
            <w:vAlign w:val="center"/>
            <w:hideMark/>
          </w:tcPr>
          <w:p w14:paraId="3887D9B1"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Trust &amp; Risk Framework</w:t>
            </w:r>
          </w:p>
        </w:tc>
        <w:tc>
          <w:tcPr>
            <w:tcW w:w="1536" w:type="dxa"/>
            <w:tcBorders>
              <w:top w:val="single" w:sz="4" w:space="0" w:color="auto"/>
              <w:left w:val="nil"/>
              <w:bottom w:val="single" w:sz="4" w:space="0" w:color="auto"/>
              <w:right w:val="single" w:sz="4" w:space="0" w:color="auto"/>
            </w:tcBorders>
            <w:vAlign w:val="center"/>
            <w:hideMark/>
          </w:tcPr>
          <w:p w14:paraId="4EB73FB4"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Various authors</w:t>
            </w:r>
          </w:p>
        </w:tc>
        <w:tc>
          <w:tcPr>
            <w:tcW w:w="723" w:type="dxa"/>
            <w:tcBorders>
              <w:top w:val="single" w:sz="4" w:space="0" w:color="auto"/>
              <w:left w:val="nil"/>
              <w:bottom w:val="single" w:sz="4" w:space="0" w:color="auto"/>
              <w:right w:val="single" w:sz="4" w:space="0" w:color="auto"/>
            </w:tcBorders>
            <w:vAlign w:val="center"/>
            <w:hideMark/>
          </w:tcPr>
          <w:p w14:paraId="6713C583"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w:t>
            </w:r>
          </w:p>
        </w:tc>
        <w:tc>
          <w:tcPr>
            <w:tcW w:w="1296" w:type="dxa"/>
            <w:tcBorders>
              <w:top w:val="single" w:sz="4" w:space="0" w:color="auto"/>
              <w:left w:val="nil"/>
              <w:bottom w:val="single" w:sz="4" w:space="0" w:color="auto"/>
              <w:right w:val="single" w:sz="4" w:space="0" w:color="auto"/>
            </w:tcBorders>
            <w:vAlign w:val="center"/>
            <w:hideMark/>
          </w:tcPr>
          <w:p w14:paraId="7C8D2CB8"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Security and uncertainty</w:t>
            </w:r>
          </w:p>
        </w:tc>
        <w:tc>
          <w:tcPr>
            <w:tcW w:w="1716" w:type="dxa"/>
            <w:tcBorders>
              <w:top w:val="single" w:sz="4" w:space="0" w:color="auto"/>
              <w:left w:val="nil"/>
              <w:bottom w:val="single" w:sz="4" w:space="0" w:color="auto"/>
              <w:right w:val="single" w:sz="4" w:space="0" w:color="auto"/>
            </w:tcBorders>
            <w:vAlign w:val="center"/>
            <w:hideMark/>
          </w:tcPr>
          <w:p w14:paraId="4EF991E5"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Trust, perceived risk, privacy, security</w:t>
            </w:r>
          </w:p>
        </w:tc>
        <w:tc>
          <w:tcPr>
            <w:tcW w:w="1576" w:type="dxa"/>
            <w:tcBorders>
              <w:top w:val="single" w:sz="4" w:space="0" w:color="auto"/>
              <w:left w:val="nil"/>
              <w:bottom w:val="single" w:sz="4" w:space="0" w:color="auto"/>
              <w:right w:val="single" w:sz="4" w:space="0" w:color="auto"/>
            </w:tcBorders>
            <w:vAlign w:val="center"/>
            <w:hideMark/>
          </w:tcPr>
          <w:p w14:paraId="575ECC31"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Explains user confidence and risk perception in digital banking</w:t>
            </w:r>
          </w:p>
        </w:tc>
      </w:tr>
      <w:tr w:rsidR="00BF461C" w:rsidRPr="00F70CB0" w14:paraId="38CFD061" w14:textId="77777777" w:rsidTr="00B72A91">
        <w:trPr>
          <w:trHeight w:val="1464"/>
        </w:trPr>
        <w:tc>
          <w:tcPr>
            <w:tcW w:w="1510" w:type="dxa"/>
            <w:tcBorders>
              <w:top w:val="nil"/>
              <w:left w:val="single" w:sz="4" w:space="0" w:color="auto"/>
              <w:bottom w:val="single" w:sz="4" w:space="0" w:color="auto"/>
              <w:right w:val="single" w:sz="4" w:space="0" w:color="auto"/>
            </w:tcBorders>
            <w:vAlign w:val="center"/>
            <w:hideMark/>
          </w:tcPr>
          <w:p w14:paraId="3B4CB86E"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E-Service Quality (E-S-QUAL)</w:t>
            </w:r>
          </w:p>
        </w:tc>
        <w:tc>
          <w:tcPr>
            <w:tcW w:w="1536" w:type="dxa"/>
            <w:tcBorders>
              <w:top w:val="nil"/>
              <w:left w:val="nil"/>
              <w:bottom w:val="single" w:sz="4" w:space="0" w:color="auto"/>
              <w:right w:val="single" w:sz="4" w:space="0" w:color="auto"/>
            </w:tcBorders>
            <w:vAlign w:val="center"/>
            <w:hideMark/>
          </w:tcPr>
          <w:p w14:paraId="094C33CC"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Parasuraman et al.</w:t>
            </w:r>
          </w:p>
        </w:tc>
        <w:tc>
          <w:tcPr>
            <w:tcW w:w="723" w:type="dxa"/>
            <w:tcBorders>
              <w:top w:val="nil"/>
              <w:left w:val="nil"/>
              <w:bottom w:val="single" w:sz="4" w:space="0" w:color="auto"/>
              <w:right w:val="single" w:sz="4" w:space="0" w:color="auto"/>
            </w:tcBorders>
            <w:vAlign w:val="center"/>
            <w:hideMark/>
          </w:tcPr>
          <w:p w14:paraId="4B6BD8CC" w14:textId="77777777" w:rsidR="00BF461C" w:rsidRPr="00F70CB0" w:rsidRDefault="00BF461C" w:rsidP="00BF461C">
            <w:pPr>
              <w:spacing w:before="0" w:after="0"/>
              <w:jc w:val="right"/>
              <w:rPr>
                <w:color w:val="000000"/>
                <w:sz w:val="24"/>
                <w:szCs w:val="24"/>
                <w:lang w:val="en-GB" w:eastAsia="en-GB"/>
              </w:rPr>
            </w:pPr>
            <w:r w:rsidRPr="00F70CB0">
              <w:rPr>
                <w:color w:val="000000"/>
                <w:sz w:val="24"/>
                <w:szCs w:val="24"/>
                <w:lang w:val="en-GB" w:eastAsia="en-GB"/>
              </w:rPr>
              <w:t>2005</w:t>
            </w:r>
          </w:p>
        </w:tc>
        <w:tc>
          <w:tcPr>
            <w:tcW w:w="1296" w:type="dxa"/>
            <w:tcBorders>
              <w:top w:val="nil"/>
              <w:left w:val="nil"/>
              <w:bottom w:val="single" w:sz="4" w:space="0" w:color="auto"/>
              <w:right w:val="single" w:sz="4" w:space="0" w:color="auto"/>
            </w:tcBorders>
            <w:vAlign w:val="center"/>
            <w:hideMark/>
          </w:tcPr>
          <w:p w14:paraId="0368F317"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Digital service quality</w:t>
            </w:r>
          </w:p>
        </w:tc>
        <w:tc>
          <w:tcPr>
            <w:tcW w:w="1716" w:type="dxa"/>
            <w:tcBorders>
              <w:top w:val="nil"/>
              <w:left w:val="nil"/>
              <w:bottom w:val="single" w:sz="4" w:space="0" w:color="auto"/>
              <w:right w:val="single" w:sz="4" w:space="0" w:color="auto"/>
            </w:tcBorders>
            <w:vAlign w:val="center"/>
            <w:hideMark/>
          </w:tcPr>
          <w:p w14:paraId="6C4258D3"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Reliability, responsiveness, efficiency, privacy</w:t>
            </w:r>
          </w:p>
        </w:tc>
        <w:tc>
          <w:tcPr>
            <w:tcW w:w="1576" w:type="dxa"/>
            <w:tcBorders>
              <w:top w:val="nil"/>
              <w:left w:val="nil"/>
              <w:bottom w:val="single" w:sz="4" w:space="0" w:color="auto"/>
              <w:right w:val="single" w:sz="4" w:space="0" w:color="auto"/>
            </w:tcBorders>
            <w:vAlign w:val="center"/>
            <w:hideMark/>
          </w:tcPr>
          <w:p w14:paraId="48567B95" w14:textId="77777777" w:rsidR="00BF461C" w:rsidRPr="00F70CB0" w:rsidRDefault="00BF461C" w:rsidP="00BF461C">
            <w:pPr>
              <w:spacing w:before="0" w:after="0"/>
              <w:rPr>
                <w:color w:val="000000"/>
                <w:sz w:val="24"/>
                <w:szCs w:val="24"/>
                <w:lang w:val="en-GB" w:eastAsia="en-GB"/>
              </w:rPr>
            </w:pPr>
            <w:r w:rsidRPr="00F70CB0">
              <w:rPr>
                <w:color w:val="000000"/>
                <w:sz w:val="24"/>
                <w:szCs w:val="24"/>
                <w:lang w:val="en-GB" w:eastAsia="en-GB"/>
              </w:rPr>
              <w:t>Explains customer satisfaction and experience</w:t>
            </w:r>
          </w:p>
        </w:tc>
      </w:tr>
    </w:tbl>
    <w:p w14:paraId="5E91CE85" w14:textId="0138A5ED" w:rsidR="00BF461C" w:rsidRPr="00F70CB0" w:rsidRDefault="00B72A91" w:rsidP="0036012E">
      <w:pPr>
        <w:jc w:val="both"/>
        <w:rPr>
          <w:sz w:val="24"/>
          <w:szCs w:val="24"/>
        </w:rPr>
      </w:pPr>
      <w:r w:rsidRPr="00F70CB0">
        <w:rPr>
          <w:sz w:val="24"/>
          <w:szCs w:val="24"/>
        </w:rPr>
        <w:t xml:space="preserve">The evolution of these models </w:t>
      </w:r>
      <w:r w:rsidR="00FB3FEE" w:rsidRPr="00F70CB0">
        <w:rPr>
          <w:sz w:val="24"/>
          <w:szCs w:val="24"/>
        </w:rPr>
        <w:t>shows</w:t>
      </w:r>
      <w:r w:rsidRPr="00F70CB0">
        <w:rPr>
          <w:sz w:val="24"/>
          <w:szCs w:val="24"/>
        </w:rPr>
        <w:t xml:space="preserve"> a clear shift from technology-focused adoption frameworks </w:t>
      </w:r>
      <w:r w:rsidR="00FB3FEE">
        <w:rPr>
          <w:sz w:val="24"/>
          <w:szCs w:val="24"/>
        </w:rPr>
        <w:t>to</w:t>
      </w:r>
      <w:r w:rsidRPr="00F70CB0">
        <w:rPr>
          <w:sz w:val="24"/>
          <w:szCs w:val="24"/>
        </w:rPr>
        <w:t xml:space="preserve"> </w:t>
      </w:r>
      <w:r w:rsidR="00295174">
        <w:rPr>
          <w:sz w:val="24"/>
          <w:szCs w:val="24"/>
        </w:rPr>
        <w:t>broader</w:t>
      </w:r>
      <w:r w:rsidRPr="00F70CB0">
        <w:rPr>
          <w:sz w:val="24"/>
          <w:szCs w:val="24"/>
        </w:rPr>
        <w:t xml:space="preserve"> approaches incorporating behavioural and experiential factors. However, the continued separation of these perspectives highlights a persistent lack of theoretical </w:t>
      </w:r>
      <w:r w:rsidR="007C5F8C" w:rsidRPr="00F70CB0">
        <w:rPr>
          <w:sz w:val="24"/>
          <w:szCs w:val="24"/>
        </w:rPr>
        <w:t>incorporation</w:t>
      </w:r>
      <w:r w:rsidRPr="00F70CB0">
        <w:rPr>
          <w:sz w:val="24"/>
          <w:szCs w:val="24"/>
        </w:rPr>
        <w:t xml:space="preserve">, reinforcing the need for a </w:t>
      </w:r>
      <w:r w:rsidR="007C5F8C" w:rsidRPr="00F70CB0">
        <w:rPr>
          <w:sz w:val="24"/>
          <w:szCs w:val="24"/>
        </w:rPr>
        <w:t>cohesive</w:t>
      </w:r>
      <w:r w:rsidRPr="00F70CB0">
        <w:rPr>
          <w:sz w:val="24"/>
          <w:szCs w:val="24"/>
        </w:rPr>
        <w:t xml:space="preserve"> framework capable of explaining both adoption and continuance within a single conceptual structure.</w:t>
      </w:r>
    </w:p>
    <w:p w14:paraId="051AA0D0" w14:textId="456304CC" w:rsidR="00A136F5" w:rsidRPr="00F70CB0" w:rsidRDefault="00667AB7" w:rsidP="00515456">
      <w:pPr>
        <w:pStyle w:val="Heading1"/>
        <w:rPr>
          <w:rFonts w:ascii="Times New Roman" w:hAnsi="Times New Roman" w:cs="Times New Roman"/>
          <w:sz w:val="32"/>
          <w:szCs w:val="32"/>
        </w:rPr>
      </w:pPr>
      <w:bookmarkStart w:id="35" w:name="_Toc227353503"/>
      <w:r w:rsidRPr="00F70CB0">
        <w:rPr>
          <w:rFonts w:ascii="Times New Roman" w:hAnsi="Times New Roman" w:cs="Times New Roman"/>
          <w:sz w:val="32"/>
          <w:szCs w:val="32"/>
        </w:rPr>
        <w:t>3.</w:t>
      </w:r>
      <w:r w:rsidR="00F9357A" w:rsidRPr="00F70CB0">
        <w:rPr>
          <w:rFonts w:ascii="Times New Roman" w:hAnsi="Times New Roman" w:cs="Times New Roman"/>
          <w:sz w:val="32"/>
          <w:szCs w:val="32"/>
        </w:rPr>
        <w:t>4</w:t>
      </w:r>
      <w:r w:rsidRPr="00F70CB0">
        <w:rPr>
          <w:rFonts w:ascii="Times New Roman" w:hAnsi="Times New Roman" w:cs="Times New Roman"/>
          <w:sz w:val="32"/>
          <w:szCs w:val="32"/>
        </w:rPr>
        <w:t xml:space="preserve"> </w:t>
      </w:r>
      <w:r w:rsidR="0091552F" w:rsidRPr="00F70CB0">
        <w:rPr>
          <w:rFonts w:ascii="Times New Roman" w:hAnsi="Times New Roman" w:cs="Times New Roman"/>
          <w:sz w:val="32"/>
          <w:szCs w:val="32"/>
          <w:lang w:val="en-AU"/>
        </w:rPr>
        <w:t>Empirical Evidence from Existing Studies</w:t>
      </w:r>
      <w:bookmarkEnd w:id="35"/>
    </w:p>
    <w:p w14:paraId="69EC796E" w14:textId="3204F543" w:rsidR="00F30726" w:rsidRPr="00F70CB0" w:rsidRDefault="00667AB7" w:rsidP="00515456">
      <w:pPr>
        <w:pStyle w:val="Heading1"/>
        <w:rPr>
          <w:rFonts w:ascii="Times New Roman" w:hAnsi="Times New Roman" w:cs="Times New Roman"/>
          <w:sz w:val="28"/>
          <w:szCs w:val="28"/>
        </w:rPr>
      </w:pPr>
      <w:bookmarkStart w:id="36" w:name="_Toc227353504"/>
      <w:r w:rsidRPr="00F70CB0">
        <w:rPr>
          <w:rFonts w:ascii="Times New Roman" w:hAnsi="Times New Roman" w:cs="Times New Roman"/>
          <w:sz w:val="28"/>
          <w:szCs w:val="28"/>
        </w:rPr>
        <w:t>3.</w:t>
      </w:r>
      <w:r w:rsidR="00F9357A" w:rsidRPr="00F70CB0">
        <w:rPr>
          <w:rFonts w:ascii="Times New Roman" w:hAnsi="Times New Roman" w:cs="Times New Roman"/>
          <w:sz w:val="28"/>
          <w:szCs w:val="28"/>
        </w:rPr>
        <w:t>4</w:t>
      </w:r>
      <w:r w:rsidRPr="00F70CB0">
        <w:rPr>
          <w:rFonts w:ascii="Times New Roman" w:hAnsi="Times New Roman" w:cs="Times New Roman"/>
          <w:sz w:val="28"/>
          <w:szCs w:val="28"/>
        </w:rPr>
        <w:t xml:space="preserve">.1 </w:t>
      </w:r>
      <w:r w:rsidR="00575301" w:rsidRPr="00F70CB0">
        <w:rPr>
          <w:rFonts w:ascii="Times New Roman" w:hAnsi="Times New Roman" w:cs="Times New Roman"/>
          <w:sz w:val="28"/>
          <w:szCs w:val="28"/>
        </w:rPr>
        <w:t xml:space="preserve">Service Quality-Preferences </w:t>
      </w:r>
      <w:r w:rsidR="00C474F9" w:rsidRPr="00F70CB0">
        <w:rPr>
          <w:rFonts w:ascii="Times New Roman" w:hAnsi="Times New Roman" w:cs="Times New Roman"/>
          <w:sz w:val="28"/>
          <w:szCs w:val="28"/>
        </w:rPr>
        <w:t xml:space="preserve">&amp; </w:t>
      </w:r>
      <w:r w:rsidR="00575301" w:rsidRPr="00F70CB0">
        <w:rPr>
          <w:rFonts w:ascii="Times New Roman" w:hAnsi="Times New Roman" w:cs="Times New Roman"/>
          <w:sz w:val="28"/>
          <w:szCs w:val="28"/>
        </w:rPr>
        <w:t>Usage</w:t>
      </w:r>
      <w:bookmarkEnd w:id="36"/>
    </w:p>
    <w:p w14:paraId="1038CF16" w14:textId="63E0E004" w:rsidR="00F45CDB" w:rsidRPr="00F70CB0" w:rsidRDefault="00F45CDB" w:rsidP="00F45CDB">
      <w:pPr>
        <w:jc w:val="both"/>
        <w:rPr>
          <w:sz w:val="24"/>
          <w:szCs w:val="24"/>
          <w:lang w:val="en-GB" w:eastAsia="en-US"/>
        </w:rPr>
      </w:pPr>
      <w:r w:rsidRPr="00F70CB0">
        <w:rPr>
          <w:sz w:val="24"/>
          <w:szCs w:val="24"/>
          <w:lang w:val="en-GB" w:eastAsia="en-US"/>
        </w:rPr>
        <w:t xml:space="preserve">Empirical research in digital banking </w:t>
      </w:r>
      <w:r w:rsidR="00677E3B" w:rsidRPr="00F70CB0">
        <w:rPr>
          <w:sz w:val="24"/>
          <w:szCs w:val="24"/>
          <w:lang w:val="en-GB" w:eastAsia="en-US"/>
        </w:rPr>
        <w:t>steadily</w:t>
      </w:r>
      <w:r w:rsidRPr="00F70CB0">
        <w:rPr>
          <w:sz w:val="24"/>
          <w:szCs w:val="24"/>
          <w:lang w:val="en-GB" w:eastAsia="en-US"/>
        </w:rPr>
        <w:t xml:space="preserve"> identifies service quality as a critical determinant of customer satisfaction and behavioural outcomes. Core dimensions such as reliability, responsiveness, efficiency, and system quality have been shown to </w:t>
      </w:r>
      <w:r w:rsidR="00677E3B" w:rsidRPr="00F70CB0">
        <w:rPr>
          <w:sz w:val="24"/>
          <w:szCs w:val="24"/>
          <w:lang w:val="en-GB" w:eastAsia="en-US"/>
        </w:rPr>
        <w:t>drastically</w:t>
      </w:r>
      <w:r w:rsidRPr="00F70CB0">
        <w:rPr>
          <w:sz w:val="24"/>
          <w:szCs w:val="24"/>
          <w:lang w:val="en-GB" w:eastAsia="en-US"/>
        </w:rPr>
        <w:t xml:space="preserve"> influence users’ evaluations of digital banking services. </w:t>
      </w:r>
      <w:r w:rsidR="00677E3B" w:rsidRPr="00F70CB0">
        <w:rPr>
          <w:sz w:val="24"/>
          <w:szCs w:val="24"/>
          <w:lang w:val="en-GB" w:eastAsia="en-US"/>
        </w:rPr>
        <w:t>Elevated</w:t>
      </w:r>
      <w:r w:rsidRPr="00F70CB0">
        <w:rPr>
          <w:sz w:val="24"/>
          <w:szCs w:val="24"/>
          <w:lang w:val="en-GB" w:eastAsia="en-US"/>
        </w:rPr>
        <w:t xml:space="preserve"> levels of perceived service quality are </w:t>
      </w:r>
      <w:r w:rsidR="00677E3B" w:rsidRPr="00F70CB0">
        <w:rPr>
          <w:sz w:val="24"/>
          <w:szCs w:val="24"/>
          <w:lang w:val="en-GB" w:eastAsia="en-US"/>
        </w:rPr>
        <w:t>correlated</w:t>
      </w:r>
      <w:r w:rsidRPr="00F70CB0">
        <w:rPr>
          <w:sz w:val="24"/>
          <w:szCs w:val="24"/>
          <w:lang w:val="en-GB" w:eastAsia="en-US"/>
        </w:rPr>
        <w:t xml:space="preserve"> with increased customer satisfaction, which in turn enhances continuance intention and customer loyalty. This relationship is </w:t>
      </w:r>
      <w:r w:rsidR="00677E3B" w:rsidRPr="00F70CB0">
        <w:rPr>
          <w:sz w:val="24"/>
          <w:szCs w:val="24"/>
          <w:lang w:val="en-GB" w:eastAsia="en-US"/>
        </w:rPr>
        <w:t>extensively</w:t>
      </w:r>
      <w:r w:rsidRPr="00F70CB0">
        <w:rPr>
          <w:sz w:val="24"/>
          <w:szCs w:val="24"/>
          <w:lang w:val="en-GB" w:eastAsia="en-US"/>
        </w:rPr>
        <w:t xml:space="preserve"> supported across the literature, </w:t>
      </w:r>
      <w:r w:rsidR="00677E3B" w:rsidRPr="00F70CB0">
        <w:rPr>
          <w:sz w:val="24"/>
          <w:szCs w:val="24"/>
          <w:lang w:val="en-GB" w:eastAsia="en-US"/>
        </w:rPr>
        <w:t>implying</w:t>
      </w:r>
      <w:r w:rsidRPr="00F70CB0">
        <w:rPr>
          <w:sz w:val="24"/>
          <w:szCs w:val="24"/>
          <w:lang w:val="en-GB" w:eastAsia="en-US"/>
        </w:rPr>
        <w:t xml:space="preserve"> that service quality plays a vital role in shaping digital banking behaviour (Othman et al., 2015; </w:t>
      </w:r>
      <w:proofErr w:type="spellStart"/>
      <w:r w:rsidRPr="00F70CB0">
        <w:rPr>
          <w:sz w:val="24"/>
          <w:szCs w:val="24"/>
          <w:lang w:val="en-GB" w:eastAsia="en-US"/>
        </w:rPr>
        <w:t>Mbama</w:t>
      </w:r>
      <w:proofErr w:type="spellEnd"/>
      <w:r w:rsidRPr="00F70CB0">
        <w:rPr>
          <w:sz w:val="24"/>
          <w:szCs w:val="24"/>
          <w:lang w:val="en-GB" w:eastAsia="en-US"/>
        </w:rPr>
        <w:t xml:space="preserve"> and </w:t>
      </w:r>
      <w:proofErr w:type="spellStart"/>
      <w:r w:rsidRPr="00F70CB0">
        <w:rPr>
          <w:sz w:val="24"/>
          <w:szCs w:val="24"/>
          <w:lang w:val="en-GB" w:eastAsia="en-US"/>
        </w:rPr>
        <w:t>Ezepue</w:t>
      </w:r>
      <w:proofErr w:type="spellEnd"/>
      <w:r w:rsidRPr="00F70CB0">
        <w:rPr>
          <w:sz w:val="24"/>
          <w:szCs w:val="24"/>
          <w:lang w:val="en-GB" w:eastAsia="en-US"/>
        </w:rPr>
        <w:t xml:space="preserve">, 2018; </w:t>
      </w:r>
      <w:proofErr w:type="spellStart"/>
      <w:r w:rsidRPr="00F70CB0">
        <w:rPr>
          <w:sz w:val="24"/>
          <w:szCs w:val="24"/>
          <w:lang w:val="en-GB" w:eastAsia="en-US"/>
        </w:rPr>
        <w:t>Bankuoru</w:t>
      </w:r>
      <w:proofErr w:type="spellEnd"/>
      <w:r w:rsidRPr="00F70CB0">
        <w:rPr>
          <w:sz w:val="24"/>
          <w:szCs w:val="24"/>
          <w:lang w:val="en-GB" w:eastAsia="en-US"/>
        </w:rPr>
        <w:t xml:space="preserve"> Egala et al., 2021).</w:t>
      </w:r>
    </w:p>
    <w:p w14:paraId="6E6D4127" w14:textId="79251B9B" w:rsidR="00F45CDB" w:rsidRPr="00F70CB0" w:rsidRDefault="00F45CDB" w:rsidP="00F45CDB">
      <w:pPr>
        <w:jc w:val="both"/>
        <w:rPr>
          <w:lang w:val="en-GB" w:eastAsia="en-US"/>
        </w:rPr>
      </w:pPr>
      <w:r w:rsidRPr="00F70CB0">
        <w:rPr>
          <w:sz w:val="24"/>
          <w:szCs w:val="24"/>
          <w:lang w:val="en-GB" w:eastAsia="en-US"/>
        </w:rPr>
        <w:t xml:space="preserve">However, the </w:t>
      </w:r>
      <w:r w:rsidR="000F7B23" w:rsidRPr="00F70CB0">
        <w:rPr>
          <w:sz w:val="24"/>
          <w:szCs w:val="24"/>
          <w:lang w:val="en-GB" w:eastAsia="en-US"/>
        </w:rPr>
        <w:t>influential</w:t>
      </w:r>
      <w:r w:rsidRPr="00F70CB0">
        <w:rPr>
          <w:sz w:val="24"/>
          <w:szCs w:val="24"/>
          <w:lang w:val="en-GB" w:eastAsia="en-US"/>
        </w:rPr>
        <w:t xml:space="preserve"> focus on service quality as an isolated predictor reflects a reductionist approach, where complex behavioural outcomes are </w:t>
      </w:r>
      <w:r w:rsidR="000F7B23" w:rsidRPr="00F70CB0">
        <w:rPr>
          <w:sz w:val="24"/>
          <w:szCs w:val="24"/>
          <w:lang w:val="en-GB" w:eastAsia="en-US"/>
        </w:rPr>
        <w:t>supported</w:t>
      </w:r>
      <w:r w:rsidRPr="00F70CB0">
        <w:rPr>
          <w:sz w:val="24"/>
          <w:szCs w:val="24"/>
          <w:lang w:val="en-GB" w:eastAsia="en-US"/>
        </w:rPr>
        <w:t xml:space="preserve"> through single-dimensional constructs. In practice, customer evaluations of digital banking services are shaped not only by system performance but also by trust, user experience, and perceived value. The limited integration of these factors restricts a comprehensive understanding of how service quality </w:t>
      </w:r>
      <w:r w:rsidR="000F7B23" w:rsidRPr="00F70CB0">
        <w:rPr>
          <w:sz w:val="24"/>
          <w:szCs w:val="24"/>
          <w:lang w:val="en-GB" w:eastAsia="en-US"/>
        </w:rPr>
        <w:t>converts</w:t>
      </w:r>
      <w:r w:rsidRPr="00F70CB0">
        <w:rPr>
          <w:sz w:val="24"/>
          <w:szCs w:val="24"/>
          <w:lang w:val="en-GB" w:eastAsia="en-US"/>
        </w:rPr>
        <w:t xml:space="preserve"> into customer preference and </w:t>
      </w:r>
      <w:r w:rsidR="000F7B23">
        <w:rPr>
          <w:sz w:val="24"/>
          <w:szCs w:val="24"/>
          <w:lang w:val="en-GB" w:eastAsia="en-US"/>
        </w:rPr>
        <w:t>long-standing</w:t>
      </w:r>
      <w:r w:rsidRPr="00F70CB0">
        <w:rPr>
          <w:sz w:val="24"/>
          <w:szCs w:val="24"/>
          <w:lang w:val="en-GB" w:eastAsia="en-US"/>
        </w:rPr>
        <w:t xml:space="preserve"> usage. This suggests the need for a more holistic perspective in which service quality is examined in interaction with behavioural and relational constructs.</w:t>
      </w:r>
    </w:p>
    <w:p w14:paraId="2CE2FB69" w14:textId="77777777" w:rsidR="00F45CDB" w:rsidRPr="00F70CB0" w:rsidRDefault="00F45CDB" w:rsidP="00F45CDB">
      <w:pPr>
        <w:rPr>
          <w:lang w:val="en-GB" w:eastAsia="en-US"/>
        </w:rPr>
      </w:pPr>
    </w:p>
    <w:p w14:paraId="0840639D" w14:textId="0F362797" w:rsidR="00F30726" w:rsidRPr="00F70CB0" w:rsidRDefault="00667AB7" w:rsidP="00515456">
      <w:pPr>
        <w:pStyle w:val="Heading1"/>
        <w:rPr>
          <w:rFonts w:ascii="Times New Roman" w:hAnsi="Times New Roman" w:cs="Times New Roman"/>
          <w:sz w:val="28"/>
          <w:szCs w:val="28"/>
        </w:rPr>
      </w:pPr>
      <w:bookmarkStart w:id="37" w:name="_Toc227353505"/>
      <w:r w:rsidRPr="00F70CB0">
        <w:rPr>
          <w:rFonts w:ascii="Times New Roman" w:hAnsi="Times New Roman" w:cs="Times New Roman"/>
          <w:sz w:val="28"/>
          <w:szCs w:val="28"/>
        </w:rPr>
        <w:lastRenderedPageBreak/>
        <w:t>3.</w:t>
      </w:r>
      <w:r w:rsidR="00F9357A" w:rsidRPr="00F70CB0">
        <w:rPr>
          <w:rFonts w:ascii="Times New Roman" w:hAnsi="Times New Roman" w:cs="Times New Roman"/>
          <w:sz w:val="28"/>
          <w:szCs w:val="28"/>
        </w:rPr>
        <w:t>4</w:t>
      </w:r>
      <w:r w:rsidRPr="00F70CB0">
        <w:rPr>
          <w:rFonts w:ascii="Times New Roman" w:hAnsi="Times New Roman" w:cs="Times New Roman"/>
          <w:sz w:val="28"/>
          <w:szCs w:val="28"/>
        </w:rPr>
        <w:t xml:space="preserve">.2 </w:t>
      </w:r>
      <w:r w:rsidR="00F30726" w:rsidRPr="00F70CB0">
        <w:rPr>
          <w:rFonts w:ascii="Times New Roman" w:hAnsi="Times New Roman" w:cs="Times New Roman"/>
          <w:sz w:val="28"/>
          <w:szCs w:val="28"/>
        </w:rPr>
        <w:t>Trust / Security – Adoption &amp; Continuance</w:t>
      </w:r>
      <w:bookmarkEnd w:id="37"/>
      <w:r w:rsidR="00F30726" w:rsidRPr="00F70CB0">
        <w:rPr>
          <w:rFonts w:ascii="Times New Roman" w:hAnsi="Times New Roman" w:cs="Times New Roman"/>
          <w:sz w:val="28"/>
          <w:szCs w:val="28"/>
        </w:rPr>
        <w:t xml:space="preserve"> </w:t>
      </w:r>
    </w:p>
    <w:p w14:paraId="78C4C607" w14:textId="11B8A6C4" w:rsidR="00F45CDB" w:rsidRPr="00F70CB0" w:rsidRDefault="00F45CDB" w:rsidP="00F45CDB">
      <w:pPr>
        <w:jc w:val="both"/>
        <w:rPr>
          <w:sz w:val="24"/>
          <w:szCs w:val="24"/>
          <w:lang w:val="en-GB" w:eastAsia="en-US"/>
        </w:rPr>
      </w:pPr>
      <w:r w:rsidRPr="00F70CB0">
        <w:rPr>
          <w:sz w:val="24"/>
          <w:szCs w:val="24"/>
          <w:lang w:val="en-GB" w:eastAsia="en-US"/>
        </w:rPr>
        <w:t xml:space="preserve">Trust and security are </w:t>
      </w:r>
      <w:r w:rsidR="00461BD2" w:rsidRPr="00F70CB0">
        <w:rPr>
          <w:sz w:val="24"/>
          <w:szCs w:val="24"/>
          <w:lang w:val="en-GB" w:eastAsia="en-US"/>
        </w:rPr>
        <w:t>broadly</w:t>
      </w:r>
      <w:r w:rsidRPr="00F70CB0">
        <w:rPr>
          <w:sz w:val="24"/>
          <w:szCs w:val="24"/>
          <w:lang w:val="en-GB" w:eastAsia="en-US"/>
        </w:rPr>
        <w:t xml:space="preserve"> recognised as fundamental drivers of digital banking behaviour, influencing both adoption and continued usage. Empirical studies </w:t>
      </w:r>
      <w:r w:rsidR="00461BD2" w:rsidRPr="00F70CB0">
        <w:rPr>
          <w:sz w:val="24"/>
          <w:szCs w:val="24"/>
          <w:lang w:val="en-GB" w:eastAsia="en-US"/>
        </w:rPr>
        <w:t>constantly</w:t>
      </w:r>
      <w:r w:rsidRPr="00F70CB0">
        <w:rPr>
          <w:sz w:val="24"/>
          <w:szCs w:val="24"/>
          <w:lang w:val="en-GB" w:eastAsia="en-US"/>
        </w:rPr>
        <w:t xml:space="preserve"> </w:t>
      </w:r>
      <w:r w:rsidR="00461BD2" w:rsidRPr="00F70CB0">
        <w:rPr>
          <w:sz w:val="24"/>
          <w:szCs w:val="24"/>
          <w:lang w:val="en-GB" w:eastAsia="en-US"/>
        </w:rPr>
        <w:t>support</w:t>
      </w:r>
      <w:r w:rsidRPr="00F70CB0">
        <w:rPr>
          <w:sz w:val="24"/>
          <w:szCs w:val="24"/>
          <w:lang w:val="en-GB" w:eastAsia="en-US"/>
        </w:rPr>
        <w:t xml:space="preserve"> that higher levels of trust increase user confidence and encourage engagement, while perceived risks related to data privacy, cybersecurity, and </w:t>
      </w:r>
      <w:r w:rsidR="00147E15" w:rsidRPr="00F70CB0">
        <w:rPr>
          <w:sz w:val="24"/>
          <w:szCs w:val="24"/>
          <w:lang w:val="en-GB" w:eastAsia="en-US"/>
        </w:rPr>
        <w:t>monetary loss</w:t>
      </w:r>
      <w:r w:rsidRPr="00F70CB0">
        <w:rPr>
          <w:sz w:val="24"/>
          <w:szCs w:val="24"/>
          <w:lang w:val="en-GB" w:eastAsia="en-US"/>
        </w:rPr>
        <w:t xml:space="preserve"> function as significant </w:t>
      </w:r>
      <w:r w:rsidR="00461BD2" w:rsidRPr="00F70CB0">
        <w:rPr>
          <w:sz w:val="24"/>
          <w:szCs w:val="24"/>
          <w:lang w:val="en-GB" w:eastAsia="en-US"/>
        </w:rPr>
        <w:t>blockades</w:t>
      </w:r>
      <w:r w:rsidRPr="00F70CB0">
        <w:rPr>
          <w:sz w:val="24"/>
          <w:szCs w:val="24"/>
          <w:lang w:val="en-GB" w:eastAsia="en-US"/>
        </w:rPr>
        <w:t xml:space="preserve">. Trust also plays a critical role in reducing uncertainty, which is </w:t>
      </w:r>
      <w:r w:rsidR="00461BD2" w:rsidRPr="00F70CB0">
        <w:rPr>
          <w:sz w:val="24"/>
          <w:szCs w:val="24"/>
          <w:lang w:val="en-GB" w:eastAsia="en-US"/>
        </w:rPr>
        <w:t>especially</w:t>
      </w:r>
      <w:r w:rsidRPr="00F70CB0">
        <w:rPr>
          <w:sz w:val="24"/>
          <w:szCs w:val="24"/>
          <w:lang w:val="en-GB" w:eastAsia="en-US"/>
        </w:rPr>
        <w:t xml:space="preserve"> relevant in financial transactions where perceived risk is </w:t>
      </w:r>
      <w:r w:rsidR="00461BD2" w:rsidRPr="00F70CB0">
        <w:rPr>
          <w:sz w:val="24"/>
          <w:szCs w:val="24"/>
          <w:lang w:val="en-GB" w:eastAsia="en-US"/>
        </w:rPr>
        <w:t>fundamentally</w:t>
      </w:r>
      <w:r w:rsidRPr="00F70CB0">
        <w:rPr>
          <w:sz w:val="24"/>
          <w:szCs w:val="24"/>
          <w:lang w:val="en-GB" w:eastAsia="en-US"/>
        </w:rPr>
        <w:t xml:space="preserve"> high (Kumar et al., 2023; </w:t>
      </w:r>
      <w:proofErr w:type="spellStart"/>
      <w:r w:rsidRPr="00F70CB0">
        <w:rPr>
          <w:sz w:val="24"/>
          <w:szCs w:val="24"/>
          <w:lang w:val="en-GB" w:eastAsia="en-US"/>
        </w:rPr>
        <w:t>Almaiah</w:t>
      </w:r>
      <w:proofErr w:type="spellEnd"/>
      <w:r w:rsidRPr="00F70CB0">
        <w:rPr>
          <w:sz w:val="24"/>
          <w:szCs w:val="24"/>
          <w:lang w:val="en-GB" w:eastAsia="en-US"/>
        </w:rPr>
        <w:t xml:space="preserve"> et al., 2023; </w:t>
      </w:r>
      <w:proofErr w:type="spellStart"/>
      <w:r w:rsidRPr="00F70CB0">
        <w:rPr>
          <w:sz w:val="24"/>
          <w:szCs w:val="24"/>
          <w:lang w:val="en-GB" w:eastAsia="en-US"/>
        </w:rPr>
        <w:t>Apaua</w:t>
      </w:r>
      <w:proofErr w:type="spellEnd"/>
      <w:r w:rsidRPr="00F70CB0">
        <w:rPr>
          <w:sz w:val="24"/>
          <w:szCs w:val="24"/>
          <w:lang w:val="en-GB" w:eastAsia="en-US"/>
        </w:rPr>
        <w:t xml:space="preserve"> and Lallie, 2022; Yuan et al., 2019).</w:t>
      </w:r>
    </w:p>
    <w:p w14:paraId="70DE766E" w14:textId="44779990" w:rsidR="00F45CDB" w:rsidRPr="00F70CB0" w:rsidRDefault="00F45CDB" w:rsidP="00BF59BC">
      <w:pPr>
        <w:jc w:val="both"/>
        <w:rPr>
          <w:sz w:val="24"/>
          <w:szCs w:val="24"/>
          <w:lang w:val="en-GB" w:eastAsia="en-US"/>
        </w:rPr>
      </w:pPr>
      <w:r w:rsidRPr="00F70CB0">
        <w:rPr>
          <w:sz w:val="24"/>
          <w:szCs w:val="24"/>
          <w:lang w:val="en-GB" w:eastAsia="en-US"/>
        </w:rPr>
        <w:t xml:space="preserve">Despite this </w:t>
      </w:r>
      <w:r w:rsidR="000F17C2" w:rsidRPr="00F70CB0">
        <w:rPr>
          <w:sz w:val="24"/>
          <w:szCs w:val="24"/>
          <w:lang w:val="en-GB" w:eastAsia="en-US"/>
        </w:rPr>
        <w:t>dedicated</w:t>
      </w:r>
      <w:r w:rsidRPr="00F70CB0">
        <w:rPr>
          <w:sz w:val="24"/>
          <w:szCs w:val="24"/>
          <w:lang w:val="en-GB" w:eastAsia="en-US"/>
        </w:rPr>
        <w:t xml:space="preserve"> empirical support, existing studies often treat trust and security as </w:t>
      </w:r>
      <w:r w:rsidR="000F17C2" w:rsidRPr="00F70CB0">
        <w:rPr>
          <w:sz w:val="24"/>
          <w:szCs w:val="24"/>
          <w:lang w:val="en-GB" w:eastAsia="en-US"/>
        </w:rPr>
        <w:t>individual</w:t>
      </w:r>
      <w:r w:rsidRPr="00F70CB0">
        <w:rPr>
          <w:sz w:val="24"/>
          <w:szCs w:val="24"/>
          <w:lang w:val="en-GB" w:eastAsia="en-US"/>
        </w:rPr>
        <w:t xml:space="preserve"> variables rather than integrating them within </w:t>
      </w:r>
      <w:r w:rsidR="000F17C2" w:rsidRPr="00F70CB0">
        <w:rPr>
          <w:sz w:val="24"/>
          <w:szCs w:val="24"/>
          <w:lang w:val="en-GB" w:eastAsia="en-US"/>
        </w:rPr>
        <w:t>transparent</w:t>
      </w:r>
      <w:r w:rsidRPr="00F70CB0">
        <w:rPr>
          <w:sz w:val="24"/>
          <w:szCs w:val="24"/>
          <w:lang w:val="en-GB" w:eastAsia="en-US"/>
        </w:rPr>
        <w:t xml:space="preserve"> behavioural frameworks. This fragmented approach limits the ability to understand how trust interacts with other determinants such as service quality, user experience, and satisfaction. Moreover, the literature tends to conceptualise trust as a </w:t>
      </w:r>
      <w:r w:rsidR="000F17C2" w:rsidRPr="00F70CB0">
        <w:rPr>
          <w:sz w:val="24"/>
          <w:szCs w:val="24"/>
          <w:lang w:val="en-GB" w:eastAsia="en-US"/>
        </w:rPr>
        <w:t>stable</w:t>
      </w:r>
      <w:r w:rsidRPr="00F70CB0">
        <w:rPr>
          <w:sz w:val="24"/>
          <w:szCs w:val="24"/>
          <w:lang w:val="en-GB" w:eastAsia="en-US"/>
        </w:rPr>
        <w:t xml:space="preserve"> construct, overlooking its dynamic nature, where trust evolves through repeated interactions and service experiences. As a result, there remains limited insight into how trust simultaneously influences customer preference and long-term usage behaviour. This highlights the need for integrated models that capture the </w:t>
      </w:r>
      <w:r w:rsidR="000F17C2" w:rsidRPr="00F70CB0">
        <w:rPr>
          <w:sz w:val="24"/>
          <w:szCs w:val="24"/>
          <w:lang w:val="en-GB" w:eastAsia="en-US"/>
        </w:rPr>
        <w:t>codependent</w:t>
      </w:r>
      <w:r w:rsidRPr="00F70CB0">
        <w:rPr>
          <w:sz w:val="24"/>
          <w:szCs w:val="24"/>
          <w:lang w:val="en-GB" w:eastAsia="en-US"/>
        </w:rPr>
        <w:t xml:space="preserve"> and evolving role of trust within digital banking environments.</w:t>
      </w:r>
    </w:p>
    <w:p w14:paraId="1A304AA8" w14:textId="13FE1D04" w:rsidR="00575301" w:rsidRPr="00F70CB0" w:rsidRDefault="00667AB7" w:rsidP="00515456">
      <w:pPr>
        <w:pStyle w:val="Heading1"/>
        <w:rPr>
          <w:rFonts w:ascii="Times New Roman" w:hAnsi="Times New Roman" w:cs="Times New Roman"/>
          <w:sz w:val="28"/>
          <w:szCs w:val="28"/>
        </w:rPr>
      </w:pPr>
      <w:bookmarkStart w:id="38" w:name="_Toc227353506"/>
      <w:r w:rsidRPr="00F70CB0">
        <w:rPr>
          <w:rFonts w:ascii="Times New Roman" w:hAnsi="Times New Roman" w:cs="Times New Roman"/>
          <w:sz w:val="28"/>
          <w:szCs w:val="28"/>
        </w:rPr>
        <w:t>3.</w:t>
      </w:r>
      <w:r w:rsidR="00F9357A" w:rsidRPr="00F70CB0">
        <w:rPr>
          <w:rFonts w:ascii="Times New Roman" w:hAnsi="Times New Roman" w:cs="Times New Roman"/>
          <w:sz w:val="28"/>
          <w:szCs w:val="28"/>
        </w:rPr>
        <w:t>4</w:t>
      </w:r>
      <w:r w:rsidRPr="00F70CB0">
        <w:rPr>
          <w:rFonts w:ascii="Times New Roman" w:hAnsi="Times New Roman" w:cs="Times New Roman"/>
          <w:sz w:val="28"/>
          <w:szCs w:val="28"/>
        </w:rPr>
        <w:t xml:space="preserve">.3 </w:t>
      </w:r>
      <w:r w:rsidR="00144976" w:rsidRPr="00F70CB0">
        <w:rPr>
          <w:rFonts w:ascii="Times New Roman" w:hAnsi="Times New Roman" w:cs="Times New Roman"/>
          <w:sz w:val="28"/>
          <w:szCs w:val="28"/>
        </w:rPr>
        <w:t>Experience / Usability – Satisfaction &amp; loyalty</w:t>
      </w:r>
      <w:bookmarkEnd w:id="38"/>
      <w:r w:rsidR="00144976" w:rsidRPr="00F70CB0">
        <w:rPr>
          <w:rFonts w:ascii="Times New Roman" w:hAnsi="Times New Roman" w:cs="Times New Roman"/>
          <w:sz w:val="28"/>
          <w:szCs w:val="28"/>
        </w:rPr>
        <w:t xml:space="preserve"> </w:t>
      </w:r>
    </w:p>
    <w:p w14:paraId="35621917" w14:textId="7C3B0259" w:rsidR="00BF59BC" w:rsidRPr="00F70CB0" w:rsidRDefault="00BF59BC" w:rsidP="00BF59BC">
      <w:pPr>
        <w:jc w:val="both"/>
        <w:rPr>
          <w:sz w:val="24"/>
          <w:szCs w:val="24"/>
          <w:lang w:val="en-GB" w:eastAsia="en-US"/>
        </w:rPr>
      </w:pPr>
      <w:r w:rsidRPr="00F70CB0">
        <w:rPr>
          <w:sz w:val="24"/>
          <w:szCs w:val="24"/>
          <w:lang w:val="en-GB" w:eastAsia="en-US"/>
        </w:rPr>
        <w:t xml:space="preserve">User experience and usability are key determinants of customer satisfaction in digital banking, as they </w:t>
      </w:r>
      <w:r w:rsidR="00B07267" w:rsidRPr="00F70CB0">
        <w:rPr>
          <w:sz w:val="24"/>
          <w:szCs w:val="24"/>
          <w:lang w:val="en-GB" w:eastAsia="en-US"/>
        </w:rPr>
        <w:t>precisely</w:t>
      </w:r>
      <w:r w:rsidRPr="00F70CB0">
        <w:rPr>
          <w:sz w:val="24"/>
          <w:szCs w:val="24"/>
          <w:lang w:val="en-GB" w:eastAsia="en-US"/>
        </w:rPr>
        <w:t xml:space="preserve"> shape how users interact with digital platforms. Empirical evidence </w:t>
      </w:r>
      <w:r w:rsidR="00B07267" w:rsidRPr="00F70CB0">
        <w:rPr>
          <w:sz w:val="24"/>
          <w:szCs w:val="24"/>
          <w:lang w:val="en-GB" w:eastAsia="en-US"/>
        </w:rPr>
        <w:t>indicates</w:t>
      </w:r>
      <w:r w:rsidRPr="00F70CB0">
        <w:rPr>
          <w:sz w:val="24"/>
          <w:szCs w:val="24"/>
          <w:lang w:val="en-GB" w:eastAsia="en-US"/>
        </w:rPr>
        <w:t xml:space="preserve"> that factors such as ease of use, interface design, and overall </w:t>
      </w:r>
      <w:r w:rsidR="00B07267">
        <w:rPr>
          <w:sz w:val="24"/>
          <w:szCs w:val="24"/>
          <w:lang w:val="en-GB" w:eastAsia="en-US"/>
        </w:rPr>
        <w:t>usability</w:t>
      </w:r>
      <w:r w:rsidRPr="00F70CB0">
        <w:rPr>
          <w:sz w:val="24"/>
          <w:szCs w:val="24"/>
          <w:lang w:val="en-GB" w:eastAsia="en-US"/>
        </w:rPr>
        <w:t xml:space="preserve"> </w:t>
      </w:r>
      <w:r w:rsidR="00B07267" w:rsidRPr="00F70CB0">
        <w:rPr>
          <w:sz w:val="24"/>
          <w:szCs w:val="24"/>
          <w:lang w:val="en-GB" w:eastAsia="en-US"/>
        </w:rPr>
        <w:t>considerably</w:t>
      </w:r>
      <w:r w:rsidRPr="00F70CB0">
        <w:rPr>
          <w:sz w:val="24"/>
          <w:szCs w:val="24"/>
          <w:lang w:val="en-GB" w:eastAsia="en-US"/>
        </w:rPr>
        <w:t xml:space="preserve"> influence satisfaction levels, which in turn drive continued usage and customer loyalty. A positive user experience enhances engagement by reducing effort and improving the overall efficiency of digital interactions (Velika and Adnas, 2025; Frans et al., 2024; </w:t>
      </w:r>
      <w:proofErr w:type="spellStart"/>
      <w:r w:rsidRPr="00F70CB0">
        <w:rPr>
          <w:sz w:val="24"/>
          <w:szCs w:val="24"/>
          <w:lang w:val="en-GB" w:eastAsia="en-US"/>
        </w:rPr>
        <w:t>Setiyawati</w:t>
      </w:r>
      <w:proofErr w:type="spellEnd"/>
      <w:r w:rsidRPr="00F70CB0">
        <w:rPr>
          <w:sz w:val="24"/>
          <w:szCs w:val="24"/>
          <w:lang w:val="en-GB" w:eastAsia="en-US"/>
        </w:rPr>
        <w:t xml:space="preserve"> and </w:t>
      </w:r>
      <w:proofErr w:type="spellStart"/>
      <w:r w:rsidRPr="00F70CB0">
        <w:rPr>
          <w:sz w:val="24"/>
          <w:szCs w:val="24"/>
          <w:lang w:val="en-GB" w:eastAsia="en-US"/>
        </w:rPr>
        <w:t>Bangkalang</w:t>
      </w:r>
      <w:proofErr w:type="spellEnd"/>
      <w:r w:rsidRPr="00F70CB0">
        <w:rPr>
          <w:sz w:val="24"/>
          <w:szCs w:val="24"/>
          <w:lang w:val="en-GB" w:eastAsia="en-US"/>
        </w:rPr>
        <w:t xml:space="preserve">, 2022; </w:t>
      </w:r>
      <w:proofErr w:type="spellStart"/>
      <w:r w:rsidRPr="00F70CB0">
        <w:rPr>
          <w:sz w:val="24"/>
          <w:szCs w:val="24"/>
          <w:lang w:val="en-GB" w:eastAsia="en-US"/>
        </w:rPr>
        <w:t>Mkpojiogu</w:t>
      </w:r>
      <w:proofErr w:type="spellEnd"/>
      <w:r w:rsidRPr="00F70CB0">
        <w:rPr>
          <w:sz w:val="24"/>
          <w:szCs w:val="24"/>
          <w:lang w:val="en-GB" w:eastAsia="en-US"/>
        </w:rPr>
        <w:t xml:space="preserve"> et al., 2016).</w:t>
      </w:r>
    </w:p>
    <w:p w14:paraId="3722383E" w14:textId="3D670291" w:rsidR="00BF59BC" w:rsidRPr="00F70CB0" w:rsidRDefault="00BF59BC" w:rsidP="00BF59BC">
      <w:pPr>
        <w:jc w:val="both"/>
        <w:rPr>
          <w:sz w:val="24"/>
          <w:szCs w:val="24"/>
          <w:lang w:val="en-GB" w:eastAsia="en-US"/>
        </w:rPr>
      </w:pPr>
      <w:r w:rsidRPr="00F70CB0">
        <w:rPr>
          <w:sz w:val="24"/>
          <w:szCs w:val="24"/>
          <w:lang w:val="en-GB" w:eastAsia="en-US"/>
        </w:rPr>
        <w:t xml:space="preserve">However, much of the existing literature treats user experience as an </w:t>
      </w:r>
      <w:r w:rsidR="00B130B4" w:rsidRPr="00F70CB0">
        <w:rPr>
          <w:sz w:val="24"/>
          <w:szCs w:val="24"/>
          <w:lang w:val="en-GB" w:eastAsia="en-US"/>
        </w:rPr>
        <w:t>individual</w:t>
      </w:r>
      <w:r w:rsidRPr="00F70CB0">
        <w:rPr>
          <w:sz w:val="24"/>
          <w:szCs w:val="24"/>
          <w:lang w:val="en-GB" w:eastAsia="en-US"/>
        </w:rPr>
        <w:t xml:space="preserve"> determinant, without </w:t>
      </w:r>
      <w:r w:rsidR="00B130B4" w:rsidRPr="00F70CB0">
        <w:rPr>
          <w:sz w:val="24"/>
          <w:szCs w:val="24"/>
          <w:lang w:val="en-GB" w:eastAsia="en-US"/>
        </w:rPr>
        <w:t>effectively</w:t>
      </w:r>
      <w:r w:rsidRPr="00F70CB0">
        <w:rPr>
          <w:sz w:val="24"/>
          <w:szCs w:val="24"/>
          <w:lang w:val="en-GB" w:eastAsia="en-US"/>
        </w:rPr>
        <w:t xml:space="preserve"> considering its interaction with other behavioural factors. In particular, the relationship between user experience, trust, and service quality remains underexplored. Additionally, there is </w:t>
      </w:r>
      <w:r w:rsidR="00B130B4">
        <w:rPr>
          <w:sz w:val="24"/>
          <w:szCs w:val="24"/>
          <w:lang w:val="en-GB" w:eastAsia="en-US"/>
        </w:rPr>
        <w:t xml:space="preserve">a </w:t>
      </w:r>
      <w:r w:rsidRPr="00F70CB0">
        <w:rPr>
          <w:sz w:val="24"/>
          <w:szCs w:val="24"/>
          <w:lang w:val="en-GB" w:eastAsia="en-US"/>
        </w:rPr>
        <w:t xml:space="preserve">limited </w:t>
      </w:r>
      <w:r w:rsidR="00B130B4" w:rsidRPr="00F70CB0">
        <w:rPr>
          <w:sz w:val="24"/>
          <w:szCs w:val="24"/>
          <w:lang w:val="en-GB" w:eastAsia="en-US"/>
        </w:rPr>
        <w:t>combination</w:t>
      </w:r>
      <w:r w:rsidRPr="00F70CB0">
        <w:rPr>
          <w:sz w:val="24"/>
          <w:szCs w:val="24"/>
          <w:lang w:val="en-GB" w:eastAsia="en-US"/>
        </w:rPr>
        <w:t xml:space="preserve"> between usability research and post-adoption frameworks such as the Expectation Confirmation Model (ECM), which restricts understanding of how user experience influences long-term behavioural </w:t>
      </w:r>
      <w:r w:rsidR="00B130B4" w:rsidRPr="00F70CB0">
        <w:rPr>
          <w:sz w:val="24"/>
          <w:szCs w:val="24"/>
          <w:lang w:val="en-GB" w:eastAsia="en-US"/>
        </w:rPr>
        <w:t>results</w:t>
      </w:r>
      <w:r w:rsidRPr="00F70CB0">
        <w:rPr>
          <w:sz w:val="24"/>
          <w:szCs w:val="24"/>
          <w:lang w:val="en-GB" w:eastAsia="en-US"/>
        </w:rPr>
        <w:t>. This suggests that user experience should be conceptualised not as a standalone factor but as part of a broader, interconnected system influencing satisfaction, preference, and continuance intention.</w:t>
      </w:r>
    </w:p>
    <w:p w14:paraId="21A47B35" w14:textId="0BE8D153" w:rsidR="00E50EC3" w:rsidRPr="00F70CB0" w:rsidRDefault="00667AB7" w:rsidP="00515456">
      <w:pPr>
        <w:pStyle w:val="Heading1"/>
        <w:rPr>
          <w:rFonts w:ascii="Times New Roman" w:hAnsi="Times New Roman" w:cs="Times New Roman"/>
          <w:sz w:val="28"/>
          <w:szCs w:val="28"/>
        </w:rPr>
      </w:pPr>
      <w:bookmarkStart w:id="39" w:name="_Toc227353507"/>
      <w:r w:rsidRPr="00F70CB0">
        <w:rPr>
          <w:rFonts w:ascii="Times New Roman" w:hAnsi="Times New Roman" w:cs="Times New Roman"/>
          <w:sz w:val="28"/>
          <w:szCs w:val="28"/>
        </w:rPr>
        <w:t>3.</w:t>
      </w:r>
      <w:r w:rsidR="00F9357A" w:rsidRPr="00F70CB0">
        <w:rPr>
          <w:rFonts w:ascii="Times New Roman" w:hAnsi="Times New Roman" w:cs="Times New Roman"/>
          <w:sz w:val="28"/>
          <w:szCs w:val="28"/>
        </w:rPr>
        <w:t>4</w:t>
      </w:r>
      <w:r w:rsidRPr="00F70CB0">
        <w:rPr>
          <w:rFonts w:ascii="Times New Roman" w:hAnsi="Times New Roman" w:cs="Times New Roman"/>
          <w:sz w:val="28"/>
          <w:szCs w:val="28"/>
        </w:rPr>
        <w:t xml:space="preserve">.4 </w:t>
      </w:r>
      <w:r w:rsidR="00E50EC3" w:rsidRPr="00F70CB0">
        <w:rPr>
          <w:rFonts w:ascii="Times New Roman" w:hAnsi="Times New Roman" w:cs="Times New Roman"/>
          <w:sz w:val="28"/>
          <w:szCs w:val="28"/>
        </w:rPr>
        <w:t>Demographics / Behavioural differences</w:t>
      </w:r>
      <w:bookmarkEnd w:id="39"/>
      <w:r w:rsidR="00E50EC3" w:rsidRPr="00F70CB0">
        <w:rPr>
          <w:rFonts w:ascii="Times New Roman" w:hAnsi="Times New Roman" w:cs="Times New Roman"/>
          <w:sz w:val="28"/>
          <w:szCs w:val="28"/>
        </w:rPr>
        <w:t xml:space="preserve"> </w:t>
      </w:r>
    </w:p>
    <w:p w14:paraId="4A820A77" w14:textId="608EE951" w:rsidR="00060648" w:rsidRPr="00F70CB0" w:rsidRDefault="00060648" w:rsidP="00060648">
      <w:pPr>
        <w:jc w:val="both"/>
        <w:rPr>
          <w:sz w:val="24"/>
          <w:szCs w:val="24"/>
          <w:lang w:val="en-GB" w:eastAsia="en-US"/>
        </w:rPr>
      </w:pPr>
      <w:r w:rsidRPr="00F70CB0">
        <w:rPr>
          <w:sz w:val="24"/>
          <w:szCs w:val="24"/>
          <w:lang w:val="en-GB" w:eastAsia="en-US"/>
        </w:rPr>
        <w:t xml:space="preserve">Empirical studies </w:t>
      </w:r>
      <w:r w:rsidR="00EB050F" w:rsidRPr="00F70CB0">
        <w:rPr>
          <w:sz w:val="24"/>
          <w:szCs w:val="24"/>
          <w:lang w:val="en-GB" w:eastAsia="en-US"/>
        </w:rPr>
        <w:t>specify</w:t>
      </w:r>
      <w:r w:rsidRPr="00F70CB0">
        <w:rPr>
          <w:sz w:val="24"/>
          <w:szCs w:val="24"/>
          <w:lang w:val="en-GB" w:eastAsia="en-US"/>
        </w:rPr>
        <w:t xml:space="preserve"> that digital banking behaviour </w:t>
      </w:r>
      <w:r w:rsidR="00EB050F" w:rsidRPr="00F70CB0">
        <w:rPr>
          <w:sz w:val="24"/>
          <w:szCs w:val="24"/>
          <w:lang w:val="en-GB" w:eastAsia="en-US"/>
        </w:rPr>
        <w:t>adapts</w:t>
      </w:r>
      <w:r w:rsidRPr="00F70CB0">
        <w:rPr>
          <w:sz w:val="24"/>
          <w:szCs w:val="24"/>
          <w:lang w:val="en-GB" w:eastAsia="en-US"/>
        </w:rPr>
        <w:t xml:space="preserve"> significantly across demographic groups, highlighting the importance of individual differences in shaping adoption and usage </w:t>
      </w:r>
      <w:r w:rsidR="00EB050F" w:rsidRPr="00F70CB0">
        <w:rPr>
          <w:sz w:val="24"/>
          <w:szCs w:val="24"/>
          <w:lang w:val="en-GB" w:eastAsia="en-US"/>
        </w:rPr>
        <w:t>models</w:t>
      </w:r>
      <w:r w:rsidRPr="00F70CB0">
        <w:rPr>
          <w:sz w:val="24"/>
          <w:szCs w:val="24"/>
          <w:lang w:val="en-GB" w:eastAsia="en-US"/>
        </w:rPr>
        <w:t xml:space="preserve">. Factors such as age, gender, income level, digital literacy, and prior technological experience have been shown to influence both the likelihood of adoption and the intensity of usage. Younger users, for example, tend to </w:t>
      </w:r>
      <w:r w:rsidR="00EB050F" w:rsidRPr="00F70CB0">
        <w:rPr>
          <w:sz w:val="24"/>
          <w:szCs w:val="24"/>
          <w:lang w:val="en-GB" w:eastAsia="en-US"/>
        </w:rPr>
        <w:t>determine</w:t>
      </w:r>
      <w:r w:rsidRPr="00F70CB0">
        <w:rPr>
          <w:sz w:val="24"/>
          <w:szCs w:val="24"/>
          <w:lang w:val="en-GB" w:eastAsia="en-US"/>
        </w:rPr>
        <w:t xml:space="preserve"> higher levels of adoption and engagement, while older users may face barriers related to technological complexity and digital confidence. Similarly, higher levels of digital literacy are associated with increased trust and continued usage (Han and Ko, 2025; </w:t>
      </w:r>
      <w:proofErr w:type="spellStart"/>
      <w:r w:rsidRPr="00F70CB0">
        <w:rPr>
          <w:sz w:val="24"/>
          <w:szCs w:val="24"/>
          <w:lang w:val="en-GB" w:eastAsia="en-US"/>
        </w:rPr>
        <w:t>Choudrie</w:t>
      </w:r>
      <w:proofErr w:type="spellEnd"/>
      <w:r w:rsidRPr="00F70CB0">
        <w:rPr>
          <w:sz w:val="24"/>
          <w:szCs w:val="24"/>
          <w:lang w:val="en-GB" w:eastAsia="en-US"/>
        </w:rPr>
        <w:t xml:space="preserve"> et al., 2018; </w:t>
      </w:r>
      <w:proofErr w:type="spellStart"/>
      <w:r w:rsidRPr="00F70CB0">
        <w:rPr>
          <w:sz w:val="24"/>
          <w:szCs w:val="24"/>
          <w:lang w:val="en-GB" w:eastAsia="en-US"/>
        </w:rPr>
        <w:t>Matraku</w:t>
      </w:r>
      <w:proofErr w:type="spellEnd"/>
      <w:r w:rsidRPr="00F70CB0">
        <w:rPr>
          <w:sz w:val="24"/>
          <w:szCs w:val="24"/>
          <w:lang w:val="en-GB" w:eastAsia="en-US"/>
        </w:rPr>
        <w:t>, 2024; Jahan and Shahria, 2022).</w:t>
      </w:r>
    </w:p>
    <w:p w14:paraId="01095C7F" w14:textId="101ED1AE" w:rsidR="00E50EC3" w:rsidRPr="00F70CB0" w:rsidRDefault="001566C7" w:rsidP="00060648">
      <w:pPr>
        <w:jc w:val="both"/>
        <w:rPr>
          <w:sz w:val="24"/>
          <w:szCs w:val="24"/>
          <w:lang w:val="en-GB" w:eastAsia="en-US"/>
        </w:rPr>
      </w:pPr>
      <w:r w:rsidRPr="00F70CB0">
        <w:rPr>
          <w:sz w:val="24"/>
          <w:szCs w:val="24"/>
          <w:lang w:val="en-GB" w:eastAsia="en-US"/>
        </w:rPr>
        <w:lastRenderedPageBreak/>
        <w:t>Nevertheless</w:t>
      </w:r>
      <w:r w:rsidR="00060648" w:rsidRPr="00F70CB0">
        <w:rPr>
          <w:sz w:val="24"/>
          <w:szCs w:val="24"/>
          <w:lang w:val="en-GB" w:eastAsia="en-US"/>
        </w:rPr>
        <w:t xml:space="preserve">, existing research </w:t>
      </w:r>
      <w:r w:rsidRPr="00F70CB0">
        <w:rPr>
          <w:sz w:val="24"/>
          <w:szCs w:val="24"/>
          <w:lang w:val="en-GB" w:eastAsia="en-US"/>
        </w:rPr>
        <w:t>frequently</w:t>
      </w:r>
      <w:r w:rsidR="00060648" w:rsidRPr="00F70CB0">
        <w:rPr>
          <w:sz w:val="24"/>
          <w:szCs w:val="24"/>
          <w:lang w:val="en-GB" w:eastAsia="en-US"/>
        </w:rPr>
        <w:t xml:space="preserve"> focuses on specific population </w:t>
      </w:r>
      <w:r w:rsidRPr="00F70CB0">
        <w:rPr>
          <w:sz w:val="24"/>
          <w:szCs w:val="24"/>
          <w:lang w:val="en-GB" w:eastAsia="en-US"/>
        </w:rPr>
        <w:t>sections</w:t>
      </w:r>
      <w:r w:rsidR="00060648" w:rsidRPr="00F70CB0">
        <w:rPr>
          <w:sz w:val="24"/>
          <w:szCs w:val="24"/>
          <w:lang w:val="en-GB" w:eastAsia="en-US"/>
        </w:rPr>
        <w:t xml:space="preserve">, such as students or elderly users, limiting the generalisability of findings. Moreover, demographic variables are frequently treated as control variables rather than being fully integrated into behavioural models such as TAM and ECM. This limits the understanding of how demographic </w:t>
      </w:r>
      <w:r w:rsidRPr="00F70CB0">
        <w:rPr>
          <w:sz w:val="24"/>
          <w:szCs w:val="24"/>
          <w:lang w:val="en-GB" w:eastAsia="en-US"/>
        </w:rPr>
        <w:t>components</w:t>
      </w:r>
      <w:r w:rsidR="00060648" w:rsidRPr="00F70CB0">
        <w:rPr>
          <w:sz w:val="24"/>
          <w:szCs w:val="24"/>
          <w:lang w:val="en-GB" w:eastAsia="en-US"/>
        </w:rPr>
        <w:t xml:space="preserve"> interact with cognitive, experiential, and relational determinants of digital banking behaviour. In addition, there is </w:t>
      </w:r>
      <w:r>
        <w:rPr>
          <w:sz w:val="24"/>
          <w:szCs w:val="24"/>
          <w:lang w:val="en-GB" w:eastAsia="en-US"/>
        </w:rPr>
        <w:t>an</w:t>
      </w:r>
      <w:r w:rsidR="00060648" w:rsidRPr="00F70CB0">
        <w:rPr>
          <w:sz w:val="24"/>
          <w:szCs w:val="24"/>
          <w:lang w:val="en-GB" w:eastAsia="en-US"/>
        </w:rPr>
        <w:t xml:space="preserve"> </w:t>
      </w:r>
      <w:r w:rsidRPr="00F70CB0">
        <w:rPr>
          <w:sz w:val="24"/>
          <w:szCs w:val="24"/>
          <w:lang w:val="en-GB" w:eastAsia="en-US"/>
        </w:rPr>
        <w:t>outstanding</w:t>
      </w:r>
      <w:r w:rsidR="00060648" w:rsidRPr="00F70CB0">
        <w:rPr>
          <w:sz w:val="24"/>
          <w:szCs w:val="24"/>
          <w:lang w:val="en-GB" w:eastAsia="en-US"/>
        </w:rPr>
        <w:t xml:space="preserve"> lack of UK-specific demographic research, particularly in relation to long-term usage patterns. This </w:t>
      </w:r>
      <w:r w:rsidR="00985742">
        <w:rPr>
          <w:sz w:val="24"/>
          <w:szCs w:val="24"/>
          <w:lang w:val="en-GB" w:eastAsia="en-US"/>
        </w:rPr>
        <w:t>emphasises</w:t>
      </w:r>
      <w:r w:rsidR="00060648" w:rsidRPr="00F70CB0">
        <w:rPr>
          <w:sz w:val="24"/>
          <w:szCs w:val="24"/>
          <w:lang w:val="en-GB" w:eastAsia="en-US"/>
        </w:rPr>
        <w:t xml:space="preserve"> the need for more context-sensitive and integrated approaches that consider demographic diversity within digital banking research.</w:t>
      </w:r>
    </w:p>
    <w:p w14:paraId="116ED6D3" w14:textId="0E29861E" w:rsidR="009B00F8" w:rsidRPr="00F70CB0" w:rsidRDefault="00667AB7" w:rsidP="00515456">
      <w:pPr>
        <w:pStyle w:val="Heading1"/>
        <w:rPr>
          <w:rFonts w:ascii="Times New Roman" w:hAnsi="Times New Roman" w:cs="Times New Roman"/>
          <w:sz w:val="32"/>
          <w:szCs w:val="32"/>
        </w:rPr>
      </w:pPr>
      <w:bookmarkStart w:id="40" w:name="_Toc227353508"/>
      <w:r w:rsidRPr="00F70CB0">
        <w:rPr>
          <w:rFonts w:ascii="Times New Roman" w:hAnsi="Times New Roman" w:cs="Times New Roman"/>
          <w:sz w:val="32"/>
          <w:szCs w:val="32"/>
        </w:rPr>
        <w:t>3.</w:t>
      </w:r>
      <w:r w:rsidR="00F9357A" w:rsidRPr="00F70CB0">
        <w:rPr>
          <w:rFonts w:ascii="Times New Roman" w:hAnsi="Times New Roman" w:cs="Times New Roman"/>
          <w:sz w:val="32"/>
          <w:szCs w:val="32"/>
        </w:rPr>
        <w:t xml:space="preserve">5 </w:t>
      </w:r>
      <w:r w:rsidR="00B06F5A" w:rsidRPr="00F70CB0">
        <w:rPr>
          <w:rFonts w:ascii="Times New Roman" w:hAnsi="Times New Roman" w:cs="Times New Roman"/>
          <w:sz w:val="32"/>
          <w:szCs w:val="32"/>
        </w:rPr>
        <w:t>Methodological Trends &amp; Weakness</w:t>
      </w:r>
      <w:r w:rsidR="00C32B42" w:rsidRPr="00F70CB0">
        <w:rPr>
          <w:rFonts w:ascii="Times New Roman" w:hAnsi="Times New Roman" w:cs="Times New Roman"/>
          <w:sz w:val="32"/>
          <w:szCs w:val="32"/>
        </w:rPr>
        <w:t>es</w:t>
      </w:r>
      <w:bookmarkEnd w:id="40"/>
    </w:p>
    <w:p w14:paraId="5006A01F" w14:textId="14A4ED84" w:rsidR="009B00F8" w:rsidRPr="00F70CB0" w:rsidRDefault="009B00F8" w:rsidP="009B00F8">
      <w:pPr>
        <w:jc w:val="both"/>
        <w:rPr>
          <w:sz w:val="24"/>
          <w:szCs w:val="24"/>
          <w:lang w:val="en-GB" w:eastAsia="en-US"/>
        </w:rPr>
      </w:pPr>
      <w:r w:rsidRPr="00F70CB0">
        <w:rPr>
          <w:sz w:val="24"/>
          <w:szCs w:val="24"/>
          <w:lang w:val="en-GB" w:eastAsia="en-US"/>
        </w:rPr>
        <w:t xml:space="preserve">Most empirical studies in digital banking research </w:t>
      </w:r>
      <w:r w:rsidR="00751EEA" w:rsidRPr="00F70CB0">
        <w:rPr>
          <w:sz w:val="24"/>
          <w:szCs w:val="24"/>
          <w:lang w:val="en-GB" w:eastAsia="en-US"/>
        </w:rPr>
        <w:t>primarily</w:t>
      </w:r>
      <w:r w:rsidRPr="00F70CB0">
        <w:rPr>
          <w:sz w:val="24"/>
          <w:szCs w:val="24"/>
          <w:lang w:val="en-GB" w:eastAsia="en-US"/>
        </w:rPr>
        <w:t xml:space="preserve"> adopt a quantitative research design, with survey-based methods being the </w:t>
      </w:r>
      <w:r w:rsidR="00751EEA" w:rsidRPr="00F70CB0">
        <w:rPr>
          <w:sz w:val="24"/>
          <w:szCs w:val="24"/>
          <w:lang w:val="en-GB" w:eastAsia="en-US"/>
        </w:rPr>
        <w:t>initial</w:t>
      </w:r>
      <w:r w:rsidRPr="00F70CB0">
        <w:rPr>
          <w:sz w:val="24"/>
          <w:szCs w:val="24"/>
          <w:lang w:val="en-GB" w:eastAsia="en-US"/>
        </w:rPr>
        <w:t xml:space="preserve"> approach for data collection. Analytical techniques such as Structural Equation Modelling (SEM) are </w:t>
      </w:r>
      <w:r w:rsidR="00751EEA" w:rsidRPr="00F70CB0">
        <w:rPr>
          <w:sz w:val="24"/>
          <w:szCs w:val="24"/>
          <w:lang w:val="en-GB" w:eastAsia="en-US"/>
        </w:rPr>
        <w:t>extensively</w:t>
      </w:r>
      <w:r w:rsidRPr="00F70CB0">
        <w:rPr>
          <w:sz w:val="24"/>
          <w:szCs w:val="24"/>
          <w:lang w:val="en-GB" w:eastAsia="en-US"/>
        </w:rPr>
        <w:t xml:space="preserve"> employed to examine relationships between key variables, particularly within technology adoption and continuance frameworks. These </w:t>
      </w:r>
      <w:r w:rsidR="00751EEA" w:rsidRPr="00F70CB0">
        <w:rPr>
          <w:sz w:val="24"/>
          <w:szCs w:val="24"/>
          <w:lang w:val="en-GB" w:eastAsia="en-US"/>
        </w:rPr>
        <w:t>methods</w:t>
      </w:r>
      <w:r w:rsidRPr="00F70CB0">
        <w:rPr>
          <w:sz w:val="24"/>
          <w:szCs w:val="24"/>
          <w:lang w:val="en-GB" w:eastAsia="en-US"/>
        </w:rPr>
        <w:t xml:space="preserve"> offer certain strengths, </w:t>
      </w:r>
      <w:r w:rsidR="00751EEA">
        <w:rPr>
          <w:sz w:val="24"/>
          <w:szCs w:val="24"/>
          <w:lang w:val="en-GB" w:eastAsia="en-US"/>
        </w:rPr>
        <w:t>involving</w:t>
      </w:r>
      <w:r w:rsidRPr="00F70CB0">
        <w:rPr>
          <w:sz w:val="24"/>
          <w:szCs w:val="24"/>
          <w:lang w:val="en-GB" w:eastAsia="en-US"/>
        </w:rPr>
        <w:t xml:space="preserve"> the ability to analyse large datasets, evaluate </w:t>
      </w:r>
      <w:r w:rsidR="00751EEA" w:rsidRPr="00F70CB0">
        <w:rPr>
          <w:sz w:val="24"/>
          <w:szCs w:val="24"/>
          <w:lang w:val="en-GB" w:eastAsia="en-US"/>
        </w:rPr>
        <w:t>multifaceted</w:t>
      </w:r>
      <w:r w:rsidRPr="00F70CB0">
        <w:rPr>
          <w:sz w:val="24"/>
          <w:szCs w:val="24"/>
          <w:lang w:val="en-GB" w:eastAsia="en-US"/>
        </w:rPr>
        <w:t xml:space="preserve"> relationships, and generate statistically generalisable findings.</w:t>
      </w:r>
    </w:p>
    <w:p w14:paraId="20CAAEF1" w14:textId="0C0DF0E5" w:rsidR="009B00F8" w:rsidRPr="00F70CB0" w:rsidRDefault="009B00F8" w:rsidP="009B00F8">
      <w:pPr>
        <w:jc w:val="both"/>
        <w:rPr>
          <w:sz w:val="24"/>
          <w:szCs w:val="24"/>
          <w:lang w:val="en-GB" w:eastAsia="en-US"/>
        </w:rPr>
      </w:pPr>
      <w:r w:rsidRPr="00F70CB0">
        <w:rPr>
          <w:sz w:val="24"/>
          <w:szCs w:val="24"/>
          <w:lang w:val="en-GB" w:eastAsia="en-US"/>
        </w:rPr>
        <w:t xml:space="preserve">However, this methodological </w:t>
      </w:r>
      <w:r w:rsidR="00751EEA" w:rsidRPr="00F70CB0">
        <w:rPr>
          <w:sz w:val="24"/>
          <w:szCs w:val="24"/>
          <w:lang w:val="en-GB" w:eastAsia="en-US"/>
        </w:rPr>
        <w:t>domination</w:t>
      </w:r>
      <w:r w:rsidRPr="00F70CB0">
        <w:rPr>
          <w:sz w:val="24"/>
          <w:szCs w:val="24"/>
          <w:lang w:val="en-GB" w:eastAsia="en-US"/>
        </w:rPr>
        <w:t xml:space="preserve"> also </w:t>
      </w:r>
      <w:r w:rsidR="00751EEA" w:rsidRPr="00F70CB0">
        <w:rPr>
          <w:sz w:val="24"/>
          <w:szCs w:val="24"/>
          <w:lang w:val="en-GB" w:eastAsia="en-US"/>
        </w:rPr>
        <w:t>introduces</w:t>
      </w:r>
      <w:r w:rsidRPr="00F70CB0">
        <w:rPr>
          <w:sz w:val="24"/>
          <w:szCs w:val="24"/>
          <w:lang w:val="en-GB" w:eastAsia="en-US"/>
        </w:rPr>
        <w:t xml:space="preserve"> several critical limitations. First, there is a strong </w:t>
      </w:r>
      <w:r w:rsidR="00751EEA" w:rsidRPr="00F70CB0">
        <w:rPr>
          <w:sz w:val="24"/>
          <w:szCs w:val="24"/>
          <w:lang w:val="en-GB" w:eastAsia="en-US"/>
        </w:rPr>
        <w:t>dependence</w:t>
      </w:r>
      <w:r w:rsidRPr="00F70CB0">
        <w:rPr>
          <w:sz w:val="24"/>
          <w:szCs w:val="24"/>
          <w:lang w:val="en-GB" w:eastAsia="en-US"/>
        </w:rPr>
        <w:t xml:space="preserve"> on cross-sectional research designs, where data is </w:t>
      </w:r>
      <w:r w:rsidR="00751EEA" w:rsidRPr="00F70CB0">
        <w:rPr>
          <w:sz w:val="24"/>
          <w:szCs w:val="24"/>
          <w:lang w:val="en-GB" w:eastAsia="en-US"/>
        </w:rPr>
        <w:t>gathered</w:t>
      </w:r>
      <w:r w:rsidRPr="00F70CB0">
        <w:rPr>
          <w:sz w:val="24"/>
          <w:szCs w:val="24"/>
          <w:lang w:val="en-GB" w:eastAsia="en-US"/>
        </w:rPr>
        <w:t xml:space="preserve"> at a single point in time. This </w:t>
      </w:r>
      <w:r w:rsidR="00751EEA" w:rsidRPr="00F70CB0">
        <w:rPr>
          <w:sz w:val="24"/>
          <w:szCs w:val="24"/>
          <w:lang w:val="en-GB" w:eastAsia="en-US"/>
        </w:rPr>
        <w:t>limits</w:t>
      </w:r>
      <w:r w:rsidRPr="00F70CB0">
        <w:rPr>
          <w:sz w:val="24"/>
          <w:szCs w:val="24"/>
          <w:lang w:val="en-GB" w:eastAsia="en-US"/>
        </w:rPr>
        <w:t xml:space="preserve"> the ability to capture the dynamic and </w:t>
      </w:r>
      <w:r w:rsidR="00751EEA" w:rsidRPr="00F70CB0">
        <w:rPr>
          <w:sz w:val="24"/>
          <w:szCs w:val="24"/>
          <w:lang w:val="en-GB" w:eastAsia="en-US"/>
        </w:rPr>
        <w:t>changing</w:t>
      </w:r>
      <w:r w:rsidRPr="00F70CB0">
        <w:rPr>
          <w:sz w:val="24"/>
          <w:szCs w:val="24"/>
          <w:lang w:val="en-GB" w:eastAsia="en-US"/>
        </w:rPr>
        <w:t xml:space="preserve"> nature of user behaviour, </w:t>
      </w:r>
      <w:r w:rsidR="00751EEA">
        <w:rPr>
          <w:sz w:val="24"/>
          <w:szCs w:val="24"/>
          <w:lang w:val="en-GB" w:eastAsia="en-US"/>
        </w:rPr>
        <w:t>especially</w:t>
      </w:r>
      <w:r w:rsidRPr="00F70CB0">
        <w:rPr>
          <w:sz w:val="24"/>
          <w:szCs w:val="24"/>
          <w:lang w:val="en-GB" w:eastAsia="en-US"/>
        </w:rPr>
        <w:t xml:space="preserve"> in digital banking contexts where customer preferences and expectations change over time. As a result, behavioural relationships are often </w:t>
      </w:r>
      <w:r w:rsidR="00751EEA" w:rsidRPr="00F70CB0">
        <w:rPr>
          <w:sz w:val="24"/>
          <w:szCs w:val="24"/>
          <w:lang w:val="en-GB" w:eastAsia="en-US"/>
        </w:rPr>
        <w:t>assumed</w:t>
      </w:r>
      <w:r w:rsidRPr="00F70CB0">
        <w:rPr>
          <w:sz w:val="24"/>
          <w:szCs w:val="24"/>
          <w:lang w:val="en-GB" w:eastAsia="en-US"/>
        </w:rPr>
        <w:t xml:space="preserve"> rather than observed longitudinally.</w:t>
      </w:r>
    </w:p>
    <w:p w14:paraId="70093676" w14:textId="1E168C54" w:rsidR="009B00F8" w:rsidRPr="00F70CB0" w:rsidRDefault="009B00F8" w:rsidP="009B00F8">
      <w:pPr>
        <w:jc w:val="both"/>
        <w:rPr>
          <w:sz w:val="24"/>
          <w:szCs w:val="24"/>
          <w:lang w:val="en-GB" w:eastAsia="en-US"/>
        </w:rPr>
      </w:pPr>
      <w:r w:rsidRPr="00F70CB0">
        <w:rPr>
          <w:sz w:val="24"/>
          <w:szCs w:val="24"/>
          <w:lang w:val="en-GB" w:eastAsia="en-US"/>
        </w:rPr>
        <w:t xml:space="preserve">Second, the </w:t>
      </w:r>
      <w:r w:rsidR="00751EEA" w:rsidRPr="00F70CB0">
        <w:rPr>
          <w:sz w:val="24"/>
          <w:szCs w:val="24"/>
          <w:lang w:val="en-GB" w:eastAsia="en-US"/>
        </w:rPr>
        <w:t>massive</w:t>
      </w:r>
      <w:r w:rsidRPr="00F70CB0">
        <w:rPr>
          <w:sz w:val="24"/>
          <w:szCs w:val="24"/>
          <w:lang w:val="en-GB" w:eastAsia="en-US"/>
        </w:rPr>
        <w:t xml:space="preserve"> use of SEM </w:t>
      </w:r>
      <w:r w:rsidR="00C10067" w:rsidRPr="00F70CB0">
        <w:rPr>
          <w:sz w:val="24"/>
          <w:szCs w:val="24"/>
          <w:lang w:val="en-GB" w:eastAsia="en-US"/>
        </w:rPr>
        <w:t>increases</w:t>
      </w:r>
      <w:r w:rsidRPr="00F70CB0">
        <w:rPr>
          <w:sz w:val="24"/>
          <w:szCs w:val="24"/>
          <w:lang w:val="en-GB" w:eastAsia="en-US"/>
        </w:rPr>
        <w:t xml:space="preserve"> </w:t>
      </w:r>
      <w:r w:rsidR="00C10067" w:rsidRPr="00F70CB0">
        <w:rPr>
          <w:sz w:val="24"/>
          <w:szCs w:val="24"/>
          <w:lang w:val="en-GB" w:eastAsia="en-US"/>
        </w:rPr>
        <w:t>affects</w:t>
      </w:r>
      <w:r w:rsidRPr="00F70CB0">
        <w:rPr>
          <w:sz w:val="24"/>
          <w:szCs w:val="24"/>
          <w:lang w:val="en-GB" w:eastAsia="en-US"/>
        </w:rPr>
        <w:t xml:space="preserve"> regarding causal inference. While SEM is effective in modelling relationships between constructs, it does not </w:t>
      </w:r>
      <w:r w:rsidR="00C10067" w:rsidRPr="00F70CB0">
        <w:rPr>
          <w:sz w:val="24"/>
          <w:szCs w:val="24"/>
          <w:lang w:val="en-GB" w:eastAsia="en-US"/>
        </w:rPr>
        <w:t>determine</w:t>
      </w:r>
      <w:r w:rsidRPr="00F70CB0">
        <w:rPr>
          <w:sz w:val="24"/>
          <w:szCs w:val="24"/>
          <w:lang w:val="en-GB" w:eastAsia="en-US"/>
        </w:rPr>
        <w:t xml:space="preserve"> true causality, particularly when applied to cross-sectional data. This suggests that many studies may </w:t>
      </w:r>
      <w:r w:rsidR="00C10067" w:rsidRPr="00F70CB0">
        <w:rPr>
          <w:sz w:val="24"/>
          <w:szCs w:val="24"/>
          <w:lang w:val="en-GB" w:eastAsia="en-US"/>
        </w:rPr>
        <w:t>exaggerate</w:t>
      </w:r>
      <w:r w:rsidRPr="00F70CB0">
        <w:rPr>
          <w:sz w:val="24"/>
          <w:szCs w:val="24"/>
          <w:lang w:val="en-GB" w:eastAsia="en-US"/>
        </w:rPr>
        <w:t xml:space="preserve"> causal relationships between variables such as satisfaction, trust, and continuance intention without sufficient temporal evidence.</w:t>
      </w:r>
    </w:p>
    <w:p w14:paraId="0DE7444B" w14:textId="08514C74" w:rsidR="009B00F8" w:rsidRPr="00F70CB0" w:rsidRDefault="009B00F8" w:rsidP="009B00F8">
      <w:pPr>
        <w:jc w:val="both"/>
        <w:rPr>
          <w:sz w:val="24"/>
          <w:szCs w:val="24"/>
          <w:lang w:val="en-GB" w:eastAsia="en-US"/>
        </w:rPr>
      </w:pPr>
      <w:r w:rsidRPr="00F70CB0">
        <w:rPr>
          <w:sz w:val="24"/>
          <w:szCs w:val="24"/>
          <w:lang w:val="en-GB" w:eastAsia="en-US"/>
        </w:rPr>
        <w:t xml:space="preserve">Third, there is </w:t>
      </w:r>
      <w:r w:rsidR="00F76543">
        <w:rPr>
          <w:sz w:val="24"/>
          <w:szCs w:val="24"/>
          <w:lang w:val="en-GB" w:eastAsia="en-US"/>
        </w:rPr>
        <w:t xml:space="preserve">a </w:t>
      </w:r>
      <w:r w:rsidR="00F76543" w:rsidRPr="00F70CB0">
        <w:rPr>
          <w:sz w:val="24"/>
          <w:szCs w:val="24"/>
          <w:lang w:val="en-GB" w:eastAsia="en-US"/>
        </w:rPr>
        <w:t>narrow</w:t>
      </w:r>
      <w:r w:rsidRPr="00F70CB0">
        <w:rPr>
          <w:sz w:val="24"/>
          <w:szCs w:val="24"/>
          <w:lang w:val="en-GB" w:eastAsia="en-US"/>
        </w:rPr>
        <w:t xml:space="preserve"> methodological </w:t>
      </w:r>
      <w:r w:rsidR="00F76543" w:rsidRPr="00F70CB0">
        <w:rPr>
          <w:sz w:val="24"/>
          <w:szCs w:val="24"/>
          <w:lang w:val="en-GB" w:eastAsia="en-US"/>
        </w:rPr>
        <w:t>variety</w:t>
      </w:r>
      <w:r w:rsidRPr="00F70CB0">
        <w:rPr>
          <w:sz w:val="24"/>
          <w:szCs w:val="24"/>
          <w:lang w:val="en-GB" w:eastAsia="en-US"/>
        </w:rPr>
        <w:t xml:space="preserve"> within the literature. The underutilisation of qualitative approaches, such as interviews and case studies, restricts </w:t>
      </w:r>
      <w:r w:rsidR="00F76543" w:rsidRPr="00F70CB0">
        <w:rPr>
          <w:sz w:val="24"/>
          <w:szCs w:val="24"/>
          <w:lang w:val="en-GB" w:eastAsia="en-US"/>
        </w:rPr>
        <w:t>extreme</w:t>
      </w:r>
      <w:r w:rsidRPr="00F70CB0">
        <w:rPr>
          <w:sz w:val="24"/>
          <w:szCs w:val="24"/>
          <w:lang w:val="en-GB" w:eastAsia="en-US"/>
        </w:rPr>
        <w:t xml:space="preserve"> insights into user motivations, perceptions, and experiences. As digital banking behaviour is influenced by </w:t>
      </w:r>
      <w:r w:rsidR="00F76543" w:rsidRPr="00F70CB0">
        <w:rPr>
          <w:sz w:val="24"/>
          <w:szCs w:val="24"/>
          <w:lang w:val="en-GB" w:eastAsia="en-US"/>
        </w:rPr>
        <w:t>equally</w:t>
      </w:r>
      <w:r w:rsidRPr="00F70CB0">
        <w:rPr>
          <w:sz w:val="24"/>
          <w:szCs w:val="24"/>
          <w:lang w:val="en-GB" w:eastAsia="en-US"/>
        </w:rPr>
        <w:t xml:space="preserve"> cognitive and experiential factors, the </w:t>
      </w:r>
      <w:r w:rsidR="00F76543" w:rsidRPr="00F70CB0">
        <w:rPr>
          <w:sz w:val="24"/>
          <w:szCs w:val="24"/>
          <w:lang w:val="en-GB" w:eastAsia="en-US"/>
        </w:rPr>
        <w:t>lack</w:t>
      </w:r>
      <w:r w:rsidRPr="00F70CB0">
        <w:rPr>
          <w:sz w:val="24"/>
          <w:szCs w:val="24"/>
          <w:lang w:val="en-GB" w:eastAsia="en-US"/>
        </w:rPr>
        <w:t xml:space="preserve"> of qualitative </w:t>
      </w:r>
      <w:r w:rsidR="00F76543" w:rsidRPr="00F70CB0">
        <w:rPr>
          <w:sz w:val="24"/>
          <w:szCs w:val="24"/>
          <w:lang w:val="en-GB" w:eastAsia="en-US"/>
        </w:rPr>
        <w:t>investigation</w:t>
      </w:r>
      <w:r w:rsidRPr="00F70CB0">
        <w:rPr>
          <w:sz w:val="24"/>
          <w:szCs w:val="24"/>
          <w:lang w:val="en-GB" w:eastAsia="en-US"/>
        </w:rPr>
        <w:t xml:space="preserve"> limits the richness of understanding.</w:t>
      </w:r>
    </w:p>
    <w:p w14:paraId="627453B3" w14:textId="3C85E5F1" w:rsidR="009B00F8" w:rsidRPr="00F70CB0" w:rsidRDefault="009B00F8" w:rsidP="009B00F8">
      <w:pPr>
        <w:jc w:val="both"/>
        <w:rPr>
          <w:sz w:val="24"/>
          <w:szCs w:val="24"/>
          <w:lang w:val="en-GB" w:eastAsia="en-US"/>
        </w:rPr>
      </w:pPr>
      <w:r w:rsidRPr="00F70CB0">
        <w:rPr>
          <w:sz w:val="24"/>
          <w:szCs w:val="24"/>
          <w:lang w:val="en-GB" w:eastAsia="en-US"/>
        </w:rPr>
        <w:t xml:space="preserve">In addition, measurement inconsistency remains a </w:t>
      </w:r>
      <w:r w:rsidR="006B6CC8" w:rsidRPr="00F70CB0">
        <w:rPr>
          <w:sz w:val="24"/>
          <w:szCs w:val="24"/>
          <w:lang w:val="en-GB" w:eastAsia="en-US"/>
        </w:rPr>
        <w:t>major</w:t>
      </w:r>
      <w:r w:rsidRPr="00F70CB0">
        <w:rPr>
          <w:sz w:val="24"/>
          <w:szCs w:val="24"/>
          <w:lang w:val="en-GB" w:eastAsia="en-US"/>
        </w:rPr>
        <w:t xml:space="preserve"> issue, as </w:t>
      </w:r>
      <w:r w:rsidR="006B6CC8" w:rsidRPr="00F70CB0">
        <w:rPr>
          <w:sz w:val="24"/>
          <w:szCs w:val="24"/>
          <w:lang w:val="en-GB" w:eastAsia="en-US"/>
        </w:rPr>
        <w:t>separate</w:t>
      </w:r>
      <w:r w:rsidRPr="00F70CB0">
        <w:rPr>
          <w:sz w:val="24"/>
          <w:szCs w:val="24"/>
          <w:lang w:val="en-GB" w:eastAsia="en-US"/>
        </w:rPr>
        <w:t xml:space="preserve"> studies employ varied scales and constructs to assess </w:t>
      </w:r>
      <w:r w:rsidR="006B6CC8" w:rsidRPr="00F70CB0">
        <w:rPr>
          <w:sz w:val="24"/>
          <w:szCs w:val="24"/>
          <w:lang w:val="en-GB" w:eastAsia="en-US"/>
        </w:rPr>
        <w:t>related</w:t>
      </w:r>
      <w:r w:rsidRPr="00F70CB0">
        <w:rPr>
          <w:sz w:val="24"/>
          <w:szCs w:val="24"/>
          <w:lang w:val="en-GB" w:eastAsia="en-US"/>
        </w:rPr>
        <w:t xml:space="preserve"> variables. This lack of </w:t>
      </w:r>
      <w:r w:rsidR="006B6CC8" w:rsidRPr="00F70CB0">
        <w:rPr>
          <w:sz w:val="24"/>
          <w:szCs w:val="24"/>
          <w:lang w:val="en-GB" w:eastAsia="en-US"/>
        </w:rPr>
        <w:t>correction</w:t>
      </w:r>
      <w:r w:rsidRPr="00F70CB0">
        <w:rPr>
          <w:sz w:val="24"/>
          <w:szCs w:val="24"/>
          <w:lang w:val="en-GB" w:eastAsia="en-US"/>
        </w:rPr>
        <w:t xml:space="preserve"> reduces </w:t>
      </w:r>
      <w:r w:rsidR="006B6CC8" w:rsidRPr="00F70CB0">
        <w:rPr>
          <w:sz w:val="24"/>
          <w:szCs w:val="24"/>
          <w:lang w:val="en-GB" w:eastAsia="en-US"/>
        </w:rPr>
        <w:t>equivalence</w:t>
      </w:r>
      <w:r w:rsidRPr="00F70CB0">
        <w:rPr>
          <w:sz w:val="24"/>
          <w:szCs w:val="24"/>
          <w:lang w:val="en-GB" w:eastAsia="en-US"/>
        </w:rPr>
        <w:t xml:space="preserve"> across studies and weakens the cumulative development of knowledge within the field.</w:t>
      </w:r>
    </w:p>
    <w:p w14:paraId="795F6A6F" w14:textId="56B3FE5B" w:rsidR="009B00F8" w:rsidRPr="00F70CB0" w:rsidRDefault="009B00F8" w:rsidP="009B00F8">
      <w:pPr>
        <w:jc w:val="both"/>
        <w:rPr>
          <w:sz w:val="24"/>
          <w:szCs w:val="24"/>
          <w:lang w:val="en-GB" w:eastAsia="en-US"/>
        </w:rPr>
      </w:pPr>
      <w:r w:rsidRPr="00F70CB0">
        <w:rPr>
          <w:sz w:val="24"/>
          <w:szCs w:val="24"/>
          <w:lang w:val="en-GB" w:eastAsia="en-US"/>
        </w:rPr>
        <w:t xml:space="preserve">Furthermore, much of the </w:t>
      </w:r>
      <w:r w:rsidR="002D53C6" w:rsidRPr="00F70CB0">
        <w:rPr>
          <w:sz w:val="24"/>
          <w:szCs w:val="24"/>
          <w:lang w:val="en-GB" w:eastAsia="en-US"/>
        </w:rPr>
        <w:t>prevailing</w:t>
      </w:r>
      <w:r w:rsidRPr="00F70CB0">
        <w:rPr>
          <w:sz w:val="24"/>
          <w:szCs w:val="24"/>
          <w:lang w:val="en-GB" w:eastAsia="en-US"/>
        </w:rPr>
        <w:t xml:space="preserve"> research is </w:t>
      </w:r>
      <w:r w:rsidR="002D53C6" w:rsidRPr="00F70CB0">
        <w:rPr>
          <w:sz w:val="24"/>
          <w:szCs w:val="24"/>
          <w:lang w:val="en-GB" w:eastAsia="en-US"/>
        </w:rPr>
        <w:t>led</w:t>
      </w:r>
      <w:r w:rsidRPr="00F70CB0">
        <w:rPr>
          <w:sz w:val="24"/>
          <w:szCs w:val="24"/>
          <w:lang w:val="en-GB" w:eastAsia="en-US"/>
        </w:rPr>
        <w:t xml:space="preserve"> in developing country contexts, raising concerns regarding </w:t>
      </w:r>
      <w:r w:rsidR="00020208" w:rsidRPr="00F70CB0">
        <w:rPr>
          <w:sz w:val="24"/>
          <w:szCs w:val="24"/>
          <w:lang w:val="en-GB" w:eastAsia="en-US"/>
        </w:rPr>
        <w:t>outside</w:t>
      </w:r>
      <w:r w:rsidRPr="00F70CB0">
        <w:rPr>
          <w:sz w:val="24"/>
          <w:szCs w:val="24"/>
          <w:lang w:val="en-GB" w:eastAsia="en-US"/>
        </w:rPr>
        <w:t xml:space="preserve"> validity and generalisability to </w:t>
      </w:r>
      <w:r w:rsidR="00020208" w:rsidRPr="00F70CB0">
        <w:rPr>
          <w:sz w:val="24"/>
          <w:szCs w:val="24"/>
          <w:lang w:val="en-GB" w:eastAsia="en-US"/>
        </w:rPr>
        <w:t>developed</w:t>
      </w:r>
      <w:r w:rsidRPr="00F70CB0">
        <w:rPr>
          <w:sz w:val="24"/>
          <w:szCs w:val="24"/>
          <w:lang w:val="en-GB" w:eastAsia="en-US"/>
        </w:rPr>
        <w:t xml:space="preserve"> markets such as the United Kingdom. Given the advanced digital banking infrastructure and </w:t>
      </w:r>
      <w:r w:rsidR="00020208" w:rsidRPr="00F70CB0">
        <w:rPr>
          <w:sz w:val="24"/>
          <w:szCs w:val="24"/>
          <w:lang w:val="en-GB" w:eastAsia="en-US"/>
        </w:rPr>
        <w:t>distinctive</w:t>
      </w:r>
      <w:r w:rsidRPr="00F70CB0">
        <w:rPr>
          <w:sz w:val="24"/>
          <w:szCs w:val="24"/>
          <w:lang w:val="en-GB" w:eastAsia="en-US"/>
        </w:rPr>
        <w:t xml:space="preserve"> consumer behaviour in the UK, this contextual limitation </w:t>
      </w:r>
      <w:r w:rsidR="00020208" w:rsidRPr="00F70CB0">
        <w:rPr>
          <w:sz w:val="24"/>
          <w:szCs w:val="24"/>
          <w:lang w:val="en-GB" w:eastAsia="en-US"/>
        </w:rPr>
        <w:t>signifies</w:t>
      </w:r>
      <w:r w:rsidRPr="00F70CB0">
        <w:rPr>
          <w:sz w:val="24"/>
          <w:szCs w:val="24"/>
          <w:lang w:val="en-GB" w:eastAsia="en-US"/>
        </w:rPr>
        <w:t xml:space="preserve"> a critical gap in the literature.</w:t>
      </w:r>
    </w:p>
    <w:p w14:paraId="78B85EAA" w14:textId="05B6E6FE" w:rsidR="003A1BBD" w:rsidRPr="00F70CB0" w:rsidRDefault="009B00F8" w:rsidP="00DF231A">
      <w:pPr>
        <w:jc w:val="both"/>
        <w:rPr>
          <w:sz w:val="24"/>
          <w:szCs w:val="24"/>
          <w:lang w:val="en-GB" w:eastAsia="en-US"/>
        </w:rPr>
      </w:pPr>
      <w:r w:rsidRPr="00F70CB0">
        <w:rPr>
          <w:sz w:val="24"/>
          <w:szCs w:val="24"/>
          <w:lang w:val="en-GB" w:eastAsia="en-US"/>
        </w:rPr>
        <w:t xml:space="preserve">Overall, these methodological </w:t>
      </w:r>
      <w:r w:rsidR="009118E9" w:rsidRPr="00F70CB0">
        <w:rPr>
          <w:sz w:val="24"/>
          <w:szCs w:val="24"/>
          <w:lang w:val="en-GB" w:eastAsia="en-US"/>
        </w:rPr>
        <w:t>restraints</w:t>
      </w:r>
      <w:r w:rsidRPr="00F70CB0">
        <w:rPr>
          <w:sz w:val="24"/>
          <w:szCs w:val="24"/>
          <w:lang w:val="en-GB" w:eastAsia="en-US"/>
        </w:rPr>
        <w:t xml:space="preserve"> highlight the need for more robust and diverse research designs. </w:t>
      </w:r>
      <w:r w:rsidR="009118E9" w:rsidRPr="00F70CB0">
        <w:rPr>
          <w:sz w:val="24"/>
          <w:szCs w:val="24"/>
          <w:lang w:val="en-GB" w:eastAsia="en-US"/>
        </w:rPr>
        <w:t>Upcoming</w:t>
      </w:r>
      <w:r w:rsidRPr="00F70CB0">
        <w:rPr>
          <w:sz w:val="24"/>
          <w:szCs w:val="24"/>
          <w:lang w:val="en-GB" w:eastAsia="en-US"/>
        </w:rPr>
        <w:t xml:space="preserve"> studies should </w:t>
      </w:r>
      <w:r w:rsidR="009118E9" w:rsidRPr="00F70CB0">
        <w:rPr>
          <w:sz w:val="24"/>
          <w:szCs w:val="24"/>
          <w:lang w:val="en-GB" w:eastAsia="en-US"/>
        </w:rPr>
        <w:t>implement</w:t>
      </w:r>
      <w:r w:rsidRPr="00F70CB0">
        <w:rPr>
          <w:sz w:val="24"/>
          <w:szCs w:val="24"/>
          <w:lang w:val="en-GB" w:eastAsia="en-US"/>
        </w:rPr>
        <w:t xml:space="preserve"> longitudinal approaches to capture behavioural change over time, </w:t>
      </w:r>
      <w:r w:rsidR="009118E9" w:rsidRPr="00F70CB0">
        <w:rPr>
          <w:sz w:val="24"/>
          <w:szCs w:val="24"/>
          <w:lang w:val="en-GB" w:eastAsia="en-US"/>
        </w:rPr>
        <w:t>combine</w:t>
      </w:r>
      <w:r w:rsidRPr="00F70CB0">
        <w:rPr>
          <w:sz w:val="24"/>
          <w:szCs w:val="24"/>
          <w:lang w:val="en-GB" w:eastAsia="en-US"/>
        </w:rPr>
        <w:t xml:space="preserve"> qualitative methods to provide deeper insights, and employ more </w:t>
      </w:r>
      <w:r w:rsidR="009118E9" w:rsidRPr="00F70CB0">
        <w:rPr>
          <w:sz w:val="24"/>
          <w:szCs w:val="24"/>
          <w:lang w:val="en-GB" w:eastAsia="en-US"/>
        </w:rPr>
        <w:t>constant</w:t>
      </w:r>
      <w:r w:rsidRPr="00F70CB0">
        <w:rPr>
          <w:sz w:val="24"/>
          <w:szCs w:val="24"/>
          <w:lang w:val="en-GB" w:eastAsia="en-US"/>
        </w:rPr>
        <w:t xml:space="preserve"> measurement frameworks. In addition, greater emphasis on UK-based research is required to enhance contextual relevance and theoretical applicability.</w:t>
      </w:r>
    </w:p>
    <w:p w14:paraId="41DCDA90" w14:textId="44EA210F" w:rsidR="00D9277D" w:rsidRPr="00F70CB0" w:rsidRDefault="00667AB7" w:rsidP="00515456">
      <w:pPr>
        <w:pStyle w:val="Heading1"/>
        <w:rPr>
          <w:rFonts w:ascii="Times New Roman" w:hAnsi="Times New Roman" w:cs="Times New Roman"/>
          <w:sz w:val="32"/>
          <w:szCs w:val="32"/>
        </w:rPr>
      </w:pPr>
      <w:bookmarkStart w:id="41" w:name="_Toc227353509"/>
      <w:r w:rsidRPr="00F70CB0">
        <w:rPr>
          <w:rFonts w:ascii="Times New Roman" w:hAnsi="Times New Roman" w:cs="Times New Roman"/>
          <w:sz w:val="32"/>
          <w:szCs w:val="32"/>
        </w:rPr>
        <w:lastRenderedPageBreak/>
        <w:t>3.</w:t>
      </w:r>
      <w:r w:rsidR="00F9357A" w:rsidRPr="00F70CB0">
        <w:rPr>
          <w:rFonts w:ascii="Times New Roman" w:hAnsi="Times New Roman" w:cs="Times New Roman"/>
          <w:sz w:val="32"/>
          <w:szCs w:val="32"/>
        </w:rPr>
        <w:t xml:space="preserve">6 </w:t>
      </w:r>
      <w:r w:rsidR="00F2352B" w:rsidRPr="00F70CB0">
        <w:rPr>
          <w:rFonts w:ascii="Times New Roman" w:hAnsi="Times New Roman" w:cs="Times New Roman"/>
          <w:sz w:val="32"/>
          <w:szCs w:val="32"/>
        </w:rPr>
        <w:t>Research Gaps</w:t>
      </w:r>
      <w:bookmarkEnd w:id="41"/>
    </w:p>
    <w:p w14:paraId="78B30E8F" w14:textId="3BE3879F" w:rsidR="00187190" w:rsidRPr="00F70CB0" w:rsidRDefault="00C32B42" w:rsidP="00187190">
      <w:pPr>
        <w:jc w:val="both"/>
        <w:rPr>
          <w:sz w:val="24"/>
          <w:szCs w:val="24"/>
          <w:lang w:val="en-GB" w:eastAsia="en-US"/>
        </w:rPr>
      </w:pPr>
      <w:r w:rsidRPr="00F70CB0">
        <w:rPr>
          <w:sz w:val="24"/>
          <w:szCs w:val="24"/>
          <w:lang w:eastAsia="en-US"/>
        </w:rPr>
        <w:t xml:space="preserve">A critical examination of the existing literature </w:t>
      </w:r>
      <w:r w:rsidR="004D7FAD" w:rsidRPr="00F70CB0">
        <w:rPr>
          <w:sz w:val="24"/>
          <w:szCs w:val="24"/>
          <w:lang w:eastAsia="en-US"/>
        </w:rPr>
        <w:t>discloses</w:t>
      </w:r>
      <w:r w:rsidRPr="00F70CB0">
        <w:rPr>
          <w:sz w:val="24"/>
          <w:szCs w:val="24"/>
          <w:lang w:eastAsia="en-US"/>
        </w:rPr>
        <w:t xml:space="preserve"> that, </w:t>
      </w:r>
      <w:r w:rsidR="004D7FAD" w:rsidRPr="00F70CB0">
        <w:rPr>
          <w:sz w:val="24"/>
          <w:szCs w:val="24"/>
          <w:lang w:eastAsia="en-US"/>
        </w:rPr>
        <w:t>although</w:t>
      </w:r>
      <w:r w:rsidRPr="00F70CB0">
        <w:rPr>
          <w:sz w:val="24"/>
          <w:szCs w:val="24"/>
          <w:lang w:eastAsia="en-US"/>
        </w:rPr>
        <w:t xml:space="preserve"> extensive research on digital banking</w:t>
      </w:r>
      <w:r w:rsidR="004D7FAD">
        <w:rPr>
          <w:sz w:val="24"/>
          <w:szCs w:val="24"/>
          <w:lang w:eastAsia="en-US"/>
        </w:rPr>
        <w:t xml:space="preserve"> has been conducted</w:t>
      </w:r>
      <w:r w:rsidRPr="00F70CB0">
        <w:rPr>
          <w:sz w:val="24"/>
          <w:szCs w:val="24"/>
          <w:lang w:eastAsia="en-US"/>
        </w:rPr>
        <w:t xml:space="preserve">, the field </w:t>
      </w:r>
      <w:r w:rsidR="00D435DD" w:rsidRPr="00F70CB0">
        <w:rPr>
          <w:sz w:val="24"/>
          <w:szCs w:val="24"/>
          <w:lang w:eastAsia="en-US"/>
        </w:rPr>
        <w:t>is still</w:t>
      </w:r>
      <w:r w:rsidRPr="00F70CB0">
        <w:rPr>
          <w:sz w:val="24"/>
          <w:szCs w:val="24"/>
          <w:lang w:eastAsia="en-US"/>
        </w:rPr>
        <w:t xml:space="preserve"> conceptually fragmented and theoretically </w:t>
      </w:r>
      <w:r w:rsidR="00ED421A" w:rsidRPr="00F70CB0">
        <w:rPr>
          <w:sz w:val="24"/>
          <w:szCs w:val="24"/>
          <w:lang w:eastAsia="en-US"/>
        </w:rPr>
        <w:t>inadequate</w:t>
      </w:r>
      <w:r w:rsidRPr="00F70CB0">
        <w:rPr>
          <w:sz w:val="24"/>
          <w:szCs w:val="24"/>
          <w:lang w:eastAsia="en-US"/>
        </w:rPr>
        <w:t xml:space="preserve"> in </w:t>
      </w:r>
      <w:r w:rsidR="00ED421A" w:rsidRPr="00F70CB0">
        <w:rPr>
          <w:sz w:val="24"/>
          <w:szCs w:val="24"/>
          <w:lang w:eastAsia="en-US"/>
        </w:rPr>
        <w:t>clarifying</w:t>
      </w:r>
      <w:r w:rsidRPr="00F70CB0">
        <w:rPr>
          <w:sz w:val="24"/>
          <w:szCs w:val="24"/>
          <w:lang w:eastAsia="en-US"/>
        </w:rPr>
        <w:t xml:space="preserve"> the full </w:t>
      </w:r>
      <w:r w:rsidR="00ED421A">
        <w:rPr>
          <w:sz w:val="24"/>
          <w:szCs w:val="24"/>
          <w:lang w:eastAsia="en-US"/>
        </w:rPr>
        <w:t>involvement</w:t>
      </w:r>
      <w:r w:rsidRPr="00F70CB0">
        <w:rPr>
          <w:sz w:val="24"/>
          <w:szCs w:val="24"/>
          <w:lang w:eastAsia="en-US"/>
        </w:rPr>
        <w:t xml:space="preserve"> of user behaviour. While </w:t>
      </w:r>
      <w:r w:rsidR="00ED421A" w:rsidRPr="00F70CB0">
        <w:rPr>
          <w:sz w:val="24"/>
          <w:szCs w:val="24"/>
          <w:lang w:eastAsia="en-US"/>
        </w:rPr>
        <w:t>previous</w:t>
      </w:r>
      <w:r w:rsidRPr="00F70CB0">
        <w:rPr>
          <w:sz w:val="24"/>
          <w:szCs w:val="24"/>
          <w:lang w:eastAsia="en-US"/>
        </w:rPr>
        <w:t xml:space="preserve"> studies </w:t>
      </w:r>
      <w:r w:rsidR="00D435DD" w:rsidRPr="00F70CB0">
        <w:rPr>
          <w:sz w:val="24"/>
          <w:szCs w:val="24"/>
          <w:lang w:eastAsia="en-US"/>
        </w:rPr>
        <w:t>offer</w:t>
      </w:r>
      <w:r w:rsidRPr="00F70CB0">
        <w:rPr>
          <w:sz w:val="24"/>
          <w:szCs w:val="24"/>
          <w:lang w:eastAsia="en-US"/>
        </w:rPr>
        <w:t xml:space="preserve"> valuable </w:t>
      </w:r>
      <w:r w:rsidR="00ED421A" w:rsidRPr="00F70CB0">
        <w:rPr>
          <w:sz w:val="24"/>
          <w:szCs w:val="24"/>
          <w:lang w:eastAsia="en-US"/>
        </w:rPr>
        <w:t>understandings</w:t>
      </w:r>
      <w:r w:rsidRPr="00F70CB0">
        <w:rPr>
          <w:sz w:val="24"/>
          <w:szCs w:val="24"/>
          <w:lang w:eastAsia="en-US"/>
        </w:rPr>
        <w:t xml:space="preserve"> into specific </w:t>
      </w:r>
      <w:r w:rsidR="00ED421A" w:rsidRPr="00F70CB0">
        <w:rPr>
          <w:sz w:val="24"/>
          <w:szCs w:val="24"/>
          <w:lang w:eastAsia="en-US"/>
        </w:rPr>
        <w:t>features</w:t>
      </w:r>
      <w:r w:rsidRPr="00F70CB0">
        <w:rPr>
          <w:sz w:val="24"/>
          <w:szCs w:val="24"/>
          <w:lang w:eastAsia="en-US"/>
        </w:rPr>
        <w:t xml:space="preserve"> such as adoption, trust, and service quality, they often </w:t>
      </w:r>
      <w:r w:rsidR="00D435DD" w:rsidRPr="00F70CB0">
        <w:rPr>
          <w:sz w:val="24"/>
          <w:szCs w:val="24"/>
          <w:lang w:eastAsia="en-US"/>
        </w:rPr>
        <w:t>do not</w:t>
      </w:r>
      <w:r w:rsidRPr="00F70CB0">
        <w:rPr>
          <w:sz w:val="24"/>
          <w:szCs w:val="24"/>
          <w:lang w:eastAsia="en-US"/>
        </w:rPr>
        <w:t xml:space="preserve"> offer an integrated and contextually grounded understanding of how these </w:t>
      </w:r>
      <w:r w:rsidR="00ED421A" w:rsidRPr="00F70CB0">
        <w:rPr>
          <w:sz w:val="24"/>
          <w:szCs w:val="24"/>
          <w:lang w:eastAsia="en-US"/>
        </w:rPr>
        <w:t>aspects</w:t>
      </w:r>
      <w:r w:rsidRPr="00F70CB0">
        <w:rPr>
          <w:sz w:val="24"/>
          <w:szCs w:val="24"/>
          <w:lang w:eastAsia="en-US"/>
        </w:rPr>
        <w:t xml:space="preserve"> collectively shape customer preference and continued usage. This highlights several key gaps that </w:t>
      </w:r>
      <w:r w:rsidR="00D435DD" w:rsidRPr="00F70CB0">
        <w:rPr>
          <w:sz w:val="24"/>
          <w:szCs w:val="24"/>
          <w:lang w:eastAsia="en-US"/>
        </w:rPr>
        <w:t>call for</w:t>
      </w:r>
      <w:r w:rsidRPr="00F70CB0">
        <w:rPr>
          <w:sz w:val="24"/>
          <w:szCs w:val="24"/>
          <w:lang w:eastAsia="en-US"/>
        </w:rPr>
        <w:t xml:space="preserve"> further investigation.</w:t>
      </w:r>
    </w:p>
    <w:p w14:paraId="1E778B34" w14:textId="77777777" w:rsidR="001C0E23" w:rsidRPr="00F70CB0" w:rsidRDefault="001C0E23" w:rsidP="00187190">
      <w:pPr>
        <w:jc w:val="both"/>
        <w:rPr>
          <w:sz w:val="24"/>
          <w:szCs w:val="24"/>
          <w:lang w:val="en-GB" w:eastAsia="en-US"/>
        </w:rPr>
      </w:pPr>
    </w:p>
    <w:p w14:paraId="717D1655" w14:textId="37CF17C0" w:rsidR="00D67CC2" w:rsidRPr="00F70CB0" w:rsidRDefault="001C0E23" w:rsidP="00D67CC2">
      <w:pPr>
        <w:jc w:val="both"/>
        <w:rPr>
          <w:sz w:val="24"/>
          <w:szCs w:val="24"/>
          <w:lang w:val="en-GB" w:eastAsia="en-US"/>
        </w:rPr>
      </w:pPr>
      <w:r w:rsidRPr="00F70CB0">
        <w:rPr>
          <w:noProof/>
          <w:sz w:val="24"/>
          <w:szCs w:val="24"/>
          <w:lang w:val="en-GB" w:eastAsia="en-US"/>
        </w:rPr>
        <w:drawing>
          <wp:inline distT="0" distB="0" distL="0" distR="0" wp14:anchorId="26169853" wp14:editId="408EE480">
            <wp:extent cx="5731510" cy="4298950"/>
            <wp:effectExtent l="171450" t="171450" r="173990" b="177800"/>
            <wp:docPr id="1142221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221173" name="Picture 1142221173"/>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AFCB531" w14:textId="77777777" w:rsidR="001C0E23" w:rsidRPr="00F70CB0" w:rsidRDefault="001C0E23" w:rsidP="00187190">
      <w:pPr>
        <w:jc w:val="both"/>
        <w:rPr>
          <w:sz w:val="24"/>
          <w:szCs w:val="24"/>
          <w:lang w:val="en-GB" w:eastAsia="en-US"/>
        </w:rPr>
      </w:pPr>
    </w:p>
    <w:p w14:paraId="78A9F9FB" w14:textId="45912B7A" w:rsidR="001C0E23" w:rsidRPr="00F70CB0" w:rsidRDefault="001A55A5" w:rsidP="00187190">
      <w:pPr>
        <w:jc w:val="both"/>
        <w:rPr>
          <w:sz w:val="24"/>
          <w:szCs w:val="24"/>
          <w:lang w:val="en-GB" w:eastAsia="en-US"/>
        </w:rPr>
      </w:pPr>
      <w:r w:rsidRPr="00F70CB0">
        <w:rPr>
          <w:sz w:val="24"/>
          <w:szCs w:val="24"/>
          <w:lang w:eastAsia="en-US"/>
        </w:rPr>
        <w:t xml:space="preserve">The gap matrix visually positions existing digital banking research in terms of its theoretical and practical </w:t>
      </w:r>
      <w:r w:rsidR="00201448">
        <w:rPr>
          <w:sz w:val="24"/>
          <w:szCs w:val="24"/>
          <w:lang w:eastAsia="en-US"/>
        </w:rPr>
        <w:t>consequences</w:t>
      </w:r>
      <w:r w:rsidRPr="00F70CB0">
        <w:rPr>
          <w:sz w:val="24"/>
          <w:szCs w:val="24"/>
          <w:lang w:eastAsia="en-US"/>
        </w:rPr>
        <w:t xml:space="preserve">. It </w:t>
      </w:r>
      <w:r w:rsidR="00201448" w:rsidRPr="00F70CB0">
        <w:rPr>
          <w:sz w:val="24"/>
          <w:szCs w:val="24"/>
          <w:lang w:eastAsia="en-US"/>
        </w:rPr>
        <w:t>demonstrates</w:t>
      </w:r>
      <w:r w:rsidRPr="00F70CB0">
        <w:rPr>
          <w:sz w:val="24"/>
          <w:szCs w:val="24"/>
          <w:lang w:eastAsia="en-US"/>
        </w:rPr>
        <w:t xml:space="preserve"> that </w:t>
      </w:r>
      <w:r w:rsidR="00201448" w:rsidRPr="00F70CB0">
        <w:rPr>
          <w:sz w:val="24"/>
          <w:szCs w:val="24"/>
          <w:lang w:eastAsia="en-US"/>
        </w:rPr>
        <w:t>former</w:t>
      </w:r>
      <w:r w:rsidRPr="00F70CB0">
        <w:rPr>
          <w:sz w:val="24"/>
          <w:szCs w:val="24"/>
          <w:lang w:eastAsia="en-US"/>
        </w:rPr>
        <w:t xml:space="preserve"> studies are </w:t>
      </w:r>
      <w:r w:rsidR="00201448" w:rsidRPr="00F70CB0">
        <w:rPr>
          <w:sz w:val="24"/>
          <w:szCs w:val="24"/>
          <w:lang w:eastAsia="en-US"/>
        </w:rPr>
        <w:t>basically</w:t>
      </w:r>
      <w:r w:rsidRPr="00F70CB0">
        <w:rPr>
          <w:sz w:val="24"/>
          <w:szCs w:val="24"/>
          <w:lang w:eastAsia="en-US"/>
        </w:rPr>
        <w:t xml:space="preserve"> concentrated within theoretical and practice gaps, reflecting a fragmentation between academic frameworks and real-world applications. Existing research </w:t>
      </w:r>
      <w:r w:rsidR="00201448" w:rsidRPr="00F70CB0">
        <w:rPr>
          <w:sz w:val="24"/>
          <w:szCs w:val="24"/>
          <w:lang w:eastAsia="en-US"/>
        </w:rPr>
        <w:t>demonstrates</w:t>
      </w:r>
      <w:r w:rsidRPr="00F70CB0">
        <w:rPr>
          <w:sz w:val="24"/>
          <w:szCs w:val="24"/>
          <w:lang w:eastAsia="en-US"/>
        </w:rPr>
        <w:t xml:space="preserve"> an over-reliance on technology-centric models such as TAM and ECM, alongside limited integration of trust, service quality, and user experience. The matrix also highlights a disconnect between theoretical models and practical </w:t>
      </w:r>
      <w:r w:rsidR="00201448" w:rsidRPr="00F70CB0">
        <w:rPr>
          <w:sz w:val="24"/>
          <w:szCs w:val="24"/>
          <w:lang w:eastAsia="en-US"/>
        </w:rPr>
        <w:t>application</w:t>
      </w:r>
      <w:r w:rsidRPr="00F70CB0">
        <w:rPr>
          <w:sz w:val="24"/>
          <w:szCs w:val="24"/>
          <w:lang w:eastAsia="en-US"/>
        </w:rPr>
        <w:t xml:space="preserve">, particularly in relation to customer retention and user behaviour. The present study is </w:t>
      </w:r>
      <w:r w:rsidR="00201448">
        <w:rPr>
          <w:sz w:val="24"/>
          <w:szCs w:val="24"/>
          <w:lang w:eastAsia="en-US"/>
        </w:rPr>
        <w:t>situated</w:t>
      </w:r>
      <w:r w:rsidRPr="00F70CB0">
        <w:rPr>
          <w:sz w:val="24"/>
          <w:szCs w:val="24"/>
          <w:lang w:eastAsia="en-US"/>
        </w:rPr>
        <w:t xml:space="preserve"> within the research opportunity quadrant, aiming to </w:t>
      </w:r>
      <w:r w:rsidR="00201448">
        <w:rPr>
          <w:sz w:val="24"/>
          <w:szCs w:val="24"/>
          <w:lang w:eastAsia="en-US"/>
        </w:rPr>
        <w:t>connect</w:t>
      </w:r>
      <w:r w:rsidRPr="00F70CB0">
        <w:rPr>
          <w:sz w:val="24"/>
          <w:szCs w:val="24"/>
          <w:lang w:eastAsia="en-US"/>
        </w:rPr>
        <w:t xml:space="preserve"> these gaps through the development of an integrated and context-specific framework within the UK digital banking sector.</w:t>
      </w:r>
    </w:p>
    <w:p w14:paraId="32389283" w14:textId="35CC01A3" w:rsidR="00132886" w:rsidRPr="00F70CB0" w:rsidRDefault="00667AB7" w:rsidP="00515456">
      <w:pPr>
        <w:pStyle w:val="Heading1"/>
        <w:rPr>
          <w:rFonts w:ascii="Times New Roman" w:hAnsi="Times New Roman" w:cs="Times New Roman"/>
          <w:sz w:val="28"/>
          <w:szCs w:val="28"/>
          <w:lang w:val="en-AU"/>
        </w:rPr>
      </w:pPr>
      <w:bookmarkStart w:id="42" w:name="_Toc227353510"/>
      <w:r w:rsidRPr="00F70CB0">
        <w:rPr>
          <w:rFonts w:ascii="Times New Roman" w:hAnsi="Times New Roman" w:cs="Times New Roman"/>
          <w:sz w:val="28"/>
          <w:szCs w:val="28"/>
        </w:rPr>
        <w:lastRenderedPageBreak/>
        <w:t>3.</w:t>
      </w:r>
      <w:r w:rsidR="00F9357A" w:rsidRPr="00F70CB0">
        <w:rPr>
          <w:rFonts w:ascii="Times New Roman" w:hAnsi="Times New Roman" w:cs="Times New Roman"/>
          <w:sz w:val="28"/>
          <w:szCs w:val="28"/>
        </w:rPr>
        <w:t>6</w:t>
      </w:r>
      <w:r w:rsidRPr="00F70CB0">
        <w:rPr>
          <w:rFonts w:ascii="Times New Roman" w:hAnsi="Times New Roman" w:cs="Times New Roman"/>
          <w:sz w:val="28"/>
          <w:szCs w:val="28"/>
        </w:rPr>
        <w:t xml:space="preserve">.1 </w:t>
      </w:r>
      <w:r w:rsidR="00107E25" w:rsidRPr="00F70CB0">
        <w:rPr>
          <w:rFonts w:ascii="Times New Roman" w:hAnsi="Times New Roman" w:cs="Times New Roman"/>
          <w:sz w:val="28"/>
          <w:szCs w:val="28"/>
          <w:lang w:val="en-AU"/>
        </w:rPr>
        <w:t>Theoretical and Conceptual Fragmentation</w:t>
      </w:r>
      <w:bookmarkEnd w:id="42"/>
    </w:p>
    <w:p w14:paraId="36F552FD" w14:textId="18CB0B69" w:rsidR="00363F16" w:rsidRPr="00F70CB0" w:rsidRDefault="00363F16" w:rsidP="00E9614F">
      <w:pPr>
        <w:jc w:val="both"/>
        <w:rPr>
          <w:sz w:val="24"/>
          <w:szCs w:val="24"/>
          <w:lang w:val="en-GB" w:eastAsia="en-US"/>
        </w:rPr>
      </w:pPr>
      <w:r w:rsidRPr="00F70CB0">
        <w:rPr>
          <w:sz w:val="24"/>
          <w:szCs w:val="24"/>
          <w:lang w:val="en-GB" w:eastAsia="en-US"/>
        </w:rPr>
        <w:t xml:space="preserve">A </w:t>
      </w:r>
      <w:r w:rsidR="007D6710" w:rsidRPr="00F70CB0">
        <w:rPr>
          <w:sz w:val="24"/>
          <w:szCs w:val="24"/>
          <w:lang w:val="en-GB" w:eastAsia="en-US"/>
        </w:rPr>
        <w:t>prevailing</w:t>
      </w:r>
      <w:r w:rsidRPr="00F70CB0">
        <w:rPr>
          <w:sz w:val="24"/>
          <w:szCs w:val="24"/>
          <w:lang w:val="en-GB" w:eastAsia="en-US"/>
        </w:rPr>
        <w:t xml:space="preserve"> </w:t>
      </w:r>
      <w:r w:rsidR="002519C9" w:rsidRPr="00F70CB0">
        <w:rPr>
          <w:sz w:val="24"/>
          <w:szCs w:val="24"/>
          <w:lang w:val="en-GB" w:eastAsia="en-US"/>
        </w:rPr>
        <w:t>restriction</w:t>
      </w:r>
      <w:r w:rsidRPr="00F70CB0">
        <w:rPr>
          <w:sz w:val="24"/>
          <w:szCs w:val="24"/>
          <w:lang w:val="en-GB" w:eastAsia="en-US"/>
        </w:rPr>
        <w:t xml:space="preserve"> within the literature is the reliance on single theoretical frameworks, particularly the Technology Acceptance Model (TAM) and the Expectation Confirmation Model (ECM), to explain user behaviour. While these models </w:t>
      </w:r>
      <w:r w:rsidR="002519C9">
        <w:rPr>
          <w:sz w:val="24"/>
          <w:szCs w:val="24"/>
          <w:lang w:val="en-GB" w:eastAsia="en-US"/>
        </w:rPr>
        <w:t>suggest</w:t>
      </w:r>
      <w:r w:rsidRPr="00F70CB0">
        <w:rPr>
          <w:sz w:val="24"/>
          <w:szCs w:val="24"/>
          <w:lang w:val="en-GB" w:eastAsia="en-US"/>
        </w:rPr>
        <w:t xml:space="preserve"> </w:t>
      </w:r>
      <w:r w:rsidR="002519C9" w:rsidRPr="00F70CB0">
        <w:rPr>
          <w:sz w:val="24"/>
          <w:szCs w:val="24"/>
          <w:lang w:val="en-GB" w:eastAsia="en-US"/>
        </w:rPr>
        <w:t>significant</w:t>
      </w:r>
      <w:r w:rsidRPr="00F70CB0">
        <w:rPr>
          <w:sz w:val="24"/>
          <w:szCs w:val="24"/>
          <w:lang w:val="en-GB" w:eastAsia="en-US"/>
        </w:rPr>
        <w:t xml:space="preserve"> insights into </w:t>
      </w:r>
      <w:r w:rsidR="002519C9" w:rsidRPr="00F70CB0">
        <w:rPr>
          <w:sz w:val="24"/>
          <w:szCs w:val="24"/>
          <w:lang w:val="en-GB" w:eastAsia="en-US"/>
        </w:rPr>
        <w:t>individual</w:t>
      </w:r>
      <w:r w:rsidRPr="00F70CB0">
        <w:rPr>
          <w:sz w:val="24"/>
          <w:szCs w:val="24"/>
          <w:lang w:val="en-GB" w:eastAsia="en-US"/>
        </w:rPr>
        <w:t xml:space="preserve"> </w:t>
      </w:r>
      <w:r w:rsidR="002519C9">
        <w:rPr>
          <w:sz w:val="24"/>
          <w:szCs w:val="24"/>
          <w:lang w:val="en-GB" w:eastAsia="en-US"/>
        </w:rPr>
        <w:t>performance</w:t>
      </w:r>
      <w:r w:rsidRPr="00F70CB0">
        <w:rPr>
          <w:sz w:val="24"/>
          <w:szCs w:val="24"/>
          <w:lang w:val="en-GB" w:eastAsia="en-US"/>
        </w:rPr>
        <w:t xml:space="preserve"> of decision-making, their isolated application results in a fragmented understanding of digital banking behaviour. TAM </w:t>
      </w:r>
      <w:r w:rsidR="002519C9" w:rsidRPr="00F70CB0">
        <w:rPr>
          <w:sz w:val="24"/>
          <w:szCs w:val="24"/>
          <w:lang w:val="en-GB" w:eastAsia="en-US"/>
        </w:rPr>
        <w:t>mainly</w:t>
      </w:r>
      <w:r w:rsidRPr="00F70CB0">
        <w:rPr>
          <w:sz w:val="24"/>
          <w:szCs w:val="24"/>
          <w:lang w:val="en-GB" w:eastAsia="en-US"/>
        </w:rPr>
        <w:t xml:space="preserve"> explains initial adoption, whereas ECM focuses on post-adoption continuance, with limited integration between the two (Singh, 2020; </w:t>
      </w:r>
      <w:proofErr w:type="spellStart"/>
      <w:r w:rsidRPr="00F70CB0">
        <w:rPr>
          <w:sz w:val="24"/>
          <w:szCs w:val="24"/>
          <w:lang w:val="en-GB" w:eastAsia="en-US"/>
        </w:rPr>
        <w:t>Asnakew</w:t>
      </w:r>
      <w:proofErr w:type="spellEnd"/>
      <w:r w:rsidRPr="00F70CB0">
        <w:rPr>
          <w:sz w:val="24"/>
          <w:szCs w:val="24"/>
          <w:lang w:val="en-GB" w:eastAsia="en-US"/>
        </w:rPr>
        <w:t>, 2020; Natalia et al., 2025).</w:t>
      </w:r>
    </w:p>
    <w:p w14:paraId="7C7D75C5" w14:textId="60FD39C0" w:rsidR="00363F16" w:rsidRPr="00F70CB0" w:rsidRDefault="00363F16" w:rsidP="00E9614F">
      <w:pPr>
        <w:jc w:val="both"/>
        <w:rPr>
          <w:sz w:val="24"/>
          <w:szCs w:val="24"/>
          <w:lang w:val="en-GB" w:eastAsia="en-US"/>
        </w:rPr>
      </w:pPr>
      <w:r w:rsidRPr="00F70CB0">
        <w:rPr>
          <w:sz w:val="24"/>
          <w:szCs w:val="24"/>
          <w:lang w:val="en-GB" w:eastAsia="en-US"/>
        </w:rPr>
        <w:t xml:space="preserve">This </w:t>
      </w:r>
      <w:r w:rsidR="00986C56" w:rsidRPr="00F70CB0">
        <w:rPr>
          <w:sz w:val="24"/>
          <w:szCs w:val="24"/>
          <w:lang w:val="en-GB" w:eastAsia="en-US"/>
        </w:rPr>
        <w:t>partition</w:t>
      </w:r>
      <w:r w:rsidRPr="00F70CB0">
        <w:rPr>
          <w:sz w:val="24"/>
          <w:szCs w:val="24"/>
          <w:lang w:val="en-GB" w:eastAsia="en-US"/>
        </w:rPr>
        <w:t xml:space="preserve"> reflects an implicit assumption that adoption and continuance are </w:t>
      </w:r>
      <w:r w:rsidR="00986C56" w:rsidRPr="00F70CB0">
        <w:rPr>
          <w:sz w:val="24"/>
          <w:szCs w:val="24"/>
          <w:lang w:val="en-GB" w:eastAsia="en-US"/>
        </w:rPr>
        <w:t>unrelated</w:t>
      </w:r>
      <w:r w:rsidRPr="00F70CB0">
        <w:rPr>
          <w:sz w:val="24"/>
          <w:szCs w:val="24"/>
          <w:lang w:val="en-GB" w:eastAsia="en-US"/>
        </w:rPr>
        <w:t xml:space="preserve"> processes, rather than </w:t>
      </w:r>
      <w:r w:rsidR="00986C56" w:rsidRPr="00F70CB0">
        <w:rPr>
          <w:sz w:val="24"/>
          <w:szCs w:val="24"/>
          <w:lang w:val="en-GB" w:eastAsia="en-US"/>
        </w:rPr>
        <w:t>consistent</w:t>
      </w:r>
      <w:r w:rsidRPr="00F70CB0">
        <w:rPr>
          <w:sz w:val="24"/>
          <w:szCs w:val="24"/>
          <w:lang w:val="en-GB" w:eastAsia="en-US"/>
        </w:rPr>
        <w:t xml:space="preserve"> stages within a broader behavioural system. Such </w:t>
      </w:r>
      <w:r w:rsidR="00986C56">
        <w:rPr>
          <w:sz w:val="24"/>
          <w:szCs w:val="24"/>
          <w:lang w:val="en-GB" w:eastAsia="en-US"/>
        </w:rPr>
        <w:t>a</w:t>
      </w:r>
      <w:r w:rsidRPr="00F70CB0">
        <w:rPr>
          <w:sz w:val="24"/>
          <w:szCs w:val="24"/>
          <w:lang w:val="en-GB" w:eastAsia="en-US"/>
        </w:rPr>
        <w:t xml:space="preserve"> </w:t>
      </w:r>
      <w:r w:rsidR="00986C56" w:rsidRPr="00F70CB0">
        <w:rPr>
          <w:sz w:val="24"/>
          <w:szCs w:val="24"/>
          <w:lang w:val="en-GB" w:eastAsia="en-US"/>
        </w:rPr>
        <w:t>theory</w:t>
      </w:r>
      <w:r w:rsidRPr="00F70CB0">
        <w:rPr>
          <w:sz w:val="24"/>
          <w:szCs w:val="24"/>
          <w:lang w:val="en-GB" w:eastAsia="en-US"/>
        </w:rPr>
        <w:t xml:space="preserve"> restricts the explanatory power of existing models and highlights the need for an integrated theoretical framework that captures both initial and sustained engagement.</w:t>
      </w:r>
    </w:p>
    <w:p w14:paraId="1003AA84" w14:textId="0A062574" w:rsidR="009F2058" w:rsidRPr="00F70CB0" w:rsidRDefault="00667AB7" w:rsidP="00515456">
      <w:pPr>
        <w:pStyle w:val="Heading1"/>
        <w:rPr>
          <w:rFonts w:ascii="Times New Roman" w:hAnsi="Times New Roman" w:cs="Times New Roman"/>
          <w:sz w:val="28"/>
          <w:szCs w:val="28"/>
          <w:lang w:val="en-AU"/>
        </w:rPr>
      </w:pPr>
      <w:bookmarkStart w:id="43" w:name="_Toc227353511"/>
      <w:r w:rsidRPr="00F70CB0">
        <w:rPr>
          <w:rFonts w:ascii="Times New Roman" w:hAnsi="Times New Roman" w:cs="Times New Roman"/>
          <w:sz w:val="28"/>
          <w:szCs w:val="28"/>
        </w:rPr>
        <w:t>3.</w:t>
      </w:r>
      <w:r w:rsidR="00F9357A" w:rsidRPr="00F70CB0">
        <w:rPr>
          <w:rFonts w:ascii="Times New Roman" w:hAnsi="Times New Roman" w:cs="Times New Roman"/>
          <w:sz w:val="28"/>
          <w:szCs w:val="28"/>
        </w:rPr>
        <w:t>6</w:t>
      </w:r>
      <w:r w:rsidRPr="00F70CB0">
        <w:rPr>
          <w:rFonts w:ascii="Times New Roman" w:hAnsi="Times New Roman" w:cs="Times New Roman"/>
          <w:sz w:val="28"/>
          <w:szCs w:val="28"/>
        </w:rPr>
        <w:t>.</w:t>
      </w:r>
      <w:r w:rsidR="009F2058" w:rsidRPr="00F70CB0">
        <w:rPr>
          <w:rFonts w:ascii="Times New Roman" w:hAnsi="Times New Roman" w:cs="Times New Roman"/>
          <w:sz w:val="28"/>
          <w:szCs w:val="28"/>
        </w:rPr>
        <w:t xml:space="preserve">2 </w:t>
      </w:r>
      <w:r w:rsidR="002A3E38" w:rsidRPr="00F70CB0">
        <w:rPr>
          <w:rFonts w:ascii="Times New Roman" w:hAnsi="Times New Roman" w:cs="Times New Roman"/>
          <w:sz w:val="28"/>
          <w:szCs w:val="28"/>
          <w:lang w:val="en-AU"/>
        </w:rPr>
        <w:t>L</w:t>
      </w:r>
      <w:r w:rsidR="00003056" w:rsidRPr="00F70CB0">
        <w:rPr>
          <w:rFonts w:ascii="Times New Roman" w:hAnsi="Times New Roman" w:cs="Times New Roman"/>
          <w:sz w:val="28"/>
          <w:szCs w:val="28"/>
          <w:lang w:val="en-AU"/>
        </w:rPr>
        <w:t>imited Understanding of Continuance Behaviour</w:t>
      </w:r>
      <w:bookmarkEnd w:id="43"/>
      <w:r w:rsidR="00003056" w:rsidRPr="00F70CB0">
        <w:rPr>
          <w:rFonts w:ascii="Times New Roman" w:hAnsi="Times New Roman" w:cs="Times New Roman"/>
          <w:sz w:val="28"/>
          <w:szCs w:val="28"/>
          <w:lang w:val="en-AU"/>
        </w:rPr>
        <w:t xml:space="preserve"> </w:t>
      </w:r>
    </w:p>
    <w:p w14:paraId="07ADC673" w14:textId="116F7A13" w:rsidR="00E9614F" w:rsidRPr="00F70CB0" w:rsidRDefault="00E9614F" w:rsidP="00E9614F">
      <w:pPr>
        <w:jc w:val="both"/>
        <w:rPr>
          <w:sz w:val="24"/>
          <w:szCs w:val="24"/>
          <w:lang w:val="en-GB" w:eastAsia="en-US"/>
        </w:rPr>
      </w:pPr>
      <w:r w:rsidRPr="00F70CB0">
        <w:rPr>
          <w:sz w:val="24"/>
          <w:szCs w:val="24"/>
          <w:lang w:val="en-GB" w:eastAsia="en-US"/>
        </w:rPr>
        <w:t xml:space="preserve">Although digital banking adoption has been </w:t>
      </w:r>
      <w:r w:rsidR="008F3C52" w:rsidRPr="00F70CB0">
        <w:rPr>
          <w:sz w:val="24"/>
          <w:szCs w:val="24"/>
          <w:lang w:val="en-GB" w:eastAsia="en-US"/>
        </w:rPr>
        <w:t>commonly</w:t>
      </w:r>
      <w:r w:rsidRPr="00F70CB0">
        <w:rPr>
          <w:sz w:val="24"/>
          <w:szCs w:val="24"/>
          <w:lang w:val="en-GB" w:eastAsia="en-US"/>
        </w:rPr>
        <w:t xml:space="preserve"> studied, there is </w:t>
      </w:r>
      <w:r w:rsidR="008F3C52" w:rsidRPr="00F70CB0">
        <w:rPr>
          <w:sz w:val="24"/>
          <w:szCs w:val="24"/>
          <w:lang w:val="en-GB" w:eastAsia="en-US"/>
        </w:rPr>
        <w:t>reasonably</w:t>
      </w:r>
      <w:r w:rsidRPr="00F70CB0">
        <w:rPr>
          <w:sz w:val="24"/>
          <w:szCs w:val="24"/>
          <w:lang w:val="en-GB" w:eastAsia="en-US"/>
        </w:rPr>
        <w:t xml:space="preserve"> limited attention given to continuance behaviour and long-term usage. Existing research </w:t>
      </w:r>
      <w:r w:rsidR="008F3C52" w:rsidRPr="00F70CB0">
        <w:rPr>
          <w:sz w:val="24"/>
          <w:szCs w:val="24"/>
          <w:lang w:val="en-GB" w:eastAsia="en-US"/>
        </w:rPr>
        <w:t>manages</w:t>
      </w:r>
      <w:r w:rsidRPr="00F70CB0">
        <w:rPr>
          <w:sz w:val="24"/>
          <w:szCs w:val="24"/>
          <w:lang w:val="en-GB" w:eastAsia="en-US"/>
        </w:rPr>
        <w:t xml:space="preserve"> to prioritise initial acceptance, often overlooking the factors that influence sustained engagement over time (Naeem et al., 2026; Nguyen and Dao, 2024; Foroughi et al., 2019).</w:t>
      </w:r>
    </w:p>
    <w:p w14:paraId="0AC92FA4" w14:textId="13810393" w:rsidR="00E9614F" w:rsidRPr="00F70CB0" w:rsidRDefault="00E9614F" w:rsidP="003404F9">
      <w:pPr>
        <w:jc w:val="both"/>
        <w:rPr>
          <w:sz w:val="24"/>
          <w:szCs w:val="24"/>
          <w:lang w:val="en-GB" w:eastAsia="en-US"/>
        </w:rPr>
      </w:pPr>
      <w:r w:rsidRPr="00F70CB0">
        <w:rPr>
          <w:sz w:val="24"/>
          <w:szCs w:val="24"/>
          <w:lang w:val="en-GB" w:eastAsia="en-US"/>
        </w:rPr>
        <w:t xml:space="preserve">This </w:t>
      </w:r>
      <w:r w:rsidR="008F3C52" w:rsidRPr="00F70CB0">
        <w:rPr>
          <w:sz w:val="24"/>
          <w:szCs w:val="24"/>
          <w:lang w:val="en-GB" w:eastAsia="en-US"/>
        </w:rPr>
        <w:t>inequality</w:t>
      </w:r>
      <w:r w:rsidRPr="00F70CB0">
        <w:rPr>
          <w:sz w:val="24"/>
          <w:szCs w:val="24"/>
          <w:lang w:val="en-GB" w:eastAsia="en-US"/>
        </w:rPr>
        <w:t xml:space="preserve"> results in an incomplete understanding of digital banking behaviour, </w:t>
      </w:r>
      <w:r w:rsidR="008F3C52">
        <w:rPr>
          <w:sz w:val="24"/>
          <w:szCs w:val="24"/>
          <w:lang w:val="en-GB" w:eastAsia="en-US"/>
        </w:rPr>
        <w:t>particularly</w:t>
      </w:r>
      <w:r w:rsidRPr="00F70CB0">
        <w:rPr>
          <w:sz w:val="24"/>
          <w:szCs w:val="24"/>
          <w:lang w:val="en-GB" w:eastAsia="en-US"/>
        </w:rPr>
        <w:t xml:space="preserve"> in mature markets where adoption is already </w:t>
      </w:r>
      <w:r w:rsidR="008F3C52" w:rsidRPr="00F70CB0">
        <w:rPr>
          <w:sz w:val="24"/>
          <w:szCs w:val="24"/>
          <w:lang w:val="en-GB" w:eastAsia="en-US"/>
        </w:rPr>
        <w:t>extensive</w:t>
      </w:r>
      <w:r w:rsidRPr="00F70CB0">
        <w:rPr>
          <w:sz w:val="24"/>
          <w:szCs w:val="24"/>
          <w:lang w:val="en-GB" w:eastAsia="en-US"/>
        </w:rPr>
        <w:t xml:space="preserve"> and the key challenge lies in </w:t>
      </w:r>
      <w:r w:rsidR="008F3C52">
        <w:rPr>
          <w:sz w:val="24"/>
          <w:szCs w:val="24"/>
          <w:lang w:val="en-GB" w:eastAsia="en-US"/>
        </w:rPr>
        <w:t>retaining</w:t>
      </w:r>
      <w:r w:rsidRPr="00F70CB0">
        <w:rPr>
          <w:sz w:val="24"/>
          <w:szCs w:val="24"/>
          <w:lang w:val="en-GB" w:eastAsia="en-US"/>
        </w:rPr>
        <w:t xml:space="preserve"> users. Furthermore, continuance </w:t>
      </w:r>
      <w:r w:rsidR="008F3C52" w:rsidRPr="00F70CB0">
        <w:rPr>
          <w:sz w:val="24"/>
          <w:szCs w:val="24"/>
          <w:lang w:val="en-GB" w:eastAsia="en-US"/>
        </w:rPr>
        <w:t>purpose</w:t>
      </w:r>
      <w:r w:rsidRPr="00F70CB0">
        <w:rPr>
          <w:sz w:val="24"/>
          <w:szCs w:val="24"/>
          <w:lang w:val="en-GB" w:eastAsia="en-US"/>
        </w:rPr>
        <w:t xml:space="preserve"> is often examined without considering its relationship with earlier decision-making processes, limiting a comprehensive behavioural perspective.</w:t>
      </w:r>
    </w:p>
    <w:p w14:paraId="1F931E99" w14:textId="4DFF0C3E" w:rsidR="009F2058" w:rsidRPr="00F70CB0" w:rsidRDefault="00667AB7" w:rsidP="00515456">
      <w:pPr>
        <w:pStyle w:val="Heading1"/>
        <w:rPr>
          <w:rFonts w:ascii="Times New Roman" w:hAnsi="Times New Roman" w:cs="Times New Roman"/>
          <w:sz w:val="28"/>
          <w:szCs w:val="28"/>
          <w:lang w:val="en-AU"/>
        </w:rPr>
      </w:pPr>
      <w:bookmarkStart w:id="44" w:name="_Toc227353512"/>
      <w:r w:rsidRPr="00F70CB0">
        <w:rPr>
          <w:rFonts w:ascii="Times New Roman" w:hAnsi="Times New Roman" w:cs="Times New Roman"/>
          <w:sz w:val="28"/>
          <w:szCs w:val="28"/>
        </w:rPr>
        <w:t>3.</w:t>
      </w:r>
      <w:r w:rsidR="00F9357A" w:rsidRPr="00F70CB0">
        <w:rPr>
          <w:rFonts w:ascii="Times New Roman" w:hAnsi="Times New Roman" w:cs="Times New Roman"/>
          <w:sz w:val="28"/>
          <w:szCs w:val="28"/>
        </w:rPr>
        <w:t>6</w:t>
      </w:r>
      <w:r w:rsidRPr="00F70CB0">
        <w:rPr>
          <w:rFonts w:ascii="Times New Roman" w:hAnsi="Times New Roman" w:cs="Times New Roman"/>
          <w:sz w:val="28"/>
          <w:szCs w:val="28"/>
        </w:rPr>
        <w:t>.</w:t>
      </w:r>
      <w:r w:rsidR="009F2058" w:rsidRPr="00F70CB0">
        <w:rPr>
          <w:rFonts w:ascii="Times New Roman" w:hAnsi="Times New Roman" w:cs="Times New Roman"/>
          <w:sz w:val="28"/>
          <w:szCs w:val="28"/>
        </w:rPr>
        <w:t xml:space="preserve">3 </w:t>
      </w:r>
      <w:r w:rsidR="003404F9" w:rsidRPr="00F70CB0">
        <w:rPr>
          <w:rFonts w:ascii="Times New Roman" w:hAnsi="Times New Roman" w:cs="Times New Roman"/>
          <w:sz w:val="28"/>
          <w:szCs w:val="28"/>
          <w:lang w:val="en-AU"/>
        </w:rPr>
        <w:t>Underrepresentation of Customer Preferences</w:t>
      </w:r>
      <w:bookmarkEnd w:id="44"/>
    </w:p>
    <w:p w14:paraId="1FB91563" w14:textId="7A1D0FBF" w:rsidR="00C25B93" w:rsidRPr="00F70CB0" w:rsidRDefault="00C25B93" w:rsidP="00C25B93">
      <w:pPr>
        <w:jc w:val="both"/>
        <w:rPr>
          <w:sz w:val="24"/>
          <w:szCs w:val="24"/>
          <w:lang w:val="en-GB" w:eastAsia="en-US"/>
        </w:rPr>
      </w:pPr>
      <w:r w:rsidRPr="00F70CB0">
        <w:rPr>
          <w:sz w:val="24"/>
          <w:szCs w:val="24"/>
          <w:lang w:val="en-GB" w:eastAsia="en-US"/>
        </w:rPr>
        <w:t xml:space="preserve">A </w:t>
      </w:r>
      <w:r w:rsidR="00DB7C7A" w:rsidRPr="00F70CB0">
        <w:rPr>
          <w:sz w:val="24"/>
          <w:szCs w:val="24"/>
          <w:lang w:val="en-GB" w:eastAsia="en-US"/>
        </w:rPr>
        <w:t>substantial</w:t>
      </w:r>
      <w:r w:rsidRPr="00F70CB0">
        <w:rPr>
          <w:sz w:val="24"/>
          <w:szCs w:val="24"/>
          <w:lang w:val="en-GB" w:eastAsia="en-US"/>
        </w:rPr>
        <w:t xml:space="preserve"> gap in the literature is the limited focus on customer preference as </w:t>
      </w:r>
      <w:r w:rsidR="00DB7C7A">
        <w:rPr>
          <w:sz w:val="24"/>
          <w:szCs w:val="24"/>
          <w:lang w:val="en-GB" w:eastAsia="en-US"/>
        </w:rPr>
        <w:t>an</w:t>
      </w:r>
      <w:r w:rsidRPr="00F70CB0">
        <w:rPr>
          <w:sz w:val="24"/>
          <w:szCs w:val="24"/>
          <w:lang w:val="en-GB" w:eastAsia="en-US"/>
        </w:rPr>
        <w:t xml:space="preserve"> </w:t>
      </w:r>
      <w:r w:rsidR="00DB7C7A" w:rsidRPr="00F70CB0">
        <w:rPr>
          <w:sz w:val="24"/>
          <w:szCs w:val="24"/>
          <w:lang w:val="en-GB" w:eastAsia="en-US"/>
        </w:rPr>
        <w:t>inner</w:t>
      </w:r>
      <w:r w:rsidRPr="00F70CB0">
        <w:rPr>
          <w:sz w:val="24"/>
          <w:szCs w:val="24"/>
          <w:lang w:val="en-GB" w:eastAsia="en-US"/>
        </w:rPr>
        <w:t xml:space="preserve"> construct in digital banking research. While many studies </w:t>
      </w:r>
      <w:r w:rsidR="00DB7C7A">
        <w:rPr>
          <w:sz w:val="24"/>
          <w:szCs w:val="24"/>
          <w:lang w:val="en-GB" w:eastAsia="en-US"/>
        </w:rPr>
        <w:t>analyse</w:t>
      </w:r>
      <w:r w:rsidRPr="00F70CB0">
        <w:rPr>
          <w:sz w:val="24"/>
          <w:szCs w:val="24"/>
          <w:lang w:val="en-GB" w:eastAsia="en-US"/>
        </w:rPr>
        <w:t xml:space="preserve"> behavioural intention and usage, they </w:t>
      </w:r>
      <w:r w:rsidR="00DB7C7A" w:rsidRPr="00F70CB0">
        <w:rPr>
          <w:sz w:val="24"/>
          <w:szCs w:val="24"/>
          <w:lang w:val="en-GB" w:eastAsia="en-US"/>
        </w:rPr>
        <w:t>hardly</w:t>
      </w:r>
      <w:r w:rsidRPr="00F70CB0">
        <w:rPr>
          <w:sz w:val="24"/>
          <w:szCs w:val="24"/>
          <w:lang w:val="en-GB" w:eastAsia="en-US"/>
        </w:rPr>
        <w:t xml:space="preserve"> explore why customers prefer one digital banking service over another (</w:t>
      </w:r>
      <w:proofErr w:type="spellStart"/>
      <w:r w:rsidRPr="00F70CB0">
        <w:rPr>
          <w:sz w:val="24"/>
          <w:szCs w:val="24"/>
          <w:lang w:val="en-GB" w:eastAsia="en-US"/>
        </w:rPr>
        <w:t>Tanuwijaya</w:t>
      </w:r>
      <w:proofErr w:type="spellEnd"/>
      <w:r w:rsidRPr="00F70CB0">
        <w:rPr>
          <w:sz w:val="24"/>
          <w:szCs w:val="24"/>
          <w:lang w:val="en-GB" w:eastAsia="en-US"/>
        </w:rPr>
        <w:t xml:space="preserve"> and Oktavia, 2023; Ngau et al., 2023).</w:t>
      </w:r>
    </w:p>
    <w:p w14:paraId="04737EF3" w14:textId="088FDD60" w:rsidR="003404F9" w:rsidRPr="00F70CB0" w:rsidRDefault="00C25B93" w:rsidP="00C25B93">
      <w:pPr>
        <w:jc w:val="both"/>
        <w:rPr>
          <w:sz w:val="24"/>
          <w:szCs w:val="24"/>
          <w:lang w:val="en-GB" w:eastAsia="en-US"/>
        </w:rPr>
      </w:pPr>
      <w:r w:rsidRPr="00F70CB0">
        <w:rPr>
          <w:sz w:val="24"/>
          <w:szCs w:val="24"/>
          <w:lang w:val="en-GB" w:eastAsia="en-US"/>
        </w:rPr>
        <w:t xml:space="preserve">This </w:t>
      </w:r>
      <w:r w:rsidR="00DB7C7A" w:rsidRPr="00F70CB0">
        <w:rPr>
          <w:sz w:val="24"/>
          <w:szCs w:val="24"/>
          <w:lang w:val="en-GB" w:eastAsia="en-US"/>
        </w:rPr>
        <w:t>lapse</w:t>
      </w:r>
      <w:r w:rsidRPr="00F70CB0">
        <w:rPr>
          <w:sz w:val="24"/>
          <w:szCs w:val="24"/>
          <w:lang w:val="en-GB" w:eastAsia="en-US"/>
        </w:rPr>
        <w:t xml:space="preserve"> is critical, as customer preference represents a key </w:t>
      </w:r>
      <w:r w:rsidR="00DB7C7A" w:rsidRPr="00F70CB0">
        <w:rPr>
          <w:sz w:val="24"/>
          <w:szCs w:val="24"/>
          <w:lang w:val="en-GB" w:eastAsia="en-US"/>
        </w:rPr>
        <w:t>connection</w:t>
      </w:r>
      <w:r w:rsidRPr="00F70CB0">
        <w:rPr>
          <w:sz w:val="24"/>
          <w:szCs w:val="24"/>
          <w:lang w:val="en-GB" w:eastAsia="en-US"/>
        </w:rPr>
        <w:t xml:space="preserve"> between initial perceptions and long-term behavioural </w:t>
      </w:r>
      <w:r w:rsidR="00DB7C7A" w:rsidRPr="00F70CB0">
        <w:rPr>
          <w:sz w:val="24"/>
          <w:szCs w:val="24"/>
          <w:lang w:val="en-GB" w:eastAsia="en-US"/>
        </w:rPr>
        <w:t>effects</w:t>
      </w:r>
      <w:r w:rsidRPr="00F70CB0">
        <w:rPr>
          <w:sz w:val="24"/>
          <w:szCs w:val="24"/>
          <w:lang w:val="en-GB" w:eastAsia="en-US"/>
        </w:rPr>
        <w:t xml:space="preserve">. Without </w:t>
      </w:r>
      <w:r w:rsidR="0016056C" w:rsidRPr="00F70CB0">
        <w:rPr>
          <w:sz w:val="24"/>
          <w:szCs w:val="24"/>
          <w:lang w:val="en-GB" w:eastAsia="en-US"/>
        </w:rPr>
        <w:t>integrating</w:t>
      </w:r>
      <w:r w:rsidRPr="00F70CB0">
        <w:rPr>
          <w:sz w:val="24"/>
          <w:szCs w:val="24"/>
          <w:lang w:val="en-GB" w:eastAsia="en-US"/>
        </w:rPr>
        <w:t xml:space="preserve"> preference, existing models fail to fully capture the decision-making process </w:t>
      </w:r>
      <w:r w:rsidR="0016056C" w:rsidRPr="00F70CB0">
        <w:rPr>
          <w:sz w:val="24"/>
          <w:szCs w:val="24"/>
          <w:lang w:val="en-GB" w:eastAsia="en-US"/>
        </w:rPr>
        <w:t>fundamental</w:t>
      </w:r>
      <w:r w:rsidRPr="00F70CB0">
        <w:rPr>
          <w:sz w:val="24"/>
          <w:szCs w:val="24"/>
          <w:lang w:val="en-GB" w:eastAsia="en-US"/>
        </w:rPr>
        <w:t xml:space="preserve"> </w:t>
      </w:r>
      <w:r w:rsidR="0016056C">
        <w:rPr>
          <w:sz w:val="24"/>
          <w:szCs w:val="24"/>
          <w:lang w:val="en-GB" w:eastAsia="en-US"/>
        </w:rPr>
        <w:t xml:space="preserve">to </w:t>
      </w:r>
      <w:r w:rsidRPr="00F70CB0">
        <w:rPr>
          <w:sz w:val="24"/>
          <w:szCs w:val="24"/>
          <w:lang w:val="en-GB" w:eastAsia="en-US"/>
        </w:rPr>
        <w:t xml:space="preserve">both adoption and continued usage. This highlights the need to reposition customer preference as a </w:t>
      </w:r>
      <w:r w:rsidR="0045485F" w:rsidRPr="00F70CB0">
        <w:rPr>
          <w:sz w:val="24"/>
          <w:szCs w:val="24"/>
          <w:lang w:val="en-GB" w:eastAsia="en-US"/>
        </w:rPr>
        <w:t>basis</w:t>
      </w:r>
      <w:r w:rsidRPr="00F70CB0">
        <w:rPr>
          <w:sz w:val="24"/>
          <w:szCs w:val="24"/>
          <w:lang w:val="en-GB" w:eastAsia="en-US"/>
        </w:rPr>
        <w:t xml:space="preserve"> construct within digital banking research.</w:t>
      </w:r>
    </w:p>
    <w:p w14:paraId="2AAFA490" w14:textId="748D6F0B" w:rsidR="009F2058" w:rsidRPr="00F70CB0" w:rsidRDefault="00667AB7" w:rsidP="00515456">
      <w:pPr>
        <w:pStyle w:val="Heading1"/>
        <w:rPr>
          <w:rFonts w:ascii="Times New Roman" w:hAnsi="Times New Roman" w:cs="Times New Roman"/>
          <w:sz w:val="28"/>
          <w:szCs w:val="28"/>
          <w:lang w:val="en-AU"/>
        </w:rPr>
      </w:pPr>
      <w:bookmarkStart w:id="45" w:name="_Toc227353513"/>
      <w:r w:rsidRPr="00F70CB0">
        <w:rPr>
          <w:rFonts w:ascii="Times New Roman" w:hAnsi="Times New Roman" w:cs="Times New Roman"/>
          <w:sz w:val="28"/>
          <w:szCs w:val="28"/>
        </w:rPr>
        <w:t>3.</w:t>
      </w:r>
      <w:r w:rsidR="00F9357A" w:rsidRPr="00F70CB0">
        <w:rPr>
          <w:rFonts w:ascii="Times New Roman" w:hAnsi="Times New Roman" w:cs="Times New Roman"/>
          <w:sz w:val="28"/>
          <w:szCs w:val="28"/>
        </w:rPr>
        <w:t>6</w:t>
      </w:r>
      <w:r w:rsidRPr="00F70CB0">
        <w:rPr>
          <w:rFonts w:ascii="Times New Roman" w:hAnsi="Times New Roman" w:cs="Times New Roman"/>
          <w:sz w:val="28"/>
          <w:szCs w:val="28"/>
        </w:rPr>
        <w:t>.</w:t>
      </w:r>
      <w:r w:rsidR="009F2058" w:rsidRPr="00F70CB0">
        <w:rPr>
          <w:rFonts w:ascii="Times New Roman" w:hAnsi="Times New Roman" w:cs="Times New Roman"/>
          <w:sz w:val="28"/>
          <w:szCs w:val="28"/>
        </w:rPr>
        <w:t xml:space="preserve">4 </w:t>
      </w:r>
      <w:r w:rsidR="00895E57" w:rsidRPr="00F70CB0">
        <w:rPr>
          <w:rFonts w:ascii="Times New Roman" w:hAnsi="Times New Roman" w:cs="Times New Roman"/>
          <w:sz w:val="28"/>
          <w:szCs w:val="28"/>
          <w:lang w:val="en-AU"/>
        </w:rPr>
        <w:t xml:space="preserve">Fragmented </w:t>
      </w:r>
      <w:r w:rsidR="00A130EF" w:rsidRPr="00F70CB0">
        <w:rPr>
          <w:rFonts w:ascii="Times New Roman" w:hAnsi="Times New Roman" w:cs="Times New Roman"/>
          <w:sz w:val="28"/>
          <w:szCs w:val="28"/>
          <w:lang w:val="en-AU"/>
        </w:rPr>
        <w:t>E</w:t>
      </w:r>
      <w:r w:rsidR="00895E57" w:rsidRPr="00F70CB0">
        <w:rPr>
          <w:rFonts w:ascii="Times New Roman" w:hAnsi="Times New Roman" w:cs="Times New Roman"/>
          <w:sz w:val="28"/>
          <w:szCs w:val="28"/>
          <w:lang w:val="en-AU"/>
        </w:rPr>
        <w:t xml:space="preserve">xamination of </w:t>
      </w:r>
      <w:r w:rsidR="00A130EF" w:rsidRPr="00F70CB0">
        <w:rPr>
          <w:rFonts w:ascii="Times New Roman" w:hAnsi="Times New Roman" w:cs="Times New Roman"/>
          <w:sz w:val="28"/>
          <w:szCs w:val="28"/>
          <w:lang w:val="en-AU"/>
        </w:rPr>
        <w:t>Key</w:t>
      </w:r>
      <w:r w:rsidR="00895E57" w:rsidRPr="00F70CB0">
        <w:rPr>
          <w:rFonts w:ascii="Times New Roman" w:hAnsi="Times New Roman" w:cs="Times New Roman"/>
          <w:sz w:val="28"/>
          <w:szCs w:val="28"/>
          <w:lang w:val="en-AU"/>
        </w:rPr>
        <w:t xml:space="preserve"> </w:t>
      </w:r>
      <w:r w:rsidR="00A130EF" w:rsidRPr="00F70CB0">
        <w:rPr>
          <w:rFonts w:ascii="Times New Roman" w:hAnsi="Times New Roman" w:cs="Times New Roman"/>
          <w:sz w:val="28"/>
          <w:szCs w:val="28"/>
          <w:lang w:val="en-AU"/>
        </w:rPr>
        <w:t>Determinants</w:t>
      </w:r>
      <w:bookmarkEnd w:id="45"/>
    </w:p>
    <w:p w14:paraId="643F3774" w14:textId="3CE02590" w:rsidR="00A130EF" w:rsidRPr="00F70CB0" w:rsidRDefault="00A130EF" w:rsidP="00A130EF">
      <w:pPr>
        <w:jc w:val="both"/>
        <w:rPr>
          <w:sz w:val="24"/>
          <w:szCs w:val="24"/>
          <w:lang w:val="en-GB" w:eastAsia="en-US"/>
        </w:rPr>
      </w:pPr>
      <w:r w:rsidRPr="00F70CB0">
        <w:rPr>
          <w:sz w:val="24"/>
          <w:szCs w:val="24"/>
          <w:lang w:val="en-GB" w:eastAsia="en-US"/>
        </w:rPr>
        <w:t xml:space="preserve">The literature also </w:t>
      </w:r>
      <w:r w:rsidR="00305DAC" w:rsidRPr="00F70CB0">
        <w:rPr>
          <w:sz w:val="24"/>
          <w:szCs w:val="24"/>
          <w:lang w:val="en-GB" w:eastAsia="en-US"/>
        </w:rPr>
        <w:t>determines</w:t>
      </w:r>
      <w:r w:rsidRPr="00F70CB0">
        <w:rPr>
          <w:sz w:val="24"/>
          <w:szCs w:val="24"/>
          <w:lang w:val="en-GB" w:eastAsia="en-US"/>
        </w:rPr>
        <w:t xml:space="preserve"> a fragmented approach to key </w:t>
      </w:r>
      <w:r w:rsidR="00305DAC" w:rsidRPr="00F70CB0">
        <w:rPr>
          <w:sz w:val="24"/>
          <w:szCs w:val="24"/>
          <w:lang w:val="en-GB" w:eastAsia="en-US"/>
        </w:rPr>
        <w:t>causes</w:t>
      </w:r>
      <w:r w:rsidRPr="00F70CB0">
        <w:rPr>
          <w:sz w:val="24"/>
          <w:szCs w:val="24"/>
          <w:lang w:val="en-GB" w:eastAsia="en-US"/>
        </w:rPr>
        <w:t xml:space="preserve"> of digital banking behaviour. </w:t>
      </w:r>
      <w:r w:rsidR="00305DAC" w:rsidRPr="00F70CB0">
        <w:rPr>
          <w:sz w:val="24"/>
          <w:szCs w:val="24"/>
          <w:lang w:val="en-GB" w:eastAsia="en-US"/>
        </w:rPr>
        <w:t>Aspects</w:t>
      </w:r>
      <w:r w:rsidRPr="00F70CB0">
        <w:rPr>
          <w:sz w:val="24"/>
          <w:szCs w:val="24"/>
          <w:lang w:val="en-GB" w:eastAsia="en-US"/>
        </w:rPr>
        <w:t xml:space="preserve"> such as service quality, trust, and user experience are frequently examined </w:t>
      </w:r>
      <w:r w:rsidR="00305DAC" w:rsidRPr="00F70CB0">
        <w:rPr>
          <w:sz w:val="24"/>
          <w:szCs w:val="24"/>
          <w:lang w:val="en-GB" w:eastAsia="en-US"/>
        </w:rPr>
        <w:t>separately</w:t>
      </w:r>
      <w:r w:rsidRPr="00F70CB0">
        <w:rPr>
          <w:sz w:val="24"/>
          <w:szCs w:val="24"/>
          <w:lang w:val="en-GB" w:eastAsia="en-US"/>
        </w:rPr>
        <w:t xml:space="preserve">, rather than as interrelated constructs (Shankar and </w:t>
      </w:r>
      <w:proofErr w:type="spellStart"/>
      <w:r w:rsidRPr="00F70CB0">
        <w:rPr>
          <w:sz w:val="24"/>
          <w:szCs w:val="24"/>
          <w:lang w:val="en-GB" w:eastAsia="en-US"/>
        </w:rPr>
        <w:t>Jebarajakirthy</w:t>
      </w:r>
      <w:proofErr w:type="spellEnd"/>
      <w:r w:rsidRPr="00F70CB0">
        <w:rPr>
          <w:sz w:val="24"/>
          <w:szCs w:val="24"/>
          <w:lang w:val="en-GB" w:eastAsia="en-US"/>
        </w:rPr>
        <w:t xml:space="preserve">, 2019; </w:t>
      </w:r>
      <w:proofErr w:type="spellStart"/>
      <w:r w:rsidRPr="00F70CB0">
        <w:rPr>
          <w:sz w:val="24"/>
          <w:szCs w:val="24"/>
          <w:lang w:val="en-GB" w:eastAsia="en-US"/>
        </w:rPr>
        <w:t>Almaiah</w:t>
      </w:r>
      <w:proofErr w:type="spellEnd"/>
      <w:r w:rsidRPr="00F70CB0">
        <w:rPr>
          <w:sz w:val="24"/>
          <w:szCs w:val="24"/>
          <w:lang w:val="en-GB" w:eastAsia="en-US"/>
        </w:rPr>
        <w:t xml:space="preserve"> et al., 2023; Chauhan et al., 2022).</w:t>
      </w:r>
    </w:p>
    <w:p w14:paraId="18D4CF7C" w14:textId="7A36DAC6" w:rsidR="00A130EF" w:rsidRPr="00F70CB0" w:rsidRDefault="00A130EF" w:rsidP="00A130EF">
      <w:pPr>
        <w:jc w:val="both"/>
        <w:rPr>
          <w:sz w:val="24"/>
          <w:szCs w:val="24"/>
          <w:lang w:val="en-GB" w:eastAsia="en-US"/>
        </w:rPr>
      </w:pPr>
      <w:r w:rsidRPr="00F70CB0">
        <w:rPr>
          <w:sz w:val="24"/>
          <w:szCs w:val="24"/>
          <w:lang w:val="en-GB" w:eastAsia="en-US"/>
        </w:rPr>
        <w:t xml:space="preserve">This isolated </w:t>
      </w:r>
      <w:r w:rsidR="00305DAC" w:rsidRPr="00F70CB0">
        <w:rPr>
          <w:sz w:val="24"/>
          <w:szCs w:val="24"/>
          <w:lang w:val="en-GB" w:eastAsia="en-US"/>
        </w:rPr>
        <w:t>action</w:t>
      </w:r>
      <w:r w:rsidRPr="00F70CB0">
        <w:rPr>
          <w:sz w:val="24"/>
          <w:szCs w:val="24"/>
          <w:lang w:val="en-GB" w:eastAsia="en-US"/>
        </w:rPr>
        <w:t xml:space="preserve"> limits the ability to </w:t>
      </w:r>
      <w:r w:rsidR="00305DAC" w:rsidRPr="00F70CB0">
        <w:rPr>
          <w:sz w:val="24"/>
          <w:szCs w:val="24"/>
          <w:lang w:val="en-GB" w:eastAsia="en-US"/>
        </w:rPr>
        <w:t>identify</w:t>
      </w:r>
      <w:r w:rsidRPr="00F70CB0">
        <w:rPr>
          <w:sz w:val="24"/>
          <w:szCs w:val="24"/>
          <w:lang w:val="en-GB" w:eastAsia="en-US"/>
        </w:rPr>
        <w:t xml:space="preserve"> how these factors interact in shaping customer behaviour. In practice, user </w:t>
      </w:r>
      <w:r w:rsidR="00305DAC" w:rsidRPr="00F70CB0">
        <w:rPr>
          <w:sz w:val="24"/>
          <w:szCs w:val="24"/>
          <w:lang w:val="en-GB" w:eastAsia="en-US"/>
        </w:rPr>
        <w:t>findings</w:t>
      </w:r>
      <w:r w:rsidRPr="00F70CB0">
        <w:rPr>
          <w:sz w:val="24"/>
          <w:szCs w:val="24"/>
          <w:lang w:val="en-GB" w:eastAsia="en-US"/>
        </w:rPr>
        <w:t xml:space="preserve"> are influenced by a </w:t>
      </w:r>
      <w:r w:rsidR="00305DAC" w:rsidRPr="00F70CB0">
        <w:rPr>
          <w:sz w:val="24"/>
          <w:szCs w:val="24"/>
          <w:lang w:val="en-GB" w:eastAsia="en-US"/>
        </w:rPr>
        <w:t>pattern</w:t>
      </w:r>
      <w:r w:rsidRPr="00F70CB0">
        <w:rPr>
          <w:sz w:val="24"/>
          <w:szCs w:val="24"/>
          <w:lang w:val="en-GB" w:eastAsia="en-US"/>
        </w:rPr>
        <w:t xml:space="preserve"> of technological, experiential, and relational factors. The absence of integrated </w:t>
      </w:r>
      <w:r w:rsidR="00D435DD" w:rsidRPr="00F70CB0">
        <w:rPr>
          <w:sz w:val="24"/>
          <w:szCs w:val="24"/>
          <w:lang w:val="en-GB" w:eastAsia="en-US"/>
        </w:rPr>
        <w:t>analysis,</w:t>
      </w:r>
      <w:r w:rsidRPr="00F70CB0">
        <w:rPr>
          <w:sz w:val="24"/>
          <w:szCs w:val="24"/>
          <w:lang w:val="en-GB" w:eastAsia="en-US"/>
        </w:rPr>
        <w:t xml:space="preserve"> therefore</w:t>
      </w:r>
      <w:r w:rsidR="00A31654" w:rsidRPr="00F70CB0">
        <w:rPr>
          <w:sz w:val="24"/>
          <w:szCs w:val="24"/>
          <w:lang w:val="en-GB" w:eastAsia="en-US"/>
        </w:rPr>
        <w:t>,</w:t>
      </w:r>
      <w:r w:rsidRPr="00F70CB0">
        <w:rPr>
          <w:sz w:val="24"/>
          <w:szCs w:val="24"/>
          <w:lang w:val="en-GB" w:eastAsia="en-US"/>
        </w:rPr>
        <w:t xml:space="preserve"> restricts a holistic </w:t>
      </w:r>
      <w:r w:rsidRPr="00F70CB0">
        <w:rPr>
          <w:sz w:val="24"/>
          <w:szCs w:val="24"/>
          <w:lang w:val="en-GB" w:eastAsia="en-US"/>
        </w:rPr>
        <w:lastRenderedPageBreak/>
        <w:t>understanding of digital banking usage and highlights the need for a more interconnected framework.</w:t>
      </w:r>
    </w:p>
    <w:p w14:paraId="0F7AF565" w14:textId="4C1E3855" w:rsidR="009F2058" w:rsidRPr="00F70CB0" w:rsidRDefault="00667AB7" w:rsidP="00515456">
      <w:pPr>
        <w:pStyle w:val="Heading1"/>
        <w:rPr>
          <w:rFonts w:ascii="Times New Roman" w:hAnsi="Times New Roman" w:cs="Times New Roman"/>
          <w:sz w:val="28"/>
          <w:szCs w:val="28"/>
          <w:lang w:val="en-AU"/>
        </w:rPr>
      </w:pPr>
      <w:bookmarkStart w:id="46" w:name="_Toc227353514"/>
      <w:r w:rsidRPr="00F70CB0">
        <w:rPr>
          <w:rFonts w:ascii="Times New Roman" w:hAnsi="Times New Roman" w:cs="Times New Roman"/>
          <w:sz w:val="28"/>
          <w:szCs w:val="28"/>
        </w:rPr>
        <w:t>3.</w:t>
      </w:r>
      <w:r w:rsidR="00F9357A" w:rsidRPr="00F70CB0">
        <w:rPr>
          <w:rFonts w:ascii="Times New Roman" w:hAnsi="Times New Roman" w:cs="Times New Roman"/>
          <w:sz w:val="28"/>
          <w:szCs w:val="28"/>
        </w:rPr>
        <w:t>6</w:t>
      </w:r>
      <w:r w:rsidRPr="00F70CB0">
        <w:rPr>
          <w:rFonts w:ascii="Times New Roman" w:hAnsi="Times New Roman" w:cs="Times New Roman"/>
          <w:sz w:val="28"/>
          <w:szCs w:val="28"/>
        </w:rPr>
        <w:t>.</w:t>
      </w:r>
      <w:r w:rsidR="009F2058" w:rsidRPr="00F70CB0">
        <w:rPr>
          <w:rFonts w:ascii="Times New Roman" w:hAnsi="Times New Roman" w:cs="Times New Roman"/>
          <w:sz w:val="28"/>
          <w:szCs w:val="28"/>
        </w:rPr>
        <w:t xml:space="preserve">5 </w:t>
      </w:r>
      <w:r w:rsidR="00895E57" w:rsidRPr="00F70CB0">
        <w:rPr>
          <w:rFonts w:ascii="Times New Roman" w:hAnsi="Times New Roman" w:cs="Times New Roman"/>
          <w:sz w:val="28"/>
          <w:szCs w:val="28"/>
          <w:lang w:val="en-AU"/>
        </w:rPr>
        <w:t xml:space="preserve">Contextual </w:t>
      </w:r>
      <w:r w:rsidR="00A130EF" w:rsidRPr="00F70CB0">
        <w:rPr>
          <w:rFonts w:ascii="Times New Roman" w:hAnsi="Times New Roman" w:cs="Times New Roman"/>
          <w:sz w:val="28"/>
          <w:szCs w:val="28"/>
          <w:lang w:val="en-AU"/>
        </w:rPr>
        <w:t>Limitations</w:t>
      </w:r>
      <w:r w:rsidR="00895E57" w:rsidRPr="00F70CB0">
        <w:rPr>
          <w:rFonts w:ascii="Times New Roman" w:hAnsi="Times New Roman" w:cs="Times New Roman"/>
          <w:sz w:val="28"/>
          <w:szCs w:val="28"/>
          <w:lang w:val="en-AU"/>
        </w:rPr>
        <w:t xml:space="preserve"> </w:t>
      </w:r>
      <w:r w:rsidR="00A130EF" w:rsidRPr="00F70CB0">
        <w:rPr>
          <w:rFonts w:ascii="Times New Roman" w:hAnsi="Times New Roman" w:cs="Times New Roman"/>
          <w:sz w:val="28"/>
          <w:szCs w:val="28"/>
          <w:lang w:val="en-AU"/>
        </w:rPr>
        <w:t>in Existing Research</w:t>
      </w:r>
      <w:bookmarkEnd w:id="46"/>
    </w:p>
    <w:p w14:paraId="16D30AD3" w14:textId="7B89454C" w:rsidR="00F00FD2" w:rsidRPr="00F70CB0" w:rsidRDefault="00D50353" w:rsidP="00F00FD2">
      <w:pPr>
        <w:jc w:val="both"/>
        <w:rPr>
          <w:sz w:val="24"/>
          <w:szCs w:val="24"/>
          <w:lang w:val="en-GB" w:eastAsia="en-US"/>
        </w:rPr>
      </w:pPr>
      <w:r w:rsidRPr="00F70CB0">
        <w:rPr>
          <w:sz w:val="24"/>
          <w:szCs w:val="24"/>
          <w:lang w:val="en-GB" w:eastAsia="en-US"/>
        </w:rPr>
        <w:t xml:space="preserve">A </w:t>
      </w:r>
      <w:r>
        <w:rPr>
          <w:sz w:val="24"/>
          <w:szCs w:val="24"/>
          <w:lang w:val="en-GB" w:eastAsia="en-US"/>
        </w:rPr>
        <w:t>considerable proportion</w:t>
      </w:r>
      <w:r w:rsidR="00F00FD2" w:rsidRPr="00F70CB0">
        <w:rPr>
          <w:sz w:val="24"/>
          <w:szCs w:val="24"/>
          <w:lang w:val="en-GB" w:eastAsia="en-US"/>
        </w:rPr>
        <w:t xml:space="preserve"> of digital banking studies have been </w:t>
      </w:r>
      <w:r w:rsidRPr="00F70CB0">
        <w:rPr>
          <w:sz w:val="24"/>
          <w:szCs w:val="24"/>
          <w:lang w:val="en-GB" w:eastAsia="en-US"/>
        </w:rPr>
        <w:t>performed</w:t>
      </w:r>
      <w:r w:rsidR="00F00FD2" w:rsidRPr="00F70CB0">
        <w:rPr>
          <w:sz w:val="24"/>
          <w:szCs w:val="24"/>
          <w:lang w:val="en-GB" w:eastAsia="en-US"/>
        </w:rPr>
        <w:t xml:space="preserve"> in developing economies, with relatively limited focus on developed markets such as the United Kingdom. While these studies </w:t>
      </w:r>
      <w:r w:rsidRPr="00F70CB0">
        <w:rPr>
          <w:sz w:val="24"/>
          <w:szCs w:val="24"/>
          <w:lang w:val="en-GB" w:eastAsia="en-US"/>
        </w:rPr>
        <w:t>require</w:t>
      </w:r>
      <w:r w:rsidR="00F00FD2" w:rsidRPr="00F70CB0">
        <w:rPr>
          <w:sz w:val="24"/>
          <w:szCs w:val="24"/>
          <w:lang w:val="en-GB" w:eastAsia="en-US"/>
        </w:rPr>
        <w:t xml:space="preserve"> valuable insights, their findings may not be directly </w:t>
      </w:r>
      <w:r w:rsidRPr="00F70CB0">
        <w:rPr>
          <w:sz w:val="24"/>
          <w:szCs w:val="24"/>
          <w:lang w:val="en-GB" w:eastAsia="en-US"/>
        </w:rPr>
        <w:t>convertible</w:t>
      </w:r>
      <w:r w:rsidR="00F00FD2" w:rsidRPr="00F70CB0">
        <w:rPr>
          <w:sz w:val="24"/>
          <w:szCs w:val="24"/>
          <w:lang w:val="en-GB" w:eastAsia="en-US"/>
        </w:rPr>
        <w:t xml:space="preserve"> to mature financial environments </w:t>
      </w:r>
      <w:r w:rsidRPr="00F70CB0">
        <w:rPr>
          <w:sz w:val="24"/>
          <w:szCs w:val="24"/>
          <w:lang w:val="en-GB" w:eastAsia="en-US"/>
        </w:rPr>
        <w:t>considered</w:t>
      </w:r>
      <w:r w:rsidR="00F00FD2" w:rsidRPr="00F70CB0">
        <w:rPr>
          <w:sz w:val="24"/>
          <w:szCs w:val="24"/>
          <w:lang w:val="en-GB" w:eastAsia="en-US"/>
        </w:rPr>
        <w:t xml:space="preserve"> by advanced technological infrastructure and </w:t>
      </w:r>
      <w:r w:rsidR="00CE62AB" w:rsidRPr="00F70CB0">
        <w:rPr>
          <w:sz w:val="24"/>
          <w:szCs w:val="24"/>
          <w:lang w:val="en-GB" w:eastAsia="en-US"/>
        </w:rPr>
        <w:t>advanced</w:t>
      </w:r>
      <w:r w:rsidR="00147E15" w:rsidRPr="00F70CB0">
        <w:rPr>
          <w:sz w:val="24"/>
          <w:szCs w:val="24"/>
          <w:lang w:val="en-GB" w:eastAsia="en-US"/>
        </w:rPr>
        <w:t xml:space="preserve"> levels</w:t>
      </w:r>
      <w:r w:rsidR="00F00FD2" w:rsidRPr="00F70CB0">
        <w:rPr>
          <w:sz w:val="24"/>
          <w:szCs w:val="24"/>
          <w:lang w:val="en-GB" w:eastAsia="en-US"/>
        </w:rPr>
        <w:t xml:space="preserve"> of digital adoption (Ndlovu et al., 2024; Hampshire, 2017; Bacha et al., 2025).</w:t>
      </w:r>
    </w:p>
    <w:p w14:paraId="6D3D6D2E" w14:textId="584CB342" w:rsidR="00F00FD2" w:rsidRPr="00F70CB0" w:rsidRDefault="00F00FD2" w:rsidP="00A31654">
      <w:pPr>
        <w:jc w:val="both"/>
        <w:rPr>
          <w:sz w:val="24"/>
          <w:szCs w:val="24"/>
          <w:lang w:val="en-GB" w:eastAsia="en-US"/>
        </w:rPr>
      </w:pPr>
      <w:r w:rsidRPr="00F70CB0">
        <w:rPr>
          <w:sz w:val="24"/>
          <w:szCs w:val="24"/>
          <w:lang w:val="en-GB" w:eastAsia="en-US"/>
        </w:rPr>
        <w:t xml:space="preserve">The UK digital banking sector is </w:t>
      </w:r>
      <w:r w:rsidR="00CE62AB">
        <w:rPr>
          <w:sz w:val="24"/>
          <w:szCs w:val="24"/>
          <w:lang w:val="en-GB" w:eastAsia="en-US"/>
        </w:rPr>
        <w:t>characterised</w:t>
      </w:r>
      <w:r w:rsidRPr="00F70CB0">
        <w:rPr>
          <w:sz w:val="24"/>
          <w:szCs w:val="24"/>
          <w:lang w:val="en-GB" w:eastAsia="en-US"/>
        </w:rPr>
        <w:t xml:space="preserve"> by strong fintech innovation, </w:t>
      </w:r>
      <w:r w:rsidR="00CE62AB" w:rsidRPr="00F70CB0">
        <w:rPr>
          <w:sz w:val="24"/>
          <w:szCs w:val="24"/>
          <w:lang w:val="en-GB" w:eastAsia="en-US"/>
        </w:rPr>
        <w:t>controlling</w:t>
      </w:r>
      <w:r w:rsidRPr="00F70CB0">
        <w:rPr>
          <w:sz w:val="24"/>
          <w:szCs w:val="24"/>
          <w:lang w:val="en-GB" w:eastAsia="en-US"/>
        </w:rPr>
        <w:t xml:space="preserve"> developments such as open banking, and the presence of digital-only banks. These contextual factors may significantly influence user </w:t>
      </w:r>
      <w:r w:rsidR="00CE62AB" w:rsidRPr="00F70CB0">
        <w:rPr>
          <w:sz w:val="24"/>
          <w:szCs w:val="24"/>
          <w:lang w:val="en-GB" w:eastAsia="en-US"/>
        </w:rPr>
        <w:t>behaviour</w:t>
      </w:r>
      <w:r w:rsidR="00CE62AB">
        <w:rPr>
          <w:sz w:val="24"/>
          <w:szCs w:val="24"/>
          <w:lang w:val="en-GB" w:eastAsia="en-US"/>
        </w:rPr>
        <w:t>, persistently</w:t>
      </w:r>
      <w:r w:rsidRPr="00F70CB0">
        <w:rPr>
          <w:sz w:val="24"/>
          <w:szCs w:val="24"/>
          <w:lang w:val="en-GB" w:eastAsia="en-US"/>
        </w:rPr>
        <w:t xml:space="preserve"> underexplored in the literature. This highlights the need for more context-specific research.</w:t>
      </w:r>
    </w:p>
    <w:p w14:paraId="0F8D4DF7" w14:textId="4C824DA7" w:rsidR="009F2058" w:rsidRPr="00F70CB0" w:rsidRDefault="00667AB7" w:rsidP="00515456">
      <w:pPr>
        <w:pStyle w:val="Heading1"/>
        <w:rPr>
          <w:rFonts w:ascii="Times New Roman" w:hAnsi="Times New Roman" w:cs="Times New Roman"/>
          <w:sz w:val="28"/>
          <w:szCs w:val="28"/>
          <w:lang w:val="en-AU"/>
        </w:rPr>
      </w:pPr>
      <w:bookmarkStart w:id="47" w:name="_Toc227353515"/>
      <w:r w:rsidRPr="00F70CB0">
        <w:rPr>
          <w:rFonts w:ascii="Times New Roman" w:hAnsi="Times New Roman" w:cs="Times New Roman"/>
          <w:sz w:val="28"/>
          <w:szCs w:val="28"/>
        </w:rPr>
        <w:t>3.</w:t>
      </w:r>
      <w:r w:rsidR="00F9357A" w:rsidRPr="00F70CB0">
        <w:rPr>
          <w:rFonts w:ascii="Times New Roman" w:hAnsi="Times New Roman" w:cs="Times New Roman"/>
          <w:sz w:val="28"/>
          <w:szCs w:val="28"/>
        </w:rPr>
        <w:t>6</w:t>
      </w:r>
      <w:r w:rsidRPr="00F70CB0">
        <w:rPr>
          <w:rFonts w:ascii="Times New Roman" w:hAnsi="Times New Roman" w:cs="Times New Roman"/>
          <w:sz w:val="28"/>
          <w:szCs w:val="28"/>
        </w:rPr>
        <w:t>.</w:t>
      </w:r>
      <w:r w:rsidR="009F2058" w:rsidRPr="00F70CB0">
        <w:rPr>
          <w:rFonts w:ascii="Times New Roman" w:hAnsi="Times New Roman" w:cs="Times New Roman"/>
          <w:sz w:val="28"/>
          <w:szCs w:val="28"/>
        </w:rPr>
        <w:t xml:space="preserve">6 </w:t>
      </w:r>
      <w:r w:rsidR="00A56E74" w:rsidRPr="00F70CB0">
        <w:rPr>
          <w:rFonts w:ascii="Times New Roman" w:hAnsi="Times New Roman" w:cs="Times New Roman"/>
          <w:sz w:val="28"/>
          <w:szCs w:val="28"/>
          <w:lang w:val="en-AU"/>
        </w:rPr>
        <w:t>Methodological Limitations and Lack of Qualitative Insight</w:t>
      </w:r>
      <w:bookmarkEnd w:id="47"/>
      <w:r w:rsidR="00A56E74" w:rsidRPr="00F70CB0">
        <w:rPr>
          <w:rFonts w:ascii="Times New Roman" w:hAnsi="Times New Roman" w:cs="Times New Roman"/>
          <w:sz w:val="28"/>
          <w:szCs w:val="28"/>
          <w:lang w:val="en-AU"/>
        </w:rPr>
        <w:t xml:space="preserve"> </w:t>
      </w:r>
    </w:p>
    <w:p w14:paraId="147F6E06" w14:textId="6E733C6D" w:rsidR="004A5A9F" w:rsidRPr="00F70CB0" w:rsidRDefault="004A5A9F" w:rsidP="004A5A9F">
      <w:pPr>
        <w:jc w:val="both"/>
        <w:rPr>
          <w:sz w:val="24"/>
          <w:szCs w:val="24"/>
          <w:lang w:val="en-GB" w:eastAsia="en-US"/>
        </w:rPr>
      </w:pPr>
      <w:r w:rsidRPr="00F70CB0">
        <w:rPr>
          <w:sz w:val="24"/>
          <w:szCs w:val="24"/>
          <w:lang w:val="en-GB" w:eastAsia="en-US"/>
        </w:rPr>
        <w:t xml:space="preserve">Existing research is predominantly quantitative, focusing on identifying relationships between variables </w:t>
      </w:r>
      <w:r w:rsidR="003829AB">
        <w:rPr>
          <w:sz w:val="24"/>
          <w:szCs w:val="24"/>
          <w:lang w:val="en-GB" w:eastAsia="en-US"/>
        </w:rPr>
        <w:t xml:space="preserve">more </w:t>
      </w:r>
      <w:r w:rsidR="003829AB" w:rsidRPr="00F70CB0">
        <w:rPr>
          <w:sz w:val="24"/>
          <w:szCs w:val="24"/>
          <w:lang w:val="en-GB" w:eastAsia="en-US"/>
        </w:rPr>
        <w:t>adequately</w:t>
      </w:r>
      <w:r w:rsidRPr="00F70CB0">
        <w:rPr>
          <w:sz w:val="24"/>
          <w:szCs w:val="24"/>
          <w:lang w:val="en-GB" w:eastAsia="en-US"/>
        </w:rPr>
        <w:t xml:space="preserve"> than </w:t>
      </w:r>
      <w:r w:rsidR="003829AB" w:rsidRPr="00F70CB0">
        <w:rPr>
          <w:sz w:val="24"/>
          <w:szCs w:val="24"/>
          <w:lang w:val="en-GB" w:eastAsia="en-US"/>
        </w:rPr>
        <w:t>discovering</w:t>
      </w:r>
      <w:r w:rsidRPr="00F70CB0">
        <w:rPr>
          <w:sz w:val="24"/>
          <w:szCs w:val="24"/>
          <w:lang w:val="en-GB" w:eastAsia="en-US"/>
        </w:rPr>
        <w:t xml:space="preserve"> the underlying reasons behind user behaviour. While such approaches provide statistical insights, they offer limited </w:t>
      </w:r>
      <w:r w:rsidR="00C34C31" w:rsidRPr="00F70CB0">
        <w:rPr>
          <w:sz w:val="24"/>
          <w:szCs w:val="24"/>
          <w:lang w:val="en-GB" w:eastAsia="en-US"/>
        </w:rPr>
        <w:t>intensity</w:t>
      </w:r>
      <w:r w:rsidRPr="00F70CB0">
        <w:rPr>
          <w:sz w:val="24"/>
          <w:szCs w:val="24"/>
          <w:lang w:val="en-GB" w:eastAsia="en-US"/>
        </w:rPr>
        <w:t xml:space="preserve"> in understanding user perceptions, motivations, and experiences (</w:t>
      </w:r>
      <w:proofErr w:type="spellStart"/>
      <w:r w:rsidRPr="00F70CB0">
        <w:rPr>
          <w:sz w:val="24"/>
          <w:szCs w:val="24"/>
          <w:lang w:val="en-GB" w:eastAsia="en-US"/>
        </w:rPr>
        <w:t>Choudrie</w:t>
      </w:r>
      <w:proofErr w:type="spellEnd"/>
      <w:r w:rsidRPr="00F70CB0">
        <w:rPr>
          <w:sz w:val="24"/>
          <w:szCs w:val="24"/>
          <w:lang w:val="en-GB" w:eastAsia="en-US"/>
        </w:rPr>
        <w:t xml:space="preserve"> et al., 2018; Anwar et al., 2024).</w:t>
      </w:r>
    </w:p>
    <w:p w14:paraId="50380401" w14:textId="6C510F3E" w:rsidR="004A5A9F" w:rsidRPr="00F70CB0" w:rsidRDefault="004A5A9F" w:rsidP="00BF1365">
      <w:pPr>
        <w:jc w:val="both"/>
        <w:rPr>
          <w:sz w:val="24"/>
          <w:szCs w:val="24"/>
          <w:lang w:val="en-GB" w:eastAsia="en-US"/>
        </w:rPr>
      </w:pPr>
      <w:r w:rsidRPr="00F70CB0">
        <w:rPr>
          <w:sz w:val="24"/>
          <w:szCs w:val="24"/>
          <w:lang w:val="en-GB" w:eastAsia="en-US"/>
        </w:rPr>
        <w:t xml:space="preserve">The lack of qualitative and mixed-method approaches restricts the ability to capture the </w:t>
      </w:r>
      <w:r w:rsidR="00C34C31" w:rsidRPr="00F70CB0">
        <w:rPr>
          <w:sz w:val="24"/>
          <w:szCs w:val="24"/>
          <w:lang w:val="en-GB" w:eastAsia="en-US"/>
        </w:rPr>
        <w:t>complication</w:t>
      </w:r>
      <w:r w:rsidRPr="00F70CB0">
        <w:rPr>
          <w:sz w:val="24"/>
          <w:szCs w:val="24"/>
          <w:lang w:val="en-GB" w:eastAsia="en-US"/>
        </w:rPr>
        <w:t xml:space="preserve"> of digital banking behaviour, particularly in relation to </w:t>
      </w:r>
      <w:r w:rsidR="00C34C31" w:rsidRPr="00F70CB0">
        <w:rPr>
          <w:sz w:val="24"/>
          <w:szCs w:val="24"/>
          <w:lang w:val="en-GB" w:eastAsia="en-US"/>
        </w:rPr>
        <w:t>changing</w:t>
      </w:r>
      <w:r w:rsidRPr="00F70CB0">
        <w:rPr>
          <w:sz w:val="24"/>
          <w:szCs w:val="24"/>
          <w:lang w:val="en-GB" w:eastAsia="en-US"/>
        </w:rPr>
        <w:t xml:space="preserve"> user expectations and experiential factors. This highlights the need for more methodologically diverse research designs.</w:t>
      </w:r>
    </w:p>
    <w:p w14:paraId="268C93B9" w14:textId="485F5E06" w:rsidR="00047F6A" w:rsidRPr="00F70CB0" w:rsidRDefault="008D5725" w:rsidP="006B2794">
      <w:pPr>
        <w:pStyle w:val="Heading1"/>
        <w:rPr>
          <w:rFonts w:ascii="Times New Roman" w:hAnsi="Times New Roman" w:cs="Times New Roman"/>
          <w:sz w:val="28"/>
          <w:szCs w:val="28"/>
        </w:rPr>
      </w:pPr>
      <w:bookmarkStart w:id="48" w:name="_Toc227353516"/>
      <w:r w:rsidRPr="00F70CB0">
        <w:rPr>
          <w:rFonts w:ascii="Times New Roman" w:hAnsi="Times New Roman" w:cs="Times New Roman"/>
          <w:sz w:val="28"/>
          <w:szCs w:val="28"/>
        </w:rPr>
        <w:t>3.6.7 Research</w:t>
      </w:r>
      <w:r w:rsidR="00047F6A" w:rsidRPr="00F70CB0">
        <w:rPr>
          <w:rFonts w:ascii="Times New Roman" w:hAnsi="Times New Roman" w:cs="Times New Roman"/>
          <w:sz w:val="28"/>
          <w:szCs w:val="28"/>
        </w:rPr>
        <w:t xml:space="preserve"> </w:t>
      </w:r>
      <w:r w:rsidR="001A7C3A" w:rsidRPr="00F70CB0">
        <w:rPr>
          <w:rFonts w:ascii="Times New Roman" w:hAnsi="Times New Roman" w:cs="Times New Roman"/>
          <w:sz w:val="28"/>
          <w:szCs w:val="28"/>
        </w:rPr>
        <w:t>D</w:t>
      </w:r>
      <w:r w:rsidR="00047F6A" w:rsidRPr="00F70CB0">
        <w:rPr>
          <w:rFonts w:ascii="Times New Roman" w:hAnsi="Times New Roman" w:cs="Times New Roman"/>
          <w:sz w:val="28"/>
          <w:szCs w:val="28"/>
        </w:rPr>
        <w:t>irections</w:t>
      </w:r>
      <w:r w:rsidR="001A7C3A" w:rsidRPr="00F70CB0">
        <w:rPr>
          <w:rFonts w:ascii="Times New Roman" w:hAnsi="Times New Roman" w:cs="Times New Roman"/>
          <w:sz w:val="28"/>
          <w:szCs w:val="28"/>
        </w:rPr>
        <w:t xml:space="preserve"> and </w:t>
      </w:r>
      <w:r w:rsidR="005B43A3" w:rsidRPr="00F70CB0">
        <w:rPr>
          <w:rFonts w:ascii="Times New Roman" w:hAnsi="Times New Roman" w:cs="Times New Roman"/>
          <w:sz w:val="28"/>
          <w:szCs w:val="28"/>
        </w:rPr>
        <w:t>P</w:t>
      </w:r>
      <w:r w:rsidR="001A7C3A" w:rsidRPr="00F70CB0">
        <w:rPr>
          <w:rFonts w:ascii="Times New Roman" w:hAnsi="Times New Roman" w:cs="Times New Roman"/>
          <w:sz w:val="28"/>
          <w:szCs w:val="28"/>
        </w:rPr>
        <w:t xml:space="preserve">ositioning of the </w:t>
      </w:r>
      <w:r w:rsidR="005B43A3" w:rsidRPr="00F70CB0">
        <w:rPr>
          <w:rFonts w:ascii="Times New Roman" w:hAnsi="Times New Roman" w:cs="Times New Roman"/>
          <w:sz w:val="28"/>
          <w:szCs w:val="28"/>
        </w:rPr>
        <w:t>Study</w:t>
      </w:r>
      <w:bookmarkEnd w:id="48"/>
      <w:r w:rsidR="001A7C3A" w:rsidRPr="00F70CB0">
        <w:rPr>
          <w:rFonts w:ascii="Times New Roman" w:hAnsi="Times New Roman" w:cs="Times New Roman"/>
          <w:sz w:val="28"/>
          <w:szCs w:val="28"/>
        </w:rPr>
        <w:t xml:space="preserve"> </w:t>
      </w:r>
    </w:p>
    <w:p w14:paraId="42EFFD7F" w14:textId="19F22AF1" w:rsidR="008D5725" w:rsidRPr="00F70CB0" w:rsidRDefault="008D5725" w:rsidP="008D5725">
      <w:pPr>
        <w:jc w:val="both"/>
        <w:rPr>
          <w:sz w:val="24"/>
          <w:szCs w:val="24"/>
          <w:lang w:val="en-GB" w:eastAsia="en-US"/>
        </w:rPr>
      </w:pPr>
      <w:r w:rsidRPr="00F70CB0">
        <w:rPr>
          <w:sz w:val="24"/>
          <w:szCs w:val="24"/>
          <w:lang w:val="en-GB" w:eastAsia="en-US"/>
        </w:rPr>
        <w:t xml:space="preserve">In response to these limitations, this study </w:t>
      </w:r>
      <w:r w:rsidR="008C007E" w:rsidRPr="00F70CB0">
        <w:rPr>
          <w:sz w:val="24"/>
          <w:szCs w:val="24"/>
          <w:lang w:val="en-GB" w:eastAsia="en-US"/>
        </w:rPr>
        <w:t>implements</w:t>
      </w:r>
      <w:r w:rsidRPr="00F70CB0">
        <w:rPr>
          <w:sz w:val="24"/>
          <w:szCs w:val="24"/>
          <w:lang w:val="en-GB" w:eastAsia="en-US"/>
        </w:rPr>
        <w:t xml:space="preserve"> an integrated approach to examining digital banking behaviour within the UK context. It seeks to </w:t>
      </w:r>
      <w:r w:rsidR="008C007E" w:rsidRPr="00F70CB0">
        <w:rPr>
          <w:sz w:val="24"/>
          <w:szCs w:val="24"/>
          <w:lang w:val="en-GB" w:eastAsia="en-US"/>
        </w:rPr>
        <w:t>shift</w:t>
      </w:r>
      <w:r w:rsidRPr="00F70CB0">
        <w:rPr>
          <w:sz w:val="24"/>
          <w:szCs w:val="24"/>
          <w:lang w:val="en-GB" w:eastAsia="en-US"/>
        </w:rPr>
        <w:t xml:space="preserve"> beyond fragmented and single-theory perspectives by combining key constructs, including perceived usefulness, perceived ease of use, trust, service quality, and user experience, within </w:t>
      </w:r>
      <w:r w:rsidR="008C007E">
        <w:rPr>
          <w:sz w:val="24"/>
          <w:szCs w:val="24"/>
          <w:lang w:val="en-GB" w:eastAsia="en-US"/>
        </w:rPr>
        <w:t>an</w:t>
      </w:r>
      <w:r w:rsidRPr="00F70CB0">
        <w:rPr>
          <w:sz w:val="24"/>
          <w:szCs w:val="24"/>
          <w:lang w:val="en-GB" w:eastAsia="en-US"/>
        </w:rPr>
        <w:t xml:space="preserve"> </w:t>
      </w:r>
      <w:r w:rsidR="008C007E" w:rsidRPr="00F70CB0">
        <w:rPr>
          <w:sz w:val="24"/>
          <w:szCs w:val="24"/>
          <w:lang w:val="en-GB" w:eastAsia="en-US"/>
        </w:rPr>
        <w:t>integrated</w:t>
      </w:r>
      <w:r w:rsidRPr="00F70CB0">
        <w:rPr>
          <w:sz w:val="24"/>
          <w:szCs w:val="24"/>
          <w:lang w:val="en-GB" w:eastAsia="en-US"/>
        </w:rPr>
        <w:t xml:space="preserve"> conceptual framework.</w:t>
      </w:r>
    </w:p>
    <w:p w14:paraId="0BDCC5E2" w14:textId="7BF0383D" w:rsidR="008D5725" w:rsidRPr="00F70CB0" w:rsidRDefault="008D5725" w:rsidP="008D5725">
      <w:pPr>
        <w:jc w:val="both"/>
        <w:rPr>
          <w:sz w:val="24"/>
          <w:szCs w:val="24"/>
          <w:lang w:val="en-GB" w:eastAsia="en-US"/>
        </w:rPr>
      </w:pPr>
      <w:r w:rsidRPr="00F70CB0">
        <w:rPr>
          <w:sz w:val="24"/>
          <w:szCs w:val="24"/>
          <w:lang w:val="en-GB" w:eastAsia="en-US"/>
        </w:rPr>
        <w:t xml:space="preserve">Importantly, this study positions customer preference as a central </w:t>
      </w:r>
      <w:r w:rsidR="00E3044E" w:rsidRPr="00F70CB0">
        <w:rPr>
          <w:sz w:val="24"/>
          <w:szCs w:val="24"/>
          <w:lang w:val="en-GB" w:eastAsia="en-US"/>
        </w:rPr>
        <w:t>resolving</w:t>
      </w:r>
      <w:r w:rsidRPr="00F70CB0">
        <w:rPr>
          <w:sz w:val="24"/>
          <w:szCs w:val="24"/>
          <w:lang w:val="en-GB" w:eastAsia="en-US"/>
        </w:rPr>
        <w:t xml:space="preserve"> construct </w:t>
      </w:r>
      <w:r w:rsidR="00E3044E" w:rsidRPr="00F70CB0">
        <w:rPr>
          <w:sz w:val="24"/>
          <w:szCs w:val="24"/>
          <w:lang w:val="en-GB" w:eastAsia="en-US"/>
        </w:rPr>
        <w:t>connecting</w:t>
      </w:r>
      <w:r w:rsidRPr="00F70CB0">
        <w:rPr>
          <w:sz w:val="24"/>
          <w:szCs w:val="24"/>
          <w:lang w:val="en-GB" w:eastAsia="en-US"/>
        </w:rPr>
        <w:t xml:space="preserve"> adoption-related perceptions with continued usage intention. By doing so, it reconceptualises digital banking behaviour as a dynamic and </w:t>
      </w:r>
      <w:r w:rsidR="00E3044E" w:rsidRPr="00F70CB0">
        <w:rPr>
          <w:sz w:val="24"/>
          <w:szCs w:val="24"/>
          <w:lang w:val="en-GB" w:eastAsia="en-US"/>
        </w:rPr>
        <w:t>connected</w:t>
      </w:r>
      <w:r w:rsidRPr="00F70CB0">
        <w:rPr>
          <w:sz w:val="24"/>
          <w:szCs w:val="24"/>
          <w:lang w:val="en-GB" w:eastAsia="en-US"/>
        </w:rPr>
        <w:t xml:space="preserve"> process rather than a </w:t>
      </w:r>
      <w:r w:rsidR="00E3044E" w:rsidRPr="00F70CB0">
        <w:rPr>
          <w:sz w:val="24"/>
          <w:szCs w:val="24"/>
          <w:lang w:val="en-GB" w:eastAsia="en-US"/>
        </w:rPr>
        <w:t>direct</w:t>
      </w:r>
      <w:r w:rsidRPr="00F70CB0">
        <w:rPr>
          <w:sz w:val="24"/>
          <w:szCs w:val="24"/>
          <w:lang w:val="en-GB" w:eastAsia="en-US"/>
        </w:rPr>
        <w:t xml:space="preserve"> progression.</w:t>
      </w:r>
    </w:p>
    <w:p w14:paraId="2FA0334A" w14:textId="311B2430" w:rsidR="008D5725" w:rsidRPr="00F70CB0" w:rsidRDefault="008D5725" w:rsidP="008D5725">
      <w:pPr>
        <w:jc w:val="both"/>
        <w:rPr>
          <w:sz w:val="24"/>
          <w:szCs w:val="24"/>
          <w:lang w:val="en-GB" w:eastAsia="en-US"/>
        </w:rPr>
      </w:pPr>
      <w:r w:rsidRPr="00F70CB0">
        <w:rPr>
          <w:sz w:val="24"/>
          <w:szCs w:val="24"/>
          <w:lang w:val="en-GB" w:eastAsia="en-US"/>
        </w:rPr>
        <w:t xml:space="preserve">Furthermore, by focusing on the UK retail banking sector, this research addresses the </w:t>
      </w:r>
      <w:r w:rsidR="00E3044E" w:rsidRPr="00F70CB0">
        <w:rPr>
          <w:sz w:val="24"/>
          <w:szCs w:val="24"/>
          <w:lang w:val="en-GB" w:eastAsia="en-US"/>
        </w:rPr>
        <w:t>background</w:t>
      </w:r>
      <w:r w:rsidRPr="00F70CB0">
        <w:rPr>
          <w:sz w:val="24"/>
          <w:szCs w:val="24"/>
          <w:lang w:val="en-GB" w:eastAsia="en-US"/>
        </w:rPr>
        <w:t xml:space="preserve"> gap in existing literature and provides insights relevant to a mature and </w:t>
      </w:r>
      <w:r w:rsidR="00E3044E" w:rsidRPr="00F70CB0">
        <w:rPr>
          <w:sz w:val="24"/>
          <w:szCs w:val="24"/>
          <w:lang w:val="en-GB" w:eastAsia="en-US"/>
        </w:rPr>
        <w:t>decidedly</w:t>
      </w:r>
      <w:r w:rsidRPr="00F70CB0">
        <w:rPr>
          <w:sz w:val="24"/>
          <w:szCs w:val="24"/>
          <w:lang w:val="en-GB" w:eastAsia="en-US"/>
        </w:rPr>
        <w:t xml:space="preserve"> competitive digital environment. As such, the study aims to contribute to both theoretical development and empirical understanding by </w:t>
      </w:r>
      <w:r w:rsidR="00E3044E" w:rsidRPr="00F70CB0">
        <w:rPr>
          <w:sz w:val="24"/>
          <w:szCs w:val="24"/>
          <w:lang w:val="en-GB" w:eastAsia="en-US"/>
        </w:rPr>
        <w:t>presenting</w:t>
      </w:r>
      <w:r w:rsidRPr="00F70CB0">
        <w:rPr>
          <w:sz w:val="24"/>
          <w:szCs w:val="24"/>
          <w:lang w:val="en-GB" w:eastAsia="en-US"/>
        </w:rPr>
        <w:t xml:space="preserve"> a more comprehensive and context-sensitive perspective on digital banking behaviour.</w:t>
      </w:r>
    </w:p>
    <w:p w14:paraId="2CBDC2E5" w14:textId="77777777" w:rsidR="008D5725" w:rsidRPr="00F70CB0" w:rsidRDefault="008D5725" w:rsidP="008D5725">
      <w:pPr>
        <w:jc w:val="both"/>
        <w:rPr>
          <w:sz w:val="24"/>
          <w:szCs w:val="24"/>
          <w:lang w:val="en-GB" w:eastAsia="en-US"/>
        </w:rPr>
      </w:pPr>
    </w:p>
    <w:p w14:paraId="3DEB36E7" w14:textId="77777777" w:rsidR="00BF1365" w:rsidRPr="00F70CB0" w:rsidRDefault="00BF1365" w:rsidP="008D5725">
      <w:pPr>
        <w:jc w:val="both"/>
        <w:rPr>
          <w:sz w:val="24"/>
          <w:szCs w:val="24"/>
          <w:lang w:val="en-GB" w:eastAsia="en-US"/>
        </w:rPr>
      </w:pPr>
    </w:p>
    <w:p w14:paraId="6E1C02A8" w14:textId="77777777" w:rsidR="00BF1365" w:rsidRPr="00F70CB0" w:rsidRDefault="00BF1365" w:rsidP="008D5725">
      <w:pPr>
        <w:jc w:val="both"/>
        <w:rPr>
          <w:sz w:val="24"/>
          <w:szCs w:val="24"/>
          <w:lang w:val="en-GB" w:eastAsia="en-US"/>
        </w:rPr>
      </w:pPr>
    </w:p>
    <w:p w14:paraId="7254E2F6" w14:textId="113FB1F1" w:rsidR="00C92931" w:rsidRPr="00F70CB0" w:rsidRDefault="00667AB7" w:rsidP="006B2794">
      <w:pPr>
        <w:pStyle w:val="Heading1"/>
        <w:rPr>
          <w:rFonts w:ascii="Times New Roman" w:hAnsi="Times New Roman" w:cs="Times New Roman"/>
          <w:sz w:val="32"/>
          <w:szCs w:val="32"/>
        </w:rPr>
      </w:pPr>
      <w:bookmarkStart w:id="49" w:name="_Toc227353517"/>
      <w:r w:rsidRPr="00F70CB0">
        <w:rPr>
          <w:rFonts w:ascii="Times New Roman" w:hAnsi="Times New Roman" w:cs="Times New Roman"/>
          <w:sz w:val="32"/>
          <w:szCs w:val="32"/>
        </w:rPr>
        <w:lastRenderedPageBreak/>
        <w:t>3.</w:t>
      </w:r>
      <w:r w:rsidR="00F9357A" w:rsidRPr="00F70CB0">
        <w:rPr>
          <w:rFonts w:ascii="Times New Roman" w:hAnsi="Times New Roman" w:cs="Times New Roman"/>
          <w:sz w:val="32"/>
          <w:szCs w:val="32"/>
        </w:rPr>
        <w:t>7</w:t>
      </w:r>
      <w:r w:rsidRPr="00F70CB0">
        <w:rPr>
          <w:rFonts w:ascii="Times New Roman" w:hAnsi="Times New Roman" w:cs="Times New Roman"/>
          <w:sz w:val="32"/>
          <w:szCs w:val="32"/>
        </w:rPr>
        <w:t xml:space="preserve"> </w:t>
      </w:r>
      <w:r w:rsidR="00B5216B" w:rsidRPr="00F70CB0">
        <w:rPr>
          <w:rFonts w:ascii="Times New Roman" w:hAnsi="Times New Roman" w:cs="Times New Roman"/>
          <w:sz w:val="32"/>
          <w:szCs w:val="32"/>
        </w:rPr>
        <w:t>Research Question</w:t>
      </w:r>
      <w:r w:rsidR="0022300A" w:rsidRPr="00F70CB0">
        <w:rPr>
          <w:rFonts w:ascii="Times New Roman" w:hAnsi="Times New Roman" w:cs="Times New Roman"/>
          <w:sz w:val="32"/>
          <w:szCs w:val="32"/>
        </w:rPr>
        <w:t>s</w:t>
      </w:r>
      <w:bookmarkEnd w:id="49"/>
    </w:p>
    <w:p w14:paraId="69C5AC9D" w14:textId="4DAA2BE6" w:rsidR="005C0AB3" w:rsidRPr="00F70CB0" w:rsidRDefault="00BF1365" w:rsidP="005C0AB3">
      <w:pPr>
        <w:jc w:val="both"/>
        <w:rPr>
          <w:sz w:val="24"/>
          <w:szCs w:val="24"/>
          <w:lang w:val="en-GB" w:eastAsia="en-US"/>
        </w:rPr>
      </w:pPr>
      <w:r w:rsidRPr="00F70CB0">
        <w:rPr>
          <w:sz w:val="24"/>
          <w:szCs w:val="24"/>
          <w:lang w:eastAsia="en-US"/>
        </w:rPr>
        <w:t xml:space="preserve">Based on the </w:t>
      </w:r>
      <w:r w:rsidR="006F4004" w:rsidRPr="00F70CB0">
        <w:rPr>
          <w:sz w:val="24"/>
          <w:szCs w:val="24"/>
          <w:lang w:eastAsia="en-US"/>
        </w:rPr>
        <w:t>associated</w:t>
      </w:r>
      <w:r w:rsidRPr="00F70CB0">
        <w:rPr>
          <w:sz w:val="24"/>
          <w:szCs w:val="24"/>
          <w:lang w:eastAsia="en-US"/>
        </w:rPr>
        <w:t xml:space="preserve"> theoretical, methodological, and contextual gaps, the following research questions are </w:t>
      </w:r>
      <w:r w:rsidR="006F4004" w:rsidRPr="00F70CB0">
        <w:rPr>
          <w:sz w:val="24"/>
          <w:szCs w:val="24"/>
          <w:lang w:eastAsia="en-US"/>
        </w:rPr>
        <w:t>built</w:t>
      </w:r>
      <w:r w:rsidRPr="00F70CB0">
        <w:rPr>
          <w:sz w:val="24"/>
          <w:szCs w:val="24"/>
          <w:lang w:eastAsia="en-US"/>
        </w:rPr>
        <w:t xml:space="preserve"> to guide the study.</w:t>
      </w:r>
    </w:p>
    <w:p w14:paraId="0EB98E2F" w14:textId="3A1C4667" w:rsidR="00C92931" w:rsidRPr="00F70CB0" w:rsidRDefault="00C92931" w:rsidP="005C0AB3">
      <w:pPr>
        <w:jc w:val="both"/>
        <w:rPr>
          <w:sz w:val="24"/>
          <w:szCs w:val="24"/>
          <w:lang w:val="en-GB" w:eastAsia="en-US"/>
        </w:rPr>
      </w:pPr>
      <w:r w:rsidRPr="00F70CB0">
        <w:rPr>
          <w:b/>
          <w:bCs/>
          <w:sz w:val="24"/>
          <w:szCs w:val="24"/>
          <w:lang w:val="en-GB"/>
        </w:rPr>
        <w:t>Main Research Question</w:t>
      </w:r>
    </w:p>
    <w:p w14:paraId="4192958F" w14:textId="66227663" w:rsidR="00BF1365" w:rsidRPr="00F70CB0" w:rsidRDefault="00BF1365" w:rsidP="005C0AB3">
      <w:pPr>
        <w:jc w:val="both"/>
        <w:rPr>
          <w:sz w:val="24"/>
          <w:szCs w:val="24"/>
          <w:lang w:val="en-GB"/>
        </w:rPr>
      </w:pPr>
      <w:r w:rsidRPr="00F70CB0">
        <w:rPr>
          <w:sz w:val="24"/>
          <w:szCs w:val="24"/>
        </w:rPr>
        <w:t xml:space="preserve">What are the </w:t>
      </w:r>
      <w:r w:rsidR="009411D0" w:rsidRPr="00F70CB0">
        <w:rPr>
          <w:sz w:val="24"/>
          <w:szCs w:val="24"/>
        </w:rPr>
        <w:t>major</w:t>
      </w:r>
      <w:r w:rsidRPr="00F70CB0">
        <w:rPr>
          <w:sz w:val="24"/>
          <w:szCs w:val="24"/>
        </w:rPr>
        <w:t xml:space="preserve"> factors influencing customer preference and continued usage of digital banking services in the UK retail banking sector, and how can these factors be integrated within a unified theoretical framework?</w:t>
      </w:r>
    </w:p>
    <w:p w14:paraId="5C56ADBF" w14:textId="77777777" w:rsidR="00C92931" w:rsidRPr="00F70CB0" w:rsidRDefault="00C92931" w:rsidP="005C0AB3">
      <w:pPr>
        <w:jc w:val="both"/>
        <w:rPr>
          <w:b/>
          <w:bCs/>
          <w:sz w:val="24"/>
          <w:szCs w:val="24"/>
          <w:lang w:val="en-GB"/>
        </w:rPr>
      </w:pPr>
      <w:r w:rsidRPr="00F70CB0">
        <w:rPr>
          <w:b/>
          <w:bCs/>
          <w:sz w:val="24"/>
          <w:szCs w:val="24"/>
          <w:lang w:val="en-GB"/>
        </w:rPr>
        <w:t>Sub-Research Questions</w:t>
      </w:r>
    </w:p>
    <w:p w14:paraId="4B54F9BD" w14:textId="5E779940" w:rsidR="00BF1365" w:rsidRPr="00F70CB0" w:rsidRDefault="00BF1365">
      <w:pPr>
        <w:pStyle w:val="ListParagraph"/>
        <w:numPr>
          <w:ilvl w:val="0"/>
          <w:numId w:val="38"/>
        </w:numPr>
        <w:jc w:val="both"/>
        <w:rPr>
          <w:rFonts w:ascii="Times New Roman" w:hAnsi="Times New Roman" w:cs="Times New Roman"/>
          <w:sz w:val="24"/>
          <w:szCs w:val="24"/>
        </w:rPr>
      </w:pPr>
      <w:r w:rsidRPr="00F70CB0">
        <w:rPr>
          <w:rFonts w:ascii="Times New Roman" w:hAnsi="Times New Roman" w:cs="Times New Roman"/>
          <w:sz w:val="24"/>
          <w:szCs w:val="24"/>
        </w:rPr>
        <w:t>What factors shape customer preference for digital banking services within the UK context?</w:t>
      </w:r>
    </w:p>
    <w:p w14:paraId="3D494742" w14:textId="3FCDACD0" w:rsidR="00BF1365" w:rsidRPr="00F70CB0" w:rsidRDefault="00BF1365">
      <w:pPr>
        <w:pStyle w:val="ListParagraph"/>
        <w:numPr>
          <w:ilvl w:val="0"/>
          <w:numId w:val="38"/>
        </w:numPr>
        <w:jc w:val="both"/>
        <w:rPr>
          <w:rFonts w:ascii="Times New Roman" w:hAnsi="Times New Roman" w:cs="Times New Roman"/>
          <w:sz w:val="24"/>
          <w:szCs w:val="24"/>
        </w:rPr>
      </w:pPr>
      <w:r w:rsidRPr="00F70CB0">
        <w:rPr>
          <w:rFonts w:ascii="Times New Roman" w:hAnsi="Times New Roman" w:cs="Times New Roman"/>
          <w:sz w:val="24"/>
          <w:szCs w:val="24"/>
        </w:rPr>
        <w:t xml:space="preserve">To what extent do </w:t>
      </w:r>
      <w:r w:rsidR="003552AC">
        <w:rPr>
          <w:rFonts w:ascii="Times New Roman" w:hAnsi="Times New Roman" w:cs="Times New Roman"/>
          <w:sz w:val="24"/>
          <w:szCs w:val="24"/>
        </w:rPr>
        <w:t>perceived</w:t>
      </w:r>
      <w:r w:rsidRPr="00F70CB0">
        <w:rPr>
          <w:rFonts w:ascii="Times New Roman" w:hAnsi="Times New Roman" w:cs="Times New Roman"/>
          <w:sz w:val="24"/>
          <w:szCs w:val="24"/>
        </w:rPr>
        <w:t xml:space="preserve"> usefulness and perceived ease of use influence customer adoption and subsequent usage behaviour?</w:t>
      </w:r>
    </w:p>
    <w:p w14:paraId="058CF34A" w14:textId="793BA3D8" w:rsidR="00BF1365" w:rsidRPr="00F70CB0" w:rsidRDefault="00BF1365">
      <w:pPr>
        <w:pStyle w:val="ListParagraph"/>
        <w:numPr>
          <w:ilvl w:val="0"/>
          <w:numId w:val="38"/>
        </w:numPr>
        <w:jc w:val="both"/>
        <w:rPr>
          <w:rFonts w:ascii="Times New Roman" w:hAnsi="Times New Roman" w:cs="Times New Roman"/>
          <w:sz w:val="24"/>
          <w:szCs w:val="24"/>
        </w:rPr>
      </w:pPr>
      <w:r w:rsidRPr="00F70CB0">
        <w:rPr>
          <w:rFonts w:ascii="Times New Roman" w:hAnsi="Times New Roman" w:cs="Times New Roman"/>
          <w:sz w:val="24"/>
          <w:szCs w:val="24"/>
        </w:rPr>
        <w:t>How do trust and perceived security interact with other factors to influence both customer preference and continuance intention?</w:t>
      </w:r>
    </w:p>
    <w:p w14:paraId="319C15CE" w14:textId="154F240D" w:rsidR="00BF1365" w:rsidRPr="00F70CB0" w:rsidRDefault="00BF1365">
      <w:pPr>
        <w:pStyle w:val="ListParagraph"/>
        <w:numPr>
          <w:ilvl w:val="0"/>
          <w:numId w:val="38"/>
        </w:numPr>
        <w:jc w:val="both"/>
        <w:rPr>
          <w:rFonts w:ascii="Times New Roman" w:hAnsi="Times New Roman" w:cs="Times New Roman"/>
          <w:sz w:val="24"/>
          <w:szCs w:val="24"/>
        </w:rPr>
      </w:pPr>
      <w:r w:rsidRPr="00F70CB0">
        <w:rPr>
          <w:rFonts w:ascii="Times New Roman" w:hAnsi="Times New Roman" w:cs="Times New Roman"/>
          <w:sz w:val="24"/>
          <w:szCs w:val="24"/>
        </w:rPr>
        <w:t>How do service quality and user experience contribute to customer satisfaction and long-term usage behaviour?</w:t>
      </w:r>
    </w:p>
    <w:p w14:paraId="3CC325D1" w14:textId="5AC7B3F5" w:rsidR="00BF1365" w:rsidRPr="00F70CB0" w:rsidRDefault="00BF1365">
      <w:pPr>
        <w:pStyle w:val="ListParagraph"/>
        <w:numPr>
          <w:ilvl w:val="0"/>
          <w:numId w:val="38"/>
        </w:numPr>
        <w:jc w:val="both"/>
        <w:rPr>
          <w:rFonts w:ascii="Times New Roman" w:hAnsi="Times New Roman" w:cs="Times New Roman"/>
          <w:sz w:val="24"/>
          <w:szCs w:val="24"/>
        </w:rPr>
      </w:pPr>
      <w:r w:rsidRPr="00F70CB0">
        <w:rPr>
          <w:rFonts w:ascii="Times New Roman" w:hAnsi="Times New Roman" w:cs="Times New Roman"/>
          <w:sz w:val="24"/>
          <w:szCs w:val="24"/>
        </w:rPr>
        <w:t>How can an integrated framework combining technological, behavioural, and experiential factors better explain digital banking adoption and continuance in the UK context?</w:t>
      </w:r>
    </w:p>
    <w:p w14:paraId="6ECFE1C1" w14:textId="3A6B5E51" w:rsidR="00C92931" w:rsidRPr="00F70CB0" w:rsidRDefault="006B2794" w:rsidP="006B2794">
      <w:pPr>
        <w:pStyle w:val="Heading1"/>
        <w:rPr>
          <w:rFonts w:ascii="Times New Roman" w:hAnsi="Times New Roman" w:cs="Times New Roman"/>
          <w:sz w:val="32"/>
          <w:szCs w:val="32"/>
        </w:rPr>
      </w:pPr>
      <w:bookmarkStart w:id="50" w:name="_Toc227353518"/>
      <w:r w:rsidRPr="00F70CB0">
        <w:rPr>
          <w:rFonts w:ascii="Times New Roman" w:hAnsi="Times New Roman" w:cs="Times New Roman"/>
          <w:sz w:val="32"/>
          <w:szCs w:val="32"/>
        </w:rPr>
        <w:t>3.</w:t>
      </w:r>
      <w:r w:rsidR="00F9357A" w:rsidRPr="00F70CB0">
        <w:rPr>
          <w:rFonts w:ascii="Times New Roman" w:hAnsi="Times New Roman" w:cs="Times New Roman"/>
          <w:sz w:val="32"/>
          <w:szCs w:val="32"/>
        </w:rPr>
        <w:t>8</w:t>
      </w:r>
      <w:r w:rsidRPr="00F70CB0">
        <w:rPr>
          <w:rFonts w:ascii="Times New Roman" w:hAnsi="Times New Roman" w:cs="Times New Roman"/>
          <w:sz w:val="32"/>
          <w:szCs w:val="32"/>
        </w:rPr>
        <w:t xml:space="preserve"> </w:t>
      </w:r>
      <w:r w:rsidR="00F00D04" w:rsidRPr="00F70CB0">
        <w:rPr>
          <w:rFonts w:ascii="Times New Roman" w:hAnsi="Times New Roman" w:cs="Times New Roman"/>
          <w:sz w:val="32"/>
          <w:szCs w:val="32"/>
        </w:rPr>
        <w:t>Conclusion</w:t>
      </w:r>
      <w:bookmarkEnd w:id="50"/>
    </w:p>
    <w:p w14:paraId="32D9FB89" w14:textId="394FF86C" w:rsidR="002C4718" w:rsidRPr="00F70CB0" w:rsidRDefault="002C4718" w:rsidP="002C4718">
      <w:pPr>
        <w:jc w:val="both"/>
        <w:rPr>
          <w:sz w:val="24"/>
          <w:szCs w:val="24"/>
          <w:lang w:val="en-GB"/>
        </w:rPr>
      </w:pPr>
      <w:r w:rsidRPr="00F70CB0">
        <w:rPr>
          <w:sz w:val="24"/>
          <w:szCs w:val="24"/>
          <w:lang w:val="en-GB"/>
        </w:rPr>
        <w:t xml:space="preserve">This literature review has examined the key </w:t>
      </w:r>
      <w:r w:rsidR="00982808" w:rsidRPr="00F70CB0">
        <w:rPr>
          <w:sz w:val="24"/>
          <w:szCs w:val="24"/>
          <w:lang w:val="en-GB"/>
        </w:rPr>
        <w:t>elements</w:t>
      </w:r>
      <w:r w:rsidRPr="00F70CB0">
        <w:rPr>
          <w:sz w:val="24"/>
          <w:szCs w:val="24"/>
          <w:lang w:val="en-GB"/>
        </w:rPr>
        <w:t xml:space="preserve"> influencing digital banking behaviour, including adoption, continuance intention, trust and security, service quality, and user experience. The analysis </w:t>
      </w:r>
      <w:r w:rsidR="00982808">
        <w:rPr>
          <w:sz w:val="24"/>
          <w:szCs w:val="24"/>
          <w:lang w:val="en-GB"/>
        </w:rPr>
        <w:t>finds</w:t>
      </w:r>
      <w:r w:rsidRPr="00F70CB0">
        <w:rPr>
          <w:sz w:val="24"/>
          <w:szCs w:val="24"/>
          <w:lang w:val="en-GB"/>
        </w:rPr>
        <w:t xml:space="preserve"> that, </w:t>
      </w:r>
      <w:r w:rsidR="00C1137B" w:rsidRPr="00F70CB0">
        <w:rPr>
          <w:sz w:val="24"/>
          <w:szCs w:val="24"/>
          <w:lang w:val="en-GB"/>
        </w:rPr>
        <w:t>though</w:t>
      </w:r>
      <w:r w:rsidRPr="00F70CB0">
        <w:rPr>
          <w:sz w:val="24"/>
          <w:szCs w:val="24"/>
          <w:lang w:val="en-GB"/>
        </w:rPr>
        <w:t xml:space="preserve"> extensive research exists, the literature remains conceptually fragmented, with many studies examining </w:t>
      </w:r>
      <w:r w:rsidR="00982808">
        <w:rPr>
          <w:sz w:val="24"/>
          <w:szCs w:val="24"/>
          <w:lang w:val="en-GB"/>
        </w:rPr>
        <w:t>this</w:t>
      </w:r>
      <w:r w:rsidRPr="00F70CB0">
        <w:rPr>
          <w:sz w:val="24"/>
          <w:szCs w:val="24"/>
          <w:lang w:val="en-GB"/>
        </w:rPr>
        <w:t xml:space="preserve"> </w:t>
      </w:r>
      <w:r w:rsidR="00982808" w:rsidRPr="00F70CB0">
        <w:rPr>
          <w:sz w:val="24"/>
          <w:szCs w:val="24"/>
          <w:lang w:val="en-GB"/>
        </w:rPr>
        <w:t>situation</w:t>
      </w:r>
      <w:r w:rsidRPr="00F70CB0">
        <w:rPr>
          <w:sz w:val="24"/>
          <w:szCs w:val="24"/>
          <w:lang w:val="en-GB"/>
        </w:rPr>
        <w:t xml:space="preserve"> in isolation rather than within a unified framework.</w:t>
      </w:r>
    </w:p>
    <w:p w14:paraId="6F939780" w14:textId="00044047" w:rsidR="002C4718" w:rsidRPr="00F70CB0" w:rsidRDefault="002C4718" w:rsidP="002C4718">
      <w:pPr>
        <w:jc w:val="both"/>
        <w:rPr>
          <w:sz w:val="24"/>
          <w:szCs w:val="24"/>
          <w:lang w:val="en-GB"/>
        </w:rPr>
      </w:pPr>
      <w:r w:rsidRPr="00F70CB0">
        <w:rPr>
          <w:sz w:val="24"/>
          <w:szCs w:val="24"/>
          <w:lang w:val="en-GB"/>
        </w:rPr>
        <w:t xml:space="preserve">A critical evaluation of the theoretical foundations </w:t>
      </w:r>
      <w:r w:rsidR="00616241" w:rsidRPr="00F70CB0">
        <w:rPr>
          <w:sz w:val="24"/>
          <w:szCs w:val="24"/>
          <w:lang w:val="en-GB"/>
        </w:rPr>
        <w:t>reveals</w:t>
      </w:r>
      <w:r w:rsidRPr="00F70CB0">
        <w:rPr>
          <w:sz w:val="24"/>
          <w:szCs w:val="24"/>
          <w:lang w:val="en-GB"/>
        </w:rPr>
        <w:t xml:space="preserve"> that models such as TAM, UTAUT, and ECM provide valuable but </w:t>
      </w:r>
      <w:r w:rsidR="00616241" w:rsidRPr="00F70CB0">
        <w:rPr>
          <w:sz w:val="24"/>
          <w:szCs w:val="24"/>
          <w:lang w:val="en-GB"/>
        </w:rPr>
        <w:t>biased</w:t>
      </w:r>
      <w:r w:rsidRPr="00F70CB0">
        <w:rPr>
          <w:sz w:val="24"/>
          <w:szCs w:val="24"/>
          <w:lang w:val="en-GB"/>
        </w:rPr>
        <w:t xml:space="preserve"> explanations of user behaviour. While TAM and UTAUT </w:t>
      </w:r>
      <w:r w:rsidR="00616241" w:rsidRPr="00F70CB0">
        <w:rPr>
          <w:sz w:val="24"/>
          <w:szCs w:val="24"/>
          <w:lang w:val="en-GB"/>
        </w:rPr>
        <w:t>mainly</w:t>
      </w:r>
      <w:r w:rsidRPr="00F70CB0">
        <w:rPr>
          <w:sz w:val="24"/>
          <w:szCs w:val="24"/>
          <w:lang w:val="en-GB"/>
        </w:rPr>
        <w:t xml:space="preserve"> focus on technology adoption, ECM addresses post-adoption behaviour; however, none of these models </w:t>
      </w:r>
      <w:r w:rsidR="00AB062D" w:rsidRPr="00F70CB0">
        <w:rPr>
          <w:sz w:val="24"/>
          <w:szCs w:val="24"/>
          <w:lang w:val="en-GB"/>
        </w:rPr>
        <w:t>individually</w:t>
      </w:r>
      <w:r w:rsidRPr="00F70CB0">
        <w:rPr>
          <w:sz w:val="24"/>
          <w:szCs w:val="24"/>
          <w:lang w:val="en-GB"/>
        </w:rPr>
        <w:t xml:space="preserve"> capture the full complexity of digital banking usage, particularly in relation to customer preference and the interaction </w:t>
      </w:r>
      <w:r w:rsidR="00AB062D" w:rsidRPr="00F70CB0">
        <w:rPr>
          <w:sz w:val="24"/>
          <w:szCs w:val="24"/>
          <w:lang w:val="en-GB"/>
        </w:rPr>
        <w:t>among</w:t>
      </w:r>
      <w:r w:rsidRPr="00F70CB0">
        <w:rPr>
          <w:sz w:val="24"/>
          <w:szCs w:val="24"/>
          <w:lang w:val="en-GB"/>
        </w:rPr>
        <w:t xml:space="preserve"> technological, behavioural, and experiential factors.</w:t>
      </w:r>
    </w:p>
    <w:p w14:paraId="0C27F673" w14:textId="35CA1DB9" w:rsidR="002C4718" w:rsidRPr="00F70CB0" w:rsidRDefault="002C4718" w:rsidP="002C4718">
      <w:pPr>
        <w:jc w:val="both"/>
        <w:rPr>
          <w:sz w:val="24"/>
          <w:szCs w:val="24"/>
          <w:lang w:val="en-GB"/>
        </w:rPr>
      </w:pPr>
      <w:r w:rsidRPr="00F70CB0">
        <w:rPr>
          <w:sz w:val="24"/>
          <w:szCs w:val="24"/>
          <w:lang w:val="en-GB"/>
        </w:rPr>
        <w:t xml:space="preserve">Furthermore, the empirical literature is constrained by methodological limitations, including an over-reliance on cross-sectional quantitative designs and a lack of longitudinal and qualitative insights. In addition, much of the existing research is </w:t>
      </w:r>
      <w:r w:rsidR="00C439AB">
        <w:rPr>
          <w:sz w:val="24"/>
          <w:szCs w:val="24"/>
          <w:lang w:val="en-GB"/>
        </w:rPr>
        <w:t>shown</w:t>
      </w:r>
      <w:r w:rsidRPr="00F70CB0">
        <w:rPr>
          <w:sz w:val="24"/>
          <w:szCs w:val="24"/>
          <w:lang w:val="en-GB"/>
        </w:rPr>
        <w:t xml:space="preserve"> in developing economies, raising concerns regarding its </w:t>
      </w:r>
      <w:r w:rsidR="00C439AB" w:rsidRPr="00F70CB0">
        <w:rPr>
          <w:sz w:val="24"/>
          <w:szCs w:val="24"/>
          <w:lang w:val="en-GB"/>
        </w:rPr>
        <w:t>relevance</w:t>
      </w:r>
      <w:r w:rsidRPr="00F70CB0">
        <w:rPr>
          <w:sz w:val="24"/>
          <w:szCs w:val="24"/>
          <w:lang w:val="en-GB"/>
        </w:rPr>
        <w:t xml:space="preserve"> to the UK, which represents a </w:t>
      </w:r>
      <w:r w:rsidR="00C439AB" w:rsidRPr="00F70CB0">
        <w:rPr>
          <w:sz w:val="24"/>
          <w:szCs w:val="24"/>
          <w:lang w:val="en-GB"/>
        </w:rPr>
        <w:t>developed</w:t>
      </w:r>
      <w:r w:rsidR="0045181B">
        <w:rPr>
          <w:sz w:val="24"/>
          <w:szCs w:val="24"/>
          <w:lang w:val="en-GB"/>
        </w:rPr>
        <w:t xml:space="preserve"> </w:t>
      </w:r>
      <w:r w:rsidRPr="00F70CB0">
        <w:rPr>
          <w:sz w:val="24"/>
          <w:szCs w:val="24"/>
          <w:lang w:val="en-GB"/>
        </w:rPr>
        <w:t xml:space="preserve">and highly competitive digital banking environment </w:t>
      </w:r>
      <w:r w:rsidR="006A7A94" w:rsidRPr="00F70CB0">
        <w:rPr>
          <w:sz w:val="24"/>
          <w:szCs w:val="24"/>
          <w:lang w:val="en-GB"/>
        </w:rPr>
        <w:t>characterised</w:t>
      </w:r>
      <w:r w:rsidRPr="00F70CB0">
        <w:rPr>
          <w:sz w:val="24"/>
          <w:szCs w:val="24"/>
          <w:lang w:val="en-GB"/>
        </w:rPr>
        <w:t xml:space="preserve"> by advanced technological infrastructure and evolving customer expectations.</w:t>
      </w:r>
    </w:p>
    <w:p w14:paraId="74265172" w14:textId="6802605B" w:rsidR="002C4718" w:rsidRPr="00F70CB0" w:rsidRDefault="002C4718" w:rsidP="002C4718">
      <w:pPr>
        <w:jc w:val="both"/>
        <w:rPr>
          <w:sz w:val="24"/>
          <w:szCs w:val="24"/>
          <w:lang w:val="en-GB"/>
        </w:rPr>
      </w:pPr>
      <w:r w:rsidRPr="00F70CB0">
        <w:rPr>
          <w:sz w:val="24"/>
          <w:szCs w:val="24"/>
          <w:lang w:val="en-GB"/>
        </w:rPr>
        <w:t xml:space="preserve">The review identifies several key research gaps, including the lack of integration between adoption and continuance behaviour, the underrepresentation of customer preference as a central construct, and the fragmented </w:t>
      </w:r>
      <w:r w:rsidR="00D228C6" w:rsidRPr="00F70CB0">
        <w:rPr>
          <w:sz w:val="24"/>
          <w:szCs w:val="24"/>
          <w:lang w:val="en-GB"/>
        </w:rPr>
        <w:t>inspection</w:t>
      </w:r>
      <w:r w:rsidRPr="00F70CB0">
        <w:rPr>
          <w:sz w:val="24"/>
          <w:szCs w:val="24"/>
          <w:lang w:val="en-GB"/>
        </w:rPr>
        <w:t xml:space="preserve"> of trust, service quality, and user experience. These limitations highlight the need for a more </w:t>
      </w:r>
      <w:r w:rsidR="00D228C6" w:rsidRPr="00F70CB0">
        <w:rPr>
          <w:sz w:val="24"/>
          <w:szCs w:val="24"/>
          <w:lang w:val="en-GB"/>
        </w:rPr>
        <w:t>inclusive</w:t>
      </w:r>
      <w:r w:rsidRPr="00F70CB0">
        <w:rPr>
          <w:sz w:val="24"/>
          <w:szCs w:val="24"/>
          <w:lang w:val="en-GB"/>
        </w:rPr>
        <w:t xml:space="preserve"> and context-specific approach.</w:t>
      </w:r>
    </w:p>
    <w:p w14:paraId="7D0F810A" w14:textId="7F369F1B" w:rsidR="002C4718" w:rsidRPr="00F70CB0" w:rsidRDefault="002C4718" w:rsidP="002C4718">
      <w:pPr>
        <w:jc w:val="both"/>
        <w:rPr>
          <w:sz w:val="24"/>
          <w:szCs w:val="24"/>
          <w:lang w:val="en-GB"/>
        </w:rPr>
      </w:pPr>
      <w:r w:rsidRPr="00F70CB0">
        <w:rPr>
          <w:sz w:val="24"/>
          <w:szCs w:val="24"/>
          <w:lang w:val="en-GB"/>
        </w:rPr>
        <w:lastRenderedPageBreak/>
        <w:t xml:space="preserve">In response, this study </w:t>
      </w:r>
      <w:r w:rsidR="006864C4" w:rsidRPr="00F70CB0">
        <w:rPr>
          <w:sz w:val="24"/>
          <w:szCs w:val="24"/>
          <w:lang w:val="en-GB"/>
        </w:rPr>
        <w:t>recommends</w:t>
      </w:r>
      <w:r w:rsidRPr="00F70CB0">
        <w:rPr>
          <w:sz w:val="24"/>
          <w:szCs w:val="24"/>
          <w:lang w:val="en-GB"/>
        </w:rPr>
        <w:t xml:space="preserve"> the development of an </w:t>
      </w:r>
      <w:r w:rsidR="006864C4" w:rsidRPr="00F70CB0">
        <w:rPr>
          <w:sz w:val="24"/>
          <w:szCs w:val="24"/>
          <w:lang w:val="en-GB"/>
        </w:rPr>
        <w:t>added</w:t>
      </w:r>
      <w:r w:rsidRPr="00F70CB0">
        <w:rPr>
          <w:sz w:val="24"/>
          <w:szCs w:val="24"/>
          <w:lang w:val="en-GB"/>
        </w:rPr>
        <w:t xml:space="preserve"> framework that </w:t>
      </w:r>
      <w:r w:rsidR="006864C4" w:rsidRPr="00F70CB0">
        <w:rPr>
          <w:sz w:val="24"/>
          <w:szCs w:val="24"/>
          <w:lang w:val="en-GB"/>
        </w:rPr>
        <w:t>links</w:t>
      </w:r>
      <w:r w:rsidRPr="00F70CB0">
        <w:rPr>
          <w:sz w:val="24"/>
          <w:szCs w:val="24"/>
          <w:lang w:val="en-GB"/>
        </w:rPr>
        <w:t xml:space="preserve"> technological, behavioural, and </w:t>
      </w:r>
      <w:r w:rsidR="006864C4" w:rsidRPr="00F70CB0">
        <w:rPr>
          <w:sz w:val="24"/>
          <w:szCs w:val="24"/>
          <w:lang w:val="en-GB"/>
        </w:rPr>
        <w:t>realistic</w:t>
      </w:r>
      <w:r w:rsidRPr="00F70CB0">
        <w:rPr>
          <w:sz w:val="24"/>
          <w:szCs w:val="24"/>
          <w:lang w:val="en-GB"/>
        </w:rPr>
        <w:t xml:space="preserve"> factors to explain both customer preference and continued usage within the UK digital banking context. By addressing these gaps, the study contributes to academic knowledge through theoretical integration and offers practical insights for financial </w:t>
      </w:r>
      <w:r w:rsidR="006864C4" w:rsidRPr="00F70CB0">
        <w:rPr>
          <w:sz w:val="24"/>
          <w:szCs w:val="24"/>
          <w:lang w:val="en-GB"/>
        </w:rPr>
        <w:t>organisations</w:t>
      </w:r>
      <w:r w:rsidRPr="00F70CB0">
        <w:rPr>
          <w:sz w:val="24"/>
          <w:szCs w:val="24"/>
          <w:lang w:val="en-GB"/>
        </w:rPr>
        <w:t xml:space="preserve"> seeking to enhance customer engagement, retention, and service </w:t>
      </w:r>
      <w:r w:rsidR="00A61413">
        <w:rPr>
          <w:sz w:val="24"/>
          <w:szCs w:val="24"/>
          <w:lang w:val="en-GB"/>
        </w:rPr>
        <w:t>innovation</w:t>
      </w:r>
      <w:r w:rsidRPr="00F70CB0">
        <w:rPr>
          <w:sz w:val="24"/>
          <w:szCs w:val="24"/>
          <w:lang w:val="en-GB"/>
        </w:rPr>
        <w:t xml:space="preserve"> in an increasingly digitalised banking landscape.</w:t>
      </w:r>
    </w:p>
    <w:p w14:paraId="2099BA83" w14:textId="77777777" w:rsidR="0056109B" w:rsidRPr="00F70CB0" w:rsidRDefault="0056109B" w:rsidP="00C92931">
      <w:pPr>
        <w:ind w:left="720"/>
        <w:jc w:val="both"/>
        <w:rPr>
          <w:sz w:val="24"/>
          <w:szCs w:val="24"/>
          <w:lang w:val="en-GB"/>
        </w:rPr>
      </w:pPr>
    </w:p>
    <w:p w14:paraId="430A6F26" w14:textId="77777777" w:rsidR="00667AB7" w:rsidRPr="00F70CB0" w:rsidRDefault="00667AB7" w:rsidP="00C92931">
      <w:pPr>
        <w:ind w:left="720"/>
        <w:jc w:val="both"/>
        <w:rPr>
          <w:sz w:val="24"/>
          <w:szCs w:val="24"/>
          <w:lang w:val="en-GB"/>
        </w:rPr>
      </w:pPr>
    </w:p>
    <w:p w14:paraId="58BC7C37" w14:textId="77777777" w:rsidR="00667AB7" w:rsidRPr="00F70CB0" w:rsidRDefault="00667AB7" w:rsidP="00C92931">
      <w:pPr>
        <w:ind w:left="720"/>
        <w:jc w:val="both"/>
        <w:rPr>
          <w:sz w:val="24"/>
          <w:szCs w:val="24"/>
          <w:lang w:val="en-GB"/>
        </w:rPr>
      </w:pPr>
    </w:p>
    <w:p w14:paraId="200F61BD" w14:textId="77777777" w:rsidR="0056109B" w:rsidRPr="00F70CB0" w:rsidRDefault="0056109B" w:rsidP="00C92931">
      <w:pPr>
        <w:ind w:left="720"/>
        <w:jc w:val="both"/>
        <w:rPr>
          <w:sz w:val="24"/>
          <w:szCs w:val="24"/>
          <w:lang w:val="en-GB"/>
        </w:rPr>
      </w:pPr>
    </w:p>
    <w:p w14:paraId="01E6481B" w14:textId="77777777" w:rsidR="004F7E38" w:rsidRPr="00F70CB0" w:rsidRDefault="004F7E38" w:rsidP="00C92931">
      <w:pPr>
        <w:ind w:left="720"/>
        <w:jc w:val="both"/>
        <w:rPr>
          <w:sz w:val="24"/>
          <w:szCs w:val="24"/>
          <w:lang w:val="en-GB"/>
        </w:rPr>
      </w:pPr>
    </w:p>
    <w:p w14:paraId="167D5C94" w14:textId="77777777" w:rsidR="004F7E38" w:rsidRPr="00F70CB0" w:rsidRDefault="004F7E38" w:rsidP="00C92931">
      <w:pPr>
        <w:ind w:left="720"/>
        <w:jc w:val="both"/>
        <w:rPr>
          <w:sz w:val="24"/>
          <w:szCs w:val="24"/>
          <w:lang w:val="en-GB"/>
        </w:rPr>
      </w:pPr>
    </w:p>
    <w:p w14:paraId="7DCBD1D4" w14:textId="77777777" w:rsidR="004F7E38" w:rsidRPr="00F70CB0" w:rsidRDefault="004F7E38" w:rsidP="00C92931">
      <w:pPr>
        <w:ind w:left="720"/>
        <w:jc w:val="both"/>
        <w:rPr>
          <w:sz w:val="24"/>
          <w:szCs w:val="24"/>
          <w:lang w:val="en-GB"/>
        </w:rPr>
      </w:pPr>
    </w:p>
    <w:p w14:paraId="4E0A5328" w14:textId="77777777" w:rsidR="004F7E38" w:rsidRPr="00F70CB0" w:rsidRDefault="004F7E38" w:rsidP="00C92931">
      <w:pPr>
        <w:ind w:left="720"/>
        <w:jc w:val="both"/>
        <w:rPr>
          <w:sz w:val="24"/>
          <w:szCs w:val="24"/>
          <w:lang w:val="en-GB"/>
        </w:rPr>
      </w:pPr>
    </w:p>
    <w:p w14:paraId="11DB34DD" w14:textId="77777777" w:rsidR="004F7E38" w:rsidRPr="00F70CB0" w:rsidRDefault="004F7E38" w:rsidP="00C92931">
      <w:pPr>
        <w:ind w:left="720"/>
        <w:jc w:val="both"/>
        <w:rPr>
          <w:sz w:val="24"/>
          <w:szCs w:val="24"/>
          <w:lang w:val="en-GB"/>
        </w:rPr>
      </w:pPr>
    </w:p>
    <w:p w14:paraId="7100ECBB" w14:textId="77777777" w:rsidR="004F7E38" w:rsidRPr="00F70CB0" w:rsidRDefault="004F7E38" w:rsidP="00C92931">
      <w:pPr>
        <w:ind w:left="720"/>
        <w:jc w:val="both"/>
        <w:rPr>
          <w:sz w:val="24"/>
          <w:szCs w:val="24"/>
          <w:lang w:val="en-GB"/>
        </w:rPr>
      </w:pPr>
    </w:p>
    <w:p w14:paraId="087FB0BF" w14:textId="77777777" w:rsidR="004F7E38" w:rsidRPr="00F70CB0" w:rsidRDefault="004F7E38" w:rsidP="00C92931">
      <w:pPr>
        <w:ind w:left="720"/>
        <w:jc w:val="both"/>
        <w:rPr>
          <w:sz w:val="24"/>
          <w:szCs w:val="24"/>
          <w:lang w:val="en-GB"/>
        </w:rPr>
      </w:pPr>
    </w:p>
    <w:p w14:paraId="5C5D0C27" w14:textId="77777777" w:rsidR="004F7E38" w:rsidRPr="00F70CB0" w:rsidRDefault="004F7E38" w:rsidP="00C92931">
      <w:pPr>
        <w:ind w:left="720"/>
        <w:jc w:val="both"/>
        <w:rPr>
          <w:sz w:val="24"/>
          <w:szCs w:val="24"/>
          <w:lang w:val="en-GB"/>
        </w:rPr>
      </w:pPr>
    </w:p>
    <w:p w14:paraId="66DCDE78" w14:textId="77777777" w:rsidR="004F7E38" w:rsidRPr="00F70CB0" w:rsidRDefault="004F7E38" w:rsidP="00C92931">
      <w:pPr>
        <w:ind w:left="720"/>
        <w:jc w:val="both"/>
        <w:rPr>
          <w:sz w:val="24"/>
          <w:szCs w:val="24"/>
          <w:lang w:val="en-GB"/>
        </w:rPr>
      </w:pPr>
    </w:p>
    <w:p w14:paraId="2DE1CC0C" w14:textId="77777777" w:rsidR="00EC4B1F" w:rsidRPr="00F70CB0" w:rsidRDefault="00EC4B1F" w:rsidP="00C92931">
      <w:pPr>
        <w:ind w:left="720"/>
        <w:jc w:val="both"/>
        <w:rPr>
          <w:sz w:val="24"/>
          <w:szCs w:val="24"/>
          <w:lang w:val="en-GB"/>
        </w:rPr>
      </w:pPr>
    </w:p>
    <w:p w14:paraId="0A96A8B4" w14:textId="77777777" w:rsidR="00EC4B1F" w:rsidRPr="00F70CB0" w:rsidRDefault="00EC4B1F" w:rsidP="00C92931">
      <w:pPr>
        <w:ind w:left="720"/>
        <w:jc w:val="both"/>
        <w:rPr>
          <w:sz w:val="24"/>
          <w:szCs w:val="24"/>
          <w:lang w:val="en-GB"/>
        </w:rPr>
      </w:pPr>
    </w:p>
    <w:p w14:paraId="3D0D0A5B" w14:textId="77777777" w:rsidR="00EC4B1F" w:rsidRPr="00F70CB0" w:rsidRDefault="00EC4B1F" w:rsidP="00C92931">
      <w:pPr>
        <w:ind w:left="720"/>
        <w:jc w:val="both"/>
        <w:rPr>
          <w:sz w:val="24"/>
          <w:szCs w:val="24"/>
          <w:lang w:val="en-GB"/>
        </w:rPr>
      </w:pPr>
    </w:p>
    <w:p w14:paraId="699B5ACA" w14:textId="77777777" w:rsidR="00EC4B1F" w:rsidRPr="00F70CB0" w:rsidRDefault="00EC4B1F" w:rsidP="00C92931">
      <w:pPr>
        <w:ind w:left="720"/>
        <w:jc w:val="both"/>
        <w:rPr>
          <w:sz w:val="24"/>
          <w:szCs w:val="24"/>
          <w:lang w:val="en-GB"/>
        </w:rPr>
      </w:pPr>
    </w:p>
    <w:p w14:paraId="289C0622" w14:textId="77777777" w:rsidR="00EC4B1F" w:rsidRPr="00F70CB0" w:rsidRDefault="00EC4B1F" w:rsidP="00C92931">
      <w:pPr>
        <w:ind w:left="720"/>
        <w:jc w:val="both"/>
        <w:rPr>
          <w:sz w:val="24"/>
          <w:szCs w:val="24"/>
          <w:lang w:val="en-GB"/>
        </w:rPr>
      </w:pPr>
    </w:p>
    <w:p w14:paraId="2271C327" w14:textId="77777777" w:rsidR="00EC4B1F" w:rsidRPr="00F70CB0" w:rsidRDefault="00EC4B1F" w:rsidP="00C92931">
      <w:pPr>
        <w:ind w:left="720"/>
        <w:jc w:val="both"/>
        <w:rPr>
          <w:sz w:val="24"/>
          <w:szCs w:val="24"/>
          <w:lang w:val="en-GB"/>
        </w:rPr>
      </w:pPr>
    </w:p>
    <w:p w14:paraId="3BF76A20" w14:textId="77777777" w:rsidR="00EC4B1F" w:rsidRPr="00F70CB0" w:rsidRDefault="00EC4B1F" w:rsidP="00C92931">
      <w:pPr>
        <w:ind w:left="720"/>
        <w:jc w:val="both"/>
        <w:rPr>
          <w:sz w:val="24"/>
          <w:szCs w:val="24"/>
          <w:lang w:val="en-GB"/>
        </w:rPr>
      </w:pPr>
    </w:p>
    <w:p w14:paraId="7F5E960F" w14:textId="77777777" w:rsidR="004F7E38" w:rsidRPr="00F70CB0" w:rsidRDefault="004F7E38" w:rsidP="00C92931">
      <w:pPr>
        <w:ind w:left="720"/>
        <w:jc w:val="both"/>
        <w:rPr>
          <w:sz w:val="24"/>
          <w:szCs w:val="24"/>
          <w:lang w:val="en-GB"/>
        </w:rPr>
      </w:pPr>
    </w:p>
    <w:p w14:paraId="7475B11E" w14:textId="77777777" w:rsidR="004F7E38" w:rsidRPr="00F70CB0" w:rsidRDefault="004F7E38" w:rsidP="00C92931">
      <w:pPr>
        <w:ind w:left="720"/>
        <w:jc w:val="both"/>
        <w:rPr>
          <w:sz w:val="24"/>
          <w:szCs w:val="24"/>
          <w:lang w:val="en-GB"/>
        </w:rPr>
      </w:pPr>
    </w:p>
    <w:p w14:paraId="76034215" w14:textId="77777777" w:rsidR="0056109B" w:rsidRPr="00F70CB0" w:rsidRDefault="0056109B" w:rsidP="00C92931">
      <w:pPr>
        <w:ind w:left="720"/>
        <w:jc w:val="both"/>
        <w:rPr>
          <w:sz w:val="24"/>
          <w:szCs w:val="24"/>
          <w:lang w:val="en-GB"/>
        </w:rPr>
      </w:pPr>
    </w:p>
    <w:p w14:paraId="216CBBC0" w14:textId="77777777" w:rsidR="0056109B" w:rsidRPr="00F70CB0" w:rsidRDefault="0056109B" w:rsidP="00C92931">
      <w:pPr>
        <w:ind w:left="720"/>
        <w:jc w:val="both"/>
        <w:rPr>
          <w:sz w:val="24"/>
          <w:szCs w:val="24"/>
          <w:lang w:val="en-GB"/>
        </w:rPr>
      </w:pPr>
    </w:p>
    <w:p w14:paraId="20F5D774" w14:textId="77777777" w:rsidR="00220BC1" w:rsidRPr="00F70CB0" w:rsidRDefault="00220BC1" w:rsidP="00C92931">
      <w:pPr>
        <w:ind w:left="720"/>
        <w:jc w:val="both"/>
        <w:rPr>
          <w:sz w:val="24"/>
          <w:szCs w:val="24"/>
          <w:lang w:val="en-GB"/>
        </w:rPr>
      </w:pPr>
    </w:p>
    <w:p w14:paraId="2EC3A29D" w14:textId="77777777" w:rsidR="00795153" w:rsidRPr="00F70CB0" w:rsidRDefault="00795153" w:rsidP="00C92931">
      <w:pPr>
        <w:ind w:left="720"/>
        <w:jc w:val="both"/>
        <w:rPr>
          <w:sz w:val="24"/>
          <w:szCs w:val="24"/>
          <w:lang w:val="en-GB"/>
        </w:rPr>
      </w:pPr>
    </w:p>
    <w:p w14:paraId="674AEFED" w14:textId="77777777" w:rsidR="00795153" w:rsidRPr="00F70CB0" w:rsidRDefault="00795153" w:rsidP="00C92931">
      <w:pPr>
        <w:ind w:left="720"/>
        <w:jc w:val="both"/>
        <w:rPr>
          <w:sz w:val="24"/>
          <w:szCs w:val="24"/>
          <w:lang w:val="en-GB"/>
        </w:rPr>
      </w:pPr>
    </w:p>
    <w:p w14:paraId="43F038D2" w14:textId="24A28E9E" w:rsidR="0056109B" w:rsidRPr="00F70CB0" w:rsidRDefault="006B2794" w:rsidP="006B2794">
      <w:pPr>
        <w:pStyle w:val="Heading1"/>
        <w:rPr>
          <w:rFonts w:ascii="Times New Roman" w:hAnsi="Times New Roman" w:cs="Times New Roman"/>
          <w:sz w:val="32"/>
          <w:szCs w:val="32"/>
        </w:rPr>
      </w:pPr>
      <w:bookmarkStart w:id="51" w:name="_Toc227353519"/>
      <w:r w:rsidRPr="00F70CB0">
        <w:rPr>
          <w:rFonts w:ascii="Times New Roman" w:hAnsi="Times New Roman" w:cs="Times New Roman"/>
          <w:sz w:val="32"/>
          <w:szCs w:val="32"/>
        </w:rPr>
        <w:lastRenderedPageBreak/>
        <w:t xml:space="preserve">4 </w:t>
      </w:r>
      <w:r w:rsidR="0056109B" w:rsidRPr="00F70CB0">
        <w:rPr>
          <w:rFonts w:ascii="Times New Roman" w:hAnsi="Times New Roman" w:cs="Times New Roman"/>
          <w:sz w:val="32"/>
          <w:szCs w:val="32"/>
        </w:rPr>
        <w:t>References</w:t>
      </w:r>
      <w:bookmarkEnd w:id="51"/>
    </w:p>
    <w:p w14:paraId="678CEA10" w14:textId="1724D1DA" w:rsidR="00F343C0" w:rsidRPr="00F70CB0" w:rsidRDefault="00F343C0" w:rsidP="006864C4">
      <w:pPr>
        <w:pStyle w:val="ListParagraph"/>
        <w:jc w:val="both"/>
        <w:rPr>
          <w:rFonts w:ascii="Times New Roman" w:hAnsi="Times New Roman" w:cs="Times New Roman"/>
          <w:sz w:val="24"/>
          <w:szCs w:val="24"/>
        </w:rPr>
      </w:pPr>
      <w:bookmarkStart w:id="52" w:name="_Int_iKrU0aT0"/>
      <w:r w:rsidRPr="00F70CB0">
        <w:rPr>
          <w:rFonts w:ascii="Times New Roman" w:hAnsi="Times New Roman" w:cs="Times New Roman"/>
          <w:sz w:val="24"/>
          <w:szCs w:val="24"/>
        </w:rPr>
        <w:t xml:space="preserve">Adapa, S. and Cooksey, R. (2013) ‘Factors affecting </w:t>
      </w:r>
      <w:r w:rsidR="00BB5F7F" w:rsidRPr="00F70CB0">
        <w:rPr>
          <w:rFonts w:ascii="Times New Roman" w:hAnsi="Times New Roman" w:cs="Times New Roman"/>
          <w:sz w:val="24"/>
          <w:szCs w:val="24"/>
        </w:rPr>
        <w:t>consumers'</w:t>
      </w:r>
      <w:r w:rsidRPr="00F70CB0">
        <w:rPr>
          <w:rFonts w:ascii="Times New Roman" w:hAnsi="Times New Roman" w:cs="Times New Roman"/>
          <w:sz w:val="24"/>
          <w:szCs w:val="24"/>
        </w:rPr>
        <w:t xml:space="preserve"> continued use of internet banking: empirical evidence from Australia’, Australasian Journal of Information Systems, 18(1).</w:t>
      </w:r>
      <w:bookmarkEnd w:id="52"/>
    </w:p>
    <w:p w14:paraId="20E52488" w14:textId="70E50620"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 xml:space="preserve">Adefulu, A. (2020) ‘Relationship marketing practices and customer loyalty: a review with reference to </w:t>
      </w:r>
      <w:r w:rsidR="00BB5F7F" w:rsidRPr="00F70CB0">
        <w:rPr>
          <w:rFonts w:ascii="Times New Roman" w:hAnsi="Times New Roman" w:cs="Times New Roman"/>
          <w:sz w:val="24"/>
          <w:szCs w:val="24"/>
        </w:rPr>
        <w:t xml:space="preserve">the </w:t>
      </w:r>
      <w:r w:rsidRPr="00F70CB0">
        <w:rPr>
          <w:rFonts w:ascii="Times New Roman" w:hAnsi="Times New Roman" w:cs="Times New Roman"/>
          <w:sz w:val="24"/>
          <w:szCs w:val="24"/>
        </w:rPr>
        <w:t>banking industry’, International Journal of Engineering and Management Research.</w:t>
      </w:r>
    </w:p>
    <w:p w14:paraId="3ACAB639" w14:textId="1514A92F"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Akin, M. and Yetgin, M.A. (2025) ‘The impact of the customer experience offered to customers through digital banking applications on customer loyalty and customer satisfaction’.</w:t>
      </w:r>
    </w:p>
    <w:p w14:paraId="388B5A73" w14:textId="369EE30F"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Albinalsheikh, A.A. (2022)</w:t>
      </w:r>
      <w:r w:rsidR="00BB5F7F" w:rsidRPr="00F70CB0">
        <w:rPr>
          <w:rFonts w:ascii="Times New Roman" w:hAnsi="Times New Roman" w:cs="Times New Roman"/>
          <w:sz w:val="24"/>
          <w:szCs w:val="24"/>
        </w:rPr>
        <w:t>.</w:t>
      </w:r>
      <w:r w:rsidRPr="00F70CB0">
        <w:rPr>
          <w:rFonts w:ascii="Times New Roman" w:hAnsi="Times New Roman" w:cs="Times New Roman"/>
          <w:sz w:val="24"/>
          <w:szCs w:val="24"/>
        </w:rPr>
        <w:t xml:space="preserve"> The Influence of Online Service Quality on Customer Satisfaction, Loyalty and Preferences: A Study of the Banking Sector in Saudi Arabia. Doctoral dissertation. Victoria University.</w:t>
      </w:r>
    </w:p>
    <w:p w14:paraId="5659E91C" w14:textId="6DED1CB1"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 xml:space="preserve">Albort-Morant, G., Sanchís-Pedregosa, C. and Paredes </w:t>
      </w:r>
      <w:proofErr w:type="spellStart"/>
      <w:r w:rsidRPr="00F70CB0">
        <w:rPr>
          <w:rFonts w:ascii="Times New Roman" w:hAnsi="Times New Roman" w:cs="Times New Roman"/>
          <w:sz w:val="24"/>
          <w:szCs w:val="24"/>
        </w:rPr>
        <w:t>Paredes</w:t>
      </w:r>
      <w:proofErr w:type="spellEnd"/>
      <w:r w:rsidRPr="00F70CB0">
        <w:rPr>
          <w:rFonts w:ascii="Times New Roman" w:hAnsi="Times New Roman" w:cs="Times New Roman"/>
          <w:sz w:val="24"/>
          <w:szCs w:val="24"/>
        </w:rPr>
        <w:t>, J.R. (2022) ‘Online banking adoption in Spanish cities and towns: finding differences through TAM application’, Economic Research-</w:t>
      </w:r>
      <w:proofErr w:type="spellStart"/>
      <w:r w:rsidRPr="00F70CB0">
        <w:rPr>
          <w:rFonts w:ascii="Times New Roman" w:hAnsi="Times New Roman" w:cs="Times New Roman"/>
          <w:sz w:val="24"/>
          <w:szCs w:val="24"/>
        </w:rPr>
        <w:t>Ekonomska</w:t>
      </w:r>
      <w:proofErr w:type="spellEnd"/>
      <w:r w:rsidRPr="00F70CB0">
        <w:rPr>
          <w:rFonts w:ascii="Times New Roman" w:hAnsi="Times New Roman" w:cs="Times New Roman"/>
          <w:sz w:val="24"/>
          <w:szCs w:val="24"/>
        </w:rPr>
        <w:t xml:space="preserve"> </w:t>
      </w:r>
      <w:proofErr w:type="spellStart"/>
      <w:r w:rsidRPr="00F70CB0">
        <w:rPr>
          <w:rFonts w:ascii="Times New Roman" w:hAnsi="Times New Roman" w:cs="Times New Roman"/>
          <w:sz w:val="24"/>
          <w:szCs w:val="24"/>
        </w:rPr>
        <w:t>Istraživanja</w:t>
      </w:r>
      <w:proofErr w:type="spellEnd"/>
      <w:r w:rsidRPr="00F70CB0">
        <w:rPr>
          <w:rFonts w:ascii="Times New Roman" w:hAnsi="Times New Roman" w:cs="Times New Roman"/>
          <w:sz w:val="24"/>
          <w:szCs w:val="24"/>
        </w:rPr>
        <w:t>, 35(1), pp. 854–872.</w:t>
      </w:r>
    </w:p>
    <w:p w14:paraId="7B506105" w14:textId="0D8CCEFB"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 xml:space="preserve">Almaiah, M.A., Al-Otaibi, S., </w:t>
      </w:r>
      <w:proofErr w:type="spellStart"/>
      <w:r w:rsidRPr="00F70CB0">
        <w:rPr>
          <w:rFonts w:ascii="Times New Roman" w:hAnsi="Times New Roman" w:cs="Times New Roman"/>
          <w:sz w:val="24"/>
          <w:szCs w:val="24"/>
        </w:rPr>
        <w:t>Shishakly</w:t>
      </w:r>
      <w:proofErr w:type="spellEnd"/>
      <w:r w:rsidRPr="00F70CB0">
        <w:rPr>
          <w:rFonts w:ascii="Times New Roman" w:hAnsi="Times New Roman" w:cs="Times New Roman"/>
          <w:sz w:val="24"/>
          <w:szCs w:val="24"/>
        </w:rPr>
        <w:t xml:space="preserve">, R., Hassan, L., Lutfi, A., </w:t>
      </w:r>
      <w:proofErr w:type="spellStart"/>
      <w:r w:rsidRPr="00F70CB0">
        <w:rPr>
          <w:rFonts w:ascii="Times New Roman" w:hAnsi="Times New Roman" w:cs="Times New Roman"/>
          <w:sz w:val="24"/>
          <w:szCs w:val="24"/>
        </w:rPr>
        <w:t>Alrawad</w:t>
      </w:r>
      <w:proofErr w:type="spellEnd"/>
      <w:r w:rsidRPr="00F70CB0">
        <w:rPr>
          <w:rFonts w:ascii="Times New Roman" w:hAnsi="Times New Roman" w:cs="Times New Roman"/>
          <w:sz w:val="24"/>
          <w:szCs w:val="24"/>
        </w:rPr>
        <w:t xml:space="preserve">, M., </w:t>
      </w:r>
      <w:proofErr w:type="spellStart"/>
      <w:r w:rsidRPr="00F70CB0">
        <w:rPr>
          <w:rFonts w:ascii="Times New Roman" w:hAnsi="Times New Roman" w:cs="Times New Roman"/>
          <w:sz w:val="24"/>
          <w:szCs w:val="24"/>
        </w:rPr>
        <w:t>Qatawneh</w:t>
      </w:r>
      <w:proofErr w:type="spellEnd"/>
      <w:r w:rsidRPr="00F70CB0">
        <w:rPr>
          <w:rFonts w:ascii="Times New Roman" w:hAnsi="Times New Roman" w:cs="Times New Roman"/>
          <w:sz w:val="24"/>
          <w:szCs w:val="24"/>
        </w:rPr>
        <w:t xml:space="preserve">, M. and </w:t>
      </w:r>
      <w:proofErr w:type="spellStart"/>
      <w:r w:rsidRPr="00F70CB0">
        <w:rPr>
          <w:rFonts w:ascii="Times New Roman" w:hAnsi="Times New Roman" w:cs="Times New Roman"/>
          <w:sz w:val="24"/>
          <w:szCs w:val="24"/>
        </w:rPr>
        <w:t>Alghanam</w:t>
      </w:r>
      <w:proofErr w:type="spellEnd"/>
      <w:r w:rsidRPr="00F70CB0">
        <w:rPr>
          <w:rFonts w:ascii="Times New Roman" w:hAnsi="Times New Roman" w:cs="Times New Roman"/>
          <w:sz w:val="24"/>
          <w:szCs w:val="24"/>
        </w:rPr>
        <w:t>, O.A. (2023) ‘Investigating the role of perceived risk, perceived security and perceived trust on smart m-banking application using SEM’, Sustainability, 15(13), p. 9908.</w:t>
      </w:r>
    </w:p>
    <w:p w14:paraId="005710D0" w14:textId="6D701718"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 xml:space="preserve">Aloulou, M., </w:t>
      </w:r>
      <w:proofErr w:type="spellStart"/>
      <w:r w:rsidRPr="00F70CB0">
        <w:rPr>
          <w:rFonts w:ascii="Times New Roman" w:hAnsi="Times New Roman" w:cs="Times New Roman"/>
          <w:sz w:val="24"/>
          <w:szCs w:val="24"/>
        </w:rPr>
        <w:t>Grati</w:t>
      </w:r>
      <w:proofErr w:type="spellEnd"/>
      <w:r w:rsidRPr="00F70CB0">
        <w:rPr>
          <w:rFonts w:ascii="Times New Roman" w:hAnsi="Times New Roman" w:cs="Times New Roman"/>
          <w:sz w:val="24"/>
          <w:szCs w:val="24"/>
        </w:rPr>
        <w:t>, R., Al-</w:t>
      </w:r>
      <w:proofErr w:type="spellStart"/>
      <w:r w:rsidRPr="00F70CB0">
        <w:rPr>
          <w:rFonts w:ascii="Times New Roman" w:hAnsi="Times New Roman" w:cs="Times New Roman"/>
          <w:sz w:val="24"/>
          <w:szCs w:val="24"/>
        </w:rPr>
        <w:t>Qudah</w:t>
      </w:r>
      <w:proofErr w:type="spellEnd"/>
      <w:r w:rsidRPr="00F70CB0">
        <w:rPr>
          <w:rFonts w:ascii="Times New Roman" w:hAnsi="Times New Roman" w:cs="Times New Roman"/>
          <w:sz w:val="24"/>
          <w:szCs w:val="24"/>
        </w:rPr>
        <w:t>, A.A. and Al-</w:t>
      </w:r>
      <w:proofErr w:type="spellStart"/>
      <w:r w:rsidRPr="00F70CB0">
        <w:rPr>
          <w:rFonts w:ascii="Times New Roman" w:hAnsi="Times New Roman" w:cs="Times New Roman"/>
          <w:sz w:val="24"/>
          <w:szCs w:val="24"/>
        </w:rPr>
        <w:t>Okaily</w:t>
      </w:r>
      <w:proofErr w:type="spellEnd"/>
      <w:r w:rsidRPr="00F70CB0">
        <w:rPr>
          <w:rFonts w:ascii="Times New Roman" w:hAnsi="Times New Roman" w:cs="Times New Roman"/>
          <w:sz w:val="24"/>
          <w:szCs w:val="24"/>
        </w:rPr>
        <w:t>, M. (2024)</w:t>
      </w:r>
      <w:r w:rsidR="00BB5F7F" w:rsidRPr="00F70CB0">
        <w:rPr>
          <w:rFonts w:ascii="Times New Roman" w:hAnsi="Times New Roman" w:cs="Times New Roman"/>
          <w:sz w:val="24"/>
          <w:szCs w:val="24"/>
        </w:rPr>
        <w:t xml:space="preserve">. </w:t>
      </w:r>
      <w:r w:rsidRPr="00F70CB0">
        <w:rPr>
          <w:rFonts w:ascii="Times New Roman" w:hAnsi="Times New Roman" w:cs="Times New Roman"/>
          <w:sz w:val="24"/>
          <w:szCs w:val="24"/>
        </w:rPr>
        <w:t>Does FinTech adoption increase the diffusion rate of digital financial inclusion? A study of the banking industry sector, Journal of Financial Reporting and Accounting, 22(2), pp. 289–307.</w:t>
      </w:r>
    </w:p>
    <w:p w14:paraId="763B9BB6" w14:textId="4D207997" w:rsidR="00F343C0" w:rsidRPr="00F70CB0" w:rsidRDefault="00F343C0">
      <w:pPr>
        <w:pStyle w:val="ListParagraph"/>
        <w:numPr>
          <w:ilvl w:val="0"/>
          <w:numId w:val="1"/>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Alrababah</w:t>
      </w:r>
      <w:proofErr w:type="spellEnd"/>
      <w:r w:rsidRPr="00F70CB0">
        <w:rPr>
          <w:rFonts w:ascii="Times New Roman" w:hAnsi="Times New Roman" w:cs="Times New Roman"/>
          <w:sz w:val="24"/>
          <w:szCs w:val="24"/>
        </w:rPr>
        <w:t xml:space="preserve">, H., Iqbal, H. and Khan, M.A. (2024) ‘The effect of user </w:t>
      </w:r>
      <w:proofErr w:type="spellStart"/>
      <w:r w:rsidRPr="00F70CB0">
        <w:rPr>
          <w:rFonts w:ascii="Times New Roman" w:hAnsi="Times New Roman" w:cs="Times New Roman"/>
          <w:sz w:val="24"/>
          <w:szCs w:val="24"/>
        </w:rPr>
        <w:t>behavior</w:t>
      </w:r>
      <w:proofErr w:type="spellEnd"/>
      <w:r w:rsidRPr="00F70CB0">
        <w:rPr>
          <w:rFonts w:ascii="Times New Roman" w:hAnsi="Times New Roman" w:cs="Times New Roman"/>
          <w:sz w:val="24"/>
          <w:szCs w:val="24"/>
        </w:rPr>
        <w:t xml:space="preserve"> in online banking on cybersecurity knowledge’, International Journal of Intelligent Systems, 2024(1), p. 9949510.</w:t>
      </w:r>
    </w:p>
    <w:p w14:paraId="6D3DA943" w14:textId="0BE93B18"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Amin, U., Agrawal, S. and Yousuf, U. (2025) ‘Digital Banking Service Quality and Customer Satisfaction: A Comparative Assessment of Public and Private Sector Banks’, Pacific Business Review International, 18(5).</w:t>
      </w:r>
    </w:p>
    <w:p w14:paraId="3E003247" w14:textId="1E7A1912"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 xml:space="preserve">Anwar, S., </w:t>
      </w:r>
      <w:proofErr w:type="spellStart"/>
      <w:r w:rsidRPr="00F70CB0">
        <w:rPr>
          <w:rFonts w:ascii="Times New Roman" w:hAnsi="Times New Roman" w:cs="Times New Roman"/>
          <w:sz w:val="24"/>
          <w:szCs w:val="24"/>
        </w:rPr>
        <w:t>Alburaiki</w:t>
      </w:r>
      <w:proofErr w:type="spellEnd"/>
      <w:r w:rsidRPr="00F70CB0">
        <w:rPr>
          <w:rFonts w:ascii="Times New Roman" w:hAnsi="Times New Roman" w:cs="Times New Roman"/>
          <w:sz w:val="24"/>
          <w:szCs w:val="24"/>
        </w:rPr>
        <w:t>, G., Ibrahimi, A. and Qadri, L. (2024) ‘Digital banking issues experienced by older people’, in 2024 10th International Conference on Optimization and Applications (ICOA). IEEE, pp. 1–5.</w:t>
      </w:r>
    </w:p>
    <w:p w14:paraId="10CB3DD6" w14:textId="04AAE7BB"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Antony, G. (2024)</w:t>
      </w:r>
      <w:r w:rsidR="00BB5F7F" w:rsidRPr="00F70CB0">
        <w:rPr>
          <w:rFonts w:ascii="Times New Roman" w:hAnsi="Times New Roman" w:cs="Times New Roman"/>
          <w:sz w:val="24"/>
          <w:szCs w:val="24"/>
        </w:rPr>
        <w:t>.</w:t>
      </w:r>
      <w:r w:rsidRPr="00F70CB0">
        <w:rPr>
          <w:rFonts w:ascii="Times New Roman" w:hAnsi="Times New Roman" w:cs="Times New Roman"/>
          <w:sz w:val="24"/>
          <w:szCs w:val="24"/>
        </w:rPr>
        <w:t xml:space="preserve"> Impact of e-banking service quality on customer satisfaction and loyalty. Doctoral dissertation. Dublin Business School.</w:t>
      </w:r>
    </w:p>
    <w:p w14:paraId="5FB3DAAF" w14:textId="3C5995F9" w:rsidR="00F343C0" w:rsidRPr="00F70CB0" w:rsidRDefault="00F343C0">
      <w:pPr>
        <w:pStyle w:val="ListParagraph"/>
        <w:numPr>
          <w:ilvl w:val="0"/>
          <w:numId w:val="1"/>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Apau</w:t>
      </w:r>
      <w:proofErr w:type="spellEnd"/>
      <w:r w:rsidRPr="00F70CB0">
        <w:rPr>
          <w:rFonts w:ascii="Times New Roman" w:hAnsi="Times New Roman" w:cs="Times New Roman"/>
          <w:sz w:val="24"/>
          <w:szCs w:val="24"/>
        </w:rPr>
        <w:t>, R., Titis, E. and Lallie, H.S. (2025) ‘Towards a better understanding of mobile banking app adoption and use: integrating security, risk, and trust into UTAUT2’, Computers, 14(4), p. 144.</w:t>
      </w:r>
    </w:p>
    <w:p w14:paraId="5AB29DDD" w14:textId="608729C0" w:rsidR="00F343C0" w:rsidRPr="00F70CB0" w:rsidRDefault="00F343C0">
      <w:pPr>
        <w:pStyle w:val="ListParagraph"/>
        <w:numPr>
          <w:ilvl w:val="0"/>
          <w:numId w:val="1"/>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Apaua</w:t>
      </w:r>
      <w:proofErr w:type="spellEnd"/>
      <w:r w:rsidRPr="00F70CB0">
        <w:rPr>
          <w:rFonts w:ascii="Times New Roman" w:hAnsi="Times New Roman" w:cs="Times New Roman"/>
          <w:sz w:val="24"/>
          <w:szCs w:val="24"/>
        </w:rPr>
        <w:t xml:space="preserve">, R. and Lallie, H.S. (2022) ‘Measuring user perceived security of mobile banking applications’, </w:t>
      </w:r>
      <w:proofErr w:type="spellStart"/>
      <w:r w:rsidRPr="00F70CB0">
        <w:rPr>
          <w:rFonts w:ascii="Times New Roman" w:hAnsi="Times New Roman" w:cs="Times New Roman"/>
          <w:sz w:val="24"/>
          <w:szCs w:val="24"/>
        </w:rPr>
        <w:t>arXiv</w:t>
      </w:r>
      <w:proofErr w:type="spellEnd"/>
      <w:r w:rsidRPr="00F70CB0">
        <w:rPr>
          <w:rFonts w:ascii="Times New Roman" w:hAnsi="Times New Roman" w:cs="Times New Roman"/>
          <w:sz w:val="24"/>
          <w:szCs w:val="24"/>
        </w:rPr>
        <w:t xml:space="preserve"> preprint arXiv:2201.03052.</w:t>
      </w:r>
    </w:p>
    <w:p w14:paraId="06A3A451" w14:textId="32B18D51"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 xml:space="preserve">Arcand, M., </w:t>
      </w:r>
      <w:proofErr w:type="spellStart"/>
      <w:r w:rsidRPr="00F70CB0">
        <w:rPr>
          <w:rFonts w:ascii="Times New Roman" w:hAnsi="Times New Roman" w:cs="Times New Roman"/>
          <w:sz w:val="24"/>
          <w:szCs w:val="24"/>
        </w:rPr>
        <w:t>PromTep</w:t>
      </w:r>
      <w:proofErr w:type="spellEnd"/>
      <w:r w:rsidRPr="00F70CB0">
        <w:rPr>
          <w:rFonts w:ascii="Times New Roman" w:hAnsi="Times New Roman" w:cs="Times New Roman"/>
          <w:sz w:val="24"/>
          <w:szCs w:val="24"/>
        </w:rPr>
        <w:t xml:space="preserve">, S., Brun, I. and </w:t>
      </w:r>
      <w:proofErr w:type="spellStart"/>
      <w:r w:rsidRPr="00F70CB0">
        <w:rPr>
          <w:rFonts w:ascii="Times New Roman" w:hAnsi="Times New Roman" w:cs="Times New Roman"/>
          <w:sz w:val="24"/>
          <w:szCs w:val="24"/>
        </w:rPr>
        <w:t>Rajaobelina</w:t>
      </w:r>
      <w:proofErr w:type="spellEnd"/>
      <w:r w:rsidRPr="00F70CB0">
        <w:rPr>
          <w:rFonts w:ascii="Times New Roman" w:hAnsi="Times New Roman" w:cs="Times New Roman"/>
          <w:sz w:val="24"/>
          <w:szCs w:val="24"/>
        </w:rPr>
        <w:t>, L. (2017) ‘Mobile banking service quality and customer relationships’, International Journal of Bank Marketing, 35(7), pp. 1068–1089.</w:t>
      </w:r>
    </w:p>
    <w:p w14:paraId="03F683B3" w14:textId="24497F9E"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Arksey, H. and O’Malley, L. (2005) ‘Scoping studies: towards a methodological framework’, International Journal of Social Research Methodology, 8(1), pp. 19–32.</w:t>
      </w:r>
    </w:p>
    <w:p w14:paraId="2ECBEDBA" w14:textId="5EACBFDE"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lastRenderedPageBreak/>
        <w:t xml:space="preserve">Asnakew, Z.S. (2020) ‘Customers’ continuance intention to use mobile banking: development and testing of an integrated model’, The Review of </w:t>
      </w:r>
      <w:proofErr w:type="spellStart"/>
      <w:r w:rsidRPr="00F70CB0">
        <w:rPr>
          <w:rFonts w:ascii="Times New Roman" w:hAnsi="Times New Roman" w:cs="Times New Roman"/>
          <w:sz w:val="24"/>
          <w:szCs w:val="24"/>
        </w:rPr>
        <w:t>Socionetwork</w:t>
      </w:r>
      <w:proofErr w:type="spellEnd"/>
      <w:r w:rsidRPr="00F70CB0">
        <w:rPr>
          <w:rFonts w:ascii="Times New Roman" w:hAnsi="Times New Roman" w:cs="Times New Roman"/>
          <w:sz w:val="24"/>
          <w:szCs w:val="24"/>
        </w:rPr>
        <w:t xml:space="preserve"> Strategies, 14(1), pp. 123–146.</w:t>
      </w:r>
    </w:p>
    <w:p w14:paraId="207CF9F6" w14:textId="60AFCA8D"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 xml:space="preserve">Bacha, M., Wadood, F., Launer, M.A. and Zeeshan, M. (2025) ‘Role of customers’ </w:t>
      </w:r>
      <w:proofErr w:type="spellStart"/>
      <w:r w:rsidRPr="00F70CB0">
        <w:rPr>
          <w:rFonts w:ascii="Times New Roman" w:hAnsi="Times New Roman" w:cs="Times New Roman"/>
          <w:sz w:val="24"/>
          <w:szCs w:val="24"/>
        </w:rPr>
        <w:t>behavioral</w:t>
      </w:r>
      <w:proofErr w:type="spellEnd"/>
      <w:r w:rsidRPr="00F70CB0">
        <w:rPr>
          <w:rFonts w:ascii="Times New Roman" w:hAnsi="Times New Roman" w:cs="Times New Roman"/>
          <w:sz w:val="24"/>
          <w:szCs w:val="24"/>
        </w:rPr>
        <w:t xml:space="preserve"> dynamics in impacting their usage intentions toward mobile banking channels in </w:t>
      </w:r>
      <w:r w:rsidR="00BB5F7F" w:rsidRPr="00F70CB0">
        <w:rPr>
          <w:rFonts w:ascii="Times New Roman" w:hAnsi="Times New Roman" w:cs="Times New Roman"/>
          <w:sz w:val="24"/>
          <w:szCs w:val="24"/>
        </w:rPr>
        <w:t xml:space="preserve">the </w:t>
      </w:r>
      <w:r w:rsidRPr="00F70CB0">
        <w:rPr>
          <w:rFonts w:ascii="Times New Roman" w:hAnsi="Times New Roman" w:cs="Times New Roman"/>
          <w:sz w:val="24"/>
          <w:szCs w:val="24"/>
        </w:rPr>
        <w:t>UK’, Journal of Asian Development Studies, 14(1), pp. 1399–1408.</w:t>
      </w:r>
    </w:p>
    <w:p w14:paraId="6682AA1E" w14:textId="7F8C1818" w:rsidR="00F343C0" w:rsidRPr="00F70CB0" w:rsidRDefault="00F343C0">
      <w:pPr>
        <w:pStyle w:val="ListParagraph"/>
        <w:numPr>
          <w:ilvl w:val="0"/>
          <w:numId w:val="1"/>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Bajunaied</w:t>
      </w:r>
      <w:proofErr w:type="spellEnd"/>
      <w:r w:rsidRPr="00F70CB0">
        <w:rPr>
          <w:rFonts w:ascii="Times New Roman" w:hAnsi="Times New Roman" w:cs="Times New Roman"/>
          <w:sz w:val="24"/>
          <w:szCs w:val="24"/>
        </w:rPr>
        <w:t>, K., Hussin, N. and Kamarudin, S. (2023) ‘</w:t>
      </w:r>
      <w:proofErr w:type="spellStart"/>
      <w:r w:rsidRPr="00F70CB0">
        <w:rPr>
          <w:rFonts w:ascii="Times New Roman" w:hAnsi="Times New Roman" w:cs="Times New Roman"/>
          <w:sz w:val="24"/>
          <w:szCs w:val="24"/>
        </w:rPr>
        <w:t>Behavioral</w:t>
      </w:r>
      <w:proofErr w:type="spellEnd"/>
      <w:r w:rsidRPr="00F70CB0">
        <w:rPr>
          <w:rFonts w:ascii="Times New Roman" w:hAnsi="Times New Roman" w:cs="Times New Roman"/>
          <w:sz w:val="24"/>
          <w:szCs w:val="24"/>
        </w:rPr>
        <w:t xml:space="preserve"> intention to adopt FinTech services: an extension of unified theory of acceptance and use of technology’, Journal of Open Innovation: Technology, Market, and Complexity, 9(1), p. 100010.</w:t>
      </w:r>
    </w:p>
    <w:p w14:paraId="529BDCE9" w14:textId="2CA092FB" w:rsidR="00F343C0" w:rsidRPr="00F70CB0" w:rsidRDefault="00F343C0">
      <w:pPr>
        <w:pStyle w:val="ListParagraph"/>
        <w:numPr>
          <w:ilvl w:val="0"/>
          <w:numId w:val="1"/>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Bankuoru</w:t>
      </w:r>
      <w:proofErr w:type="spellEnd"/>
      <w:r w:rsidRPr="00F70CB0">
        <w:rPr>
          <w:rFonts w:ascii="Times New Roman" w:hAnsi="Times New Roman" w:cs="Times New Roman"/>
          <w:sz w:val="24"/>
          <w:szCs w:val="24"/>
        </w:rPr>
        <w:t xml:space="preserve"> Egala, S., Boateng, D. and Aboagye Mensah, S. (2021) ‘To leave or retain? An interplay between quality digital banking services and customer satisfaction</w:t>
      </w:r>
      <w:r w:rsidR="004C1944" w:rsidRPr="00F70CB0">
        <w:rPr>
          <w:rFonts w:ascii="Times New Roman" w:hAnsi="Times New Roman" w:cs="Times New Roman"/>
          <w:sz w:val="24"/>
          <w:szCs w:val="24"/>
        </w:rPr>
        <w:t>,</w:t>
      </w:r>
      <w:r w:rsidRPr="00F70CB0">
        <w:rPr>
          <w:rFonts w:ascii="Times New Roman" w:hAnsi="Times New Roman" w:cs="Times New Roman"/>
          <w:sz w:val="24"/>
          <w:szCs w:val="24"/>
        </w:rPr>
        <w:t xml:space="preserve"> International Journal of Bank Marketing, 39(7), pp. 1420–1445.</w:t>
      </w:r>
    </w:p>
    <w:p w14:paraId="260C8352" w14:textId="398E4D9A" w:rsidR="00F343C0" w:rsidRPr="00F70CB0" w:rsidRDefault="00F343C0">
      <w:pPr>
        <w:pStyle w:val="ListParagraph"/>
        <w:numPr>
          <w:ilvl w:val="0"/>
          <w:numId w:val="1"/>
        </w:numPr>
        <w:jc w:val="both"/>
        <w:rPr>
          <w:rFonts w:ascii="Times New Roman" w:hAnsi="Times New Roman" w:cs="Times New Roman"/>
          <w:sz w:val="24"/>
          <w:szCs w:val="24"/>
        </w:rPr>
      </w:pPr>
      <w:r w:rsidRPr="00F70CB0">
        <w:rPr>
          <w:rFonts w:ascii="Times New Roman" w:hAnsi="Times New Roman" w:cs="Times New Roman"/>
          <w:sz w:val="24"/>
          <w:szCs w:val="24"/>
        </w:rPr>
        <w:t>Barbu, C.M., Florea, D.L., Dabija, D.C. and Barbu, M.C.R. (2021) ‘Customer experience in fintech’, Journal of Theoretical and Applied Electronic Commerce Research, 16(5), pp. 1415–1433.</w:t>
      </w:r>
    </w:p>
    <w:p w14:paraId="074A8C71" w14:textId="646CB5FB" w:rsidR="00F343C0" w:rsidRPr="00F70CB0" w:rsidRDefault="00F343C0">
      <w:pPr>
        <w:pStyle w:val="ListParagraph"/>
        <w:numPr>
          <w:ilvl w:val="0"/>
          <w:numId w:val="1"/>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Barjaktarovic</w:t>
      </w:r>
      <w:proofErr w:type="spellEnd"/>
      <w:r w:rsidRPr="00F70CB0">
        <w:rPr>
          <w:rFonts w:ascii="Times New Roman" w:hAnsi="Times New Roman" w:cs="Times New Roman"/>
          <w:sz w:val="24"/>
          <w:szCs w:val="24"/>
        </w:rPr>
        <w:t xml:space="preserve"> Rakocevic, S., Rakic, N. and Rakocevic, R. (2025) ‘An interplay between digital banking services, perceived risks, customers’ expectations, and customers’ satisfaction’, Risks, 13(3), p. 39.</w:t>
      </w:r>
    </w:p>
    <w:p w14:paraId="110B9BC5" w14:textId="2977650F"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Bhattacherjee, A. (2001) ‘Understanding information systems continuance: an expectation-confirmation model’, MIS Quarterly, 25(3), pp. 351–370.</w:t>
      </w:r>
    </w:p>
    <w:p w14:paraId="59523E0B" w14:textId="09D41D5E"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Bhattacharya, C. and Sinha, M. (2022) ‘The role of artificial intelligence in banking for leveraging customer experience’, Australasian Accounting, Business and Finance Journal, 16(5).</w:t>
      </w:r>
    </w:p>
    <w:p w14:paraId="31F9F089" w14:textId="74C377B4"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Booth, A., Sutton, A. and Papaioannou, D. (2016) Systematic Approaches to a Successful Literature Review. 2nd </w:t>
      </w:r>
      <w:proofErr w:type="spellStart"/>
      <w:r w:rsidRPr="00F70CB0">
        <w:rPr>
          <w:rFonts w:ascii="Times New Roman" w:hAnsi="Times New Roman" w:cs="Times New Roman"/>
          <w:sz w:val="24"/>
          <w:szCs w:val="24"/>
        </w:rPr>
        <w:t>edn</w:t>
      </w:r>
      <w:proofErr w:type="spellEnd"/>
      <w:r w:rsidRPr="00F70CB0">
        <w:rPr>
          <w:rFonts w:ascii="Times New Roman" w:hAnsi="Times New Roman" w:cs="Times New Roman"/>
          <w:sz w:val="24"/>
          <w:szCs w:val="24"/>
        </w:rPr>
        <w:t>. London: Sage.</w:t>
      </w:r>
    </w:p>
    <w:p w14:paraId="3CBEEEDD" w14:textId="203D8FD4"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Bhuvaneswari, C.M. and </w:t>
      </w:r>
      <w:proofErr w:type="spellStart"/>
      <w:r w:rsidRPr="00F70CB0">
        <w:rPr>
          <w:rFonts w:ascii="Times New Roman" w:hAnsi="Times New Roman" w:cs="Times New Roman"/>
          <w:sz w:val="24"/>
          <w:szCs w:val="24"/>
        </w:rPr>
        <w:t>Maruthamuthu</w:t>
      </w:r>
      <w:proofErr w:type="spellEnd"/>
      <w:r w:rsidRPr="00F70CB0">
        <w:rPr>
          <w:rFonts w:ascii="Times New Roman" w:hAnsi="Times New Roman" w:cs="Times New Roman"/>
          <w:sz w:val="24"/>
          <w:szCs w:val="24"/>
        </w:rPr>
        <w:t>, K. (2024) ‘Analysing the art of service quality and customer satisfaction of digital banking services: a SEM approach’, International Review of Management and Marketing, 14(4), p. 202.</w:t>
      </w:r>
    </w:p>
    <w:p w14:paraId="06815B52" w14:textId="07C4B417"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Casolaro, A.M.B., Rauber, G.N. and de Lima, U.S.M. (2025) ‘Open banking: a systematic literature review’, Journal of Banking Regulation, 26(3), pp. 340–355.</w:t>
      </w:r>
    </w:p>
    <w:p w14:paraId="2772F5A8" w14:textId="77B221B9"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Chauhan, S., Akhtar, A. and Gupta, A. (2022) ‘Customer experience in digital banking: a review and future research directions’, International Journal of Quality and Service Sciences, 14(2), pp. 311–348.</w:t>
      </w:r>
    </w:p>
    <w:p w14:paraId="3C23346E" w14:textId="57872C0F" w:rsidR="00F343C0" w:rsidRPr="00F70CB0" w:rsidRDefault="00F343C0">
      <w:pPr>
        <w:pStyle w:val="ListParagraph"/>
        <w:numPr>
          <w:ilvl w:val="0"/>
          <w:numId w:val="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Choudrie</w:t>
      </w:r>
      <w:proofErr w:type="spellEnd"/>
      <w:r w:rsidRPr="00F70CB0">
        <w:rPr>
          <w:rFonts w:ascii="Times New Roman" w:hAnsi="Times New Roman" w:cs="Times New Roman"/>
          <w:sz w:val="24"/>
          <w:szCs w:val="24"/>
        </w:rPr>
        <w:t>, J., Junior, C.O., McKenna, B. and Richter, S. (2018) ‘Understanding and conceptualising the adoption, use and diffusion of mobile banking in older adults: a research agenda and conceptual framework’, Journal of Business Research, 88, pp. 449–465.</w:t>
      </w:r>
    </w:p>
    <w:p w14:paraId="515F432F" w14:textId="2B50D850"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Christy, C.A. and Lisana, L. (2025) ‘Customer continuance usage of digital banking: a systematic review of influencing factors’, Journal of Information Systems and Informatics, 7(2), pp. 1714–1742.</w:t>
      </w:r>
    </w:p>
    <w:p w14:paraId="1C10FFD6" w14:textId="41A5EA56"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Daoud, M., Odeh, M.H., Al-Manaseer, S. and </w:t>
      </w:r>
      <w:proofErr w:type="spellStart"/>
      <w:r w:rsidRPr="00F70CB0">
        <w:rPr>
          <w:rFonts w:ascii="Times New Roman" w:hAnsi="Times New Roman" w:cs="Times New Roman"/>
          <w:sz w:val="24"/>
          <w:szCs w:val="24"/>
        </w:rPr>
        <w:t>Twaissi</w:t>
      </w:r>
      <w:proofErr w:type="spellEnd"/>
      <w:r w:rsidRPr="00F70CB0">
        <w:rPr>
          <w:rFonts w:ascii="Times New Roman" w:hAnsi="Times New Roman" w:cs="Times New Roman"/>
          <w:sz w:val="24"/>
          <w:szCs w:val="24"/>
        </w:rPr>
        <w:t xml:space="preserve">, N. (2026) ‘Analysing FinTech innovations and digital banking marketing strategies influence customer satisfaction? The mediating role of perceived usability in digital banking </w:t>
      </w:r>
      <w:r w:rsidR="00BB5F7F" w:rsidRPr="00F70CB0">
        <w:rPr>
          <w:rFonts w:ascii="Times New Roman" w:hAnsi="Times New Roman" w:cs="Times New Roman"/>
          <w:sz w:val="24"/>
          <w:szCs w:val="24"/>
        </w:rPr>
        <w:t>platforms</w:t>
      </w:r>
      <w:r w:rsidRPr="00F70CB0">
        <w:rPr>
          <w:rFonts w:ascii="Times New Roman" w:hAnsi="Times New Roman" w:cs="Times New Roman"/>
          <w:sz w:val="24"/>
          <w:szCs w:val="24"/>
        </w:rPr>
        <w:t>, FIIB Business Review, p. 23197145261416212.</w:t>
      </w:r>
    </w:p>
    <w:p w14:paraId="77237326" w14:textId="2E1D9AC3"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Davis, F.D. (1989) ‘Perceived usefulness, perceived ease of use, and user acceptance of information technology’, MIS Quarterly, 13(3), pp. 319–340.</w:t>
      </w:r>
    </w:p>
    <w:p w14:paraId="3ACC55CD" w14:textId="610C40C4"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lastRenderedPageBreak/>
        <w:t xml:space="preserve">Dimitrova, I., Öhman, P. and </w:t>
      </w:r>
      <w:proofErr w:type="spellStart"/>
      <w:r w:rsidRPr="00F70CB0">
        <w:rPr>
          <w:rFonts w:ascii="Times New Roman" w:hAnsi="Times New Roman" w:cs="Times New Roman"/>
          <w:sz w:val="24"/>
          <w:szCs w:val="24"/>
        </w:rPr>
        <w:t>Yazdanfar</w:t>
      </w:r>
      <w:proofErr w:type="spellEnd"/>
      <w:r w:rsidRPr="00F70CB0">
        <w:rPr>
          <w:rFonts w:ascii="Times New Roman" w:hAnsi="Times New Roman" w:cs="Times New Roman"/>
          <w:sz w:val="24"/>
          <w:szCs w:val="24"/>
        </w:rPr>
        <w:t>, D. (2022) ‘Barriers to bank customers’ intention to fully adopt digital payment methods’, International Journal of Quality and Service Sciences, 14(5), pp. 16–36.</w:t>
      </w:r>
    </w:p>
    <w:p w14:paraId="6260EEE1" w14:textId="6C0042B6"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Foroughi, B., </w:t>
      </w:r>
      <w:proofErr w:type="spellStart"/>
      <w:r w:rsidRPr="00F70CB0">
        <w:rPr>
          <w:rFonts w:ascii="Times New Roman" w:hAnsi="Times New Roman" w:cs="Times New Roman"/>
          <w:sz w:val="24"/>
          <w:szCs w:val="24"/>
        </w:rPr>
        <w:t>Iranmanesh</w:t>
      </w:r>
      <w:proofErr w:type="spellEnd"/>
      <w:r w:rsidRPr="00F70CB0">
        <w:rPr>
          <w:rFonts w:ascii="Times New Roman" w:hAnsi="Times New Roman" w:cs="Times New Roman"/>
          <w:sz w:val="24"/>
          <w:szCs w:val="24"/>
        </w:rPr>
        <w:t>, M. and Hyun, S.S. (2019) ‘Understanding the determinants of mobile banking continuance usage intention’, Journal of Enterprise Information Management, 32(6), pp. 1015–1033.</w:t>
      </w:r>
    </w:p>
    <w:p w14:paraId="461696E9" w14:textId="18E5C30C"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Frans, S., Dominica, M.R.T.D., Lucky, I.K., </w:t>
      </w:r>
      <w:proofErr w:type="spellStart"/>
      <w:r w:rsidRPr="00F70CB0">
        <w:rPr>
          <w:rFonts w:ascii="Times New Roman" w:hAnsi="Times New Roman" w:cs="Times New Roman"/>
          <w:sz w:val="24"/>
          <w:szCs w:val="24"/>
        </w:rPr>
        <w:t>Lilik</w:t>
      </w:r>
      <w:proofErr w:type="spellEnd"/>
      <w:r w:rsidRPr="00F70CB0">
        <w:rPr>
          <w:rFonts w:ascii="Times New Roman" w:hAnsi="Times New Roman" w:cs="Times New Roman"/>
          <w:sz w:val="24"/>
          <w:szCs w:val="24"/>
        </w:rPr>
        <w:t xml:space="preserve">, S. and Eva, Y.U. (2024) ‘Application of the </w:t>
      </w:r>
      <w:r w:rsidR="00BB5F7F" w:rsidRPr="00F70CB0">
        <w:rPr>
          <w:rFonts w:ascii="Times New Roman" w:hAnsi="Times New Roman" w:cs="Times New Roman"/>
          <w:sz w:val="24"/>
          <w:szCs w:val="24"/>
        </w:rPr>
        <w:t>user-centred</w:t>
      </w:r>
      <w:r w:rsidRPr="00F70CB0">
        <w:rPr>
          <w:rFonts w:ascii="Times New Roman" w:hAnsi="Times New Roman" w:cs="Times New Roman"/>
          <w:sz w:val="24"/>
          <w:szCs w:val="24"/>
        </w:rPr>
        <w:t xml:space="preserve"> design method to evaluate the relationship between user experience, user interface and customer satisfaction on banking mobile application’, </w:t>
      </w:r>
      <w:proofErr w:type="spellStart"/>
      <w:r w:rsidRPr="00F70CB0">
        <w:rPr>
          <w:rFonts w:ascii="Times New Roman" w:hAnsi="Times New Roman" w:cs="Times New Roman"/>
          <w:sz w:val="24"/>
          <w:szCs w:val="24"/>
        </w:rPr>
        <w:t>Jurnal</w:t>
      </w:r>
      <w:proofErr w:type="spellEnd"/>
      <w:r w:rsidRPr="00F70CB0">
        <w:rPr>
          <w:rFonts w:ascii="Times New Roman" w:hAnsi="Times New Roman" w:cs="Times New Roman"/>
          <w:sz w:val="24"/>
          <w:szCs w:val="24"/>
        </w:rPr>
        <w:t xml:space="preserve"> </w:t>
      </w:r>
      <w:proofErr w:type="spellStart"/>
      <w:r w:rsidRPr="00F70CB0">
        <w:rPr>
          <w:rFonts w:ascii="Times New Roman" w:hAnsi="Times New Roman" w:cs="Times New Roman"/>
          <w:sz w:val="24"/>
          <w:szCs w:val="24"/>
        </w:rPr>
        <w:t>Informasi</w:t>
      </w:r>
      <w:proofErr w:type="spellEnd"/>
      <w:r w:rsidRPr="00F70CB0">
        <w:rPr>
          <w:rFonts w:ascii="Times New Roman" w:hAnsi="Times New Roman" w:cs="Times New Roman"/>
          <w:sz w:val="24"/>
          <w:szCs w:val="24"/>
        </w:rPr>
        <w:t xml:space="preserve"> Dan </w:t>
      </w:r>
      <w:proofErr w:type="spellStart"/>
      <w:r w:rsidRPr="00F70CB0">
        <w:rPr>
          <w:rFonts w:ascii="Times New Roman" w:hAnsi="Times New Roman" w:cs="Times New Roman"/>
          <w:sz w:val="24"/>
          <w:szCs w:val="24"/>
        </w:rPr>
        <w:t>Teknologi</w:t>
      </w:r>
      <w:proofErr w:type="spellEnd"/>
      <w:r w:rsidRPr="00F70CB0">
        <w:rPr>
          <w:rFonts w:ascii="Times New Roman" w:hAnsi="Times New Roman" w:cs="Times New Roman"/>
          <w:sz w:val="24"/>
          <w:szCs w:val="24"/>
        </w:rPr>
        <w:t>, 6(1).</w:t>
      </w:r>
    </w:p>
    <w:p w14:paraId="2FB5501C" w14:textId="35BD1DFB" w:rsidR="00F343C0" w:rsidRPr="00F70CB0" w:rsidRDefault="00F343C0">
      <w:pPr>
        <w:pStyle w:val="ListParagraph"/>
        <w:numPr>
          <w:ilvl w:val="0"/>
          <w:numId w:val="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Garepasha</w:t>
      </w:r>
      <w:proofErr w:type="spellEnd"/>
      <w:r w:rsidRPr="00F70CB0">
        <w:rPr>
          <w:rFonts w:ascii="Times New Roman" w:hAnsi="Times New Roman" w:cs="Times New Roman"/>
          <w:sz w:val="24"/>
          <w:szCs w:val="24"/>
        </w:rPr>
        <w:t xml:space="preserve">, A., Aali, S., </w:t>
      </w:r>
      <w:proofErr w:type="spellStart"/>
      <w:r w:rsidRPr="00F70CB0">
        <w:rPr>
          <w:rFonts w:ascii="Times New Roman" w:hAnsi="Times New Roman" w:cs="Times New Roman"/>
          <w:sz w:val="24"/>
          <w:szCs w:val="24"/>
        </w:rPr>
        <w:t>Bafandeh</w:t>
      </w:r>
      <w:proofErr w:type="spellEnd"/>
      <w:r w:rsidRPr="00F70CB0">
        <w:rPr>
          <w:rFonts w:ascii="Times New Roman" w:hAnsi="Times New Roman" w:cs="Times New Roman"/>
          <w:sz w:val="24"/>
          <w:szCs w:val="24"/>
        </w:rPr>
        <w:t xml:space="preserve"> Zendeh, A.R. and </w:t>
      </w:r>
      <w:proofErr w:type="spellStart"/>
      <w:r w:rsidRPr="00F70CB0">
        <w:rPr>
          <w:rFonts w:ascii="Times New Roman" w:hAnsi="Times New Roman" w:cs="Times New Roman"/>
          <w:sz w:val="24"/>
          <w:szCs w:val="24"/>
        </w:rPr>
        <w:t>Iranzadeh</w:t>
      </w:r>
      <w:proofErr w:type="spellEnd"/>
      <w:r w:rsidRPr="00F70CB0">
        <w:rPr>
          <w:rFonts w:ascii="Times New Roman" w:hAnsi="Times New Roman" w:cs="Times New Roman"/>
          <w:sz w:val="24"/>
          <w:szCs w:val="24"/>
        </w:rPr>
        <w:t>, S. (2021) ‘Relationship dynamics in customer loyalty to online banking services’, Journal of Islamic Marketing, 12(4), pp. 830–863.</w:t>
      </w:r>
    </w:p>
    <w:p w14:paraId="7824FFC3" w14:textId="61708C24"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Gibson, A., Ofori, F.N.K. and Appiah, K. (2022) ‘Exploring young consumers’ satisfaction with online and offline banking services: the motivation of switching between banks in the UK’, Archives of Business Research, 10(6).</w:t>
      </w:r>
    </w:p>
    <w:p w14:paraId="20FFC837" w14:textId="0A4A5A22"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Hampshire, C. (2017) ‘A mixed methods empirical exploration of UK consumer perceptions of trust, risk and usefulness of mobile payments’, International Journal of Bank Marketing, 35(3), pp. 354–369.</w:t>
      </w:r>
    </w:p>
    <w:p w14:paraId="07A53087" w14:textId="01CC00E1"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Han, J. and Ko, D. (2025) ‘Mobile financial service adoption among elderly consumers: the roles of technology anxiety, familiarity, and age’, FinTech, 4(3), p. 36.</w:t>
      </w:r>
    </w:p>
    <w:p w14:paraId="2198E2F1" w14:textId="3B0D2187"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Hanif, Y. and Lallie, H.S. (2021) ‘Security factors on the intention to use mobile banking applications in the UK older generation (55+): a mixed-method study using modified UTAUT and MTAM-with perceived cyber security, risk, and trust’, Technology in Society, 67, p. 101693.</w:t>
      </w:r>
    </w:p>
    <w:p w14:paraId="1DBDE326" w14:textId="3A827D49"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Harb, A., </w:t>
      </w:r>
      <w:proofErr w:type="spellStart"/>
      <w:r w:rsidRPr="00F70CB0">
        <w:rPr>
          <w:rFonts w:ascii="Times New Roman" w:hAnsi="Times New Roman" w:cs="Times New Roman"/>
          <w:sz w:val="24"/>
          <w:szCs w:val="24"/>
        </w:rPr>
        <w:t>Thoumy</w:t>
      </w:r>
      <w:proofErr w:type="spellEnd"/>
      <w:r w:rsidRPr="00F70CB0">
        <w:rPr>
          <w:rFonts w:ascii="Times New Roman" w:hAnsi="Times New Roman" w:cs="Times New Roman"/>
          <w:sz w:val="24"/>
          <w:szCs w:val="24"/>
        </w:rPr>
        <w:t>, M. and Yazbeck, M. (2022) ‘Customer satisfaction with digital banking channels in times of uncertainty’, Banks and Bank Systems, 17(3), pp. 27–37.</w:t>
      </w:r>
    </w:p>
    <w:p w14:paraId="17CB0149" w14:textId="0EBE6DAF"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Hussain, A., Abubakar, H.I. and Hashim, N.B. (2014) ‘Evaluating mobile banking application: usability dimensions and measurements’, in Proceedings of the 6th International Conference on Information Technology and Multimedia. IEEE, pp. 136–140.</w:t>
      </w:r>
    </w:p>
    <w:p w14:paraId="40F285B2" w14:textId="113A904C" w:rsidR="00F343C0" w:rsidRPr="00F70CB0" w:rsidRDefault="00F343C0">
      <w:pPr>
        <w:pStyle w:val="ListParagraph"/>
        <w:numPr>
          <w:ilvl w:val="0"/>
          <w:numId w:val="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Hutomo</w:t>
      </w:r>
      <w:proofErr w:type="spellEnd"/>
      <w:r w:rsidRPr="00F70CB0">
        <w:rPr>
          <w:rFonts w:ascii="Times New Roman" w:hAnsi="Times New Roman" w:cs="Times New Roman"/>
          <w:sz w:val="24"/>
          <w:szCs w:val="24"/>
        </w:rPr>
        <w:t>, F.W. (2023) ‘Technology Acceptance Model (TAM) methodology system analysis on mobile banking users’, Journal of Earth Kingdom, 1(1).</w:t>
      </w:r>
    </w:p>
    <w:p w14:paraId="19B97B88" w14:textId="745237FB"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Jafri, J.A., Amin, S.I.M., Rahman, A.A. and Nor, S.M. (2024) ‘A systematic literature review of the role of trust and security on FinTech adoption in banking’, </w:t>
      </w:r>
      <w:proofErr w:type="spellStart"/>
      <w:r w:rsidRPr="00F70CB0">
        <w:rPr>
          <w:rFonts w:ascii="Times New Roman" w:hAnsi="Times New Roman" w:cs="Times New Roman"/>
          <w:sz w:val="24"/>
          <w:szCs w:val="24"/>
        </w:rPr>
        <w:t>Heliyon</w:t>
      </w:r>
      <w:proofErr w:type="spellEnd"/>
      <w:r w:rsidRPr="00F70CB0">
        <w:rPr>
          <w:rFonts w:ascii="Times New Roman" w:hAnsi="Times New Roman" w:cs="Times New Roman"/>
          <w:sz w:val="24"/>
          <w:szCs w:val="24"/>
        </w:rPr>
        <w:t>, 10(1).</w:t>
      </w:r>
    </w:p>
    <w:p w14:paraId="49F1405D" w14:textId="3257FB58"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Jahan, N. and Shahria, G. (2022) ‘Factors effecting customer satisfaction of mobile banking in Bangladesh: a study on young users’ perspective’, South Asian Journal of Marketing, 3(1), pp. 60–76.</w:t>
      </w:r>
    </w:p>
    <w:p w14:paraId="58DF8B1B" w14:textId="11EBBFAF"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Jena, R.K. (2022) ‘Examining the factors affecting the adoption of blockchain technology in the banking sector: an extended UTAUT model’, International Journal of Financial Studies, 10(4), p. 90.</w:t>
      </w:r>
    </w:p>
    <w:p w14:paraId="79EB34A5" w14:textId="069B612D"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Joseph, M., Sekhon, Y., Stone, G. and Tinson, J. (2005) ‘An exploratory study on the use of banking technology in the UK: a ranking of importance of selected technology on consumer perception of service delivery performance’, International Journal of Bank Marketing, 23(5), pp. 397–413.</w:t>
      </w:r>
    </w:p>
    <w:p w14:paraId="3A1CDE17" w14:textId="5BA93D23"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lastRenderedPageBreak/>
        <w:t>Jun, M. and Palacios, S. (2016) ‘Examining the key dimensions of mobile banking service quality: an exploratory study’, International Journal of Bank Marketing, 34(3), pp. 307–326.</w:t>
      </w:r>
    </w:p>
    <w:p w14:paraId="6B0C7A09" w14:textId="312E636E"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Kamboj, S., Sharma, M. and Sarmah, B. (2022) ‘Impact of mobile banking failure on bank customers’ usage behaviour: the mediating role of user satisfaction’, International Journal of Bank Marketing, 40(1), pp. 128–153.</w:t>
      </w:r>
    </w:p>
    <w:p w14:paraId="57E50FA0" w14:textId="4834EB29" w:rsidR="00F343C0" w:rsidRPr="00F70CB0" w:rsidRDefault="00F343C0">
      <w:pPr>
        <w:pStyle w:val="ListParagraph"/>
        <w:numPr>
          <w:ilvl w:val="0"/>
          <w:numId w:val="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Kantika</w:t>
      </w:r>
      <w:proofErr w:type="spellEnd"/>
      <w:r w:rsidRPr="00F70CB0">
        <w:rPr>
          <w:rFonts w:ascii="Times New Roman" w:hAnsi="Times New Roman" w:cs="Times New Roman"/>
          <w:sz w:val="24"/>
          <w:szCs w:val="24"/>
        </w:rPr>
        <w:t xml:space="preserve">, K., </w:t>
      </w:r>
      <w:proofErr w:type="spellStart"/>
      <w:r w:rsidRPr="00F70CB0">
        <w:rPr>
          <w:rFonts w:ascii="Times New Roman" w:hAnsi="Times New Roman" w:cs="Times New Roman"/>
          <w:sz w:val="24"/>
          <w:szCs w:val="24"/>
        </w:rPr>
        <w:t>Kurniasari</w:t>
      </w:r>
      <w:proofErr w:type="spellEnd"/>
      <w:r w:rsidRPr="00F70CB0">
        <w:rPr>
          <w:rFonts w:ascii="Times New Roman" w:hAnsi="Times New Roman" w:cs="Times New Roman"/>
          <w:sz w:val="24"/>
          <w:szCs w:val="24"/>
        </w:rPr>
        <w:t>, F. and Mulyono, M. (2022) ‘The factors affecting digital bank services adoption using trust as mediating variable’, Journal of Business and Management Review, 3(10), pp. 690–704.</w:t>
      </w:r>
    </w:p>
    <w:p w14:paraId="417984C1" w14:textId="40FE4C0F"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Khudzaeva, E., Putra, S.J., </w:t>
      </w:r>
      <w:proofErr w:type="spellStart"/>
      <w:r w:rsidRPr="00F70CB0">
        <w:rPr>
          <w:rFonts w:ascii="Times New Roman" w:hAnsi="Times New Roman" w:cs="Times New Roman"/>
          <w:sz w:val="24"/>
          <w:szCs w:val="24"/>
        </w:rPr>
        <w:t>Durachman</w:t>
      </w:r>
      <w:proofErr w:type="spellEnd"/>
      <w:r w:rsidRPr="00F70CB0">
        <w:rPr>
          <w:rFonts w:ascii="Times New Roman" w:hAnsi="Times New Roman" w:cs="Times New Roman"/>
          <w:sz w:val="24"/>
          <w:szCs w:val="24"/>
        </w:rPr>
        <w:t xml:space="preserve">, Y. and </w:t>
      </w:r>
      <w:proofErr w:type="spellStart"/>
      <w:r w:rsidRPr="00F70CB0">
        <w:rPr>
          <w:rFonts w:ascii="Times New Roman" w:hAnsi="Times New Roman" w:cs="Times New Roman"/>
          <w:sz w:val="24"/>
          <w:szCs w:val="24"/>
        </w:rPr>
        <w:t>Rokhim</w:t>
      </w:r>
      <w:proofErr w:type="spellEnd"/>
      <w:r w:rsidRPr="00F70CB0">
        <w:rPr>
          <w:rFonts w:ascii="Times New Roman" w:hAnsi="Times New Roman" w:cs="Times New Roman"/>
          <w:sz w:val="24"/>
          <w:szCs w:val="24"/>
        </w:rPr>
        <w:t>, M.N. (2023) ‘Analysis of continuance use intention in BNI Mobile Banking using the Expectation Confirmation Model (ECM)’, in 2023 11th International Conference on Cyber and IT Service Management (CITSM). IEEE, pp. 1–8.</w:t>
      </w:r>
    </w:p>
    <w:p w14:paraId="44C3D67B" w14:textId="7095E1A4"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Khan, S., Soni, R. and Somaiya, K.J. (2022) ‘A study on adoption of digital banking services using structured equation model’, </w:t>
      </w:r>
      <w:proofErr w:type="spellStart"/>
      <w:r w:rsidRPr="00F70CB0">
        <w:rPr>
          <w:rFonts w:ascii="Times New Roman" w:hAnsi="Times New Roman" w:cs="Times New Roman"/>
          <w:sz w:val="24"/>
          <w:szCs w:val="24"/>
        </w:rPr>
        <w:t>Positif</w:t>
      </w:r>
      <w:proofErr w:type="spellEnd"/>
      <w:r w:rsidRPr="00F70CB0">
        <w:rPr>
          <w:rFonts w:ascii="Times New Roman" w:hAnsi="Times New Roman" w:cs="Times New Roman"/>
          <w:sz w:val="24"/>
          <w:szCs w:val="24"/>
        </w:rPr>
        <w:t xml:space="preserve"> Journal, 22(11), pp. 126–148.</w:t>
      </w:r>
    </w:p>
    <w:p w14:paraId="563CDC5E" w14:textId="1F789918"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Kowsar, M.M., Islam, S., Mohiuddin, M. and Siddiqui, N.A. (2025) ‘Digitization in retail banking: a review of customer engagement and financial product adoption in South Asia’, ASRC Procedia: Global Perspectives in Science and Scholarship, 1(01), pp. 42–46.</w:t>
      </w:r>
    </w:p>
    <w:p w14:paraId="3F649FA5" w14:textId="624F839A"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Kumar, J. and Rani, V. (2024) ‘Investigating the dynamics of FinTech adoption: an empirical study from the perspective of mobile banking’, Journal of Economic and Administrative Sciences.</w:t>
      </w:r>
    </w:p>
    <w:p w14:paraId="3DE9F29A" w14:textId="5EFE715A"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Kumar, P.V. (n.d.) Satisfaction Controlled Switching Intention: A Post-adoption Study on Consumer Behaviour of Mobile Banking Services in India.</w:t>
      </w:r>
    </w:p>
    <w:p w14:paraId="2E68CF93" w14:textId="60FAF879"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Kumar, R., Singh, R., Kumar, K., Khan, S. and Corvello, V. (2023) ‘How does perceived risk and trust affect mobile banking adoption? Empirical evidence from India, Sustainability, 15(5), p. 4053.</w:t>
      </w:r>
    </w:p>
    <w:p w14:paraId="61BC1471" w14:textId="08889DEF"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Liu, L. and </w:t>
      </w:r>
      <w:proofErr w:type="spellStart"/>
      <w:r w:rsidRPr="00F70CB0">
        <w:rPr>
          <w:rFonts w:ascii="Times New Roman" w:hAnsi="Times New Roman" w:cs="Times New Roman"/>
          <w:sz w:val="24"/>
          <w:szCs w:val="24"/>
        </w:rPr>
        <w:t>Louvieris</w:t>
      </w:r>
      <w:proofErr w:type="spellEnd"/>
      <w:r w:rsidRPr="00F70CB0">
        <w:rPr>
          <w:rFonts w:ascii="Times New Roman" w:hAnsi="Times New Roman" w:cs="Times New Roman"/>
          <w:sz w:val="24"/>
          <w:szCs w:val="24"/>
        </w:rPr>
        <w:t>, P. (2006) ‘Managing customer retention in the UK online banking sector’, International Journal of Information Technology and Management, 5(4), pp. 295–307.</w:t>
      </w:r>
    </w:p>
    <w:p w14:paraId="66597EE4" w14:textId="676E2B86" w:rsidR="00F343C0" w:rsidRPr="00F70CB0" w:rsidRDefault="00F343C0">
      <w:pPr>
        <w:pStyle w:val="ListParagraph"/>
        <w:numPr>
          <w:ilvl w:val="0"/>
          <w:numId w:val="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Lolemo</w:t>
      </w:r>
      <w:proofErr w:type="spellEnd"/>
      <w:r w:rsidRPr="00F70CB0">
        <w:rPr>
          <w:rFonts w:ascii="Times New Roman" w:hAnsi="Times New Roman" w:cs="Times New Roman"/>
          <w:sz w:val="24"/>
          <w:szCs w:val="24"/>
        </w:rPr>
        <w:t>, S. and Pandya, H. (2024) ‘The impact of digital banking on customer satisfaction and loyalty in commercial banks: a systematic literature review’, International Journal of Management, Economics and Commerce, 1(1), pp. 69–75.</w:t>
      </w:r>
    </w:p>
    <w:p w14:paraId="6A3EA433" w14:textId="3232F1AC"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Lotko, A. (2022) ‘The influence of the quality of internet banking services on customer loyalty’, European Research Studies, 25(2B), pp. 259–276</w:t>
      </w:r>
    </w:p>
    <w:p w14:paraId="05241390" w14:textId="591247DC"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Machi, L.A. and McEvoy, B.T. (2016)</w:t>
      </w:r>
      <w:r w:rsidR="00BB5F7F" w:rsidRPr="00F70CB0">
        <w:rPr>
          <w:rFonts w:ascii="Times New Roman" w:hAnsi="Times New Roman" w:cs="Times New Roman"/>
          <w:sz w:val="24"/>
          <w:szCs w:val="24"/>
        </w:rPr>
        <w:t>.</w:t>
      </w:r>
      <w:r w:rsidRPr="00F70CB0">
        <w:rPr>
          <w:rFonts w:ascii="Times New Roman" w:hAnsi="Times New Roman" w:cs="Times New Roman"/>
          <w:sz w:val="24"/>
          <w:szCs w:val="24"/>
        </w:rPr>
        <w:t xml:space="preserve"> The Literature Review: Six Steps to Success. 3rd </w:t>
      </w:r>
      <w:proofErr w:type="spellStart"/>
      <w:r w:rsidRPr="00F70CB0">
        <w:rPr>
          <w:rFonts w:ascii="Times New Roman" w:hAnsi="Times New Roman" w:cs="Times New Roman"/>
          <w:sz w:val="24"/>
          <w:szCs w:val="24"/>
        </w:rPr>
        <w:t>edn</w:t>
      </w:r>
      <w:proofErr w:type="spellEnd"/>
      <w:r w:rsidRPr="00F70CB0">
        <w:rPr>
          <w:rFonts w:ascii="Times New Roman" w:hAnsi="Times New Roman" w:cs="Times New Roman"/>
          <w:sz w:val="24"/>
          <w:szCs w:val="24"/>
        </w:rPr>
        <w:t>. Thousand Oaks: Sage.</w:t>
      </w:r>
    </w:p>
    <w:p w14:paraId="64A86541" w14:textId="486BFD00"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Martínez-</w:t>
      </w:r>
      <w:proofErr w:type="spellStart"/>
      <w:r w:rsidRPr="00F70CB0">
        <w:rPr>
          <w:rFonts w:ascii="Times New Roman" w:hAnsi="Times New Roman" w:cs="Times New Roman"/>
          <w:sz w:val="24"/>
          <w:szCs w:val="24"/>
        </w:rPr>
        <w:t>Navalón</w:t>
      </w:r>
      <w:proofErr w:type="spellEnd"/>
      <w:r w:rsidRPr="00F70CB0">
        <w:rPr>
          <w:rFonts w:ascii="Times New Roman" w:hAnsi="Times New Roman" w:cs="Times New Roman"/>
          <w:sz w:val="24"/>
          <w:szCs w:val="24"/>
        </w:rPr>
        <w:t>, J.G., Fernández-Fernández, M. and Alberto, F.P. (2023) ‘Does privacy and ease of use influence user trust in digital banking applications in Spain and Portugal?’, International Entrepreneurship and Management Journal, 19(2), pp. 781–803.</w:t>
      </w:r>
    </w:p>
    <w:p w14:paraId="05009F3C" w14:textId="22E98260" w:rsidR="00F343C0" w:rsidRPr="00F70CB0" w:rsidRDefault="00F343C0">
      <w:pPr>
        <w:pStyle w:val="ListParagraph"/>
        <w:numPr>
          <w:ilvl w:val="0"/>
          <w:numId w:val="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Matraku</w:t>
      </w:r>
      <w:proofErr w:type="spellEnd"/>
      <w:r w:rsidRPr="00F70CB0">
        <w:rPr>
          <w:rFonts w:ascii="Times New Roman" w:hAnsi="Times New Roman" w:cs="Times New Roman"/>
          <w:sz w:val="24"/>
          <w:szCs w:val="24"/>
        </w:rPr>
        <w:t>, G. (2024) Neobank Adoption and Satisfaction: Insights from University Students.</w:t>
      </w:r>
    </w:p>
    <w:p w14:paraId="2F8B82AE" w14:textId="245318C2" w:rsidR="00F343C0" w:rsidRPr="00F70CB0" w:rsidRDefault="00F343C0">
      <w:pPr>
        <w:pStyle w:val="ListParagraph"/>
        <w:numPr>
          <w:ilvl w:val="0"/>
          <w:numId w:val="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Mbama</w:t>
      </w:r>
      <w:proofErr w:type="spellEnd"/>
      <w:r w:rsidRPr="00F70CB0">
        <w:rPr>
          <w:rFonts w:ascii="Times New Roman" w:hAnsi="Times New Roman" w:cs="Times New Roman"/>
          <w:sz w:val="24"/>
          <w:szCs w:val="24"/>
        </w:rPr>
        <w:t xml:space="preserve">, C.I. and </w:t>
      </w:r>
      <w:proofErr w:type="spellStart"/>
      <w:r w:rsidRPr="00F70CB0">
        <w:rPr>
          <w:rFonts w:ascii="Times New Roman" w:hAnsi="Times New Roman" w:cs="Times New Roman"/>
          <w:sz w:val="24"/>
          <w:szCs w:val="24"/>
        </w:rPr>
        <w:t>Ezepue</w:t>
      </w:r>
      <w:proofErr w:type="spellEnd"/>
      <w:r w:rsidRPr="00F70CB0">
        <w:rPr>
          <w:rFonts w:ascii="Times New Roman" w:hAnsi="Times New Roman" w:cs="Times New Roman"/>
          <w:sz w:val="24"/>
          <w:szCs w:val="24"/>
        </w:rPr>
        <w:t>, P.O. (2018) ‘Digital banking, customer experience and bank financial performance: UK customers’ perceptions’, International Journal of Bank Marketing, 36(2), pp. 230–255.</w:t>
      </w:r>
    </w:p>
    <w:p w14:paraId="0D20FAB9" w14:textId="166E6631" w:rsidR="00F343C0" w:rsidRPr="00F70CB0" w:rsidRDefault="00F343C0">
      <w:pPr>
        <w:pStyle w:val="ListParagraph"/>
        <w:numPr>
          <w:ilvl w:val="0"/>
          <w:numId w:val="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lastRenderedPageBreak/>
        <w:t>Mbama</w:t>
      </w:r>
      <w:proofErr w:type="spellEnd"/>
      <w:r w:rsidRPr="00F70CB0">
        <w:rPr>
          <w:rFonts w:ascii="Times New Roman" w:hAnsi="Times New Roman" w:cs="Times New Roman"/>
          <w:sz w:val="24"/>
          <w:szCs w:val="24"/>
        </w:rPr>
        <w:t xml:space="preserve">, C.I., </w:t>
      </w:r>
      <w:proofErr w:type="spellStart"/>
      <w:r w:rsidRPr="00F70CB0">
        <w:rPr>
          <w:rFonts w:ascii="Times New Roman" w:hAnsi="Times New Roman" w:cs="Times New Roman"/>
          <w:sz w:val="24"/>
          <w:szCs w:val="24"/>
        </w:rPr>
        <w:t>Ezepue</w:t>
      </w:r>
      <w:proofErr w:type="spellEnd"/>
      <w:r w:rsidRPr="00F70CB0">
        <w:rPr>
          <w:rFonts w:ascii="Times New Roman" w:hAnsi="Times New Roman" w:cs="Times New Roman"/>
          <w:sz w:val="24"/>
          <w:szCs w:val="24"/>
        </w:rPr>
        <w:t xml:space="preserve">, P., </w:t>
      </w:r>
      <w:proofErr w:type="spellStart"/>
      <w:r w:rsidRPr="00F70CB0">
        <w:rPr>
          <w:rFonts w:ascii="Times New Roman" w:hAnsi="Times New Roman" w:cs="Times New Roman"/>
          <w:sz w:val="24"/>
          <w:szCs w:val="24"/>
        </w:rPr>
        <w:t>Alboul</w:t>
      </w:r>
      <w:proofErr w:type="spellEnd"/>
      <w:r w:rsidRPr="00F70CB0">
        <w:rPr>
          <w:rFonts w:ascii="Times New Roman" w:hAnsi="Times New Roman" w:cs="Times New Roman"/>
          <w:sz w:val="24"/>
          <w:szCs w:val="24"/>
        </w:rPr>
        <w:t>, L. and Beer, M. (2018) ‘Digital banking, customer experience and financial performance: UK bank managers’ perceptions’, Journal of Research in Interactive Marketing, 12(4), pp. 432–451.</w:t>
      </w:r>
    </w:p>
    <w:p w14:paraId="262F32EE" w14:textId="7BD91147"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Moga, L.M., </w:t>
      </w:r>
      <w:r w:rsidR="00E65777" w:rsidRPr="00F70CB0">
        <w:rPr>
          <w:rFonts w:ascii="Times New Roman" w:hAnsi="Times New Roman" w:cs="Times New Roman"/>
          <w:sz w:val="24"/>
          <w:szCs w:val="24"/>
        </w:rPr>
        <w:t>Nor</w:t>
      </w:r>
      <w:r w:rsidRPr="00F70CB0">
        <w:rPr>
          <w:rFonts w:ascii="Times New Roman" w:hAnsi="Times New Roman" w:cs="Times New Roman"/>
          <w:sz w:val="24"/>
          <w:szCs w:val="24"/>
        </w:rPr>
        <w:t xml:space="preserve"> K.M., </w:t>
      </w:r>
      <w:proofErr w:type="spellStart"/>
      <w:r w:rsidRPr="00F70CB0">
        <w:rPr>
          <w:rFonts w:ascii="Times New Roman" w:hAnsi="Times New Roman" w:cs="Times New Roman"/>
          <w:sz w:val="24"/>
          <w:szCs w:val="24"/>
        </w:rPr>
        <w:t>Neculita</w:t>
      </w:r>
      <w:proofErr w:type="spellEnd"/>
      <w:r w:rsidRPr="00F70CB0">
        <w:rPr>
          <w:rFonts w:ascii="Times New Roman" w:hAnsi="Times New Roman" w:cs="Times New Roman"/>
          <w:sz w:val="24"/>
          <w:szCs w:val="24"/>
        </w:rPr>
        <w:t>, M. and Khani, N. (2012) ‘Trust and security in e-banking adoption in Romania’, Communications of the IBIMA, 2012, p. 1.</w:t>
      </w:r>
    </w:p>
    <w:p w14:paraId="4CBF1A62" w14:textId="38BB3F2B"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Mwiya, B., Katai, M., Bwalya, J., </w:t>
      </w:r>
      <w:proofErr w:type="spellStart"/>
      <w:r w:rsidRPr="00F70CB0">
        <w:rPr>
          <w:rFonts w:ascii="Times New Roman" w:hAnsi="Times New Roman" w:cs="Times New Roman"/>
          <w:sz w:val="24"/>
          <w:szCs w:val="24"/>
        </w:rPr>
        <w:t>Kayekesi</w:t>
      </w:r>
      <w:proofErr w:type="spellEnd"/>
      <w:r w:rsidRPr="00F70CB0">
        <w:rPr>
          <w:rFonts w:ascii="Times New Roman" w:hAnsi="Times New Roman" w:cs="Times New Roman"/>
          <w:sz w:val="24"/>
          <w:szCs w:val="24"/>
        </w:rPr>
        <w:t xml:space="preserve">, M., Kaonga, S., Kasanda, E., </w:t>
      </w:r>
      <w:proofErr w:type="spellStart"/>
      <w:r w:rsidRPr="00F70CB0">
        <w:rPr>
          <w:rFonts w:ascii="Times New Roman" w:hAnsi="Times New Roman" w:cs="Times New Roman"/>
          <w:sz w:val="24"/>
          <w:szCs w:val="24"/>
        </w:rPr>
        <w:t>Munyonzwe</w:t>
      </w:r>
      <w:proofErr w:type="spellEnd"/>
      <w:r w:rsidRPr="00F70CB0">
        <w:rPr>
          <w:rFonts w:ascii="Times New Roman" w:hAnsi="Times New Roman" w:cs="Times New Roman"/>
          <w:sz w:val="24"/>
          <w:szCs w:val="24"/>
        </w:rPr>
        <w:t xml:space="preserve">, C., </w:t>
      </w:r>
      <w:proofErr w:type="spellStart"/>
      <w:r w:rsidRPr="00F70CB0">
        <w:rPr>
          <w:rFonts w:ascii="Times New Roman" w:hAnsi="Times New Roman" w:cs="Times New Roman"/>
          <w:sz w:val="24"/>
          <w:szCs w:val="24"/>
        </w:rPr>
        <w:t>Kaulungombe</w:t>
      </w:r>
      <w:proofErr w:type="spellEnd"/>
      <w:r w:rsidRPr="00F70CB0">
        <w:rPr>
          <w:rFonts w:ascii="Times New Roman" w:hAnsi="Times New Roman" w:cs="Times New Roman"/>
          <w:sz w:val="24"/>
          <w:szCs w:val="24"/>
        </w:rPr>
        <w:t>, B., Sakala, E., Muyenga, A. and Mwenya, D. (2022) ‘Examining the effects of electronic service quality on online banking customer satisfaction: evidence from Zambia’, Cogent Business &amp; Management, 9(1), p. 2143017.</w:t>
      </w:r>
    </w:p>
    <w:p w14:paraId="47B4FB1A" w14:textId="1A3D3231"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Musyaffi, A.M., Johari, R.J., Sobirov, B., Oli, M.C., Rahmi, R. and </w:t>
      </w:r>
      <w:proofErr w:type="spellStart"/>
      <w:r w:rsidRPr="00F70CB0">
        <w:rPr>
          <w:rFonts w:ascii="Times New Roman" w:hAnsi="Times New Roman" w:cs="Times New Roman"/>
          <w:sz w:val="24"/>
          <w:szCs w:val="24"/>
        </w:rPr>
        <w:t>Afriadi</w:t>
      </w:r>
      <w:proofErr w:type="spellEnd"/>
      <w:r w:rsidRPr="00F70CB0">
        <w:rPr>
          <w:rFonts w:ascii="Times New Roman" w:hAnsi="Times New Roman" w:cs="Times New Roman"/>
          <w:sz w:val="24"/>
          <w:szCs w:val="24"/>
        </w:rPr>
        <w:t>, B. (2024) ‘Examining initial trust in adoption of digital banking platform: a personal innovativeness and security perspective’, Journal of System and Management Sciences, 14(1), pp. 67–86.</w:t>
      </w:r>
    </w:p>
    <w:p w14:paraId="1E78DAF7" w14:textId="113E3328"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Naeem, M., Jawaid, S.T. and Mustafa, S. (2026) ‘Intention-retention phenomenon for online banking services in Pakistan: an application of technology acceptance model and expectation continuance theory’, Journal of Modelling in Management, 21(2), pp. 826–875.</w:t>
      </w:r>
    </w:p>
    <w:p w14:paraId="2D39B8DA" w14:textId="1F977A5E"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Nagy, S., Molnár, L. and Papp, A. (2024) ‘Customer adoption of neobank services from a technology acceptance perspective: evidence from Hungary’, Decision Making: Applications in Management and Engineering, 7(1), pp. 187–208.</w:t>
      </w:r>
    </w:p>
    <w:p w14:paraId="22D83B72" w14:textId="7DF320B4"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Natalia, A., Mustika, M.E.D., Lumba </w:t>
      </w:r>
      <w:proofErr w:type="spellStart"/>
      <w:r w:rsidRPr="00F70CB0">
        <w:rPr>
          <w:rFonts w:ascii="Times New Roman" w:hAnsi="Times New Roman" w:cs="Times New Roman"/>
          <w:sz w:val="24"/>
          <w:szCs w:val="24"/>
        </w:rPr>
        <w:t>Tobing</w:t>
      </w:r>
      <w:proofErr w:type="spellEnd"/>
      <w:r w:rsidRPr="00F70CB0">
        <w:rPr>
          <w:rFonts w:ascii="Times New Roman" w:hAnsi="Times New Roman" w:cs="Times New Roman"/>
          <w:sz w:val="24"/>
          <w:szCs w:val="24"/>
        </w:rPr>
        <w:t>, S.I.C. and Mariani, M. (2025) ‘</w:t>
      </w:r>
      <w:proofErr w:type="spellStart"/>
      <w:r w:rsidRPr="00F70CB0">
        <w:rPr>
          <w:rFonts w:ascii="Times New Roman" w:hAnsi="Times New Roman" w:cs="Times New Roman"/>
          <w:sz w:val="24"/>
          <w:szCs w:val="24"/>
        </w:rPr>
        <w:t>Modeling</w:t>
      </w:r>
      <w:proofErr w:type="spellEnd"/>
      <w:r w:rsidRPr="00F70CB0">
        <w:rPr>
          <w:rFonts w:ascii="Times New Roman" w:hAnsi="Times New Roman" w:cs="Times New Roman"/>
          <w:sz w:val="24"/>
          <w:szCs w:val="24"/>
        </w:rPr>
        <w:t xml:space="preserve"> continuance intention of </w:t>
      </w:r>
      <w:proofErr w:type="spellStart"/>
      <w:r w:rsidRPr="00F70CB0">
        <w:rPr>
          <w:rFonts w:ascii="Times New Roman" w:hAnsi="Times New Roman" w:cs="Times New Roman"/>
          <w:sz w:val="24"/>
          <w:szCs w:val="24"/>
        </w:rPr>
        <w:t>superapps</w:t>
      </w:r>
      <w:proofErr w:type="spellEnd"/>
      <w:r w:rsidRPr="00F70CB0">
        <w:rPr>
          <w:rFonts w:ascii="Times New Roman" w:hAnsi="Times New Roman" w:cs="Times New Roman"/>
          <w:sz w:val="24"/>
          <w:szCs w:val="24"/>
        </w:rPr>
        <w:t xml:space="preserve"> mobile banking: an empirical study of ECM extended with trust and security’, Journal </w:t>
      </w:r>
      <w:r w:rsidR="00BB5F7F" w:rsidRPr="00F70CB0">
        <w:rPr>
          <w:rFonts w:ascii="Times New Roman" w:hAnsi="Times New Roman" w:cs="Times New Roman"/>
          <w:sz w:val="24"/>
          <w:szCs w:val="24"/>
        </w:rPr>
        <w:t xml:space="preserve">of </w:t>
      </w:r>
      <w:r w:rsidRPr="00F70CB0">
        <w:rPr>
          <w:rFonts w:ascii="Times New Roman" w:hAnsi="Times New Roman" w:cs="Times New Roman"/>
          <w:sz w:val="24"/>
          <w:szCs w:val="24"/>
        </w:rPr>
        <w:t>Research of Social Science, Economics &amp; Management, 4(12).</w:t>
      </w:r>
    </w:p>
    <w:p w14:paraId="6647E903" w14:textId="0825A5B3"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Ndlovu, S., Liu, J., Plumley, D. and Fakir, A.E. (2024) ‘Factors influencing consumer adoption of digital-only banks in the UK’, FinTech and AI in Finance (</w:t>
      </w:r>
      <w:proofErr w:type="spellStart"/>
      <w:r w:rsidRPr="00F70CB0">
        <w:rPr>
          <w:rFonts w:ascii="Times New Roman" w:hAnsi="Times New Roman" w:cs="Times New Roman"/>
          <w:sz w:val="24"/>
          <w:szCs w:val="24"/>
        </w:rPr>
        <w:t>FinTAF</w:t>
      </w:r>
      <w:proofErr w:type="spellEnd"/>
      <w:r w:rsidRPr="00F70CB0">
        <w:rPr>
          <w:rFonts w:ascii="Times New Roman" w:hAnsi="Times New Roman" w:cs="Times New Roman"/>
          <w:sz w:val="24"/>
          <w:szCs w:val="24"/>
        </w:rPr>
        <w:t>), 2(1).</w:t>
      </w:r>
    </w:p>
    <w:p w14:paraId="2A4889C4" w14:textId="08751215"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 xml:space="preserve">Ngau, C.M., Zins, A.H. and </w:t>
      </w:r>
      <w:proofErr w:type="spellStart"/>
      <w:r w:rsidRPr="00F70CB0">
        <w:rPr>
          <w:rFonts w:ascii="Times New Roman" w:hAnsi="Times New Roman" w:cs="Times New Roman"/>
          <w:sz w:val="24"/>
          <w:szCs w:val="24"/>
        </w:rPr>
        <w:t>Rengasamy</w:t>
      </w:r>
      <w:proofErr w:type="spellEnd"/>
      <w:r w:rsidRPr="00F70CB0">
        <w:rPr>
          <w:rFonts w:ascii="Times New Roman" w:hAnsi="Times New Roman" w:cs="Times New Roman"/>
          <w:sz w:val="24"/>
          <w:szCs w:val="24"/>
        </w:rPr>
        <w:t>, D. (2023) ‘Why do bank customers switch? A systematic literature review, International Journal of Bank Marketing, 41(6), pp. 1308–1329.</w:t>
      </w:r>
    </w:p>
    <w:p w14:paraId="3139689B" w14:textId="2FC353B5" w:rsidR="00F343C0" w:rsidRPr="00F70CB0" w:rsidRDefault="00F343C0">
      <w:pPr>
        <w:pStyle w:val="ListParagraph"/>
        <w:numPr>
          <w:ilvl w:val="0"/>
          <w:numId w:val="2"/>
        </w:numPr>
        <w:jc w:val="both"/>
        <w:rPr>
          <w:rFonts w:ascii="Times New Roman" w:hAnsi="Times New Roman" w:cs="Times New Roman"/>
          <w:sz w:val="24"/>
          <w:szCs w:val="24"/>
        </w:rPr>
      </w:pPr>
      <w:r w:rsidRPr="00F70CB0">
        <w:rPr>
          <w:rFonts w:ascii="Times New Roman" w:hAnsi="Times New Roman" w:cs="Times New Roman"/>
          <w:sz w:val="24"/>
          <w:szCs w:val="24"/>
        </w:rPr>
        <w:t>Nguyen, G.D. and Dao, T.H.T. (2024) ‘Factors influencing continuance intention to use mobile banking: an extended expectation-confirmation model with moderating role of trust’, Humanities and Social Sciences Communications, 11(1), pp. 1–14.</w:t>
      </w:r>
    </w:p>
    <w:p w14:paraId="7000C67E" w14:textId="4F98B0CC" w:rsidR="00F343C0" w:rsidRPr="00F70CB0" w:rsidRDefault="00F343C0">
      <w:pPr>
        <w:pStyle w:val="ListParagraph"/>
        <w:numPr>
          <w:ilvl w:val="0"/>
          <w:numId w:val="36"/>
        </w:numPr>
        <w:jc w:val="both"/>
        <w:rPr>
          <w:rFonts w:ascii="Times New Roman" w:hAnsi="Times New Roman" w:cs="Times New Roman"/>
          <w:sz w:val="24"/>
          <w:szCs w:val="24"/>
        </w:rPr>
      </w:pPr>
      <w:r w:rsidRPr="00F70CB0">
        <w:rPr>
          <w:rFonts w:ascii="Times New Roman" w:hAnsi="Times New Roman" w:cs="Times New Roman"/>
          <w:sz w:val="24"/>
          <w:szCs w:val="24"/>
        </w:rPr>
        <w:t xml:space="preserve">Ogundipe, D.O., </w:t>
      </w:r>
      <w:proofErr w:type="spellStart"/>
      <w:r w:rsidRPr="00F70CB0">
        <w:rPr>
          <w:rFonts w:ascii="Times New Roman" w:hAnsi="Times New Roman" w:cs="Times New Roman"/>
          <w:sz w:val="24"/>
          <w:szCs w:val="24"/>
        </w:rPr>
        <w:t>Odejide</w:t>
      </w:r>
      <w:proofErr w:type="spellEnd"/>
      <w:r w:rsidRPr="00F70CB0">
        <w:rPr>
          <w:rFonts w:ascii="Times New Roman" w:hAnsi="Times New Roman" w:cs="Times New Roman"/>
          <w:sz w:val="24"/>
          <w:szCs w:val="24"/>
        </w:rPr>
        <w:t xml:space="preserve">, O.A. and </w:t>
      </w:r>
      <w:proofErr w:type="spellStart"/>
      <w:r w:rsidRPr="00F70CB0">
        <w:rPr>
          <w:rFonts w:ascii="Times New Roman" w:hAnsi="Times New Roman" w:cs="Times New Roman"/>
          <w:sz w:val="24"/>
          <w:szCs w:val="24"/>
        </w:rPr>
        <w:t>Edunjobi</w:t>
      </w:r>
      <w:proofErr w:type="spellEnd"/>
      <w:r w:rsidRPr="00F70CB0">
        <w:rPr>
          <w:rFonts w:ascii="Times New Roman" w:hAnsi="Times New Roman" w:cs="Times New Roman"/>
          <w:sz w:val="24"/>
          <w:szCs w:val="24"/>
        </w:rPr>
        <w:t>, T.E. (2024) ‘Agile methodologies in digital banking: theoretical underpinnings and implications for customer satisfaction’, Open Access Research Journal of Science and Technology, 10(2), pp. 021–030.</w:t>
      </w:r>
    </w:p>
    <w:p w14:paraId="6E978B40" w14:textId="3B91488A" w:rsidR="00F343C0" w:rsidRPr="00F70CB0" w:rsidRDefault="00F343C0">
      <w:pPr>
        <w:pStyle w:val="ListParagraph"/>
        <w:numPr>
          <w:ilvl w:val="0"/>
          <w:numId w:val="35"/>
        </w:numPr>
        <w:jc w:val="both"/>
        <w:rPr>
          <w:rFonts w:ascii="Times New Roman" w:hAnsi="Times New Roman" w:cs="Times New Roman"/>
          <w:sz w:val="24"/>
          <w:szCs w:val="24"/>
        </w:rPr>
      </w:pPr>
      <w:r w:rsidRPr="00F70CB0">
        <w:rPr>
          <w:rFonts w:ascii="Times New Roman" w:hAnsi="Times New Roman" w:cs="Times New Roman"/>
          <w:sz w:val="24"/>
          <w:szCs w:val="24"/>
        </w:rPr>
        <w:t>Othman, A.S., Chowdhury, I.A., Bo, Y., Omar, A.R.C. and Osman, L.H. (2015) ‘Key drivers of customer loyalty in online banking’, Annals of Management Science, 4(1), p. 89.</w:t>
      </w:r>
    </w:p>
    <w:p w14:paraId="36D42346" w14:textId="424A6854" w:rsidR="00F343C0" w:rsidRPr="00F70CB0" w:rsidRDefault="00F343C0">
      <w:pPr>
        <w:pStyle w:val="ListParagraph"/>
        <w:numPr>
          <w:ilvl w:val="0"/>
          <w:numId w:val="34"/>
        </w:numPr>
        <w:jc w:val="both"/>
        <w:rPr>
          <w:rFonts w:ascii="Times New Roman" w:hAnsi="Times New Roman" w:cs="Times New Roman"/>
          <w:sz w:val="24"/>
          <w:szCs w:val="24"/>
        </w:rPr>
      </w:pPr>
      <w:r w:rsidRPr="00F70CB0">
        <w:rPr>
          <w:rFonts w:ascii="Times New Roman" w:hAnsi="Times New Roman" w:cs="Times New Roman"/>
          <w:sz w:val="24"/>
          <w:szCs w:val="24"/>
        </w:rPr>
        <w:t xml:space="preserve">Ozcan, M. and </w:t>
      </w:r>
      <w:proofErr w:type="spellStart"/>
      <w:r w:rsidRPr="00F70CB0">
        <w:rPr>
          <w:rFonts w:ascii="Times New Roman" w:hAnsi="Times New Roman" w:cs="Times New Roman"/>
          <w:sz w:val="24"/>
          <w:szCs w:val="24"/>
        </w:rPr>
        <w:t>Arikan</w:t>
      </w:r>
      <w:proofErr w:type="spellEnd"/>
      <w:r w:rsidRPr="00F70CB0">
        <w:rPr>
          <w:rFonts w:ascii="Times New Roman" w:hAnsi="Times New Roman" w:cs="Times New Roman"/>
          <w:sz w:val="24"/>
          <w:szCs w:val="24"/>
        </w:rPr>
        <w:t>, E. (2022) ‘An integrative model on user satisfaction and continuance intention for using m-banking’.</w:t>
      </w:r>
    </w:p>
    <w:p w14:paraId="2DF4007E" w14:textId="19072606" w:rsidR="00F343C0" w:rsidRPr="00F70CB0" w:rsidRDefault="00F343C0">
      <w:pPr>
        <w:pStyle w:val="ListParagraph"/>
        <w:numPr>
          <w:ilvl w:val="0"/>
          <w:numId w:val="33"/>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Paramadana</w:t>
      </w:r>
      <w:proofErr w:type="spellEnd"/>
      <w:r w:rsidRPr="00F70CB0">
        <w:rPr>
          <w:rFonts w:ascii="Times New Roman" w:hAnsi="Times New Roman" w:cs="Times New Roman"/>
          <w:sz w:val="24"/>
          <w:szCs w:val="24"/>
        </w:rPr>
        <w:t xml:space="preserve">, S., Anthony, B., Az, M.F. and Simanjuntak, E.R. (2025) ‘The influence of customer satisfaction and moderation role of customer trust in the relationship to customer loyalty in digital banking’, </w:t>
      </w:r>
      <w:proofErr w:type="spellStart"/>
      <w:r w:rsidRPr="00F70CB0">
        <w:rPr>
          <w:rFonts w:ascii="Times New Roman" w:hAnsi="Times New Roman" w:cs="Times New Roman"/>
          <w:sz w:val="24"/>
          <w:szCs w:val="24"/>
        </w:rPr>
        <w:t>Jurnal</w:t>
      </w:r>
      <w:proofErr w:type="spellEnd"/>
      <w:r w:rsidRPr="00F70CB0">
        <w:rPr>
          <w:rFonts w:ascii="Times New Roman" w:hAnsi="Times New Roman" w:cs="Times New Roman"/>
          <w:sz w:val="24"/>
          <w:szCs w:val="24"/>
        </w:rPr>
        <w:t xml:space="preserve"> </w:t>
      </w:r>
      <w:proofErr w:type="spellStart"/>
      <w:r w:rsidRPr="00F70CB0">
        <w:rPr>
          <w:rFonts w:ascii="Times New Roman" w:hAnsi="Times New Roman" w:cs="Times New Roman"/>
          <w:sz w:val="24"/>
          <w:szCs w:val="24"/>
        </w:rPr>
        <w:t>Impresi</w:t>
      </w:r>
      <w:proofErr w:type="spellEnd"/>
      <w:r w:rsidRPr="00F70CB0">
        <w:rPr>
          <w:rFonts w:ascii="Times New Roman" w:hAnsi="Times New Roman" w:cs="Times New Roman"/>
          <w:sz w:val="24"/>
          <w:szCs w:val="24"/>
        </w:rPr>
        <w:t xml:space="preserve"> Indonesia, 4(4), pp. 1222–1233.</w:t>
      </w:r>
    </w:p>
    <w:p w14:paraId="6426A606" w14:textId="3811AC2E" w:rsidR="00F343C0" w:rsidRPr="00F70CB0" w:rsidRDefault="00F343C0">
      <w:pPr>
        <w:pStyle w:val="ListParagraph"/>
        <w:numPr>
          <w:ilvl w:val="0"/>
          <w:numId w:val="32"/>
        </w:numPr>
        <w:jc w:val="both"/>
        <w:rPr>
          <w:rFonts w:ascii="Times New Roman" w:hAnsi="Times New Roman" w:cs="Times New Roman"/>
          <w:sz w:val="24"/>
          <w:szCs w:val="24"/>
        </w:rPr>
      </w:pPr>
      <w:r w:rsidRPr="00F70CB0">
        <w:rPr>
          <w:rFonts w:ascii="Times New Roman" w:hAnsi="Times New Roman" w:cs="Times New Roman"/>
          <w:sz w:val="24"/>
          <w:szCs w:val="24"/>
        </w:rPr>
        <w:t xml:space="preserve">Pikkarainen, T., Pikkarainen, K., </w:t>
      </w:r>
      <w:proofErr w:type="spellStart"/>
      <w:r w:rsidRPr="00F70CB0">
        <w:rPr>
          <w:rFonts w:ascii="Times New Roman" w:hAnsi="Times New Roman" w:cs="Times New Roman"/>
          <w:sz w:val="24"/>
          <w:szCs w:val="24"/>
        </w:rPr>
        <w:t>Karjaluoto</w:t>
      </w:r>
      <w:proofErr w:type="spellEnd"/>
      <w:r w:rsidRPr="00F70CB0">
        <w:rPr>
          <w:rFonts w:ascii="Times New Roman" w:hAnsi="Times New Roman" w:cs="Times New Roman"/>
          <w:sz w:val="24"/>
          <w:szCs w:val="24"/>
        </w:rPr>
        <w:t xml:space="preserve">, H. and </w:t>
      </w:r>
      <w:proofErr w:type="spellStart"/>
      <w:r w:rsidRPr="00F70CB0">
        <w:rPr>
          <w:rFonts w:ascii="Times New Roman" w:hAnsi="Times New Roman" w:cs="Times New Roman"/>
          <w:sz w:val="24"/>
          <w:szCs w:val="24"/>
        </w:rPr>
        <w:t>Pahnila</w:t>
      </w:r>
      <w:proofErr w:type="spellEnd"/>
      <w:r w:rsidRPr="00F70CB0">
        <w:rPr>
          <w:rFonts w:ascii="Times New Roman" w:hAnsi="Times New Roman" w:cs="Times New Roman"/>
          <w:sz w:val="24"/>
          <w:szCs w:val="24"/>
        </w:rPr>
        <w:t>, S. (2004) ‘Consumer acceptance of online banking: an extension of the technology acceptance model’, Internet Research, 14(3), pp. 224–235.</w:t>
      </w:r>
    </w:p>
    <w:p w14:paraId="01D9A04E" w14:textId="58A11E3B" w:rsidR="00F343C0" w:rsidRPr="00F70CB0" w:rsidRDefault="00F343C0">
      <w:pPr>
        <w:pStyle w:val="ListParagraph"/>
        <w:numPr>
          <w:ilvl w:val="0"/>
          <w:numId w:val="31"/>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lastRenderedPageBreak/>
        <w:t>Pradhina</w:t>
      </w:r>
      <w:proofErr w:type="spellEnd"/>
      <w:r w:rsidRPr="00F70CB0">
        <w:rPr>
          <w:rFonts w:ascii="Times New Roman" w:hAnsi="Times New Roman" w:cs="Times New Roman"/>
          <w:sz w:val="24"/>
          <w:szCs w:val="24"/>
        </w:rPr>
        <w:t>, N.P. and Pillai, S.K.B. (2020) ‘Customer continuance intention toward digital banking applications’, in Understanding Digital Industry. Routledge, pp. 103–107.</w:t>
      </w:r>
    </w:p>
    <w:p w14:paraId="133F5724" w14:textId="7B608897" w:rsidR="00F343C0" w:rsidRPr="00F70CB0" w:rsidRDefault="00F343C0">
      <w:pPr>
        <w:pStyle w:val="ListParagraph"/>
        <w:numPr>
          <w:ilvl w:val="0"/>
          <w:numId w:val="30"/>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Pritjahjono</w:t>
      </w:r>
      <w:proofErr w:type="spellEnd"/>
      <w:r w:rsidRPr="00F70CB0">
        <w:rPr>
          <w:rFonts w:ascii="Times New Roman" w:hAnsi="Times New Roman" w:cs="Times New Roman"/>
          <w:sz w:val="24"/>
          <w:szCs w:val="24"/>
        </w:rPr>
        <w:t xml:space="preserve">, P., Jahroh, S. and </w:t>
      </w:r>
      <w:proofErr w:type="spellStart"/>
      <w:r w:rsidRPr="00F70CB0">
        <w:rPr>
          <w:rFonts w:ascii="Times New Roman" w:hAnsi="Times New Roman" w:cs="Times New Roman"/>
          <w:sz w:val="24"/>
          <w:szCs w:val="24"/>
        </w:rPr>
        <w:t>Teguh</w:t>
      </w:r>
      <w:proofErr w:type="spellEnd"/>
      <w:r w:rsidRPr="00F70CB0">
        <w:rPr>
          <w:rFonts w:ascii="Times New Roman" w:hAnsi="Times New Roman" w:cs="Times New Roman"/>
          <w:sz w:val="24"/>
          <w:szCs w:val="24"/>
        </w:rPr>
        <w:t xml:space="preserve"> Saptono, I. (2023) ‘The effect of customer loyalty in digital banking services: role satisfaction factor, customer experience and EWOM’.</w:t>
      </w:r>
    </w:p>
    <w:p w14:paraId="6BA24494" w14:textId="4164F1E8" w:rsidR="00F343C0" w:rsidRPr="00F70CB0" w:rsidRDefault="00F343C0">
      <w:pPr>
        <w:pStyle w:val="ListParagraph"/>
        <w:numPr>
          <w:ilvl w:val="0"/>
          <w:numId w:val="29"/>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Puriwat</w:t>
      </w:r>
      <w:proofErr w:type="spellEnd"/>
      <w:r w:rsidRPr="00F70CB0">
        <w:rPr>
          <w:rFonts w:ascii="Times New Roman" w:hAnsi="Times New Roman" w:cs="Times New Roman"/>
          <w:sz w:val="24"/>
          <w:szCs w:val="24"/>
        </w:rPr>
        <w:t xml:space="preserve">, W. and </w:t>
      </w:r>
      <w:proofErr w:type="spellStart"/>
      <w:r w:rsidRPr="00F70CB0">
        <w:rPr>
          <w:rFonts w:ascii="Times New Roman" w:hAnsi="Times New Roman" w:cs="Times New Roman"/>
          <w:sz w:val="24"/>
          <w:szCs w:val="24"/>
        </w:rPr>
        <w:t>Tripopsakul</w:t>
      </w:r>
      <w:proofErr w:type="spellEnd"/>
      <w:r w:rsidRPr="00F70CB0">
        <w:rPr>
          <w:rFonts w:ascii="Times New Roman" w:hAnsi="Times New Roman" w:cs="Times New Roman"/>
          <w:sz w:val="24"/>
          <w:szCs w:val="24"/>
        </w:rPr>
        <w:t>, S. (2017) ‘The impact of e-service quality on customer satisfaction and loyalty in mobile banking usage: case study of Thailand’, Polish Journal of Management Studies, 15(2), pp. 183–193.</w:t>
      </w:r>
    </w:p>
    <w:p w14:paraId="3A42B8D7" w14:textId="1FCFA102" w:rsidR="00F343C0" w:rsidRPr="00F70CB0" w:rsidRDefault="00F343C0">
      <w:pPr>
        <w:pStyle w:val="ListParagraph"/>
        <w:numPr>
          <w:ilvl w:val="0"/>
          <w:numId w:val="28"/>
        </w:numPr>
        <w:jc w:val="both"/>
        <w:rPr>
          <w:rFonts w:ascii="Times New Roman" w:hAnsi="Times New Roman" w:cs="Times New Roman"/>
          <w:sz w:val="24"/>
          <w:szCs w:val="24"/>
        </w:rPr>
      </w:pPr>
      <w:r w:rsidRPr="00F70CB0">
        <w:rPr>
          <w:rFonts w:ascii="Times New Roman" w:hAnsi="Times New Roman" w:cs="Times New Roman"/>
          <w:sz w:val="24"/>
          <w:szCs w:val="24"/>
        </w:rPr>
        <w:t xml:space="preserve">Riasat, I., Shah, M. and </w:t>
      </w:r>
      <w:proofErr w:type="spellStart"/>
      <w:r w:rsidRPr="00F70CB0">
        <w:rPr>
          <w:rFonts w:ascii="Times New Roman" w:hAnsi="Times New Roman" w:cs="Times New Roman"/>
          <w:sz w:val="24"/>
          <w:szCs w:val="24"/>
        </w:rPr>
        <w:t>Gonul</w:t>
      </w:r>
      <w:proofErr w:type="spellEnd"/>
      <w:r w:rsidRPr="00F70CB0">
        <w:rPr>
          <w:rFonts w:ascii="Times New Roman" w:hAnsi="Times New Roman" w:cs="Times New Roman"/>
          <w:sz w:val="24"/>
          <w:szCs w:val="24"/>
        </w:rPr>
        <w:t>, M.S. (2025) ‘Strengthening cybersecurity resilience: an investigation of customers’ adoption of emerging security tools in mobile banking apps’, Computers, 14(4), p. 129.</w:t>
      </w:r>
    </w:p>
    <w:p w14:paraId="744ACF55" w14:textId="5A80EB6E" w:rsidR="00F343C0" w:rsidRPr="00F70CB0" w:rsidRDefault="00F343C0">
      <w:pPr>
        <w:pStyle w:val="ListParagraph"/>
        <w:numPr>
          <w:ilvl w:val="0"/>
          <w:numId w:val="27"/>
        </w:numPr>
        <w:jc w:val="both"/>
        <w:rPr>
          <w:rFonts w:ascii="Times New Roman" w:hAnsi="Times New Roman" w:cs="Times New Roman"/>
          <w:sz w:val="24"/>
          <w:szCs w:val="24"/>
        </w:rPr>
      </w:pPr>
      <w:r w:rsidRPr="00F70CB0">
        <w:rPr>
          <w:rFonts w:ascii="Times New Roman" w:hAnsi="Times New Roman" w:cs="Times New Roman"/>
          <w:sz w:val="24"/>
          <w:szCs w:val="24"/>
        </w:rPr>
        <w:t>Ridley, D. (2012)</w:t>
      </w:r>
      <w:r w:rsidR="00BB5F7F" w:rsidRPr="00F70CB0">
        <w:rPr>
          <w:rFonts w:ascii="Times New Roman" w:hAnsi="Times New Roman" w:cs="Times New Roman"/>
          <w:sz w:val="24"/>
          <w:szCs w:val="24"/>
        </w:rPr>
        <w:t>.</w:t>
      </w:r>
      <w:r w:rsidRPr="00F70CB0">
        <w:rPr>
          <w:rFonts w:ascii="Times New Roman" w:hAnsi="Times New Roman" w:cs="Times New Roman"/>
          <w:sz w:val="24"/>
          <w:szCs w:val="24"/>
        </w:rPr>
        <w:t xml:space="preserve"> The Literature Review: A Step-by-Step Guide for Students. 2nd </w:t>
      </w:r>
      <w:proofErr w:type="spellStart"/>
      <w:r w:rsidRPr="00F70CB0">
        <w:rPr>
          <w:rFonts w:ascii="Times New Roman" w:hAnsi="Times New Roman" w:cs="Times New Roman"/>
          <w:sz w:val="24"/>
          <w:szCs w:val="24"/>
        </w:rPr>
        <w:t>edn</w:t>
      </w:r>
      <w:proofErr w:type="spellEnd"/>
      <w:r w:rsidRPr="00F70CB0">
        <w:rPr>
          <w:rFonts w:ascii="Times New Roman" w:hAnsi="Times New Roman" w:cs="Times New Roman"/>
          <w:sz w:val="24"/>
          <w:szCs w:val="24"/>
        </w:rPr>
        <w:t>. London: Sage.</w:t>
      </w:r>
    </w:p>
    <w:p w14:paraId="3DF91EF8" w14:textId="5FF79463" w:rsidR="00F343C0" w:rsidRPr="00F70CB0" w:rsidRDefault="00F343C0">
      <w:pPr>
        <w:pStyle w:val="ListParagraph"/>
        <w:numPr>
          <w:ilvl w:val="0"/>
          <w:numId w:val="26"/>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Rokhimah</w:t>
      </w:r>
      <w:proofErr w:type="spellEnd"/>
      <w:r w:rsidRPr="00F70CB0">
        <w:rPr>
          <w:rFonts w:ascii="Times New Roman" w:hAnsi="Times New Roman" w:cs="Times New Roman"/>
          <w:sz w:val="24"/>
          <w:szCs w:val="24"/>
        </w:rPr>
        <w:t xml:space="preserve">, R. and </w:t>
      </w:r>
      <w:proofErr w:type="spellStart"/>
      <w:r w:rsidRPr="00F70CB0">
        <w:rPr>
          <w:rFonts w:ascii="Times New Roman" w:hAnsi="Times New Roman" w:cs="Times New Roman"/>
          <w:sz w:val="24"/>
          <w:szCs w:val="24"/>
        </w:rPr>
        <w:t>Suhermin</w:t>
      </w:r>
      <w:proofErr w:type="spellEnd"/>
      <w:r w:rsidRPr="00F70CB0">
        <w:rPr>
          <w:rFonts w:ascii="Times New Roman" w:hAnsi="Times New Roman" w:cs="Times New Roman"/>
          <w:sz w:val="24"/>
          <w:szCs w:val="24"/>
        </w:rPr>
        <w:t>, S. (2024) ‘Factors influencing continuation intention of mobile banking usage: extending expectancy confirmation model (ECM) and artificial intelligence (AI) with security as moderation’, in International Conference of Business and Social Sciences, pp. 162–178.</w:t>
      </w:r>
    </w:p>
    <w:p w14:paraId="5C86DEC6" w14:textId="5018BC2B" w:rsidR="00F343C0" w:rsidRPr="00F70CB0" w:rsidRDefault="00F343C0">
      <w:pPr>
        <w:pStyle w:val="ListParagraph"/>
        <w:numPr>
          <w:ilvl w:val="0"/>
          <w:numId w:val="25"/>
        </w:numPr>
        <w:jc w:val="both"/>
        <w:rPr>
          <w:rFonts w:ascii="Times New Roman" w:hAnsi="Times New Roman" w:cs="Times New Roman"/>
          <w:sz w:val="24"/>
          <w:szCs w:val="24"/>
        </w:rPr>
      </w:pPr>
      <w:r w:rsidRPr="00F70CB0">
        <w:rPr>
          <w:rFonts w:ascii="Times New Roman" w:hAnsi="Times New Roman" w:cs="Times New Roman"/>
          <w:sz w:val="24"/>
          <w:szCs w:val="24"/>
        </w:rPr>
        <w:t>Saibaba, S. (2024) ‘Examining the determinants of mobile banking app continuance intention in India: an extension of the IS success model’, Journal of Internet Commerce, 23(1), pp. 50–89.</w:t>
      </w:r>
    </w:p>
    <w:p w14:paraId="250220C6" w14:textId="5D4D72DF" w:rsidR="00F343C0" w:rsidRPr="00F70CB0" w:rsidRDefault="00F343C0">
      <w:pPr>
        <w:pStyle w:val="ListParagraph"/>
        <w:numPr>
          <w:ilvl w:val="0"/>
          <w:numId w:val="24"/>
        </w:numPr>
        <w:jc w:val="both"/>
        <w:rPr>
          <w:rFonts w:ascii="Times New Roman" w:hAnsi="Times New Roman" w:cs="Times New Roman"/>
          <w:sz w:val="24"/>
          <w:szCs w:val="24"/>
        </w:rPr>
      </w:pPr>
      <w:r w:rsidRPr="00F70CB0">
        <w:rPr>
          <w:rFonts w:ascii="Times New Roman" w:hAnsi="Times New Roman" w:cs="Times New Roman"/>
          <w:sz w:val="24"/>
          <w:szCs w:val="24"/>
        </w:rPr>
        <w:t>Santos, S.M.S. (2018)</w:t>
      </w:r>
      <w:r w:rsidR="00BB5F7F" w:rsidRPr="00F70CB0">
        <w:rPr>
          <w:rFonts w:ascii="Times New Roman" w:hAnsi="Times New Roman" w:cs="Times New Roman"/>
          <w:sz w:val="24"/>
          <w:szCs w:val="24"/>
        </w:rPr>
        <w:t>.</w:t>
      </w:r>
      <w:r w:rsidRPr="00F70CB0">
        <w:rPr>
          <w:rFonts w:ascii="Times New Roman" w:hAnsi="Times New Roman" w:cs="Times New Roman"/>
          <w:sz w:val="24"/>
          <w:szCs w:val="24"/>
        </w:rPr>
        <w:t xml:space="preserve"> Traditional and Challenger Banks in </w:t>
      </w:r>
      <w:r w:rsidR="00BB5F7F" w:rsidRPr="00F70CB0">
        <w:rPr>
          <w:rFonts w:ascii="Times New Roman" w:hAnsi="Times New Roman" w:cs="Times New Roman"/>
          <w:sz w:val="24"/>
          <w:szCs w:val="24"/>
        </w:rPr>
        <w:t xml:space="preserve">the </w:t>
      </w:r>
      <w:r w:rsidRPr="00F70CB0">
        <w:rPr>
          <w:rFonts w:ascii="Times New Roman" w:hAnsi="Times New Roman" w:cs="Times New Roman"/>
          <w:sz w:val="24"/>
          <w:szCs w:val="24"/>
        </w:rPr>
        <w:t xml:space="preserve">UK: Comparison in Terms of Customer Value. Thesis. </w:t>
      </w:r>
      <w:proofErr w:type="spellStart"/>
      <w:r w:rsidRPr="00F70CB0">
        <w:rPr>
          <w:rFonts w:ascii="Times New Roman" w:hAnsi="Times New Roman" w:cs="Times New Roman"/>
          <w:sz w:val="24"/>
          <w:szCs w:val="24"/>
        </w:rPr>
        <w:t>Universidade</w:t>
      </w:r>
      <w:proofErr w:type="spellEnd"/>
      <w:r w:rsidRPr="00F70CB0">
        <w:rPr>
          <w:rFonts w:ascii="Times New Roman" w:hAnsi="Times New Roman" w:cs="Times New Roman"/>
          <w:sz w:val="24"/>
          <w:szCs w:val="24"/>
        </w:rPr>
        <w:t xml:space="preserve"> </w:t>
      </w:r>
      <w:r w:rsidR="00BB5F7F" w:rsidRPr="00F70CB0">
        <w:rPr>
          <w:rFonts w:ascii="Times New Roman" w:hAnsi="Times New Roman" w:cs="Times New Roman"/>
          <w:sz w:val="24"/>
          <w:szCs w:val="24"/>
        </w:rPr>
        <w:t>Católica</w:t>
      </w:r>
      <w:r w:rsidRPr="00F70CB0">
        <w:rPr>
          <w:rFonts w:ascii="Times New Roman" w:hAnsi="Times New Roman" w:cs="Times New Roman"/>
          <w:sz w:val="24"/>
          <w:szCs w:val="24"/>
        </w:rPr>
        <w:t xml:space="preserve"> Portuguesa.</w:t>
      </w:r>
    </w:p>
    <w:p w14:paraId="44CC001B" w14:textId="799C8C2A" w:rsidR="00F343C0" w:rsidRPr="00F70CB0" w:rsidRDefault="00F343C0">
      <w:pPr>
        <w:pStyle w:val="ListParagraph"/>
        <w:numPr>
          <w:ilvl w:val="0"/>
          <w:numId w:val="23"/>
        </w:numPr>
        <w:jc w:val="both"/>
        <w:rPr>
          <w:rFonts w:ascii="Times New Roman" w:hAnsi="Times New Roman" w:cs="Times New Roman"/>
          <w:sz w:val="24"/>
          <w:szCs w:val="24"/>
        </w:rPr>
      </w:pPr>
      <w:r w:rsidRPr="00F70CB0">
        <w:rPr>
          <w:rFonts w:ascii="Times New Roman" w:hAnsi="Times New Roman" w:cs="Times New Roman"/>
          <w:sz w:val="24"/>
          <w:szCs w:val="24"/>
        </w:rPr>
        <w:t xml:space="preserve">Saputra, M., Santosa, P.I. and </w:t>
      </w:r>
      <w:proofErr w:type="spellStart"/>
      <w:r w:rsidRPr="00F70CB0">
        <w:rPr>
          <w:rFonts w:ascii="Times New Roman" w:hAnsi="Times New Roman" w:cs="Times New Roman"/>
          <w:sz w:val="24"/>
          <w:szCs w:val="24"/>
        </w:rPr>
        <w:t>Permanasari</w:t>
      </w:r>
      <w:proofErr w:type="spellEnd"/>
      <w:r w:rsidRPr="00F70CB0">
        <w:rPr>
          <w:rFonts w:ascii="Times New Roman" w:hAnsi="Times New Roman" w:cs="Times New Roman"/>
          <w:sz w:val="24"/>
          <w:szCs w:val="24"/>
        </w:rPr>
        <w:t xml:space="preserve">, A.E. (2023) ‘Consumer behaviour and acceptance in fintech adoption: a systematic literature review’, Acta Informatica </w:t>
      </w:r>
      <w:proofErr w:type="spellStart"/>
      <w:r w:rsidRPr="00F70CB0">
        <w:rPr>
          <w:rFonts w:ascii="Times New Roman" w:hAnsi="Times New Roman" w:cs="Times New Roman"/>
          <w:sz w:val="24"/>
          <w:szCs w:val="24"/>
        </w:rPr>
        <w:t>Pragensia</w:t>
      </w:r>
      <w:proofErr w:type="spellEnd"/>
      <w:r w:rsidRPr="00F70CB0">
        <w:rPr>
          <w:rFonts w:ascii="Times New Roman" w:hAnsi="Times New Roman" w:cs="Times New Roman"/>
          <w:sz w:val="24"/>
          <w:szCs w:val="24"/>
        </w:rPr>
        <w:t>, 12(2), pp. 468–489.</w:t>
      </w:r>
    </w:p>
    <w:p w14:paraId="14B788DB" w14:textId="682F4CA7" w:rsidR="00F343C0" w:rsidRPr="00F70CB0" w:rsidRDefault="00F343C0">
      <w:pPr>
        <w:pStyle w:val="ListParagraph"/>
        <w:numPr>
          <w:ilvl w:val="0"/>
          <w:numId w:val="2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Setiyawati</w:t>
      </w:r>
      <w:proofErr w:type="spellEnd"/>
      <w:r w:rsidRPr="00F70CB0">
        <w:rPr>
          <w:rFonts w:ascii="Times New Roman" w:hAnsi="Times New Roman" w:cs="Times New Roman"/>
          <w:sz w:val="24"/>
          <w:szCs w:val="24"/>
        </w:rPr>
        <w:t xml:space="preserve">, N. and </w:t>
      </w:r>
      <w:proofErr w:type="spellStart"/>
      <w:r w:rsidRPr="00F70CB0">
        <w:rPr>
          <w:rFonts w:ascii="Times New Roman" w:hAnsi="Times New Roman" w:cs="Times New Roman"/>
          <w:sz w:val="24"/>
          <w:szCs w:val="24"/>
        </w:rPr>
        <w:t>Bangkalang</w:t>
      </w:r>
      <w:proofErr w:type="spellEnd"/>
      <w:r w:rsidRPr="00F70CB0">
        <w:rPr>
          <w:rFonts w:ascii="Times New Roman" w:hAnsi="Times New Roman" w:cs="Times New Roman"/>
          <w:sz w:val="24"/>
          <w:szCs w:val="24"/>
        </w:rPr>
        <w:t>, D.H. (2022) ‘The comparison of evaluation on user experience and usability of mobile banking applications using user experience questionnaire and system usability scale’, in Proceedings, 82(1), p. 87.</w:t>
      </w:r>
    </w:p>
    <w:p w14:paraId="7980B0CC" w14:textId="45BBE3C9" w:rsidR="00F343C0" w:rsidRPr="00F70CB0" w:rsidRDefault="00F343C0">
      <w:pPr>
        <w:pStyle w:val="ListParagraph"/>
        <w:numPr>
          <w:ilvl w:val="0"/>
          <w:numId w:val="21"/>
        </w:numPr>
        <w:jc w:val="both"/>
        <w:rPr>
          <w:rFonts w:ascii="Times New Roman" w:hAnsi="Times New Roman" w:cs="Times New Roman"/>
          <w:sz w:val="24"/>
          <w:szCs w:val="24"/>
        </w:rPr>
      </w:pPr>
      <w:r w:rsidRPr="00F70CB0">
        <w:rPr>
          <w:rFonts w:ascii="Times New Roman" w:hAnsi="Times New Roman" w:cs="Times New Roman"/>
          <w:sz w:val="24"/>
          <w:szCs w:val="24"/>
        </w:rPr>
        <w:t>Seth, T., Keshari, N. and Jha, S.N. (2025)</w:t>
      </w:r>
      <w:r w:rsidR="00BB5F7F" w:rsidRPr="00F70CB0">
        <w:rPr>
          <w:rFonts w:ascii="Times New Roman" w:hAnsi="Times New Roman" w:cs="Times New Roman"/>
          <w:sz w:val="24"/>
          <w:szCs w:val="24"/>
        </w:rPr>
        <w:t>.</w:t>
      </w:r>
      <w:r w:rsidRPr="00F70CB0">
        <w:rPr>
          <w:rFonts w:ascii="Times New Roman" w:hAnsi="Times New Roman" w:cs="Times New Roman"/>
          <w:sz w:val="24"/>
          <w:szCs w:val="24"/>
        </w:rPr>
        <w:t xml:space="preserve"> Evaluating customer satisfaction through omnichannel banking integration quality: a moderated mediation mechanism.</w:t>
      </w:r>
    </w:p>
    <w:p w14:paraId="2A1742DD" w14:textId="2E733D2D" w:rsidR="00F343C0" w:rsidRPr="00F70CB0" w:rsidRDefault="00F343C0">
      <w:pPr>
        <w:pStyle w:val="ListParagraph"/>
        <w:numPr>
          <w:ilvl w:val="0"/>
          <w:numId w:val="20"/>
        </w:numPr>
        <w:jc w:val="both"/>
        <w:rPr>
          <w:rFonts w:ascii="Times New Roman" w:hAnsi="Times New Roman" w:cs="Times New Roman"/>
          <w:sz w:val="24"/>
          <w:szCs w:val="24"/>
        </w:rPr>
      </w:pPr>
      <w:r w:rsidRPr="00F70CB0">
        <w:rPr>
          <w:rFonts w:ascii="Times New Roman" w:hAnsi="Times New Roman" w:cs="Times New Roman"/>
          <w:sz w:val="24"/>
          <w:szCs w:val="24"/>
        </w:rPr>
        <w:t xml:space="preserve">Shankar, A. and </w:t>
      </w:r>
      <w:proofErr w:type="spellStart"/>
      <w:r w:rsidRPr="00F70CB0">
        <w:rPr>
          <w:rFonts w:ascii="Times New Roman" w:hAnsi="Times New Roman" w:cs="Times New Roman"/>
          <w:sz w:val="24"/>
          <w:szCs w:val="24"/>
        </w:rPr>
        <w:t>Jebarajakirthy</w:t>
      </w:r>
      <w:proofErr w:type="spellEnd"/>
      <w:r w:rsidRPr="00F70CB0">
        <w:rPr>
          <w:rFonts w:ascii="Times New Roman" w:hAnsi="Times New Roman" w:cs="Times New Roman"/>
          <w:sz w:val="24"/>
          <w:szCs w:val="24"/>
        </w:rPr>
        <w:t>, C. (2019) ‘The influence of e-banking service quality on customer loyalty: a moderated mediation approach’, International Journal of Bank Marketing, 37(5), pp. 1119–1142.</w:t>
      </w:r>
    </w:p>
    <w:p w14:paraId="3F221A62" w14:textId="4B4B9A82" w:rsidR="00F343C0" w:rsidRPr="00F70CB0" w:rsidRDefault="00F343C0">
      <w:pPr>
        <w:pStyle w:val="ListParagraph"/>
        <w:numPr>
          <w:ilvl w:val="0"/>
          <w:numId w:val="19"/>
        </w:numPr>
        <w:jc w:val="both"/>
        <w:rPr>
          <w:rFonts w:ascii="Times New Roman" w:hAnsi="Times New Roman" w:cs="Times New Roman"/>
          <w:sz w:val="24"/>
          <w:szCs w:val="24"/>
        </w:rPr>
      </w:pPr>
      <w:r w:rsidRPr="00F70CB0">
        <w:rPr>
          <w:rFonts w:ascii="Times New Roman" w:hAnsi="Times New Roman" w:cs="Times New Roman"/>
          <w:sz w:val="24"/>
          <w:szCs w:val="24"/>
        </w:rPr>
        <w:t>Sharma, V.K. and Kumar, A. (2025) ‘Determinants of online banking adoption in India: an empirical investigation’, International Journal of Business Innovation and Research, 36(2), pp. 229–247.</w:t>
      </w:r>
    </w:p>
    <w:p w14:paraId="2C173622" w14:textId="76E85D2E" w:rsidR="00F343C0" w:rsidRPr="00F70CB0" w:rsidRDefault="00F343C0">
      <w:pPr>
        <w:pStyle w:val="ListParagraph"/>
        <w:numPr>
          <w:ilvl w:val="0"/>
          <w:numId w:val="18"/>
        </w:numPr>
        <w:jc w:val="both"/>
        <w:rPr>
          <w:rFonts w:ascii="Times New Roman" w:hAnsi="Times New Roman" w:cs="Times New Roman"/>
          <w:sz w:val="24"/>
          <w:szCs w:val="24"/>
        </w:rPr>
      </w:pPr>
      <w:r w:rsidRPr="00F70CB0">
        <w:rPr>
          <w:rFonts w:ascii="Times New Roman" w:hAnsi="Times New Roman" w:cs="Times New Roman"/>
          <w:sz w:val="24"/>
          <w:szCs w:val="24"/>
        </w:rPr>
        <w:t>Shrestha, A. (2024) Customer Experience Towards Digital Banking. Doctoral dissertation. Shanker Dev Campus.</w:t>
      </w:r>
    </w:p>
    <w:p w14:paraId="24FE6096" w14:textId="473C7F31" w:rsidR="00F343C0" w:rsidRPr="00F70CB0" w:rsidRDefault="00F343C0">
      <w:pPr>
        <w:pStyle w:val="ListParagraph"/>
        <w:numPr>
          <w:ilvl w:val="0"/>
          <w:numId w:val="17"/>
        </w:numPr>
        <w:jc w:val="both"/>
        <w:rPr>
          <w:rFonts w:ascii="Times New Roman" w:hAnsi="Times New Roman" w:cs="Times New Roman"/>
          <w:sz w:val="24"/>
          <w:szCs w:val="24"/>
        </w:rPr>
      </w:pPr>
      <w:r w:rsidRPr="00F70CB0">
        <w:rPr>
          <w:rFonts w:ascii="Times New Roman" w:hAnsi="Times New Roman" w:cs="Times New Roman"/>
          <w:sz w:val="24"/>
          <w:szCs w:val="24"/>
        </w:rPr>
        <w:t>Singh, S. (2020) ‘An integrated model combining ECM and UTAUT to explain users’ post-adoption behaviour towards mobile payment systems’, Australasian Journal of Information Systems, 24.</w:t>
      </w:r>
    </w:p>
    <w:p w14:paraId="2D681968" w14:textId="0EFAD14F" w:rsidR="00F343C0" w:rsidRPr="00F70CB0" w:rsidRDefault="00F343C0">
      <w:pPr>
        <w:pStyle w:val="ListParagraph"/>
        <w:numPr>
          <w:ilvl w:val="0"/>
          <w:numId w:val="16"/>
        </w:numPr>
        <w:jc w:val="both"/>
        <w:rPr>
          <w:rFonts w:ascii="Times New Roman" w:hAnsi="Times New Roman" w:cs="Times New Roman"/>
          <w:sz w:val="24"/>
          <w:szCs w:val="24"/>
        </w:rPr>
      </w:pPr>
      <w:r w:rsidRPr="00F70CB0">
        <w:rPr>
          <w:rFonts w:ascii="Times New Roman" w:hAnsi="Times New Roman" w:cs="Times New Roman"/>
          <w:sz w:val="24"/>
          <w:szCs w:val="24"/>
        </w:rPr>
        <w:t>Singh, S. and Srivastava, R.K. (2020) ‘Understanding the intention to use mobile banking by existing online banking customers: an empirical study’, Journal of Financial Services Marketing, 25(3), pp. 86–96.</w:t>
      </w:r>
    </w:p>
    <w:p w14:paraId="534F0E83" w14:textId="2159D987" w:rsidR="00F343C0" w:rsidRPr="00F70CB0" w:rsidRDefault="00F343C0">
      <w:pPr>
        <w:pStyle w:val="ListParagraph"/>
        <w:numPr>
          <w:ilvl w:val="0"/>
          <w:numId w:val="15"/>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lastRenderedPageBreak/>
        <w:t>Slazus</w:t>
      </w:r>
      <w:proofErr w:type="spellEnd"/>
      <w:r w:rsidRPr="00F70CB0">
        <w:rPr>
          <w:rFonts w:ascii="Times New Roman" w:hAnsi="Times New Roman" w:cs="Times New Roman"/>
          <w:sz w:val="24"/>
          <w:szCs w:val="24"/>
        </w:rPr>
        <w:t>, B.J. and Bick, G. (2022) ‘Factors that influence FinTech adoption in South Africa: a study of consumer behaviour towards branchless mobile banking’, Athens Journal of Business &amp; Economics, 8(1), pp. 43–64.</w:t>
      </w:r>
    </w:p>
    <w:p w14:paraId="0370F9A9" w14:textId="353A8700" w:rsidR="00F343C0" w:rsidRPr="00F70CB0" w:rsidRDefault="00F343C0">
      <w:pPr>
        <w:pStyle w:val="ListParagraph"/>
        <w:numPr>
          <w:ilvl w:val="0"/>
          <w:numId w:val="14"/>
        </w:numPr>
        <w:jc w:val="both"/>
        <w:rPr>
          <w:rFonts w:ascii="Times New Roman" w:hAnsi="Times New Roman" w:cs="Times New Roman"/>
          <w:sz w:val="24"/>
          <w:szCs w:val="24"/>
        </w:rPr>
      </w:pPr>
      <w:r w:rsidRPr="00F70CB0">
        <w:rPr>
          <w:rFonts w:ascii="Times New Roman" w:hAnsi="Times New Roman" w:cs="Times New Roman"/>
          <w:sz w:val="24"/>
          <w:szCs w:val="24"/>
        </w:rPr>
        <w:t>Snyder, H. (2019) ‘Literature review as a research methodology: an overview and guidelines’, Journal of Business Research, 104, pp. 333–339.</w:t>
      </w:r>
    </w:p>
    <w:p w14:paraId="7D17E673" w14:textId="335A9608" w:rsidR="00F343C0" w:rsidRPr="00F70CB0" w:rsidRDefault="00F343C0">
      <w:pPr>
        <w:pStyle w:val="ListParagraph"/>
        <w:numPr>
          <w:ilvl w:val="0"/>
          <w:numId w:val="13"/>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Suci</w:t>
      </w:r>
      <w:proofErr w:type="spellEnd"/>
      <w:r w:rsidRPr="00F70CB0">
        <w:rPr>
          <w:rFonts w:ascii="Times New Roman" w:hAnsi="Times New Roman" w:cs="Times New Roman"/>
          <w:sz w:val="24"/>
          <w:szCs w:val="24"/>
        </w:rPr>
        <w:t>, F.C.W. and Dahlan, K.S.S. (2023) ‘The effect of security and trust on mobile banking customer satisfaction mediated by convenience factors’, Journal of Social Science (</w:t>
      </w:r>
      <w:proofErr w:type="spellStart"/>
      <w:r w:rsidRPr="00F70CB0">
        <w:rPr>
          <w:rFonts w:ascii="Times New Roman" w:hAnsi="Times New Roman" w:cs="Times New Roman"/>
          <w:sz w:val="24"/>
          <w:szCs w:val="24"/>
        </w:rPr>
        <w:t>JoSS</w:t>
      </w:r>
      <w:proofErr w:type="spellEnd"/>
      <w:r w:rsidRPr="00F70CB0">
        <w:rPr>
          <w:rFonts w:ascii="Times New Roman" w:hAnsi="Times New Roman" w:cs="Times New Roman"/>
          <w:sz w:val="24"/>
          <w:szCs w:val="24"/>
        </w:rPr>
        <w:t>), 2(10), pp. 888–902.</w:t>
      </w:r>
    </w:p>
    <w:p w14:paraId="69CC0521" w14:textId="4296EEF9" w:rsidR="00F343C0" w:rsidRPr="00F70CB0" w:rsidRDefault="00F343C0">
      <w:pPr>
        <w:pStyle w:val="ListParagraph"/>
        <w:numPr>
          <w:ilvl w:val="0"/>
          <w:numId w:val="12"/>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Tanuwijaya</w:t>
      </w:r>
      <w:proofErr w:type="spellEnd"/>
      <w:r w:rsidRPr="00F70CB0">
        <w:rPr>
          <w:rFonts w:ascii="Times New Roman" w:hAnsi="Times New Roman" w:cs="Times New Roman"/>
          <w:sz w:val="24"/>
          <w:szCs w:val="24"/>
        </w:rPr>
        <w:t>, E. and Oktavia, T. (2023) ‘Analysis of the factors influencing customer switching behaviour of the millennials in digital banks’, Journal of System and Management Sciences, 13(2), pp. 122–133.</w:t>
      </w:r>
    </w:p>
    <w:p w14:paraId="0663209B" w14:textId="4BB03967" w:rsidR="00F343C0" w:rsidRPr="00F70CB0" w:rsidRDefault="00F343C0">
      <w:pPr>
        <w:pStyle w:val="ListParagraph"/>
        <w:numPr>
          <w:ilvl w:val="0"/>
          <w:numId w:val="11"/>
        </w:numPr>
        <w:jc w:val="both"/>
        <w:rPr>
          <w:rFonts w:ascii="Times New Roman" w:hAnsi="Times New Roman" w:cs="Times New Roman"/>
          <w:sz w:val="24"/>
          <w:szCs w:val="24"/>
        </w:rPr>
      </w:pPr>
      <w:r w:rsidRPr="00F70CB0">
        <w:rPr>
          <w:rFonts w:ascii="Times New Roman" w:hAnsi="Times New Roman" w:cs="Times New Roman"/>
          <w:sz w:val="24"/>
          <w:szCs w:val="24"/>
        </w:rPr>
        <w:t>Torraco, R.J. (2005) ‘Writing integrative literature reviews: guidelines and examples’, Human Resource Development Review, 4(3), pp. 356–367.</w:t>
      </w:r>
    </w:p>
    <w:p w14:paraId="5F67035A" w14:textId="36D95C21" w:rsidR="00F343C0" w:rsidRPr="00F70CB0" w:rsidRDefault="00F343C0">
      <w:pPr>
        <w:pStyle w:val="ListParagraph"/>
        <w:numPr>
          <w:ilvl w:val="0"/>
          <w:numId w:val="10"/>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Tranfield</w:t>
      </w:r>
      <w:proofErr w:type="spellEnd"/>
      <w:r w:rsidRPr="00F70CB0">
        <w:rPr>
          <w:rFonts w:ascii="Times New Roman" w:hAnsi="Times New Roman" w:cs="Times New Roman"/>
          <w:sz w:val="24"/>
          <w:szCs w:val="24"/>
        </w:rPr>
        <w:t>, D., Denyer, D. and Smart, P. (2003) ‘Towards a methodology for developing evidence-informed management knowledge by means of systematic review’, British Journal of Management, 14(3), pp. 207–222.</w:t>
      </w:r>
    </w:p>
    <w:p w14:paraId="12B96277" w14:textId="7F373213" w:rsidR="00F343C0" w:rsidRPr="00F70CB0" w:rsidRDefault="00F343C0">
      <w:pPr>
        <w:pStyle w:val="ListParagraph"/>
        <w:numPr>
          <w:ilvl w:val="0"/>
          <w:numId w:val="9"/>
        </w:numPr>
        <w:jc w:val="both"/>
        <w:rPr>
          <w:rFonts w:ascii="Times New Roman" w:hAnsi="Times New Roman" w:cs="Times New Roman"/>
          <w:sz w:val="24"/>
          <w:szCs w:val="24"/>
        </w:rPr>
      </w:pPr>
      <w:proofErr w:type="spellStart"/>
      <w:r w:rsidRPr="00F70CB0">
        <w:rPr>
          <w:rFonts w:ascii="Times New Roman" w:hAnsi="Times New Roman" w:cs="Times New Roman"/>
          <w:sz w:val="24"/>
          <w:szCs w:val="24"/>
        </w:rPr>
        <w:t>Vedadi</w:t>
      </w:r>
      <w:proofErr w:type="spellEnd"/>
      <w:r w:rsidRPr="00F70CB0">
        <w:rPr>
          <w:rFonts w:ascii="Times New Roman" w:hAnsi="Times New Roman" w:cs="Times New Roman"/>
          <w:sz w:val="24"/>
          <w:szCs w:val="24"/>
        </w:rPr>
        <w:t>, A. and Warkentin, M. (2016) ‘Continuance intention on using mobile banking applications: a replication study of information systems continuance model’, AIS Transactions on Replication Research, 2(1), p. 7.</w:t>
      </w:r>
    </w:p>
    <w:p w14:paraId="2D1DA281" w14:textId="0388EC2E" w:rsidR="00F343C0" w:rsidRPr="00F70CB0" w:rsidRDefault="00F343C0">
      <w:pPr>
        <w:pStyle w:val="ListParagraph"/>
        <w:numPr>
          <w:ilvl w:val="0"/>
          <w:numId w:val="8"/>
        </w:numPr>
        <w:jc w:val="both"/>
        <w:rPr>
          <w:rFonts w:ascii="Times New Roman" w:hAnsi="Times New Roman" w:cs="Times New Roman"/>
          <w:sz w:val="24"/>
          <w:szCs w:val="24"/>
        </w:rPr>
      </w:pPr>
      <w:r w:rsidRPr="00F70CB0">
        <w:rPr>
          <w:rFonts w:ascii="Times New Roman" w:hAnsi="Times New Roman" w:cs="Times New Roman"/>
          <w:sz w:val="24"/>
          <w:szCs w:val="24"/>
        </w:rPr>
        <w:t xml:space="preserve">Velika, Y. and Adnas, D.A. (2025) ‘The impact of user experience and customer satisfaction on customer loyalty in BCA mobile banking’, </w:t>
      </w:r>
      <w:proofErr w:type="spellStart"/>
      <w:r w:rsidRPr="00F70CB0">
        <w:rPr>
          <w:rFonts w:ascii="Times New Roman" w:hAnsi="Times New Roman" w:cs="Times New Roman"/>
          <w:sz w:val="24"/>
          <w:szCs w:val="24"/>
        </w:rPr>
        <w:t>ZONAsi</w:t>
      </w:r>
      <w:proofErr w:type="spellEnd"/>
      <w:r w:rsidRPr="00F70CB0">
        <w:rPr>
          <w:rFonts w:ascii="Times New Roman" w:hAnsi="Times New Roman" w:cs="Times New Roman"/>
          <w:sz w:val="24"/>
          <w:szCs w:val="24"/>
        </w:rPr>
        <w:t xml:space="preserve">: </w:t>
      </w:r>
      <w:proofErr w:type="spellStart"/>
      <w:r w:rsidRPr="00F70CB0">
        <w:rPr>
          <w:rFonts w:ascii="Times New Roman" w:hAnsi="Times New Roman" w:cs="Times New Roman"/>
          <w:sz w:val="24"/>
          <w:szCs w:val="24"/>
        </w:rPr>
        <w:t>Jurnal</w:t>
      </w:r>
      <w:proofErr w:type="spellEnd"/>
      <w:r w:rsidRPr="00F70CB0">
        <w:rPr>
          <w:rFonts w:ascii="Times New Roman" w:hAnsi="Times New Roman" w:cs="Times New Roman"/>
          <w:sz w:val="24"/>
          <w:szCs w:val="24"/>
        </w:rPr>
        <w:t xml:space="preserve"> </w:t>
      </w:r>
      <w:proofErr w:type="spellStart"/>
      <w:r w:rsidRPr="00F70CB0">
        <w:rPr>
          <w:rFonts w:ascii="Times New Roman" w:hAnsi="Times New Roman" w:cs="Times New Roman"/>
          <w:sz w:val="24"/>
          <w:szCs w:val="24"/>
        </w:rPr>
        <w:t>Sistem</w:t>
      </w:r>
      <w:proofErr w:type="spellEnd"/>
      <w:r w:rsidRPr="00F70CB0">
        <w:rPr>
          <w:rFonts w:ascii="Times New Roman" w:hAnsi="Times New Roman" w:cs="Times New Roman"/>
          <w:sz w:val="24"/>
          <w:szCs w:val="24"/>
        </w:rPr>
        <w:t xml:space="preserve"> </w:t>
      </w:r>
      <w:proofErr w:type="spellStart"/>
      <w:r w:rsidRPr="00F70CB0">
        <w:rPr>
          <w:rFonts w:ascii="Times New Roman" w:hAnsi="Times New Roman" w:cs="Times New Roman"/>
          <w:sz w:val="24"/>
          <w:szCs w:val="24"/>
        </w:rPr>
        <w:t>Informasi</w:t>
      </w:r>
      <w:proofErr w:type="spellEnd"/>
      <w:r w:rsidRPr="00F70CB0">
        <w:rPr>
          <w:rFonts w:ascii="Times New Roman" w:hAnsi="Times New Roman" w:cs="Times New Roman"/>
          <w:sz w:val="24"/>
          <w:szCs w:val="24"/>
        </w:rPr>
        <w:t>, 7(2), pp. 638–648.</w:t>
      </w:r>
    </w:p>
    <w:p w14:paraId="651DCEFF" w14:textId="3009B37B" w:rsidR="00F343C0" w:rsidRPr="00F70CB0" w:rsidRDefault="00F343C0">
      <w:pPr>
        <w:pStyle w:val="ListParagraph"/>
        <w:numPr>
          <w:ilvl w:val="0"/>
          <w:numId w:val="7"/>
        </w:numPr>
        <w:jc w:val="both"/>
        <w:rPr>
          <w:rFonts w:ascii="Times New Roman" w:hAnsi="Times New Roman" w:cs="Times New Roman"/>
          <w:sz w:val="24"/>
          <w:szCs w:val="24"/>
        </w:rPr>
      </w:pPr>
      <w:r w:rsidRPr="00F70CB0">
        <w:rPr>
          <w:rFonts w:ascii="Times New Roman" w:hAnsi="Times New Roman" w:cs="Times New Roman"/>
          <w:sz w:val="24"/>
          <w:szCs w:val="24"/>
        </w:rPr>
        <w:t>Venkatesh, V. and Bala, H. (2008) ‘Technology Acceptance Model 3 and a research agenda on interventions’, Decision Sciences, 39(2), pp. 273–315.</w:t>
      </w:r>
    </w:p>
    <w:p w14:paraId="29A25B52" w14:textId="507B94D6" w:rsidR="00F343C0" w:rsidRPr="00F70CB0" w:rsidRDefault="00F343C0">
      <w:pPr>
        <w:pStyle w:val="ListParagraph"/>
        <w:numPr>
          <w:ilvl w:val="0"/>
          <w:numId w:val="6"/>
        </w:numPr>
        <w:jc w:val="both"/>
        <w:rPr>
          <w:rFonts w:ascii="Times New Roman" w:hAnsi="Times New Roman" w:cs="Times New Roman"/>
          <w:sz w:val="24"/>
          <w:szCs w:val="24"/>
        </w:rPr>
      </w:pPr>
      <w:r w:rsidRPr="00F70CB0">
        <w:rPr>
          <w:rFonts w:ascii="Times New Roman" w:hAnsi="Times New Roman" w:cs="Times New Roman"/>
          <w:sz w:val="24"/>
          <w:szCs w:val="24"/>
        </w:rPr>
        <w:t>Venkatesh, V. and Davis, F.D. (2000) ‘A theoretical extension of the Technology Acceptance Model: four longitudinal field studies’, Management Science, 46(2), pp. 186–204.</w:t>
      </w:r>
    </w:p>
    <w:p w14:paraId="1E07BFDB" w14:textId="5EE69F56" w:rsidR="00F343C0" w:rsidRPr="00F70CB0" w:rsidRDefault="00F343C0">
      <w:pPr>
        <w:pStyle w:val="ListParagraph"/>
        <w:numPr>
          <w:ilvl w:val="0"/>
          <w:numId w:val="5"/>
        </w:numPr>
        <w:jc w:val="both"/>
        <w:rPr>
          <w:rFonts w:ascii="Times New Roman" w:hAnsi="Times New Roman" w:cs="Times New Roman"/>
          <w:sz w:val="24"/>
          <w:szCs w:val="24"/>
        </w:rPr>
      </w:pPr>
      <w:r w:rsidRPr="00F70CB0">
        <w:rPr>
          <w:rFonts w:ascii="Times New Roman" w:hAnsi="Times New Roman" w:cs="Times New Roman"/>
          <w:sz w:val="24"/>
          <w:szCs w:val="24"/>
        </w:rPr>
        <w:t>Venkatesh, V., Morris, M.G., Davis, G.B. and Davis, F.D. (2003) ‘User acceptance of information technology: toward a unified view’, MIS Quarterly, 27(3), pp. 425–478.</w:t>
      </w:r>
    </w:p>
    <w:p w14:paraId="0D1688C9" w14:textId="15DE57A6" w:rsidR="00F343C0" w:rsidRPr="00F70CB0" w:rsidRDefault="00F343C0">
      <w:pPr>
        <w:pStyle w:val="ListParagraph"/>
        <w:numPr>
          <w:ilvl w:val="0"/>
          <w:numId w:val="4"/>
        </w:numPr>
        <w:jc w:val="both"/>
        <w:rPr>
          <w:rFonts w:ascii="Times New Roman" w:hAnsi="Times New Roman" w:cs="Times New Roman"/>
          <w:sz w:val="24"/>
          <w:szCs w:val="24"/>
        </w:rPr>
      </w:pPr>
      <w:r w:rsidRPr="00F70CB0">
        <w:rPr>
          <w:rFonts w:ascii="Times New Roman" w:hAnsi="Times New Roman" w:cs="Times New Roman"/>
          <w:sz w:val="24"/>
          <w:szCs w:val="24"/>
        </w:rPr>
        <w:t>Webster, J. and Watson, R.T. (2002) ‘</w:t>
      </w:r>
      <w:r w:rsidR="00073A87" w:rsidRPr="00F70CB0">
        <w:rPr>
          <w:rFonts w:ascii="Times New Roman" w:hAnsi="Times New Roman" w:cs="Times New Roman"/>
          <w:sz w:val="24"/>
          <w:szCs w:val="24"/>
        </w:rPr>
        <w:t>Analysing</w:t>
      </w:r>
      <w:r w:rsidRPr="00F70CB0">
        <w:rPr>
          <w:rFonts w:ascii="Times New Roman" w:hAnsi="Times New Roman" w:cs="Times New Roman"/>
          <w:sz w:val="24"/>
          <w:szCs w:val="24"/>
        </w:rPr>
        <w:t xml:space="preserve"> the past to prepare for the future: writing a literature review’, MIS Quarterly, 26(2), pp. xiii–xxiii.</w:t>
      </w:r>
    </w:p>
    <w:p w14:paraId="5D1F7D39" w14:textId="348A394C" w:rsidR="00045A36" w:rsidRPr="00F70CB0" w:rsidRDefault="00F343C0">
      <w:pPr>
        <w:pStyle w:val="ListParagraph"/>
        <w:numPr>
          <w:ilvl w:val="0"/>
          <w:numId w:val="3"/>
        </w:numPr>
        <w:jc w:val="both"/>
        <w:rPr>
          <w:rFonts w:ascii="Times New Roman" w:hAnsi="Times New Roman" w:cs="Times New Roman"/>
          <w:sz w:val="24"/>
          <w:szCs w:val="24"/>
        </w:rPr>
      </w:pPr>
      <w:r w:rsidRPr="00F70CB0">
        <w:rPr>
          <w:rFonts w:ascii="Times New Roman" w:hAnsi="Times New Roman" w:cs="Times New Roman"/>
          <w:sz w:val="24"/>
          <w:szCs w:val="24"/>
        </w:rPr>
        <w:t>Yuan, Y., Lai, F. and Chu, Z. (2019) ‘Continuous usage intention of internet banking: a commitment-trust model’, Information Systems and e-Business Management, 17(1), pp. 1–25.</w:t>
      </w:r>
    </w:p>
    <w:p w14:paraId="3FBE3A27" w14:textId="77777777" w:rsidR="00045A36" w:rsidRPr="00F70CB0" w:rsidRDefault="00045A36" w:rsidP="00F343C0">
      <w:pPr>
        <w:ind w:left="720"/>
        <w:jc w:val="both"/>
        <w:rPr>
          <w:sz w:val="24"/>
          <w:szCs w:val="24"/>
          <w:lang w:val="en-GB"/>
        </w:rPr>
      </w:pPr>
    </w:p>
    <w:p w14:paraId="77C5312D" w14:textId="77777777" w:rsidR="00045A36" w:rsidRPr="00F70CB0" w:rsidRDefault="00045A36" w:rsidP="00F343C0">
      <w:pPr>
        <w:ind w:left="720"/>
        <w:jc w:val="both"/>
        <w:rPr>
          <w:sz w:val="24"/>
          <w:szCs w:val="24"/>
          <w:lang w:val="en-GB"/>
        </w:rPr>
      </w:pPr>
    </w:p>
    <w:p w14:paraId="0AF30F76" w14:textId="77777777" w:rsidR="00045A36" w:rsidRPr="00F70CB0" w:rsidRDefault="00045A36" w:rsidP="00C92931">
      <w:pPr>
        <w:ind w:left="720"/>
        <w:jc w:val="both"/>
        <w:rPr>
          <w:sz w:val="24"/>
          <w:szCs w:val="24"/>
          <w:lang w:val="en-GB"/>
        </w:rPr>
      </w:pPr>
    </w:p>
    <w:p w14:paraId="31A81904" w14:textId="77777777" w:rsidR="00045A36" w:rsidRPr="00F70CB0" w:rsidRDefault="00045A36" w:rsidP="00C92931">
      <w:pPr>
        <w:ind w:left="720"/>
        <w:jc w:val="both"/>
        <w:rPr>
          <w:sz w:val="24"/>
          <w:szCs w:val="24"/>
          <w:lang w:val="en-GB"/>
        </w:rPr>
      </w:pPr>
    </w:p>
    <w:p w14:paraId="2A07F33E" w14:textId="77777777" w:rsidR="00045A36" w:rsidRPr="00F70CB0" w:rsidRDefault="00045A36" w:rsidP="00C92931">
      <w:pPr>
        <w:ind w:left="720"/>
        <w:jc w:val="both"/>
        <w:rPr>
          <w:sz w:val="24"/>
          <w:szCs w:val="24"/>
          <w:lang w:val="en-GB"/>
        </w:rPr>
      </w:pPr>
    </w:p>
    <w:p w14:paraId="6456E0A8" w14:textId="77777777" w:rsidR="00045A36" w:rsidRPr="00F70CB0" w:rsidRDefault="00045A36" w:rsidP="00C92931">
      <w:pPr>
        <w:ind w:left="720"/>
        <w:jc w:val="both"/>
        <w:rPr>
          <w:sz w:val="24"/>
          <w:szCs w:val="24"/>
          <w:lang w:val="en-GB"/>
        </w:rPr>
      </w:pPr>
    </w:p>
    <w:p w14:paraId="1B8ECD76" w14:textId="77777777" w:rsidR="00045A36" w:rsidRPr="00F70CB0" w:rsidRDefault="00045A36" w:rsidP="00D40C9B">
      <w:pPr>
        <w:jc w:val="both"/>
        <w:rPr>
          <w:sz w:val="24"/>
          <w:szCs w:val="24"/>
          <w:lang w:val="en-GB"/>
        </w:rPr>
      </w:pPr>
    </w:p>
    <w:p w14:paraId="7F15A35F" w14:textId="77777777" w:rsidR="00045A36" w:rsidRPr="00F70CB0" w:rsidRDefault="00045A36" w:rsidP="00C92931">
      <w:pPr>
        <w:ind w:left="720"/>
        <w:jc w:val="both"/>
        <w:rPr>
          <w:sz w:val="24"/>
          <w:szCs w:val="24"/>
          <w:lang w:val="en-GB"/>
        </w:rPr>
      </w:pPr>
    </w:p>
    <w:p w14:paraId="233F0DB1" w14:textId="77777777" w:rsidR="00F46854" w:rsidRPr="00F70CB0" w:rsidRDefault="00F46854" w:rsidP="00073A87">
      <w:pPr>
        <w:tabs>
          <w:tab w:val="left" w:pos="2532"/>
        </w:tabs>
        <w:jc w:val="both"/>
        <w:rPr>
          <w:b/>
          <w:bCs/>
          <w:sz w:val="32"/>
          <w:szCs w:val="32"/>
          <w:lang w:val="en-GB"/>
        </w:rPr>
        <w:sectPr w:rsidR="00F46854" w:rsidRPr="00F70CB0" w:rsidSect="00917CBF">
          <w:footerReference w:type="default" r:id="rId13"/>
          <w:pgSz w:w="11906" w:h="16838"/>
          <w:pgMar w:top="1440" w:right="1440" w:bottom="1440" w:left="1440" w:header="708" w:footer="708" w:gutter="0"/>
          <w:cols w:space="708"/>
          <w:docGrid w:linePitch="360"/>
        </w:sectPr>
      </w:pPr>
    </w:p>
    <w:p w14:paraId="0F367F3E" w14:textId="1BA3016C" w:rsidR="000D15B2" w:rsidRPr="00F70CB0" w:rsidRDefault="006B2794" w:rsidP="00073A87">
      <w:pPr>
        <w:pStyle w:val="Heading1"/>
        <w:jc w:val="both"/>
        <w:rPr>
          <w:rFonts w:ascii="Times New Roman" w:hAnsi="Times New Roman" w:cs="Times New Roman"/>
          <w:sz w:val="32"/>
          <w:szCs w:val="32"/>
        </w:rPr>
      </w:pPr>
      <w:bookmarkStart w:id="53" w:name="_Toc227353520"/>
      <w:r w:rsidRPr="00F70CB0">
        <w:rPr>
          <w:rFonts w:ascii="Times New Roman" w:hAnsi="Times New Roman" w:cs="Times New Roman"/>
          <w:sz w:val="32"/>
          <w:szCs w:val="32"/>
        </w:rPr>
        <w:lastRenderedPageBreak/>
        <w:t xml:space="preserve">5 </w:t>
      </w:r>
      <w:r w:rsidR="000D15B2" w:rsidRPr="00F70CB0">
        <w:rPr>
          <w:rFonts w:ascii="Times New Roman" w:hAnsi="Times New Roman" w:cs="Times New Roman"/>
          <w:sz w:val="32"/>
          <w:szCs w:val="32"/>
        </w:rPr>
        <w:t>Appendices</w:t>
      </w:r>
      <w:bookmarkEnd w:id="53"/>
    </w:p>
    <w:tbl>
      <w:tblPr>
        <w:tblW w:w="9350" w:type="dxa"/>
        <w:tblLook w:val="04A0" w:firstRow="1" w:lastRow="0" w:firstColumn="1" w:lastColumn="0" w:noHBand="0" w:noVBand="1"/>
      </w:tblPr>
      <w:tblGrid>
        <w:gridCol w:w="510"/>
        <w:gridCol w:w="1643"/>
        <w:gridCol w:w="1643"/>
        <w:gridCol w:w="1563"/>
        <w:gridCol w:w="1456"/>
        <w:gridCol w:w="977"/>
        <w:gridCol w:w="1876"/>
        <w:gridCol w:w="1629"/>
        <w:gridCol w:w="2145"/>
      </w:tblGrid>
      <w:tr w:rsidR="000D15B2" w:rsidRPr="00F70CB0" w14:paraId="77D26C1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8BC2D4A" w14:textId="77777777" w:rsidR="000D15B2" w:rsidRPr="00F70CB0" w:rsidRDefault="000D15B2" w:rsidP="00073A87">
            <w:pPr>
              <w:spacing w:before="0" w:after="0"/>
              <w:jc w:val="both"/>
              <w:rPr>
                <w:b/>
                <w:bCs/>
                <w:color w:val="000000"/>
                <w:sz w:val="24"/>
                <w:szCs w:val="24"/>
                <w:lang w:val="en-GB" w:eastAsia="en-GB"/>
              </w:rPr>
            </w:pPr>
            <w:r w:rsidRPr="00F70CB0">
              <w:rPr>
                <w:b/>
                <w:bCs/>
                <w:color w:val="000000"/>
                <w:sz w:val="24"/>
                <w:szCs w:val="24"/>
                <w:lang w:val="en-GB" w:eastAsia="en-GB"/>
              </w:rPr>
              <w:t>No</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26223977" w14:textId="77777777" w:rsidR="000D15B2" w:rsidRPr="00F70CB0" w:rsidRDefault="000D15B2" w:rsidP="00073A87">
            <w:pPr>
              <w:spacing w:before="0" w:after="0"/>
              <w:jc w:val="both"/>
              <w:rPr>
                <w:b/>
                <w:bCs/>
                <w:color w:val="000000"/>
                <w:sz w:val="24"/>
                <w:szCs w:val="24"/>
                <w:lang w:val="en-GB" w:eastAsia="en-GB"/>
              </w:rPr>
            </w:pPr>
            <w:r w:rsidRPr="00F70CB0">
              <w:rPr>
                <w:b/>
                <w:bCs/>
                <w:color w:val="000000"/>
                <w:sz w:val="24"/>
                <w:szCs w:val="24"/>
                <w:lang w:val="en-GB" w:eastAsia="en-GB"/>
              </w:rPr>
              <w:t>Author</w:t>
            </w:r>
          </w:p>
        </w:tc>
        <w:tc>
          <w:tcPr>
            <w:tcW w:w="678" w:type="dxa"/>
            <w:tcBorders>
              <w:top w:val="single" w:sz="4" w:space="0" w:color="auto"/>
              <w:left w:val="single" w:sz="4" w:space="0" w:color="auto"/>
              <w:bottom w:val="single" w:sz="4" w:space="0" w:color="auto"/>
              <w:right w:val="single" w:sz="4" w:space="0" w:color="auto"/>
            </w:tcBorders>
            <w:noWrap/>
            <w:vAlign w:val="bottom"/>
            <w:hideMark/>
          </w:tcPr>
          <w:p w14:paraId="0A034BF2" w14:textId="77777777" w:rsidR="000D15B2" w:rsidRPr="00F70CB0" w:rsidRDefault="000D15B2" w:rsidP="00073A87">
            <w:pPr>
              <w:spacing w:before="0" w:after="0"/>
              <w:jc w:val="both"/>
              <w:rPr>
                <w:b/>
                <w:bCs/>
                <w:color w:val="000000"/>
                <w:sz w:val="24"/>
                <w:szCs w:val="24"/>
                <w:lang w:val="en-GB" w:eastAsia="en-GB"/>
              </w:rPr>
            </w:pPr>
            <w:r w:rsidRPr="00F70CB0">
              <w:rPr>
                <w:b/>
                <w:bCs/>
                <w:color w:val="000000"/>
                <w:sz w:val="24"/>
                <w:szCs w:val="24"/>
                <w:lang w:val="en-GB" w:eastAsia="en-GB"/>
              </w:rPr>
              <w:t>Country</w:t>
            </w:r>
          </w:p>
        </w:tc>
        <w:tc>
          <w:tcPr>
            <w:tcW w:w="1196" w:type="dxa"/>
            <w:tcBorders>
              <w:top w:val="single" w:sz="4" w:space="0" w:color="auto"/>
              <w:left w:val="single" w:sz="4" w:space="0" w:color="auto"/>
              <w:bottom w:val="single" w:sz="4" w:space="0" w:color="auto"/>
              <w:right w:val="single" w:sz="4" w:space="0" w:color="auto"/>
            </w:tcBorders>
            <w:noWrap/>
            <w:vAlign w:val="bottom"/>
            <w:hideMark/>
          </w:tcPr>
          <w:p w14:paraId="3B8541DB" w14:textId="77777777" w:rsidR="000D15B2" w:rsidRPr="00F70CB0" w:rsidRDefault="000D15B2" w:rsidP="00073A87">
            <w:pPr>
              <w:spacing w:before="0" w:after="0"/>
              <w:jc w:val="both"/>
              <w:rPr>
                <w:b/>
                <w:bCs/>
                <w:color w:val="000000"/>
                <w:sz w:val="24"/>
                <w:szCs w:val="24"/>
                <w:lang w:val="en-GB" w:eastAsia="en-GB"/>
              </w:rPr>
            </w:pPr>
            <w:r w:rsidRPr="00F70CB0">
              <w:rPr>
                <w:b/>
                <w:bCs/>
                <w:color w:val="000000"/>
                <w:sz w:val="24"/>
                <w:szCs w:val="24"/>
                <w:lang w:val="en-GB" w:eastAsia="en-GB"/>
              </w:rPr>
              <w:t>Theory</w:t>
            </w:r>
          </w:p>
        </w:tc>
        <w:tc>
          <w:tcPr>
            <w:tcW w:w="711" w:type="dxa"/>
            <w:tcBorders>
              <w:top w:val="single" w:sz="4" w:space="0" w:color="auto"/>
              <w:left w:val="single" w:sz="4" w:space="0" w:color="auto"/>
              <w:bottom w:val="single" w:sz="4" w:space="0" w:color="auto"/>
              <w:right w:val="single" w:sz="4" w:space="0" w:color="auto"/>
            </w:tcBorders>
            <w:noWrap/>
            <w:vAlign w:val="bottom"/>
            <w:hideMark/>
          </w:tcPr>
          <w:p w14:paraId="023C3838" w14:textId="77777777" w:rsidR="000D15B2" w:rsidRPr="00F70CB0" w:rsidRDefault="000D15B2" w:rsidP="00073A87">
            <w:pPr>
              <w:spacing w:before="0" w:after="0"/>
              <w:jc w:val="both"/>
              <w:rPr>
                <w:b/>
                <w:bCs/>
                <w:color w:val="000000"/>
                <w:sz w:val="24"/>
                <w:szCs w:val="24"/>
                <w:lang w:val="en-GB" w:eastAsia="en-GB"/>
              </w:rPr>
            </w:pPr>
            <w:r w:rsidRPr="00F70CB0">
              <w:rPr>
                <w:b/>
                <w:bCs/>
                <w:color w:val="000000"/>
                <w:sz w:val="24"/>
                <w:szCs w:val="24"/>
                <w:lang w:val="en-GB" w:eastAsia="en-GB"/>
              </w:rPr>
              <w:t>Method</w:t>
            </w:r>
          </w:p>
        </w:tc>
        <w:tc>
          <w:tcPr>
            <w:tcW w:w="447" w:type="dxa"/>
            <w:tcBorders>
              <w:top w:val="single" w:sz="4" w:space="0" w:color="auto"/>
              <w:left w:val="single" w:sz="4" w:space="0" w:color="auto"/>
              <w:bottom w:val="single" w:sz="4" w:space="0" w:color="auto"/>
              <w:right w:val="single" w:sz="4" w:space="0" w:color="auto"/>
            </w:tcBorders>
            <w:noWrap/>
            <w:vAlign w:val="bottom"/>
            <w:hideMark/>
          </w:tcPr>
          <w:p w14:paraId="5B455EA9" w14:textId="77777777" w:rsidR="000D15B2" w:rsidRPr="00F70CB0" w:rsidRDefault="000D15B2" w:rsidP="00073A87">
            <w:pPr>
              <w:spacing w:before="0" w:after="0"/>
              <w:jc w:val="both"/>
              <w:rPr>
                <w:b/>
                <w:bCs/>
                <w:color w:val="000000"/>
                <w:sz w:val="24"/>
                <w:szCs w:val="24"/>
                <w:lang w:val="en-GB" w:eastAsia="en-GB"/>
              </w:rPr>
            </w:pPr>
            <w:r w:rsidRPr="00F70CB0">
              <w:rPr>
                <w:b/>
                <w:bCs/>
                <w:color w:val="000000"/>
                <w:sz w:val="24"/>
                <w:szCs w:val="24"/>
                <w:lang w:val="en-GB" w:eastAsia="en-GB"/>
              </w:rPr>
              <w:t>Sample</w:t>
            </w:r>
          </w:p>
        </w:tc>
        <w:tc>
          <w:tcPr>
            <w:tcW w:w="1695" w:type="dxa"/>
            <w:tcBorders>
              <w:top w:val="single" w:sz="4" w:space="0" w:color="auto"/>
              <w:left w:val="single" w:sz="4" w:space="0" w:color="auto"/>
              <w:bottom w:val="single" w:sz="4" w:space="0" w:color="auto"/>
              <w:right w:val="single" w:sz="4" w:space="0" w:color="auto"/>
            </w:tcBorders>
            <w:noWrap/>
            <w:vAlign w:val="bottom"/>
            <w:hideMark/>
          </w:tcPr>
          <w:p w14:paraId="0F4D5A95" w14:textId="77777777" w:rsidR="000D15B2" w:rsidRPr="00F70CB0" w:rsidRDefault="000D15B2" w:rsidP="00073A87">
            <w:pPr>
              <w:spacing w:before="0" w:after="0"/>
              <w:jc w:val="both"/>
              <w:rPr>
                <w:b/>
                <w:bCs/>
                <w:color w:val="000000"/>
                <w:sz w:val="24"/>
                <w:szCs w:val="24"/>
                <w:lang w:val="en-GB" w:eastAsia="en-GB"/>
              </w:rPr>
            </w:pPr>
            <w:r w:rsidRPr="00F70CB0">
              <w:rPr>
                <w:b/>
                <w:bCs/>
                <w:color w:val="000000"/>
                <w:sz w:val="24"/>
                <w:szCs w:val="24"/>
                <w:lang w:val="en-GB" w:eastAsia="en-GB"/>
              </w:rPr>
              <w:t>Variables</w:t>
            </w:r>
          </w:p>
        </w:tc>
        <w:tc>
          <w:tcPr>
            <w:tcW w:w="922" w:type="dxa"/>
            <w:tcBorders>
              <w:top w:val="single" w:sz="4" w:space="0" w:color="auto"/>
              <w:left w:val="single" w:sz="4" w:space="0" w:color="auto"/>
              <w:bottom w:val="single" w:sz="4" w:space="0" w:color="auto"/>
              <w:right w:val="single" w:sz="4" w:space="0" w:color="auto"/>
            </w:tcBorders>
            <w:noWrap/>
            <w:vAlign w:val="bottom"/>
            <w:hideMark/>
          </w:tcPr>
          <w:p w14:paraId="2598C0CD" w14:textId="77777777" w:rsidR="000D15B2" w:rsidRPr="00F70CB0" w:rsidRDefault="000D15B2" w:rsidP="00073A87">
            <w:pPr>
              <w:spacing w:before="0" w:after="0"/>
              <w:jc w:val="both"/>
              <w:rPr>
                <w:b/>
                <w:bCs/>
                <w:color w:val="000000"/>
                <w:sz w:val="24"/>
                <w:szCs w:val="24"/>
                <w:lang w:val="en-GB" w:eastAsia="en-GB"/>
              </w:rPr>
            </w:pPr>
            <w:r w:rsidRPr="00F70CB0">
              <w:rPr>
                <w:b/>
                <w:bCs/>
                <w:color w:val="000000"/>
                <w:sz w:val="24"/>
                <w:szCs w:val="24"/>
                <w:lang w:val="en-GB" w:eastAsia="en-GB"/>
              </w:rPr>
              <w:t>Theme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0293490" w14:textId="77777777" w:rsidR="000D15B2" w:rsidRPr="00F70CB0" w:rsidRDefault="000D15B2" w:rsidP="00073A87">
            <w:pPr>
              <w:spacing w:before="0" w:after="0"/>
              <w:jc w:val="both"/>
              <w:rPr>
                <w:b/>
                <w:bCs/>
                <w:color w:val="000000"/>
                <w:sz w:val="24"/>
                <w:szCs w:val="24"/>
                <w:lang w:val="en-GB" w:eastAsia="en-GB"/>
              </w:rPr>
            </w:pPr>
            <w:r w:rsidRPr="00F70CB0">
              <w:rPr>
                <w:b/>
                <w:bCs/>
                <w:color w:val="000000"/>
                <w:sz w:val="24"/>
                <w:szCs w:val="24"/>
                <w:lang w:val="en-GB" w:eastAsia="en-GB"/>
              </w:rPr>
              <w:t xml:space="preserve">Research gap </w:t>
            </w:r>
          </w:p>
        </w:tc>
      </w:tr>
      <w:tr w:rsidR="000D15B2" w:rsidRPr="00F70CB0" w14:paraId="54B01A8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E89072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w:t>
            </w:r>
          </w:p>
        </w:tc>
        <w:tc>
          <w:tcPr>
            <w:tcW w:w="1134" w:type="dxa"/>
            <w:tcBorders>
              <w:top w:val="nil"/>
              <w:left w:val="nil"/>
              <w:bottom w:val="single" w:sz="4" w:space="0" w:color="auto"/>
              <w:right w:val="single" w:sz="4" w:space="0" w:color="auto"/>
            </w:tcBorders>
            <w:noWrap/>
            <w:vAlign w:val="bottom"/>
            <w:hideMark/>
          </w:tcPr>
          <w:p w14:paraId="49E4D69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Naeem et al. (2026)</w:t>
            </w:r>
          </w:p>
        </w:tc>
        <w:tc>
          <w:tcPr>
            <w:tcW w:w="678" w:type="dxa"/>
            <w:tcBorders>
              <w:top w:val="nil"/>
              <w:left w:val="nil"/>
              <w:bottom w:val="single" w:sz="4" w:space="0" w:color="auto"/>
              <w:right w:val="single" w:sz="4" w:space="0" w:color="auto"/>
            </w:tcBorders>
            <w:noWrap/>
            <w:vAlign w:val="bottom"/>
            <w:hideMark/>
          </w:tcPr>
          <w:p w14:paraId="6B09FE4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Pakistan</w:t>
            </w:r>
          </w:p>
        </w:tc>
        <w:tc>
          <w:tcPr>
            <w:tcW w:w="1196" w:type="dxa"/>
            <w:tcBorders>
              <w:top w:val="nil"/>
              <w:left w:val="nil"/>
              <w:bottom w:val="single" w:sz="4" w:space="0" w:color="auto"/>
              <w:right w:val="single" w:sz="4" w:space="0" w:color="auto"/>
            </w:tcBorders>
            <w:noWrap/>
            <w:vAlign w:val="bottom"/>
            <w:hideMark/>
          </w:tcPr>
          <w:p w14:paraId="796CE14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 ECT</w:t>
            </w:r>
          </w:p>
        </w:tc>
        <w:tc>
          <w:tcPr>
            <w:tcW w:w="711" w:type="dxa"/>
            <w:tcBorders>
              <w:top w:val="nil"/>
              <w:left w:val="nil"/>
              <w:bottom w:val="single" w:sz="4" w:space="0" w:color="auto"/>
              <w:right w:val="single" w:sz="4" w:space="0" w:color="auto"/>
            </w:tcBorders>
            <w:noWrap/>
            <w:vAlign w:val="bottom"/>
            <w:hideMark/>
          </w:tcPr>
          <w:p w14:paraId="610C3C6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2D756DB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CFEF7D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PU, Trust, Continuance</w:t>
            </w:r>
          </w:p>
        </w:tc>
        <w:tc>
          <w:tcPr>
            <w:tcW w:w="922" w:type="dxa"/>
            <w:tcBorders>
              <w:top w:val="nil"/>
              <w:left w:val="nil"/>
              <w:bottom w:val="single" w:sz="4" w:space="0" w:color="auto"/>
              <w:right w:val="single" w:sz="4" w:space="0" w:color="auto"/>
            </w:tcBorders>
            <w:noWrap/>
            <w:vAlign w:val="bottom"/>
            <w:hideMark/>
          </w:tcPr>
          <w:p w14:paraId="2C76142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8F0B081" w14:textId="75DB5D4B"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to </w:t>
            </w:r>
            <w:r w:rsidR="009F1DF3" w:rsidRPr="00F70CB0">
              <w:rPr>
                <w:color w:val="000000"/>
                <w:sz w:val="24"/>
                <w:szCs w:val="24"/>
                <w:lang w:val="en-GB" w:eastAsia="en-GB"/>
              </w:rPr>
              <w:t xml:space="preserve">the </w:t>
            </w:r>
            <w:r w:rsidRPr="00F70CB0">
              <w:rPr>
                <w:color w:val="000000"/>
                <w:sz w:val="24"/>
                <w:szCs w:val="24"/>
                <w:lang w:val="en-GB" w:eastAsia="en-GB"/>
              </w:rPr>
              <w:t>Pakistan context; lacks cross-cultural validation and broader applicability</w:t>
            </w:r>
          </w:p>
        </w:tc>
      </w:tr>
      <w:tr w:rsidR="000D15B2" w:rsidRPr="00F70CB0" w14:paraId="338BB5BD"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2F5B84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w:t>
            </w:r>
          </w:p>
        </w:tc>
        <w:tc>
          <w:tcPr>
            <w:tcW w:w="1134" w:type="dxa"/>
            <w:tcBorders>
              <w:top w:val="nil"/>
              <w:left w:val="nil"/>
              <w:bottom w:val="single" w:sz="4" w:space="0" w:color="auto"/>
              <w:right w:val="single" w:sz="4" w:space="0" w:color="auto"/>
            </w:tcBorders>
            <w:noWrap/>
            <w:vAlign w:val="bottom"/>
            <w:hideMark/>
          </w:tcPr>
          <w:p w14:paraId="27AC625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Nguyen &amp; Dao (2024)</w:t>
            </w:r>
          </w:p>
        </w:tc>
        <w:tc>
          <w:tcPr>
            <w:tcW w:w="678" w:type="dxa"/>
            <w:tcBorders>
              <w:top w:val="nil"/>
              <w:left w:val="nil"/>
              <w:bottom w:val="single" w:sz="4" w:space="0" w:color="auto"/>
              <w:right w:val="single" w:sz="4" w:space="0" w:color="auto"/>
            </w:tcBorders>
            <w:noWrap/>
            <w:vAlign w:val="bottom"/>
            <w:hideMark/>
          </w:tcPr>
          <w:p w14:paraId="1B44E9C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Vietnam</w:t>
            </w:r>
          </w:p>
        </w:tc>
        <w:tc>
          <w:tcPr>
            <w:tcW w:w="1196" w:type="dxa"/>
            <w:tcBorders>
              <w:top w:val="nil"/>
              <w:left w:val="nil"/>
              <w:bottom w:val="single" w:sz="4" w:space="0" w:color="auto"/>
              <w:right w:val="single" w:sz="4" w:space="0" w:color="auto"/>
            </w:tcBorders>
            <w:noWrap/>
            <w:vAlign w:val="bottom"/>
            <w:hideMark/>
          </w:tcPr>
          <w:p w14:paraId="3DC8C5F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Extended ECM</w:t>
            </w:r>
          </w:p>
        </w:tc>
        <w:tc>
          <w:tcPr>
            <w:tcW w:w="711" w:type="dxa"/>
            <w:tcBorders>
              <w:top w:val="nil"/>
              <w:left w:val="nil"/>
              <w:bottom w:val="single" w:sz="4" w:space="0" w:color="auto"/>
              <w:right w:val="single" w:sz="4" w:space="0" w:color="auto"/>
            </w:tcBorders>
            <w:noWrap/>
            <w:vAlign w:val="bottom"/>
            <w:hideMark/>
          </w:tcPr>
          <w:p w14:paraId="5A60672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3F633B9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CF298B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Satisfaction, Continuance</w:t>
            </w:r>
          </w:p>
        </w:tc>
        <w:tc>
          <w:tcPr>
            <w:tcW w:w="922" w:type="dxa"/>
            <w:tcBorders>
              <w:top w:val="nil"/>
              <w:left w:val="nil"/>
              <w:bottom w:val="single" w:sz="4" w:space="0" w:color="auto"/>
              <w:right w:val="single" w:sz="4" w:space="0" w:color="auto"/>
            </w:tcBorders>
            <w:noWrap/>
            <w:vAlign w:val="bottom"/>
            <w:hideMark/>
          </w:tcPr>
          <w:p w14:paraId="61D9F53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1A1B43A"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Focuses mainly on trust moderation; ignores other behavioural and emotional factors</w:t>
            </w:r>
          </w:p>
        </w:tc>
      </w:tr>
      <w:tr w:rsidR="000D15B2" w:rsidRPr="00F70CB0" w14:paraId="4161158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1C7F4F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w:t>
            </w:r>
          </w:p>
        </w:tc>
        <w:tc>
          <w:tcPr>
            <w:tcW w:w="1134" w:type="dxa"/>
            <w:tcBorders>
              <w:top w:val="nil"/>
              <w:left w:val="nil"/>
              <w:bottom w:val="single" w:sz="4" w:space="0" w:color="auto"/>
              <w:right w:val="single" w:sz="4" w:space="0" w:color="auto"/>
            </w:tcBorders>
            <w:noWrap/>
            <w:vAlign w:val="bottom"/>
            <w:hideMark/>
          </w:tcPr>
          <w:p w14:paraId="3F0E97B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Albort-Morant et al. (2022)</w:t>
            </w:r>
          </w:p>
        </w:tc>
        <w:tc>
          <w:tcPr>
            <w:tcW w:w="678" w:type="dxa"/>
            <w:tcBorders>
              <w:top w:val="nil"/>
              <w:left w:val="nil"/>
              <w:bottom w:val="single" w:sz="4" w:space="0" w:color="auto"/>
              <w:right w:val="single" w:sz="4" w:space="0" w:color="auto"/>
            </w:tcBorders>
            <w:noWrap/>
            <w:vAlign w:val="bottom"/>
            <w:hideMark/>
          </w:tcPr>
          <w:p w14:paraId="2DE01F9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Spain</w:t>
            </w:r>
          </w:p>
        </w:tc>
        <w:tc>
          <w:tcPr>
            <w:tcW w:w="1196" w:type="dxa"/>
            <w:tcBorders>
              <w:top w:val="nil"/>
              <w:left w:val="nil"/>
              <w:bottom w:val="single" w:sz="4" w:space="0" w:color="auto"/>
              <w:right w:val="single" w:sz="4" w:space="0" w:color="auto"/>
            </w:tcBorders>
            <w:noWrap/>
            <w:vAlign w:val="bottom"/>
            <w:hideMark/>
          </w:tcPr>
          <w:p w14:paraId="0A28B1A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w:t>
            </w:r>
          </w:p>
        </w:tc>
        <w:tc>
          <w:tcPr>
            <w:tcW w:w="711" w:type="dxa"/>
            <w:tcBorders>
              <w:top w:val="nil"/>
              <w:left w:val="nil"/>
              <w:bottom w:val="single" w:sz="4" w:space="0" w:color="auto"/>
              <w:right w:val="single" w:sz="4" w:space="0" w:color="auto"/>
            </w:tcBorders>
            <w:noWrap/>
            <w:vAlign w:val="bottom"/>
            <w:hideMark/>
          </w:tcPr>
          <w:p w14:paraId="56335C2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0B634F3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7BE38F6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PU, PEOU, Adoption</w:t>
            </w:r>
          </w:p>
        </w:tc>
        <w:tc>
          <w:tcPr>
            <w:tcW w:w="922" w:type="dxa"/>
            <w:tcBorders>
              <w:top w:val="nil"/>
              <w:left w:val="nil"/>
              <w:bottom w:val="single" w:sz="4" w:space="0" w:color="auto"/>
              <w:right w:val="single" w:sz="4" w:space="0" w:color="auto"/>
            </w:tcBorders>
            <w:noWrap/>
            <w:vAlign w:val="bottom"/>
            <w:hideMark/>
          </w:tcPr>
          <w:p w14:paraId="6402589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90E3702"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Examines adoption only; does not address post-adoption or continuance behaviour</w:t>
            </w:r>
          </w:p>
        </w:tc>
      </w:tr>
      <w:tr w:rsidR="000D15B2" w:rsidRPr="00F70CB0" w14:paraId="54C76F8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482BE2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w:t>
            </w:r>
          </w:p>
        </w:tc>
        <w:tc>
          <w:tcPr>
            <w:tcW w:w="1134" w:type="dxa"/>
            <w:tcBorders>
              <w:top w:val="nil"/>
              <w:left w:val="nil"/>
              <w:bottom w:val="single" w:sz="4" w:space="0" w:color="auto"/>
              <w:right w:val="single" w:sz="4" w:space="0" w:color="auto"/>
            </w:tcBorders>
            <w:noWrap/>
            <w:vAlign w:val="bottom"/>
            <w:hideMark/>
          </w:tcPr>
          <w:p w14:paraId="66C65C5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Kumar et al. (2023)</w:t>
            </w:r>
          </w:p>
        </w:tc>
        <w:tc>
          <w:tcPr>
            <w:tcW w:w="678" w:type="dxa"/>
            <w:tcBorders>
              <w:top w:val="nil"/>
              <w:left w:val="nil"/>
              <w:bottom w:val="single" w:sz="4" w:space="0" w:color="auto"/>
              <w:right w:val="single" w:sz="4" w:space="0" w:color="auto"/>
            </w:tcBorders>
            <w:noWrap/>
            <w:vAlign w:val="bottom"/>
            <w:hideMark/>
          </w:tcPr>
          <w:p w14:paraId="62D0BAC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7C9A9AA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w:t>
            </w:r>
          </w:p>
        </w:tc>
        <w:tc>
          <w:tcPr>
            <w:tcW w:w="711" w:type="dxa"/>
            <w:tcBorders>
              <w:top w:val="nil"/>
              <w:left w:val="nil"/>
              <w:bottom w:val="single" w:sz="4" w:space="0" w:color="auto"/>
              <w:right w:val="single" w:sz="4" w:space="0" w:color="auto"/>
            </w:tcBorders>
            <w:noWrap/>
            <w:vAlign w:val="bottom"/>
            <w:hideMark/>
          </w:tcPr>
          <w:p w14:paraId="522C704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DDD469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7CEACC8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Perceived Risk, Trust, Adoption</w:t>
            </w:r>
          </w:p>
        </w:tc>
        <w:tc>
          <w:tcPr>
            <w:tcW w:w="922" w:type="dxa"/>
            <w:tcBorders>
              <w:top w:val="nil"/>
              <w:left w:val="nil"/>
              <w:bottom w:val="single" w:sz="4" w:space="0" w:color="auto"/>
              <w:right w:val="single" w:sz="4" w:space="0" w:color="auto"/>
            </w:tcBorders>
            <w:noWrap/>
            <w:vAlign w:val="bottom"/>
            <w:hideMark/>
          </w:tcPr>
          <w:p w14:paraId="56B61D0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3858837" w14:textId="106FD698"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Limited to </w:t>
            </w:r>
            <w:r w:rsidR="009F1DF3" w:rsidRPr="00F70CB0">
              <w:rPr>
                <w:color w:val="000000"/>
                <w:sz w:val="24"/>
                <w:szCs w:val="24"/>
                <w:lang w:val="en-GB" w:eastAsia="en-GB"/>
              </w:rPr>
              <w:t xml:space="preserve">the </w:t>
            </w:r>
            <w:r w:rsidRPr="00F70CB0">
              <w:rPr>
                <w:color w:val="000000"/>
                <w:sz w:val="24"/>
                <w:szCs w:val="24"/>
                <w:lang w:val="en-GB" w:eastAsia="en-GB"/>
              </w:rPr>
              <w:t>Indian context</w:t>
            </w:r>
            <w:r w:rsidR="009F1DF3" w:rsidRPr="00F70CB0">
              <w:rPr>
                <w:color w:val="000000"/>
                <w:sz w:val="24"/>
                <w:szCs w:val="24"/>
                <w:lang w:val="en-GB" w:eastAsia="en-GB"/>
              </w:rPr>
              <w:t>,</w:t>
            </w:r>
            <w:r w:rsidRPr="00F70CB0">
              <w:rPr>
                <w:color w:val="000000"/>
                <w:sz w:val="24"/>
                <w:szCs w:val="24"/>
                <w:lang w:val="en-GB" w:eastAsia="en-GB"/>
              </w:rPr>
              <w:t xml:space="preserve"> cultural bias affects generalisability</w:t>
            </w:r>
          </w:p>
        </w:tc>
      </w:tr>
      <w:tr w:rsidR="000D15B2" w:rsidRPr="00F70CB0" w14:paraId="62D70B0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20FA90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w:t>
            </w:r>
          </w:p>
        </w:tc>
        <w:tc>
          <w:tcPr>
            <w:tcW w:w="1134" w:type="dxa"/>
            <w:tcBorders>
              <w:top w:val="nil"/>
              <w:left w:val="nil"/>
              <w:bottom w:val="single" w:sz="4" w:space="0" w:color="auto"/>
              <w:right w:val="single" w:sz="4" w:space="0" w:color="auto"/>
            </w:tcBorders>
            <w:noWrap/>
            <w:vAlign w:val="bottom"/>
            <w:hideMark/>
          </w:tcPr>
          <w:p w14:paraId="2DD4307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Antony (2024)</w:t>
            </w:r>
          </w:p>
        </w:tc>
        <w:tc>
          <w:tcPr>
            <w:tcW w:w="678" w:type="dxa"/>
            <w:tcBorders>
              <w:top w:val="nil"/>
              <w:left w:val="nil"/>
              <w:bottom w:val="single" w:sz="4" w:space="0" w:color="auto"/>
              <w:right w:val="single" w:sz="4" w:space="0" w:color="auto"/>
            </w:tcBorders>
            <w:noWrap/>
            <w:vAlign w:val="bottom"/>
            <w:hideMark/>
          </w:tcPr>
          <w:p w14:paraId="4054CEB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Ireland</w:t>
            </w:r>
          </w:p>
        </w:tc>
        <w:tc>
          <w:tcPr>
            <w:tcW w:w="1196" w:type="dxa"/>
            <w:tcBorders>
              <w:top w:val="nil"/>
              <w:left w:val="nil"/>
              <w:bottom w:val="single" w:sz="4" w:space="0" w:color="auto"/>
              <w:right w:val="single" w:sz="4" w:space="0" w:color="auto"/>
            </w:tcBorders>
            <w:noWrap/>
            <w:vAlign w:val="bottom"/>
            <w:hideMark/>
          </w:tcPr>
          <w:p w14:paraId="108AAF1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w:t>
            </w:r>
          </w:p>
        </w:tc>
        <w:tc>
          <w:tcPr>
            <w:tcW w:w="711" w:type="dxa"/>
            <w:tcBorders>
              <w:top w:val="nil"/>
              <w:left w:val="nil"/>
              <w:bottom w:val="single" w:sz="4" w:space="0" w:color="auto"/>
              <w:right w:val="single" w:sz="4" w:space="0" w:color="auto"/>
            </w:tcBorders>
            <w:noWrap/>
            <w:vAlign w:val="bottom"/>
            <w:hideMark/>
          </w:tcPr>
          <w:p w14:paraId="336B440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Doctoral dissertation</w:t>
            </w:r>
          </w:p>
        </w:tc>
        <w:tc>
          <w:tcPr>
            <w:tcW w:w="447" w:type="dxa"/>
            <w:tcBorders>
              <w:top w:val="nil"/>
              <w:left w:val="nil"/>
              <w:bottom w:val="single" w:sz="4" w:space="0" w:color="auto"/>
              <w:right w:val="single" w:sz="4" w:space="0" w:color="auto"/>
            </w:tcBorders>
            <w:noWrap/>
            <w:vAlign w:val="bottom"/>
            <w:hideMark/>
          </w:tcPr>
          <w:p w14:paraId="351D3EA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DFA119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Satisfaction, Loyalty</w:t>
            </w:r>
          </w:p>
        </w:tc>
        <w:tc>
          <w:tcPr>
            <w:tcW w:w="922" w:type="dxa"/>
            <w:tcBorders>
              <w:top w:val="nil"/>
              <w:left w:val="nil"/>
              <w:bottom w:val="single" w:sz="4" w:space="0" w:color="auto"/>
              <w:right w:val="single" w:sz="4" w:space="0" w:color="auto"/>
            </w:tcBorders>
            <w:noWrap/>
            <w:vAlign w:val="bottom"/>
            <w:hideMark/>
          </w:tcPr>
          <w:p w14:paraId="3D80D3A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E-banking service quality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2445755" w14:textId="312D2084"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Dissertation scope</w:t>
            </w:r>
            <w:r w:rsidR="009F1DF3" w:rsidRPr="00F70CB0">
              <w:rPr>
                <w:color w:val="000000"/>
                <w:sz w:val="24"/>
                <w:szCs w:val="24"/>
                <w:lang w:val="en-GB" w:eastAsia="en-GB"/>
              </w:rPr>
              <w:t>:</w:t>
            </w:r>
            <w:r w:rsidRPr="00F70CB0">
              <w:rPr>
                <w:color w:val="000000"/>
                <w:sz w:val="24"/>
                <w:szCs w:val="24"/>
                <w:lang w:val="en-GB" w:eastAsia="en-GB"/>
              </w:rPr>
              <w:t xml:space="preserve"> limited empirical depth and generalisability</w:t>
            </w:r>
          </w:p>
        </w:tc>
      </w:tr>
      <w:tr w:rsidR="000D15B2" w:rsidRPr="00F70CB0" w14:paraId="7FE89D0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ECFF43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w:t>
            </w:r>
          </w:p>
        </w:tc>
        <w:tc>
          <w:tcPr>
            <w:tcW w:w="1134" w:type="dxa"/>
            <w:tcBorders>
              <w:top w:val="nil"/>
              <w:left w:val="nil"/>
              <w:bottom w:val="single" w:sz="4" w:space="0" w:color="auto"/>
              <w:right w:val="single" w:sz="4" w:space="0" w:color="auto"/>
            </w:tcBorders>
            <w:noWrap/>
            <w:vAlign w:val="bottom"/>
            <w:hideMark/>
          </w:tcPr>
          <w:p w14:paraId="3AD9FEC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Sharma &amp; Kumar (2025)</w:t>
            </w:r>
          </w:p>
        </w:tc>
        <w:tc>
          <w:tcPr>
            <w:tcW w:w="678" w:type="dxa"/>
            <w:tcBorders>
              <w:top w:val="nil"/>
              <w:left w:val="nil"/>
              <w:bottom w:val="single" w:sz="4" w:space="0" w:color="auto"/>
              <w:right w:val="single" w:sz="4" w:space="0" w:color="auto"/>
            </w:tcBorders>
            <w:noWrap/>
            <w:vAlign w:val="bottom"/>
            <w:hideMark/>
          </w:tcPr>
          <w:p w14:paraId="580F4BA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5DD5B36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Adoption Model</w:t>
            </w:r>
          </w:p>
        </w:tc>
        <w:tc>
          <w:tcPr>
            <w:tcW w:w="711" w:type="dxa"/>
            <w:tcBorders>
              <w:top w:val="nil"/>
              <w:left w:val="nil"/>
              <w:bottom w:val="single" w:sz="4" w:space="0" w:color="auto"/>
              <w:right w:val="single" w:sz="4" w:space="0" w:color="auto"/>
            </w:tcBorders>
            <w:noWrap/>
            <w:vAlign w:val="bottom"/>
            <w:hideMark/>
          </w:tcPr>
          <w:p w14:paraId="6A4FAA8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Empirical / Quantitative</w:t>
            </w:r>
          </w:p>
        </w:tc>
        <w:tc>
          <w:tcPr>
            <w:tcW w:w="447" w:type="dxa"/>
            <w:tcBorders>
              <w:top w:val="nil"/>
              <w:left w:val="nil"/>
              <w:bottom w:val="single" w:sz="4" w:space="0" w:color="auto"/>
              <w:right w:val="single" w:sz="4" w:space="0" w:color="auto"/>
            </w:tcBorders>
            <w:noWrap/>
            <w:vAlign w:val="bottom"/>
            <w:hideMark/>
          </w:tcPr>
          <w:p w14:paraId="0D4D63B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CF7548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Adoption factors</w:t>
            </w:r>
          </w:p>
        </w:tc>
        <w:tc>
          <w:tcPr>
            <w:tcW w:w="922" w:type="dxa"/>
            <w:tcBorders>
              <w:top w:val="nil"/>
              <w:left w:val="nil"/>
              <w:bottom w:val="single" w:sz="4" w:space="0" w:color="auto"/>
              <w:right w:val="single" w:sz="4" w:space="0" w:color="auto"/>
            </w:tcBorders>
            <w:noWrap/>
            <w:vAlign w:val="bottom"/>
            <w:hideMark/>
          </w:tcPr>
          <w:p w14:paraId="67735C5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FAB765D"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Focuses only on technological factors; lacks </w:t>
            </w:r>
            <w:r w:rsidRPr="00F70CB0">
              <w:rPr>
                <w:color w:val="000000"/>
                <w:sz w:val="24"/>
                <w:szCs w:val="24"/>
                <w:lang w:val="en-GB" w:eastAsia="en-GB"/>
              </w:rPr>
              <w:lastRenderedPageBreak/>
              <w:t>behavioural and psychological variables</w:t>
            </w:r>
          </w:p>
        </w:tc>
      </w:tr>
      <w:tr w:rsidR="000D15B2" w:rsidRPr="00F70CB0" w14:paraId="5AA80E4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9DE290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7</w:t>
            </w:r>
          </w:p>
        </w:tc>
        <w:tc>
          <w:tcPr>
            <w:tcW w:w="1134" w:type="dxa"/>
            <w:tcBorders>
              <w:top w:val="nil"/>
              <w:left w:val="nil"/>
              <w:bottom w:val="single" w:sz="4" w:space="0" w:color="auto"/>
              <w:right w:val="single" w:sz="4" w:space="0" w:color="auto"/>
            </w:tcBorders>
            <w:noWrap/>
            <w:vAlign w:val="bottom"/>
            <w:hideMark/>
          </w:tcPr>
          <w:p w14:paraId="7AD8F6F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Saibaba (2024)</w:t>
            </w:r>
          </w:p>
        </w:tc>
        <w:tc>
          <w:tcPr>
            <w:tcW w:w="678" w:type="dxa"/>
            <w:tcBorders>
              <w:top w:val="nil"/>
              <w:left w:val="nil"/>
              <w:bottom w:val="single" w:sz="4" w:space="0" w:color="auto"/>
              <w:right w:val="single" w:sz="4" w:space="0" w:color="auto"/>
            </w:tcBorders>
            <w:noWrap/>
            <w:vAlign w:val="bottom"/>
            <w:hideMark/>
          </w:tcPr>
          <w:p w14:paraId="7088350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3466533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IS Success Model</w:t>
            </w:r>
          </w:p>
        </w:tc>
        <w:tc>
          <w:tcPr>
            <w:tcW w:w="711" w:type="dxa"/>
            <w:tcBorders>
              <w:top w:val="nil"/>
              <w:left w:val="nil"/>
              <w:bottom w:val="single" w:sz="4" w:space="0" w:color="auto"/>
              <w:right w:val="single" w:sz="4" w:space="0" w:color="auto"/>
            </w:tcBorders>
            <w:noWrap/>
            <w:vAlign w:val="bottom"/>
            <w:hideMark/>
          </w:tcPr>
          <w:p w14:paraId="54921A9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41348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345</w:t>
            </w:r>
          </w:p>
        </w:tc>
        <w:tc>
          <w:tcPr>
            <w:tcW w:w="1695" w:type="dxa"/>
            <w:tcBorders>
              <w:top w:val="nil"/>
              <w:left w:val="nil"/>
              <w:bottom w:val="single" w:sz="4" w:space="0" w:color="auto"/>
              <w:right w:val="single" w:sz="4" w:space="0" w:color="auto"/>
            </w:tcBorders>
            <w:noWrap/>
            <w:vAlign w:val="bottom"/>
            <w:hideMark/>
          </w:tcPr>
          <w:p w14:paraId="72CABC2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Quality, Satisfaction, Continuance</w:t>
            </w:r>
          </w:p>
        </w:tc>
        <w:tc>
          <w:tcPr>
            <w:tcW w:w="922" w:type="dxa"/>
            <w:tcBorders>
              <w:top w:val="nil"/>
              <w:left w:val="nil"/>
              <w:bottom w:val="single" w:sz="4" w:space="0" w:color="auto"/>
              <w:right w:val="single" w:sz="4" w:space="0" w:color="auto"/>
            </w:tcBorders>
            <w:noWrap/>
            <w:vAlign w:val="bottom"/>
            <w:hideMark/>
          </w:tcPr>
          <w:p w14:paraId="66A1AEE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3C0130F" w14:textId="6A48249E"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Limited variables within </w:t>
            </w:r>
            <w:r w:rsidR="009F1DF3" w:rsidRPr="00F70CB0">
              <w:rPr>
                <w:color w:val="000000"/>
                <w:sz w:val="24"/>
                <w:szCs w:val="24"/>
                <w:lang w:val="en-GB" w:eastAsia="en-GB"/>
              </w:rPr>
              <w:t xml:space="preserve">the </w:t>
            </w:r>
            <w:r w:rsidRPr="00F70CB0">
              <w:rPr>
                <w:color w:val="000000"/>
                <w:sz w:val="24"/>
                <w:szCs w:val="24"/>
                <w:lang w:val="en-GB" w:eastAsia="en-GB"/>
              </w:rPr>
              <w:t xml:space="preserve">IS success model; </w:t>
            </w:r>
            <w:r w:rsidR="009F1DF3" w:rsidRPr="00F70CB0">
              <w:rPr>
                <w:color w:val="000000"/>
                <w:sz w:val="24"/>
                <w:szCs w:val="24"/>
                <w:lang w:val="en-GB" w:eastAsia="en-GB"/>
              </w:rPr>
              <w:t xml:space="preserve">it </w:t>
            </w:r>
            <w:r w:rsidRPr="00F70CB0">
              <w:rPr>
                <w:color w:val="000000"/>
                <w:sz w:val="24"/>
                <w:szCs w:val="24"/>
                <w:lang w:val="en-GB" w:eastAsia="en-GB"/>
              </w:rPr>
              <w:t>ignores external contextual factors</w:t>
            </w:r>
          </w:p>
        </w:tc>
      </w:tr>
      <w:tr w:rsidR="000D15B2" w:rsidRPr="00F70CB0" w14:paraId="4910312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C39705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w:t>
            </w:r>
          </w:p>
        </w:tc>
        <w:tc>
          <w:tcPr>
            <w:tcW w:w="1134" w:type="dxa"/>
            <w:tcBorders>
              <w:top w:val="nil"/>
              <w:left w:val="nil"/>
              <w:bottom w:val="single" w:sz="4" w:space="0" w:color="auto"/>
              <w:right w:val="single" w:sz="4" w:space="0" w:color="auto"/>
            </w:tcBorders>
            <w:noWrap/>
            <w:vAlign w:val="bottom"/>
            <w:hideMark/>
          </w:tcPr>
          <w:p w14:paraId="4298C28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Ndlovu et al. (2024)</w:t>
            </w:r>
          </w:p>
        </w:tc>
        <w:tc>
          <w:tcPr>
            <w:tcW w:w="678" w:type="dxa"/>
            <w:tcBorders>
              <w:top w:val="nil"/>
              <w:left w:val="nil"/>
              <w:bottom w:val="single" w:sz="4" w:space="0" w:color="auto"/>
              <w:right w:val="single" w:sz="4" w:space="0" w:color="auto"/>
            </w:tcBorders>
            <w:noWrap/>
            <w:vAlign w:val="bottom"/>
            <w:hideMark/>
          </w:tcPr>
          <w:p w14:paraId="796BA2F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3157A31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Adoption Model</w:t>
            </w:r>
          </w:p>
        </w:tc>
        <w:tc>
          <w:tcPr>
            <w:tcW w:w="711" w:type="dxa"/>
            <w:tcBorders>
              <w:top w:val="nil"/>
              <w:left w:val="nil"/>
              <w:bottom w:val="single" w:sz="4" w:space="0" w:color="auto"/>
              <w:right w:val="single" w:sz="4" w:space="0" w:color="auto"/>
            </w:tcBorders>
            <w:noWrap/>
            <w:vAlign w:val="bottom"/>
            <w:hideMark/>
          </w:tcPr>
          <w:p w14:paraId="0A19712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0D174C1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391</w:t>
            </w:r>
          </w:p>
        </w:tc>
        <w:tc>
          <w:tcPr>
            <w:tcW w:w="1695" w:type="dxa"/>
            <w:tcBorders>
              <w:top w:val="nil"/>
              <w:left w:val="nil"/>
              <w:bottom w:val="single" w:sz="4" w:space="0" w:color="auto"/>
              <w:right w:val="single" w:sz="4" w:space="0" w:color="auto"/>
            </w:tcBorders>
            <w:noWrap/>
            <w:vAlign w:val="bottom"/>
            <w:hideMark/>
          </w:tcPr>
          <w:p w14:paraId="51CF2DE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Adoption factors</w:t>
            </w:r>
          </w:p>
        </w:tc>
        <w:tc>
          <w:tcPr>
            <w:tcW w:w="922" w:type="dxa"/>
            <w:tcBorders>
              <w:top w:val="nil"/>
              <w:left w:val="nil"/>
              <w:bottom w:val="single" w:sz="4" w:space="0" w:color="auto"/>
              <w:right w:val="single" w:sz="4" w:space="0" w:color="auto"/>
            </w:tcBorders>
            <w:noWrap/>
            <w:vAlign w:val="bottom"/>
            <w:hideMark/>
          </w:tcPr>
          <w:p w14:paraId="141FDF9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Digital-only bank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5D07473"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Early-stage research; lacks longitudinal data and deeper behavioural insights</w:t>
            </w:r>
          </w:p>
        </w:tc>
      </w:tr>
      <w:tr w:rsidR="000D15B2" w:rsidRPr="00F70CB0" w14:paraId="1749843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D3A62B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9</w:t>
            </w:r>
          </w:p>
        </w:tc>
        <w:tc>
          <w:tcPr>
            <w:tcW w:w="1134" w:type="dxa"/>
            <w:tcBorders>
              <w:top w:val="nil"/>
              <w:left w:val="nil"/>
              <w:bottom w:val="single" w:sz="4" w:space="0" w:color="auto"/>
              <w:right w:val="single" w:sz="4" w:space="0" w:color="auto"/>
            </w:tcBorders>
            <w:noWrap/>
            <w:vAlign w:val="bottom"/>
            <w:hideMark/>
          </w:tcPr>
          <w:p w14:paraId="13E8B24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Jahan &amp; Shahria (2022)</w:t>
            </w:r>
          </w:p>
        </w:tc>
        <w:tc>
          <w:tcPr>
            <w:tcW w:w="678" w:type="dxa"/>
            <w:tcBorders>
              <w:top w:val="nil"/>
              <w:left w:val="nil"/>
              <w:bottom w:val="single" w:sz="4" w:space="0" w:color="auto"/>
              <w:right w:val="single" w:sz="4" w:space="0" w:color="auto"/>
            </w:tcBorders>
            <w:noWrap/>
            <w:vAlign w:val="bottom"/>
            <w:hideMark/>
          </w:tcPr>
          <w:p w14:paraId="610C64C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Bangladesh</w:t>
            </w:r>
          </w:p>
        </w:tc>
        <w:tc>
          <w:tcPr>
            <w:tcW w:w="1196" w:type="dxa"/>
            <w:tcBorders>
              <w:top w:val="nil"/>
              <w:left w:val="nil"/>
              <w:bottom w:val="single" w:sz="4" w:space="0" w:color="auto"/>
              <w:right w:val="single" w:sz="4" w:space="0" w:color="auto"/>
            </w:tcBorders>
            <w:noWrap/>
            <w:vAlign w:val="bottom"/>
            <w:hideMark/>
          </w:tcPr>
          <w:p w14:paraId="3382D9F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w:t>
            </w:r>
          </w:p>
        </w:tc>
        <w:tc>
          <w:tcPr>
            <w:tcW w:w="711" w:type="dxa"/>
            <w:tcBorders>
              <w:top w:val="nil"/>
              <w:left w:val="nil"/>
              <w:bottom w:val="single" w:sz="4" w:space="0" w:color="auto"/>
              <w:right w:val="single" w:sz="4" w:space="0" w:color="auto"/>
            </w:tcBorders>
            <w:noWrap/>
            <w:vAlign w:val="bottom"/>
            <w:hideMark/>
          </w:tcPr>
          <w:p w14:paraId="3DF1CBD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0026373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521550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Satisfaction factors</w:t>
            </w:r>
          </w:p>
        </w:tc>
        <w:tc>
          <w:tcPr>
            <w:tcW w:w="922" w:type="dxa"/>
            <w:tcBorders>
              <w:top w:val="nil"/>
              <w:left w:val="nil"/>
              <w:bottom w:val="single" w:sz="4" w:space="0" w:color="auto"/>
              <w:right w:val="single" w:sz="4" w:space="0" w:color="auto"/>
            </w:tcBorders>
            <w:noWrap/>
            <w:vAlign w:val="bottom"/>
            <w:hideMark/>
          </w:tcPr>
          <w:p w14:paraId="7AC8E1A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satisfaction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785137E"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Focused on young users only; lacks demographic diversity</w:t>
            </w:r>
          </w:p>
        </w:tc>
      </w:tr>
      <w:tr w:rsidR="000D15B2" w:rsidRPr="00F70CB0" w14:paraId="011E2C3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A61273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10</w:t>
            </w:r>
          </w:p>
        </w:tc>
        <w:tc>
          <w:tcPr>
            <w:tcW w:w="1134" w:type="dxa"/>
            <w:tcBorders>
              <w:top w:val="nil"/>
              <w:left w:val="nil"/>
              <w:bottom w:val="single" w:sz="4" w:space="0" w:color="auto"/>
              <w:right w:val="single" w:sz="4" w:space="0" w:color="auto"/>
            </w:tcBorders>
            <w:noWrap/>
            <w:vAlign w:val="bottom"/>
            <w:hideMark/>
          </w:tcPr>
          <w:p w14:paraId="7C2A338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Singh (2020)</w:t>
            </w:r>
          </w:p>
        </w:tc>
        <w:tc>
          <w:tcPr>
            <w:tcW w:w="678" w:type="dxa"/>
            <w:tcBorders>
              <w:top w:val="nil"/>
              <w:left w:val="nil"/>
              <w:bottom w:val="single" w:sz="4" w:space="0" w:color="auto"/>
              <w:right w:val="single" w:sz="4" w:space="0" w:color="auto"/>
            </w:tcBorders>
            <w:noWrap/>
            <w:vAlign w:val="bottom"/>
            <w:hideMark/>
          </w:tcPr>
          <w:p w14:paraId="7A07DE6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1AEC8C0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ECM + UTAUT</w:t>
            </w:r>
          </w:p>
        </w:tc>
        <w:tc>
          <w:tcPr>
            <w:tcW w:w="711" w:type="dxa"/>
            <w:tcBorders>
              <w:top w:val="nil"/>
              <w:left w:val="nil"/>
              <w:bottom w:val="single" w:sz="4" w:space="0" w:color="auto"/>
              <w:right w:val="single" w:sz="4" w:space="0" w:color="auto"/>
            </w:tcBorders>
            <w:noWrap/>
            <w:vAlign w:val="bottom"/>
            <w:hideMark/>
          </w:tcPr>
          <w:p w14:paraId="7FC3FA2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1C6154D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D004A1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Post-adoption behaviour</w:t>
            </w:r>
          </w:p>
        </w:tc>
        <w:tc>
          <w:tcPr>
            <w:tcW w:w="922" w:type="dxa"/>
            <w:tcBorders>
              <w:top w:val="nil"/>
              <w:left w:val="nil"/>
              <w:bottom w:val="single" w:sz="4" w:space="0" w:color="auto"/>
              <w:right w:val="single" w:sz="4" w:space="0" w:color="auto"/>
            </w:tcBorders>
            <w:noWrap/>
            <w:vAlign w:val="bottom"/>
            <w:hideMark/>
          </w:tcPr>
          <w:p w14:paraId="6F28397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payment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5315887"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Model complexity; limited practical applicability in real-world banking</w:t>
            </w:r>
          </w:p>
        </w:tc>
      </w:tr>
      <w:tr w:rsidR="000D15B2" w:rsidRPr="00F70CB0" w14:paraId="549700E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D9295C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11</w:t>
            </w:r>
          </w:p>
        </w:tc>
        <w:tc>
          <w:tcPr>
            <w:tcW w:w="1134" w:type="dxa"/>
            <w:tcBorders>
              <w:top w:val="nil"/>
              <w:left w:val="nil"/>
              <w:bottom w:val="single" w:sz="4" w:space="0" w:color="auto"/>
              <w:right w:val="single" w:sz="4" w:space="0" w:color="auto"/>
            </w:tcBorders>
            <w:noWrap/>
            <w:vAlign w:val="bottom"/>
            <w:hideMark/>
          </w:tcPr>
          <w:p w14:paraId="7B894A7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Kumar, P.V. (n.d.)</w:t>
            </w:r>
          </w:p>
        </w:tc>
        <w:tc>
          <w:tcPr>
            <w:tcW w:w="678" w:type="dxa"/>
            <w:tcBorders>
              <w:top w:val="nil"/>
              <w:left w:val="nil"/>
              <w:bottom w:val="single" w:sz="4" w:space="0" w:color="auto"/>
              <w:right w:val="single" w:sz="4" w:space="0" w:color="auto"/>
            </w:tcBorders>
            <w:noWrap/>
            <w:vAlign w:val="bottom"/>
            <w:hideMark/>
          </w:tcPr>
          <w:p w14:paraId="5CFB763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35F265C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Post-Adoption Model</w:t>
            </w:r>
          </w:p>
        </w:tc>
        <w:tc>
          <w:tcPr>
            <w:tcW w:w="711" w:type="dxa"/>
            <w:tcBorders>
              <w:top w:val="nil"/>
              <w:left w:val="nil"/>
              <w:bottom w:val="single" w:sz="4" w:space="0" w:color="auto"/>
              <w:right w:val="single" w:sz="4" w:space="0" w:color="auto"/>
            </w:tcBorders>
            <w:noWrap/>
            <w:vAlign w:val="bottom"/>
            <w:hideMark/>
          </w:tcPr>
          <w:p w14:paraId="2F38838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Conceptual / Empirical</w:t>
            </w:r>
          </w:p>
        </w:tc>
        <w:tc>
          <w:tcPr>
            <w:tcW w:w="447" w:type="dxa"/>
            <w:tcBorders>
              <w:top w:val="nil"/>
              <w:left w:val="nil"/>
              <w:bottom w:val="single" w:sz="4" w:space="0" w:color="auto"/>
              <w:right w:val="single" w:sz="4" w:space="0" w:color="auto"/>
            </w:tcBorders>
            <w:noWrap/>
            <w:vAlign w:val="bottom"/>
            <w:hideMark/>
          </w:tcPr>
          <w:p w14:paraId="261A96E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51BF2F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Satisfaction, Switching Intention</w:t>
            </w:r>
          </w:p>
        </w:tc>
        <w:tc>
          <w:tcPr>
            <w:tcW w:w="922" w:type="dxa"/>
            <w:tcBorders>
              <w:top w:val="nil"/>
              <w:left w:val="nil"/>
              <w:bottom w:val="single" w:sz="4" w:space="0" w:color="auto"/>
              <w:right w:val="single" w:sz="4" w:space="0" w:color="auto"/>
            </w:tcBorders>
            <w:noWrap/>
            <w:vAlign w:val="bottom"/>
            <w:hideMark/>
          </w:tcPr>
          <w:p w14:paraId="7C4589E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switching behaviour</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2C96E3E" w14:textId="5CE5566A"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Lacks </w:t>
            </w:r>
            <w:r w:rsidR="009F1DF3" w:rsidRPr="00F70CB0">
              <w:rPr>
                <w:color w:val="000000"/>
                <w:sz w:val="24"/>
                <w:szCs w:val="24"/>
                <w:lang w:val="en-GB" w:eastAsia="en-GB"/>
              </w:rPr>
              <w:t xml:space="preserve">a </w:t>
            </w:r>
            <w:r w:rsidRPr="00F70CB0">
              <w:rPr>
                <w:color w:val="000000"/>
                <w:sz w:val="24"/>
                <w:szCs w:val="24"/>
                <w:lang w:val="en-GB" w:eastAsia="en-GB"/>
              </w:rPr>
              <w:t>clear theoretical grounding and updated empirical validation</w:t>
            </w:r>
          </w:p>
        </w:tc>
      </w:tr>
      <w:tr w:rsidR="000D15B2" w:rsidRPr="00F70CB0" w14:paraId="0EA92BE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009DF6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12</w:t>
            </w:r>
          </w:p>
        </w:tc>
        <w:tc>
          <w:tcPr>
            <w:tcW w:w="1134" w:type="dxa"/>
            <w:tcBorders>
              <w:top w:val="nil"/>
              <w:left w:val="nil"/>
              <w:bottom w:val="single" w:sz="4" w:space="0" w:color="auto"/>
              <w:right w:val="single" w:sz="4" w:space="0" w:color="auto"/>
            </w:tcBorders>
            <w:noWrap/>
            <w:vAlign w:val="bottom"/>
            <w:hideMark/>
          </w:tcPr>
          <w:p w14:paraId="55CD4611"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Mbama</w:t>
            </w:r>
            <w:proofErr w:type="spellEnd"/>
            <w:r w:rsidRPr="00F70CB0">
              <w:rPr>
                <w:color w:val="000000"/>
                <w:sz w:val="24"/>
                <w:szCs w:val="24"/>
                <w:lang w:val="en-GB" w:eastAsia="en-GB"/>
              </w:rPr>
              <w:t xml:space="preserve"> &amp; </w:t>
            </w:r>
            <w:proofErr w:type="spellStart"/>
            <w:r w:rsidRPr="00F70CB0">
              <w:rPr>
                <w:color w:val="000000"/>
                <w:sz w:val="24"/>
                <w:szCs w:val="24"/>
                <w:lang w:val="en-GB" w:eastAsia="en-GB"/>
              </w:rPr>
              <w:t>Ezepue</w:t>
            </w:r>
            <w:proofErr w:type="spellEnd"/>
            <w:r w:rsidRPr="00F70CB0">
              <w:rPr>
                <w:color w:val="000000"/>
                <w:sz w:val="24"/>
                <w:szCs w:val="24"/>
                <w:lang w:val="en-GB" w:eastAsia="en-GB"/>
              </w:rPr>
              <w:t xml:space="preserve"> (2018)</w:t>
            </w:r>
          </w:p>
        </w:tc>
        <w:tc>
          <w:tcPr>
            <w:tcW w:w="678" w:type="dxa"/>
            <w:tcBorders>
              <w:top w:val="nil"/>
              <w:left w:val="nil"/>
              <w:bottom w:val="single" w:sz="4" w:space="0" w:color="auto"/>
              <w:right w:val="single" w:sz="4" w:space="0" w:color="auto"/>
            </w:tcBorders>
            <w:noWrap/>
            <w:vAlign w:val="bottom"/>
            <w:hideMark/>
          </w:tcPr>
          <w:p w14:paraId="3F05E27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5FCE362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Profit Chain / Customer Experience</w:t>
            </w:r>
          </w:p>
        </w:tc>
        <w:tc>
          <w:tcPr>
            <w:tcW w:w="711" w:type="dxa"/>
            <w:tcBorders>
              <w:top w:val="nil"/>
              <w:left w:val="nil"/>
              <w:bottom w:val="single" w:sz="4" w:space="0" w:color="auto"/>
              <w:right w:val="single" w:sz="4" w:space="0" w:color="auto"/>
            </w:tcBorders>
            <w:noWrap/>
            <w:vAlign w:val="bottom"/>
            <w:hideMark/>
          </w:tcPr>
          <w:p w14:paraId="0500CCE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 + SEM</w:t>
            </w:r>
          </w:p>
        </w:tc>
        <w:tc>
          <w:tcPr>
            <w:tcW w:w="447" w:type="dxa"/>
            <w:tcBorders>
              <w:top w:val="nil"/>
              <w:left w:val="nil"/>
              <w:bottom w:val="single" w:sz="4" w:space="0" w:color="auto"/>
              <w:right w:val="single" w:sz="4" w:space="0" w:color="auto"/>
            </w:tcBorders>
            <w:noWrap/>
            <w:vAlign w:val="bottom"/>
            <w:hideMark/>
          </w:tcPr>
          <w:p w14:paraId="0AC1F6D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E26602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Customer Experience, Satisfaction, Loyalty, </w:t>
            </w:r>
            <w:r w:rsidRPr="00F70CB0">
              <w:rPr>
                <w:color w:val="000000"/>
                <w:sz w:val="24"/>
                <w:szCs w:val="24"/>
                <w:lang w:val="en-GB" w:eastAsia="en-GB"/>
              </w:rPr>
              <w:lastRenderedPageBreak/>
              <w:t>Financial Performance</w:t>
            </w:r>
          </w:p>
        </w:tc>
        <w:tc>
          <w:tcPr>
            <w:tcW w:w="922" w:type="dxa"/>
            <w:tcBorders>
              <w:top w:val="nil"/>
              <w:left w:val="nil"/>
              <w:bottom w:val="single" w:sz="4" w:space="0" w:color="auto"/>
              <w:right w:val="single" w:sz="4" w:space="0" w:color="auto"/>
            </w:tcBorders>
            <w:noWrap/>
            <w:vAlign w:val="bottom"/>
            <w:hideMark/>
          </w:tcPr>
          <w:p w14:paraId="31449DA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Digital banking customer experience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060DA73"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Limited to UK perception; lacks cross-country comparison</w:t>
            </w:r>
          </w:p>
        </w:tc>
      </w:tr>
      <w:tr w:rsidR="000D15B2" w:rsidRPr="00F70CB0" w14:paraId="54D2608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B05B9E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13</w:t>
            </w:r>
          </w:p>
        </w:tc>
        <w:tc>
          <w:tcPr>
            <w:tcW w:w="1134" w:type="dxa"/>
            <w:tcBorders>
              <w:top w:val="nil"/>
              <w:left w:val="nil"/>
              <w:bottom w:val="single" w:sz="4" w:space="0" w:color="auto"/>
              <w:right w:val="single" w:sz="4" w:space="0" w:color="auto"/>
            </w:tcBorders>
            <w:noWrap/>
            <w:vAlign w:val="bottom"/>
            <w:hideMark/>
          </w:tcPr>
          <w:p w14:paraId="75BA6261"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Choudrie</w:t>
            </w:r>
            <w:proofErr w:type="spellEnd"/>
            <w:r w:rsidRPr="00F70CB0">
              <w:rPr>
                <w:color w:val="000000"/>
                <w:sz w:val="24"/>
                <w:szCs w:val="24"/>
                <w:lang w:val="en-GB" w:eastAsia="en-GB"/>
              </w:rPr>
              <w:t xml:space="preserve"> et al. (2018)</w:t>
            </w:r>
          </w:p>
        </w:tc>
        <w:tc>
          <w:tcPr>
            <w:tcW w:w="678" w:type="dxa"/>
            <w:tcBorders>
              <w:top w:val="nil"/>
              <w:left w:val="nil"/>
              <w:bottom w:val="single" w:sz="4" w:space="0" w:color="auto"/>
              <w:right w:val="single" w:sz="4" w:space="0" w:color="auto"/>
            </w:tcBorders>
            <w:noWrap/>
            <w:vAlign w:val="bottom"/>
            <w:hideMark/>
          </w:tcPr>
          <w:p w14:paraId="0A5D26A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32A1125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Conceptual Framework</w:t>
            </w:r>
          </w:p>
        </w:tc>
        <w:tc>
          <w:tcPr>
            <w:tcW w:w="711" w:type="dxa"/>
            <w:tcBorders>
              <w:top w:val="nil"/>
              <w:left w:val="nil"/>
              <w:bottom w:val="single" w:sz="4" w:space="0" w:color="auto"/>
              <w:right w:val="single" w:sz="4" w:space="0" w:color="auto"/>
            </w:tcBorders>
            <w:noWrap/>
            <w:vAlign w:val="bottom"/>
            <w:hideMark/>
          </w:tcPr>
          <w:p w14:paraId="684856A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Conceptual / Literature review</w:t>
            </w:r>
          </w:p>
        </w:tc>
        <w:tc>
          <w:tcPr>
            <w:tcW w:w="447" w:type="dxa"/>
            <w:tcBorders>
              <w:top w:val="nil"/>
              <w:left w:val="nil"/>
              <w:bottom w:val="single" w:sz="4" w:space="0" w:color="auto"/>
              <w:right w:val="single" w:sz="4" w:space="0" w:color="auto"/>
            </w:tcBorders>
            <w:noWrap/>
            <w:vAlign w:val="bottom"/>
            <w:hideMark/>
          </w:tcPr>
          <w:p w14:paraId="3A30814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71DD823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Adoption, Diffusion, Older Adults</w:t>
            </w:r>
          </w:p>
        </w:tc>
        <w:tc>
          <w:tcPr>
            <w:tcW w:w="922" w:type="dxa"/>
            <w:tcBorders>
              <w:top w:val="nil"/>
              <w:left w:val="nil"/>
              <w:bottom w:val="single" w:sz="4" w:space="0" w:color="auto"/>
              <w:right w:val="single" w:sz="4" w:space="0" w:color="auto"/>
            </w:tcBorders>
            <w:noWrap/>
            <w:vAlign w:val="bottom"/>
            <w:hideMark/>
          </w:tcPr>
          <w:p w14:paraId="59D9AC5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adoption barriers</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EB51AD0"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Conceptual focus; lacks strong empirical validation</w:t>
            </w:r>
          </w:p>
        </w:tc>
      </w:tr>
      <w:tr w:rsidR="000D15B2" w:rsidRPr="00F70CB0" w14:paraId="1D4488B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5CEC38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14</w:t>
            </w:r>
          </w:p>
        </w:tc>
        <w:tc>
          <w:tcPr>
            <w:tcW w:w="1134" w:type="dxa"/>
            <w:tcBorders>
              <w:top w:val="nil"/>
              <w:left w:val="nil"/>
              <w:bottom w:val="single" w:sz="4" w:space="0" w:color="auto"/>
              <w:right w:val="single" w:sz="4" w:space="0" w:color="auto"/>
            </w:tcBorders>
            <w:noWrap/>
            <w:vAlign w:val="bottom"/>
            <w:hideMark/>
          </w:tcPr>
          <w:p w14:paraId="08302F1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Hampshire (2017)</w:t>
            </w:r>
          </w:p>
        </w:tc>
        <w:tc>
          <w:tcPr>
            <w:tcW w:w="678" w:type="dxa"/>
            <w:tcBorders>
              <w:top w:val="nil"/>
              <w:left w:val="nil"/>
              <w:bottom w:val="single" w:sz="4" w:space="0" w:color="auto"/>
              <w:right w:val="single" w:sz="4" w:space="0" w:color="auto"/>
            </w:tcBorders>
            <w:noWrap/>
            <w:vAlign w:val="bottom"/>
            <w:hideMark/>
          </w:tcPr>
          <w:p w14:paraId="3B8B7AC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70F1A33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w:t>
            </w:r>
          </w:p>
        </w:tc>
        <w:tc>
          <w:tcPr>
            <w:tcW w:w="711" w:type="dxa"/>
            <w:tcBorders>
              <w:top w:val="nil"/>
              <w:left w:val="nil"/>
              <w:bottom w:val="single" w:sz="4" w:space="0" w:color="auto"/>
              <w:right w:val="single" w:sz="4" w:space="0" w:color="auto"/>
            </w:tcBorders>
            <w:noWrap/>
            <w:vAlign w:val="bottom"/>
            <w:hideMark/>
          </w:tcPr>
          <w:p w14:paraId="01106CE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Mixed methods</w:t>
            </w:r>
          </w:p>
        </w:tc>
        <w:tc>
          <w:tcPr>
            <w:tcW w:w="447" w:type="dxa"/>
            <w:tcBorders>
              <w:top w:val="nil"/>
              <w:left w:val="nil"/>
              <w:bottom w:val="single" w:sz="4" w:space="0" w:color="auto"/>
              <w:right w:val="single" w:sz="4" w:space="0" w:color="auto"/>
            </w:tcBorders>
            <w:noWrap/>
            <w:vAlign w:val="bottom"/>
            <w:hideMark/>
          </w:tcPr>
          <w:p w14:paraId="6E2E724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101</w:t>
            </w:r>
          </w:p>
        </w:tc>
        <w:tc>
          <w:tcPr>
            <w:tcW w:w="1695" w:type="dxa"/>
            <w:tcBorders>
              <w:top w:val="nil"/>
              <w:left w:val="nil"/>
              <w:bottom w:val="single" w:sz="4" w:space="0" w:color="auto"/>
              <w:right w:val="single" w:sz="4" w:space="0" w:color="auto"/>
            </w:tcBorders>
            <w:noWrap/>
            <w:vAlign w:val="bottom"/>
            <w:hideMark/>
          </w:tcPr>
          <w:p w14:paraId="06E29C2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Risk, Usefulness</w:t>
            </w:r>
          </w:p>
        </w:tc>
        <w:tc>
          <w:tcPr>
            <w:tcW w:w="922" w:type="dxa"/>
            <w:tcBorders>
              <w:top w:val="nil"/>
              <w:left w:val="nil"/>
              <w:bottom w:val="single" w:sz="4" w:space="0" w:color="auto"/>
              <w:right w:val="single" w:sz="4" w:space="0" w:color="auto"/>
            </w:tcBorders>
            <w:noWrap/>
            <w:vAlign w:val="bottom"/>
            <w:hideMark/>
          </w:tcPr>
          <w:p w14:paraId="3E8E714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payment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99D2941" w14:textId="7A49979E"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Focuses on mobile payments, not </w:t>
            </w:r>
            <w:r w:rsidR="00BB5F7F" w:rsidRPr="00F70CB0">
              <w:rPr>
                <w:color w:val="000000"/>
                <w:sz w:val="24"/>
                <w:szCs w:val="24"/>
                <w:lang w:val="en-GB" w:eastAsia="en-GB"/>
              </w:rPr>
              <w:t xml:space="preserve">a </w:t>
            </w:r>
            <w:r w:rsidRPr="00F70CB0">
              <w:rPr>
                <w:color w:val="000000"/>
                <w:sz w:val="24"/>
                <w:szCs w:val="24"/>
                <w:lang w:val="en-GB" w:eastAsia="en-GB"/>
              </w:rPr>
              <w:t>full digital banking ecosystem</w:t>
            </w:r>
          </w:p>
        </w:tc>
      </w:tr>
      <w:tr w:rsidR="000D15B2" w:rsidRPr="00F70CB0" w14:paraId="781E1B4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93EAAA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15</w:t>
            </w:r>
          </w:p>
        </w:tc>
        <w:tc>
          <w:tcPr>
            <w:tcW w:w="1134" w:type="dxa"/>
            <w:tcBorders>
              <w:top w:val="nil"/>
              <w:left w:val="nil"/>
              <w:bottom w:val="single" w:sz="4" w:space="0" w:color="auto"/>
              <w:right w:val="single" w:sz="4" w:space="0" w:color="auto"/>
            </w:tcBorders>
            <w:noWrap/>
            <w:vAlign w:val="bottom"/>
            <w:hideMark/>
          </w:tcPr>
          <w:p w14:paraId="24269DE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Adefulu (2020)</w:t>
            </w:r>
          </w:p>
        </w:tc>
        <w:tc>
          <w:tcPr>
            <w:tcW w:w="678" w:type="dxa"/>
            <w:tcBorders>
              <w:top w:val="nil"/>
              <w:left w:val="nil"/>
              <w:bottom w:val="single" w:sz="4" w:space="0" w:color="auto"/>
              <w:right w:val="single" w:sz="4" w:space="0" w:color="auto"/>
            </w:tcBorders>
            <w:noWrap/>
            <w:vAlign w:val="bottom"/>
            <w:hideMark/>
          </w:tcPr>
          <w:p w14:paraId="7884150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Nigeria</w:t>
            </w:r>
          </w:p>
        </w:tc>
        <w:tc>
          <w:tcPr>
            <w:tcW w:w="1196" w:type="dxa"/>
            <w:tcBorders>
              <w:top w:val="nil"/>
              <w:left w:val="nil"/>
              <w:bottom w:val="single" w:sz="4" w:space="0" w:color="auto"/>
              <w:right w:val="single" w:sz="4" w:space="0" w:color="auto"/>
            </w:tcBorders>
            <w:noWrap/>
            <w:vAlign w:val="bottom"/>
            <w:hideMark/>
          </w:tcPr>
          <w:p w14:paraId="7E26DE1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Relationship Marketing</w:t>
            </w:r>
          </w:p>
        </w:tc>
        <w:tc>
          <w:tcPr>
            <w:tcW w:w="711" w:type="dxa"/>
            <w:tcBorders>
              <w:top w:val="nil"/>
              <w:left w:val="nil"/>
              <w:bottom w:val="single" w:sz="4" w:space="0" w:color="auto"/>
              <w:right w:val="single" w:sz="4" w:space="0" w:color="auto"/>
            </w:tcBorders>
            <w:noWrap/>
            <w:vAlign w:val="bottom"/>
            <w:hideMark/>
          </w:tcPr>
          <w:p w14:paraId="3424106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Literature review</w:t>
            </w:r>
          </w:p>
        </w:tc>
        <w:tc>
          <w:tcPr>
            <w:tcW w:w="447" w:type="dxa"/>
            <w:tcBorders>
              <w:top w:val="nil"/>
              <w:left w:val="nil"/>
              <w:bottom w:val="single" w:sz="4" w:space="0" w:color="auto"/>
              <w:right w:val="single" w:sz="4" w:space="0" w:color="auto"/>
            </w:tcBorders>
            <w:noWrap/>
            <w:vAlign w:val="bottom"/>
            <w:hideMark/>
          </w:tcPr>
          <w:p w14:paraId="6696CBE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21896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Relationship Marketing, Loyalty</w:t>
            </w:r>
          </w:p>
        </w:tc>
        <w:tc>
          <w:tcPr>
            <w:tcW w:w="922" w:type="dxa"/>
            <w:tcBorders>
              <w:top w:val="nil"/>
              <w:left w:val="nil"/>
              <w:bottom w:val="single" w:sz="4" w:space="0" w:color="auto"/>
              <w:right w:val="single" w:sz="4" w:space="0" w:color="auto"/>
            </w:tcBorders>
            <w:noWrap/>
            <w:vAlign w:val="bottom"/>
            <w:hideMark/>
          </w:tcPr>
          <w:p w14:paraId="444C370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Customer loyalty in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AE82D49" w14:textId="169B32B0"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Broad literature </w:t>
            </w:r>
            <w:r w:rsidR="00E65777" w:rsidRPr="00F70CB0">
              <w:rPr>
                <w:color w:val="000000"/>
                <w:sz w:val="24"/>
                <w:szCs w:val="24"/>
                <w:lang w:val="en-GB" w:eastAsia="en-GB"/>
              </w:rPr>
              <w:t>review:</w:t>
            </w:r>
            <w:r w:rsidRPr="00F70CB0">
              <w:rPr>
                <w:color w:val="000000"/>
                <w:sz w:val="24"/>
                <w:szCs w:val="24"/>
                <w:lang w:val="en-GB" w:eastAsia="en-GB"/>
              </w:rPr>
              <w:t xml:space="preserve"> lacks focus on </w:t>
            </w:r>
            <w:r w:rsidR="00BB5F7F" w:rsidRPr="00F70CB0">
              <w:rPr>
                <w:color w:val="000000"/>
                <w:sz w:val="24"/>
                <w:szCs w:val="24"/>
                <w:lang w:val="en-GB" w:eastAsia="en-GB"/>
              </w:rPr>
              <w:t xml:space="preserve">the </w:t>
            </w:r>
            <w:r w:rsidRPr="00F70CB0">
              <w:rPr>
                <w:color w:val="000000"/>
                <w:sz w:val="24"/>
                <w:szCs w:val="24"/>
                <w:lang w:val="en-GB" w:eastAsia="en-GB"/>
              </w:rPr>
              <w:t>digital banking context</w:t>
            </w:r>
          </w:p>
        </w:tc>
      </w:tr>
      <w:tr w:rsidR="000D15B2" w:rsidRPr="00F70CB0" w14:paraId="26405E8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608E01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16</w:t>
            </w:r>
          </w:p>
        </w:tc>
        <w:tc>
          <w:tcPr>
            <w:tcW w:w="1134" w:type="dxa"/>
            <w:tcBorders>
              <w:top w:val="nil"/>
              <w:left w:val="nil"/>
              <w:bottom w:val="single" w:sz="4" w:space="0" w:color="auto"/>
              <w:right w:val="single" w:sz="4" w:space="0" w:color="auto"/>
            </w:tcBorders>
            <w:noWrap/>
            <w:vAlign w:val="bottom"/>
            <w:hideMark/>
          </w:tcPr>
          <w:p w14:paraId="0D88901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Othman et al. (2015)</w:t>
            </w:r>
          </w:p>
        </w:tc>
        <w:tc>
          <w:tcPr>
            <w:tcW w:w="678" w:type="dxa"/>
            <w:tcBorders>
              <w:top w:val="nil"/>
              <w:left w:val="nil"/>
              <w:bottom w:val="single" w:sz="4" w:space="0" w:color="auto"/>
              <w:right w:val="single" w:sz="4" w:space="0" w:color="auto"/>
            </w:tcBorders>
            <w:noWrap/>
            <w:vAlign w:val="bottom"/>
            <w:hideMark/>
          </w:tcPr>
          <w:p w14:paraId="4B0BB63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Malaysia</w:t>
            </w:r>
          </w:p>
        </w:tc>
        <w:tc>
          <w:tcPr>
            <w:tcW w:w="1196" w:type="dxa"/>
            <w:tcBorders>
              <w:top w:val="nil"/>
              <w:left w:val="nil"/>
              <w:bottom w:val="single" w:sz="4" w:space="0" w:color="auto"/>
              <w:right w:val="single" w:sz="4" w:space="0" w:color="auto"/>
            </w:tcBorders>
            <w:noWrap/>
            <w:vAlign w:val="bottom"/>
            <w:hideMark/>
          </w:tcPr>
          <w:p w14:paraId="1B5B28B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w:t>
            </w:r>
          </w:p>
        </w:tc>
        <w:tc>
          <w:tcPr>
            <w:tcW w:w="711" w:type="dxa"/>
            <w:tcBorders>
              <w:top w:val="nil"/>
              <w:left w:val="nil"/>
              <w:bottom w:val="single" w:sz="4" w:space="0" w:color="auto"/>
              <w:right w:val="single" w:sz="4" w:space="0" w:color="auto"/>
            </w:tcBorders>
            <w:noWrap/>
            <w:vAlign w:val="bottom"/>
            <w:hideMark/>
          </w:tcPr>
          <w:p w14:paraId="1336A7B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Empirical / Quantitative</w:t>
            </w:r>
          </w:p>
        </w:tc>
        <w:tc>
          <w:tcPr>
            <w:tcW w:w="447" w:type="dxa"/>
            <w:tcBorders>
              <w:top w:val="nil"/>
              <w:left w:val="nil"/>
              <w:bottom w:val="single" w:sz="4" w:space="0" w:color="auto"/>
              <w:right w:val="single" w:sz="4" w:space="0" w:color="auto"/>
            </w:tcBorders>
            <w:noWrap/>
            <w:vAlign w:val="bottom"/>
            <w:hideMark/>
          </w:tcPr>
          <w:p w14:paraId="32CBDA4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1820A1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E-service Quality, Satisfaction, Trust, Loyalty</w:t>
            </w:r>
          </w:p>
        </w:tc>
        <w:tc>
          <w:tcPr>
            <w:tcW w:w="922" w:type="dxa"/>
            <w:tcBorders>
              <w:top w:val="nil"/>
              <w:left w:val="nil"/>
              <w:bottom w:val="single" w:sz="4" w:space="0" w:color="auto"/>
              <w:right w:val="single" w:sz="4" w:space="0" w:color="auto"/>
            </w:tcBorders>
            <w:noWrap/>
            <w:vAlign w:val="bottom"/>
            <w:hideMark/>
          </w:tcPr>
          <w:p w14:paraId="04C92F6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loyalty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52D4F1A" w14:textId="2A4FAC7C"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Older study; may not reflect </w:t>
            </w:r>
            <w:r w:rsidR="00BB5F7F" w:rsidRPr="00F70CB0">
              <w:rPr>
                <w:color w:val="000000"/>
                <w:sz w:val="24"/>
                <w:szCs w:val="24"/>
                <w:lang w:val="en-GB" w:eastAsia="en-GB"/>
              </w:rPr>
              <w:t xml:space="preserve">the </w:t>
            </w:r>
            <w:r w:rsidRPr="00F70CB0">
              <w:rPr>
                <w:color w:val="000000"/>
                <w:sz w:val="24"/>
                <w:szCs w:val="24"/>
                <w:lang w:val="en-GB" w:eastAsia="en-GB"/>
              </w:rPr>
              <w:t>current digital banking environment</w:t>
            </w:r>
          </w:p>
        </w:tc>
      </w:tr>
      <w:tr w:rsidR="000D15B2" w:rsidRPr="00F70CB0" w14:paraId="56F1AC28"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E764E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17</w:t>
            </w:r>
          </w:p>
        </w:tc>
        <w:tc>
          <w:tcPr>
            <w:tcW w:w="1134" w:type="dxa"/>
            <w:tcBorders>
              <w:top w:val="nil"/>
              <w:left w:val="nil"/>
              <w:bottom w:val="single" w:sz="4" w:space="0" w:color="auto"/>
              <w:right w:val="single" w:sz="4" w:space="0" w:color="auto"/>
            </w:tcBorders>
            <w:noWrap/>
            <w:vAlign w:val="bottom"/>
            <w:hideMark/>
          </w:tcPr>
          <w:p w14:paraId="6BA7FA0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Yuan et al. (2019)</w:t>
            </w:r>
          </w:p>
        </w:tc>
        <w:tc>
          <w:tcPr>
            <w:tcW w:w="678" w:type="dxa"/>
            <w:tcBorders>
              <w:top w:val="nil"/>
              <w:left w:val="nil"/>
              <w:bottom w:val="single" w:sz="4" w:space="0" w:color="auto"/>
              <w:right w:val="single" w:sz="4" w:space="0" w:color="auto"/>
            </w:tcBorders>
            <w:noWrap/>
            <w:vAlign w:val="bottom"/>
            <w:hideMark/>
          </w:tcPr>
          <w:p w14:paraId="2630C97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China</w:t>
            </w:r>
          </w:p>
        </w:tc>
        <w:tc>
          <w:tcPr>
            <w:tcW w:w="1196" w:type="dxa"/>
            <w:tcBorders>
              <w:top w:val="nil"/>
              <w:left w:val="nil"/>
              <w:bottom w:val="single" w:sz="4" w:space="0" w:color="auto"/>
              <w:right w:val="single" w:sz="4" w:space="0" w:color="auto"/>
            </w:tcBorders>
            <w:noWrap/>
            <w:vAlign w:val="bottom"/>
            <w:hideMark/>
          </w:tcPr>
          <w:p w14:paraId="38AEE1E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Commitment-Trust Model</w:t>
            </w:r>
          </w:p>
        </w:tc>
        <w:tc>
          <w:tcPr>
            <w:tcW w:w="711" w:type="dxa"/>
            <w:tcBorders>
              <w:top w:val="nil"/>
              <w:left w:val="nil"/>
              <w:bottom w:val="single" w:sz="4" w:space="0" w:color="auto"/>
              <w:right w:val="single" w:sz="4" w:space="0" w:color="auto"/>
            </w:tcBorders>
            <w:noWrap/>
            <w:vAlign w:val="bottom"/>
            <w:hideMark/>
          </w:tcPr>
          <w:p w14:paraId="281C5F4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6380589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173</w:t>
            </w:r>
          </w:p>
        </w:tc>
        <w:tc>
          <w:tcPr>
            <w:tcW w:w="1695" w:type="dxa"/>
            <w:tcBorders>
              <w:top w:val="nil"/>
              <w:left w:val="nil"/>
              <w:bottom w:val="single" w:sz="4" w:space="0" w:color="auto"/>
              <w:right w:val="single" w:sz="4" w:space="0" w:color="auto"/>
            </w:tcBorders>
            <w:noWrap/>
            <w:vAlign w:val="bottom"/>
            <w:hideMark/>
          </w:tcPr>
          <w:p w14:paraId="4DD3C0B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Commitment, Continuance</w:t>
            </w:r>
          </w:p>
        </w:tc>
        <w:tc>
          <w:tcPr>
            <w:tcW w:w="922" w:type="dxa"/>
            <w:tcBorders>
              <w:top w:val="nil"/>
              <w:left w:val="nil"/>
              <w:bottom w:val="single" w:sz="4" w:space="0" w:color="auto"/>
              <w:right w:val="single" w:sz="4" w:space="0" w:color="auto"/>
            </w:tcBorders>
            <w:noWrap/>
            <w:vAlign w:val="bottom"/>
            <w:hideMark/>
          </w:tcPr>
          <w:p w14:paraId="4F9441B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Internet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5A99CD1"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Focuses on relational factors; ignores technological usability aspects</w:t>
            </w:r>
          </w:p>
        </w:tc>
      </w:tr>
      <w:tr w:rsidR="000D15B2" w:rsidRPr="00F70CB0" w14:paraId="6A5EC7E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066572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18</w:t>
            </w:r>
          </w:p>
        </w:tc>
        <w:tc>
          <w:tcPr>
            <w:tcW w:w="1134" w:type="dxa"/>
            <w:tcBorders>
              <w:top w:val="nil"/>
              <w:left w:val="nil"/>
              <w:bottom w:val="single" w:sz="4" w:space="0" w:color="auto"/>
              <w:right w:val="single" w:sz="4" w:space="0" w:color="auto"/>
            </w:tcBorders>
            <w:noWrap/>
            <w:vAlign w:val="bottom"/>
            <w:hideMark/>
          </w:tcPr>
          <w:p w14:paraId="4129ED6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Shrestha (2024)</w:t>
            </w:r>
          </w:p>
        </w:tc>
        <w:tc>
          <w:tcPr>
            <w:tcW w:w="678" w:type="dxa"/>
            <w:tcBorders>
              <w:top w:val="nil"/>
              <w:left w:val="nil"/>
              <w:bottom w:val="single" w:sz="4" w:space="0" w:color="auto"/>
              <w:right w:val="single" w:sz="4" w:space="0" w:color="auto"/>
            </w:tcBorders>
            <w:noWrap/>
            <w:vAlign w:val="bottom"/>
            <w:hideMark/>
          </w:tcPr>
          <w:p w14:paraId="00853C6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Nepal</w:t>
            </w:r>
          </w:p>
        </w:tc>
        <w:tc>
          <w:tcPr>
            <w:tcW w:w="1196" w:type="dxa"/>
            <w:tcBorders>
              <w:top w:val="nil"/>
              <w:left w:val="nil"/>
              <w:bottom w:val="single" w:sz="4" w:space="0" w:color="auto"/>
              <w:right w:val="single" w:sz="4" w:space="0" w:color="auto"/>
            </w:tcBorders>
            <w:noWrap/>
            <w:vAlign w:val="bottom"/>
            <w:hideMark/>
          </w:tcPr>
          <w:p w14:paraId="126BB0F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Customer Experience Model</w:t>
            </w:r>
          </w:p>
        </w:tc>
        <w:tc>
          <w:tcPr>
            <w:tcW w:w="711" w:type="dxa"/>
            <w:tcBorders>
              <w:top w:val="nil"/>
              <w:left w:val="nil"/>
              <w:bottom w:val="single" w:sz="4" w:space="0" w:color="auto"/>
              <w:right w:val="single" w:sz="4" w:space="0" w:color="auto"/>
            </w:tcBorders>
            <w:noWrap/>
            <w:vAlign w:val="bottom"/>
            <w:hideMark/>
          </w:tcPr>
          <w:p w14:paraId="487089E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Doctoral dissertation</w:t>
            </w:r>
          </w:p>
        </w:tc>
        <w:tc>
          <w:tcPr>
            <w:tcW w:w="447" w:type="dxa"/>
            <w:tcBorders>
              <w:top w:val="nil"/>
              <w:left w:val="nil"/>
              <w:bottom w:val="single" w:sz="4" w:space="0" w:color="auto"/>
              <w:right w:val="single" w:sz="4" w:space="0" w:color="auto"/>
            </w:tcBorders>
            <w:noWrap/>
            <w:vAlign w:val="bottom"/>
            <w:hideMark/>
          </w:tcPr>
          <w:p w14:paraId="20678BF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384</w:t>
            </w:r>
          </w:p>
        </w:tc>
        <w:tc>
          <w:tcPr>
            <w:tcW w:w="1695" w:type="dxa"/>
            <w:tcBorders>
              <w:top w:val="nil"/>
              <w:left w:val="nil"/>
              <w:bottom w:val="single" w:sz="4" w:space="0" w:color="auto"/>
              <w:right w:val="single" w:sz="4" w:space="0" w:color="auto"/>
            </w:tcBorders>
            <w:noWrap/>
            <w:vAlign w:val="bottom"/>
            <w:hideMark/>
          </w:tcPr>
          <w:p w14:paraId="3F72776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Security, Ease of Use, Satisfaction</w:t>
            </w:r>
          </w:p>
        </w:tc>
        <w:tc>
          <w:tcPr>
            <w:tcW w:w="922" w:type="dxa"/>
            <w:tcBorders>
              <w:top w:val="nil"/>
              <w:left w:val="nil"/>
              <w:bottom w:val="single" w:sz="4" w:space="0" w:color="auto"/>
              <w:right w:val="single" w:sz="4" w:space="0" w:color="auto"/>
            </w:tcBorders>
            <w:noWrap/>
            <w:vAlign w:val="bottom"/>
            <w:hideMark/>
          </w:tcPr>
          <w:p w14:paraId="255C568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customer experience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26F7EC2"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Dissertation-based; limited generalisability</w:t>
            </w:r>
          </w:p>
        </w:tc>
      </w:tr>
      <w:tr w:rsidR="000D15B2" w:rsidRPr="00F70CB0" w14:paraId="419972F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12779D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19</w:t>
            </w:r>
          </w:p>
        </w:tc>
        <w:tc>
          <w:tcPr>
            <w:tcW w:w="1134" w:type="dxa"/>
            <w:tcBorders>
              <w:top w:val="nil"/>
              <w:left w:val="nil"/>
              <w:bottom w:val="single" w:sz="4" w:space="0" w:color="auto"/>
              <w:right w:val="single" w:sz="4" w:space="0" w:color="auto"/>
            </w:tcBorders>
            <w:noWrap/>
            <w:vAlign w:val="bottom"/>
            <w:hideMark/>
          </w:tcPr>
          <w:p w14:paraId="727A7BF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Seth et al. (2025)</w:t>
            </w:r>
          </w:p>
        </w:tc>
        <w:tc>
          <w:tcPr>
            <w:tcW w:w="678" w:type="dxa"/>
            <w:tcBorders>
              <w:top w:val="nil"/>
              <w:left w:val="nil"/>
              <w:bottom w:val="single" w:sz="4" w:space="0" w:color="auto"/>
              <w:right w:val="single" w:sz="4" w:space="0" w:color="auto"/>
            </w:tcBorders>
            <w:noWrap/>
            <w:vAlign w:val="bottom"/>
            <w:hideMark/>
          </w:tcPr>
          <w:p w14:paraId="5FF3399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10F4C41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SOR Framework</w:t>
            </w:r>
          </w:p>
        </w:tc>
        <w:tc>
          <w:tcPr>
            <w:tcW w:w="711" w:type="dxa"/>
            <w:tcBorders>
              <w:top w:val="nil"/>
              <w:left w:val="nil"/>
              <w:bottom w:val="single" w:sz="4" w:space="0" w:color="auto"/>
              <w:right w:val="single" w:sz="4" w:space="0" w:color="auto"/>
            </w:tcBorders>
            <w:noWrap/>
            <w:vAlign w:val="bottom"/>
            <w:hideMark/>
          </w:tcPr>
          <w:p w14:paraId="1913CB0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27616EA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651</w:t>
            </w:r>
          </w:p>
        </w:tc>
        <w:tc>
          <w:tcPr>
            <w:tcW w:w="1695" w:type="dxa"/>
            <w:tcBorders>
              <w:top w:val="nil"/>
              <w:left w:val="nil"/>
              <w:bottom w:val="single" w:sz="4" w:space="0" w:color="auto"/>
              <w:right w:val="single" w:sz="4" w:space="0" w:color="auto"/>
            </w:tcBorders>
            <w:noWrap/>
            <w:vAlign w:val="bottom"/>
            <w:hideMark/>
          </w:tcPr>
          <w:p w14:paraId="5FDE56E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Integration Quality, Perceived Value, Satisfaction</w:t>
            </w:r>
          </w:p>
        </w:tc>
        <w:tc>
          <w:tcPr>
            <w:tcW w:w="922" w:type="dxa"/>
            <w:tcBorders>
              <w:top w:val="nil"/>
              <w:left w:val="nil"/>
              <w:bottom w:val="single" w:sz="4" w:space="0" w:color="auto"/>
              <w:right w:val="single" w:sz="4" w:space="0" w:color="auto"/>
            </w:tcBorders>
            <w:noWrap/>
            <w:vAlign w:val="bottom"/>
            <w:hideMark/>
          </w:tcPr>
          <w:p w14:paraId="6FB8C72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Omnichannel banking satisfaction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EBC8726"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Focus on omnichannel only; lacks integration </w:t>
            </w:r>
            <w:r w:rsidRPr="00F70CB0">
              <w:rPr>
                <w:color w:val="000000"/>
                <w:sz w:val="24"/>
                <w:szCs w:val="24"/>
                <w:lang w:val="en-GB" w:eastAsia="en-GB"/>
              </w:rPr>
              <w:lastRenderedPageBreak/>
              <w:t>with behavioural theories</w:t>
            </w:r>
          </w:p>
        </w:tc>
      </w:tr>
      <w:tr w:rsidR="000D15B2" w:rsidRPr="00F70CB0" w14:paraId="101F3498"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6DCC72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20</w:t>
            </w:r>
          </w:p>
        </w:tc>
        <w:tc>
          <w:tcPr>
            <w:tcW w:w="1134" w:type="dxa"/>
            <w:tcBorders>
              <w:top w:val="nil"/>
              <w:left w:val="nil"/>
              <w:bottom w:val="single" w:sz="4" w:space="0" w:color="auto"/>
              <w:right w:val="single" w:sz="4" w:space="0" w:color="auto"/>
            </w:tcBorders>
            <w:noWrap/>
            <w:vAlign w:val="bottom"/>
            <w:hideMark/>
          </w:tcPr>
          <w:p w14:paraId="4ED1C17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Albinalsheikh (2022)</w:t>
            </w:r>
          </w:p>
        </w:tc>
        <w:tc>
          <w:tcPr>
            <w:tcW w:w="678" w:type="dxa"/>
            <w:tcBorders>
              <w:top w:val="nil"/>
              <w:left w:val="nil"/>
              <w:bottom w:val="single" w:sz="4" w:space="0" w:color="auto"/>
              <w:right w:val="single" w:sz="4" w:space="0" w:color="auto"/>
            </w:tcBorders>
            <w:noWrap/>
            <w:vAlign w:val="bottom"/>
            <w:hideMark/>
          </w:tcPr>
          <w:p w14:paraId="5FF7F44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Saudi Arabia</w:t>
            </w:r>
          </w:p>
        </w:tc>
        <w:tc>
          <w:tcPr>
            <w:tcW w:w="1196" w:type="dxa"/>
            <w:tcBorders>
              <w:top w:val="nil"/>
              <w:left w:val="nil"/>
              <w:bottom w:val="single" w:sz="4" w:space="0" w:color="auto"/>
              <w:right w:val="single" w:sz="4" w:space="0" w:color="auto"/>
            </w:tcBorders>
            <w:noWrap/>
            <w:vAlign w:val="bottom"/>
            <w:hideMark/>
          </w:tcPr>
          <w:p w14:paraId="46643AC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w:t>
            </w:r>
          </w:p>
        </w:tc>
        <w:tc>
          <w:tcPr>
            <w:tcW w:w="711" w:type="dxa"/>
            <w:tcBorders>
              <w:top w:val="nil"/>
              <w:left w:val="nil"/>
              <w:bottom w:val="single" w:sz="4" w:space="0" w:color="auto"/>
              <w:right w:val="single" w:sz="4" w:space="0" w:color="auto"/>
            </w:tcBorders>
            <w:noWrap/>
            <w:vAlign w:val="bottom"/>
            <w:hideMark/>
          </w:tcPr>
          <w:p w14:paraId="0E2F304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Doctoral dissertation</w:t>
            </w:r>
          </w:p>
        </w:tc>
        <w:tc>
          <w:tcPr>
            <w:tcW w:w="447" w:type="dxa"/>
            <w:tcBorders>
              <w:top w:val="nil"/>
              <w:left w:val="nil"/>
              <w:bottom w:val="single" w:sz="4" w:space="0" w:color="auto"/>
              <w:right w:val="single" w:sz="4" w:space="0" w:color="auto"/>
            </w:tcBorders>
            <w:noWrap/>
            <w:vAlign w:val="bottom"/>
            <w:hideMark/>
          </w:tcPr>
          <w:p w14:paraId="435C84D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430</w:t>
            </w:r>
          </w:p>
        </w:tc>
        <w:tc>
          <w:tcPr>
            <w:tcW w:w="1695" w:type="dxa"/>
            <w:tcBorders>
              <w:top w:val="nil"/>
              <w:left w:val="nil"/>
              <w:bottom w:val="single" w:sz="4" w:space="0" w:color="auto"/>
              <w:right w:val="single" w:sz="4" w:space="0" w:color="auto"/>
            </w:tcBorders>
            <w:noWrap/>
            <w:vAlign w:val="bottom"/>
            <w:hideMark/>
          </w:tcPr>
          <w:p w14:paraId="4F60EC8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Satisfaction, Loyalty, Preferences</w:t>
            </w:r>
          </w:p>
        </w:tc>
        <w:tc>
          <w:tcPr>
            <w:tcW w:w="922" w:type="dxa"/>
            <w:tcBorders>
              <w:top w:val="nil"/>
              <w:left w:val="nil"/>
              <w:bottom w:val="single" w:sz="4" w:space="0" w:color="auto"/>
              <w:right w:val="single" w:sz="4" w:space="0" w:color="auto"/>
            </w:tcBorders>
            <w:noWrap/>
            <w:vAlign w:val="bottom"/>
            <w:hideMark/>
          </w:tcPr>
          <w:p w14:paraId="545F726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service quality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CB5A8F2" w14:textId="6B4A5DD9"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Limited to </w:t>
            </w:r>
            <w:r w:rsidR="009F1DF3" w:rsidRPr="00F70CB0">
              <w:rPr>
                <w:color w:val="000000"/>
                <w:sz w:val="24"/>
                <w:szCs w:val="24"/>
                <w:lang w:val="en-GB" w:eastAsia="en-GB"/>
              </w:rPr>
              <w:t xml:space="preserve">the </w:t>
            </w:r>
            <w:r w:rsidRPr="00F70CB0">
              <w:rPr>
                <w:color w:val="000000"/>
                <w:sz w:val="24"/>
                <w:szCs w:val="24"/>
                <w:lang w:val="en-GB" w:eastAsia="en-GB"/>
              </w:rPr>
              <w:t>Saudi context; lacks global applicability</w:t>
            </w:r>
          </w:p>
        </w:tc>
      </w:tr>
      <w:tr w:rsidR="000D15B2" w:rsidRPr="00F70CB0" w14:paraId="4FB107B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831554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21</w:t>
            </w:r>
          </w:p>
        </w:tc>
        <w:tc>
          <w:tcPr>
            <w:tcW w:w="1134" w:type="dxa"/>
            <w:tcBorders>
              <w:top w:val="nil"/>
              <w:left w:val="nil"/>
              <w:bottom w:val="single" w:sz="4" w:space="0" w:color="auto"/>
              <w:right w:val="single" w:sz="4" w:space="0" w:color="auto"/>
            </w:tcBorders>
            <w:noWrap/>
            <w:vAlign w:val="bottom"/>
            <w:hideMark/>
          </w:tcPr>
          <w:p w14:paraId="37A074A2"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Tanuwijaya</w:t>
            </w:r>
            <w:proofErr w:type="spellEnd"/>
            <w:r w:rsidRPr="00F70CB0">
              <w:rPr>
                <w:color w:val="000000"/>
                <w:sz w:val="24"/>
                <w:szCs w:val="24"/>
                <w:lang w:val="en-GB" w:eastAsia="en-GB"/>
              </w:rPr>
              <w:t xml:space="preserve"> &amp; Oktavia (2023)</w:t>
            </w:r>
          </w:p>
        </w:tc>
        <w:tc>
          <w:tcPr>
            <w:tcW w:w="678" w:type="dxa"/>
            <w:tcBorders>
              <w:top w:val="nil"/>
              <w:left w:val="nil"/>
              <w:bottom w:val="single" w:sz="4" w:space="0" w:color="auto"/>
              <w:right w:val="single" w:sz="4" w:space="0" w:color="auto"/>
            </w:tcBorders>
            <w:noWrap/>
            <w:vAlign w:val="bottom"/>
            <w:hideMark/>
          </w:tcPr>
          <w:p w14:paraId="21A7326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2645AB8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PPM Model</w:t>
            </w:r>
          </w:p>
        </w:tc>
        <w:tc>
          <w:tcPr>
            <w:tcW w:w="711" w:type="dxa"/>
            <w:tcBorders>
              <w:top w:val="nil"/>
              <w:left w:val="nil"/>
              <w:bottom w:val="single" w:sz="4" w:space="0" w:color="auto"/>
              <w:right w:val="single" w:sz="4" w:space="0" w:color="auto"/>
            </w:tcBorders>
            <w:noWrap/>
            <w:vAlign w:val="bottom"/>
            <w:hideMark/>
          </w:tcPr>
          <w:p w14:paraId="59D23B8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7142699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540</w:t>
            </w:r>
          </w:p>
        </w:tc>
        <w:tc>
          <w:tcPr>
            <w:tcW w:w="1695" w:type="dxa"/>
            <w:tcBorders>
              <w:top w:val="nil"/>
              <w:left w:val="nil"/>
              <w:bottom w:val="single" w:sz="4" w:space="0" w:color="auto"/>
              <w:right w:val="single" w:sz="4" w:space="0" w:color="auto"/>
            </w:tcBorders>
            <w:noWrap/>
            <w:vAlign w:val="bottom"/>
            <w:hideMark/>
          </w:tcPr>
          <w:p w14:paraId="1BD9542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Switching Cost, CRM Quality, Ease of Use</w:t>
            </w:r>
          </w:p>
        </w:tc>
        <w:tc>
          <w:tcPr>
            <w:tcW w:w="922" w:type="dxa"/>
            <w:tcBorders>
              <w:top w:val="nil"/>
              <w:left w:val="nil"/>
              <w:bottom w:val="single" w:sz="4" w:space="0" w:color="auto"/>
              <w:right w:val="single" w:sz="4" w:space="0" w:color="auto"/>
            </w:tcBorders>
            <w:noWrap/>
            <w:vAlign w:val="bottom"/>
            <w:hideMark/>
          </w:tcPr>
          <w:p w14:paraId="7B7EC3C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Switching behaviour in digital banks</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92947B7" w14:textId="22DC838E"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Focus on millennials only; lacks </w:t>
            </w:r>
            <w:r w:rsidR="009F1DF3" w:rsidRPr="00F70CB0">
              <w:rPr>
                <w:color w:val="000000"/>
                <w:sz w:val="24"/>
                <w:szCs w:val="24"/>
                <w:lang w:val="en-GB" w:eastAsia="en-GB"/>
              </w:rPr>
              <w:t xml:space="preserve">a </w:t>
            </w:r>
            <w:r w:rsidRPr="00F70CB0">
              <w:rPr>
                <w:color w:val="000000"/>
                <w:sz w:val="24"/>
                <w:szCs w:val="24"/>
                <w:lang w:val="en-GB" w:eastAsia="en-GB"/>
              </w:rPr>
              <w:t>broader population perspective</w:t>
            </w:r>
          </w:p>
        </w:tc>
      </w:tr>
      <w:tr w:rsidR="000D15B2" w:rsidRPr="00F70CB0" w14:paraId="6CB7BAA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582590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22</w:t>
            </w:r>
          </w:p>
        </w:tc>
        <w:tc>
          <w:tcPr>
            <w:tcW w:w="1134" w:type="dxa"/>
            <w:tcBorders>
              <w:top w:val="nil"/>
              <w:left w:val="nil"/>
              <w:bottom w:val="single" w:sz="4" w:space="0" w:color="auto"/>
              <w:right w:val="single" w:sz="4" w:space="0" w:color="auto"/>
            </w:tcBorders>
            <w:noWrap/>
            <w:vAlign w:val="bottom"/>
            <w:hideMark/>
          </w:tcPr>
          <w:p w14:paraId="049DBE41"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Mbama</w:t>
            </w:r>
            <w:proofErr w:type="spellEnd"/>
            <w:r w:rsidRPr="00F70CB0">
              <w:rPr>
                <w:color w:val="000000"/>
                <w:sz w:val="24"/>
                <w:szCs w:val="24"/>
                <w:lang w:val="en-GB" w:eastAsia="en-GB"/>
              </w:rPr>
              <w:t xml:space="preserve"> et al. (2018)</w:t>
            </w:r>
          </w:p>
        </w:tc>
        <w:tc>
          <w:tcPr>
            <w:tcW w:w="678" w:type="dxa"/>
            <w:tcBorders>
              <w:top w:val="nil"/>
              <w:left w:val="nil"/>
              <w:bottom w:val="single" w:sz="4" w:space="0" w:color="auto"/>
              <w:right w:val="single" w:sz="4" w:space="0" w:color="auto"/>
            </w:tcBorders>
            <w:noWrap/>
            <w:vAlign w:val="bottom"/>
            <w:hideMark/>
          </w:tcPr>
          <w:p w14:paraId="3298884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20AFC16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Customer Experience Framework</w:t>
            </w:r>
          </w:p>
        </w:tc>
        <w:tc>
          <w:tcPr>
            <w:tcW w:w="711" w:type="dxa"/>
            <w:tcBorders>
              <w:top w:val="nil"/>
              <w:left w:val="nil"/>
              <w:bottom w:val="single" w:sz="4" w:space="0" w:color="auto"/>
              <w:right w:val="single" w:sz="4" w:space="0" w:color="auto"/>
            </w:tcBorders>
            <w:noWrap/>
            <w:vAlign w:val="bottom"/>
            <w:hideMark/>
          </w:tcPr>
          <w:p w14:paraId="119BC1E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Qualitative / Interviews</w:t>
            </w:r>
          </w:p>
        </w:tc>
        <w:tc>
          <w:tcPr>
            <w:tcW w:w="447" w:type="dxa"/>
            <w:tcBorders>
              <w:top w:val="nil"/>
              <w:left w:val="nil"/>
              <w:bottom w:val="single" w:sz="4" w:space="0" w:color="auto"/>
              <w:right w:val="single" w:sz="4" w:space="0" w:color="auto"/>
            </w:tcBorders>
            <w:noWrap/>
            <w:vAlign w:val="bottom"/>
            <w:hideMark/>
          </w:tcPr>
          <w:p w14:paraId="1F6A457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AF870F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Customer Experience, Satisfaction, Loyalty, Financial Performance</w:t>
            </w:r>
          </w:p>
        </w:tc>
        <w:tc>
          <w:tcPr>
            <w:tcW w:w="922" w:type="dxa"/>
            <w:tcBorders>
              <w:top w:val="nil"/>
              <w:left w:val="nil"/>
              <w:bottom w:val="single" w:sz="4" w:space="0" w:color="auto"/>
              <w:right w:val="single" w:sz="4" w:space="0" w:color="auto"/>
            </w:tcBorders>
            <w:noWrap/>
            <w:vAlign w:val="bottom"/>
            <w:hideMark/>
          </w:tcPr>
          <w:p w14:paraId="3812F2E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customer experience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9FC3CDD"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Managerial perspective bias; lacks customer-side analysis</w:t>
            </w:r>
          </w:p>
        </w:tc>
      </w:tr>
      <w:tr w:rsidR="000D15B2" w:rsidRPr="00F70CB0" w14:paraId="6AE74D2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F81A19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23</w:t>
            </w:r>
          </w:p>
        </w:tc>
        <w:tc>
          <w:tcPr>
            <w:tcW w:w="1134" w:type="dxa"/>
            <w:tcBorders>
              <w:top w:val="nil"/>
              <w:left w:val="nil"/>
              <w:bottom w:val="single" w:sz="4" w:space="0" w:color="auto"/>
              <w:right w:val="single" w:sz="4" w:space="0" w:color="auto"/>
            </w:tcBorders>
            <w:noWrap/>
            <w:vAlign w:val="bottom"/>
            <w:hideMark/>
          </w:tcPr>
          <w:p w14:paraId="0B210BC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Gibson et al. (2022)</w:t>
            </w:r>
          </w:p>
        </w:tc>
        <w:tc>
          <w:tcPr>
            <w:tcW w:w="678" w:type="dxa"/>
            <w:tcBorders>
              <w:top w:val="nil"/>
              <w:left w:val="nil"/>
              <w:bottom w:val="single" w:sz="4" w:space="0" w:color="auto"/>
              <w:right w:val="single" w:sz="4" w:space="0" w:color="auto"/>
            </w:tcBorders>
            <w:noWrap/>
            <w:vAlign w:val="bottom"/>
            <w:hideMark/>
          </w:tcPr>
          <w:p w14:paraId="0DCD96A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231A4C5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 Switching</w:t>
            </w:r>
          </w:p>
        </w:tc>
        <w:tc>
          <w:tcPr>
            <w:tcW w:w="711" w:type="dxa"/>
            <w:tcBorders>
              <w:top w:val="nil"/>
              <w:left w:val="nil"/>
              <w:bottom w:val="single" w:sz="4" w:space="0" w:color="auto"/>
              <w:right w:val="single" w:sz="4" w:space="0" w:color="auto"/>
            </w:tcBorders>
            <w:noWrap/>
            <w:vAlign w:val="bottom"/>
            <w:hideMark/>
          </w:tcPr>
          <w:p w14:paraId="42EF186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69889BE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106</w:t>
            </w:r>
          </w:p>
        </w:tc>
        <w:tc>
          <w:tcPr>
            <w:tcW w:w="1695" w:type="dxa"/>
            <w:tcBorders>
              <w:top w:val="nil"/>
              <w:left w:val="nil"/>
              <w:bottom w:val="single" w:sz="4" w:space="0" w:color="auto"/>
              <w:right w:val="single" w:sz="4" w:space="0" w:color="auto"/>
            </w:tcBorders>
            <w:noWrap/>
            <w:vAlign w:val="bottom"/>
            <w:hideMark/>
          </w:tcPr>
          <w:p w14:paraId="38D207B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Satisfaction, Switching Behaviour</w:t>
            </w:r>
          </w:p>
        </w:tc>
        <w:tc>
          <w:tcPr>
            <w:tcW w:w="922" w:type="dxa"/>
            <w:tcBorders>
              <w:top w:val="nil"/>
              <w:left w:val="nil"/>
              <w:bottom w:val="single" w:sz="4" w:space="0" w:color="auto"/>
              <w:right w:val="single" w:sz="4" w:space="0" w:color="auto"/>
            </w:tcBorders>
            <w:noWrap/>
            <w:vAlign w:val="bottom"/>
            <w:hideMark/>
          </w:tcPr>
          <w:p w14:paraId="6C7F020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Online/offline banking switching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5F7D7466" w14:textId="63BA73F1"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Limited sample size; reduces </w:t>
            </w:r>
            <w:r w:rsidR="009F1DF3" w:rsidRPr="00F70CB0">
              <w:rPr>
                <w:color w:val="000000"/>
                <w:sz w:val="24"/>
                <w:szCs w:val="24"/>
                <w:lang w:val="en-GB" w:eastAsia="en-GB"/>
              </w:rPr>
              <w:t xml:space="preserve">the </w:t>
            </w:r>
            <w:r w:rsidRPr="00F70CB0">
              <w:rPr>
                <w:color w:val="000000"/>
                <w:sz w:val="24"/>
                <w:szCs w:val="24"/>
                <w:lang w:val="en-GB" w:eastAsia="en-GB"/>
              </w:rPr>
              <w:t>reliability of findings</w:t>
            </w:r>
          </w:p>
        </w:tc>
      </w:tr>
      <w:tr w:rsidR="000D15B2" w:rsidRPr="00F70CB0" w14:paraId="1655BDE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689060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24</w:t>
            </w:r>
          </w:p>
        </w:tc>
        <w:tc>
          <w:tcPr>
            <w:tcW w:w="1134" w:type="dxa"/>
            <w:tcBorders>
              <w:top w:val="nil"/>
              <w:left w:val="nil"/>
              <w:bottom w:val="single" w:sz="4" w:space="0" w:color="auto"/>
              <w:right w:val="single" w:sz="4" w:space="0" w:color="auto"/>
            </w:tcBorders>
            <w:noWrap/>
            <w:vAlign w:val="bottom"/>
            <w:hideMark/>
          </w:tcPr>
          <w:p w14:paraId="11B806A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Liu &amp; </w:t>
            </w:r>
            <w:proofErr w:type="spellStart"/>
            <w:r w:rsidRPr="00F70CB0">
              <w:rPr>
                <w:color w:val="000000"/>
                <w:sz w:val="24"/>
                <w:szCs w:val="24"/>
                <w:lang w:val="en-GB" w:eastAsia="en-GB"/>
              </w:rPr>
              <w:t>Louvieris</w:t>
            </w:r>
            <w:proofErr w:type="spellEnd"/>
            <w:r w:rsidRPr="00F70CB0">
              <w:rPr>
                <w:color w:val="000000"/>
                <w:sz w:val="24"/>
                <w:szCs w:val="24"/>
                <w:lang w:val="en-GB" w:eastAsia="en-GB"/>
              </w:rPr>
              <w:t xml:space="preserve"> (2006)</w:t>
            </w:r>
          </w:p>
        </w:tc>
        <w:tc>
          <w:tcPr>
            <w:tcW w:w="678" w:type="dxa"/>
            <w:tcBorders>
              <w:top w:val="nil"/>
              <w:left w:val="nil"/>
              <w:bottom w:val="single" w:sz="4" w:space="0" w:color="auto"/>
              <w:right w:val="single" w:sz="4" w:space="0" w:color="auto"/>
            </w:tcBorders>
            <w:noWrap/>
            <w:vAlign w:val="bottom"/>
            <w:hideMark/>
          </w:tcPr>
          <w:p w14:paraId="5BE396D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451ED16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 Trust + Commitment</w:t>
            </w:r>
          </w:p>
        </w:tc>
        <w:tc>
          <w:tcPr>
            <w:tcW w:w="711" w:type="dxa"/>
            <w:tcBorders>
              <w:top w:val="nil"/>
              <w:left w:val="nil"/>
              <w:bottom w:val="single" w:sz="4" w:space="0" w:color="auto"/>
              <w:right w:val="single" w:sz="4" w:space="0" w:color="auto"/>
            </w:tcBorders>
            <w:noWrap/>
            <w:vAlign w:val="bottom"/>
            <w:hideMark/>
          </w:tcPr>
          <w:p w14:paraId="4A55578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470CC05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196</w:t>
            </w:r>
          </w:p>
        </w:tc>
        <w:tc>
          <w:tcPr>
            <w:tcW w:w="1695" w:type="dxa"/>
            <w:tcBorders>
              <w:top w:val="nil"/>
              <w:left w:val="nil"/>
              <w:bottom w:val="single" w:sz="4" w:space="0" w:color="auto"/>
              <w:right w:val="single" w:sz="4" w:space="0" w:color="auto"/>
            </w:tcBorders>
            <w:noWrap/>
            <w:vAlign w:val="bottom"/>
            <w:hideMark/>
          </w:tcPr>
          <w:p w14:paraId="4F3AEC8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PU, PEOU, Trust, Commitment</w:t>
            </w:r>
          </w:p>
        </w:tc>
        <w:tc>
          <w:tcPr>
            <w:tcW w:w="922" w:type="dxa"/>
            <w:tcBorders>
              <w:top w:val="nil"/>
              <w:left w:val="nil"/>
              <w:bottom w:val="single" w:sz="4" w:space="0" w:color="auto"/>
              <w:right w:val="single" w:sz="4" w:space="0" w:color="auto"/>
            </w:tcBorders>
            <w:noWrap/>
            <w:vAlign w:val="bottom"/>
            <w:hideMark/>
          </w:tcPr>
          <w:p w14:paraId="229179C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1F95C46"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Outdated study; lacks relevance to modern digital banking</w:t>
            </w:r>
          </w:p>
        </w:tc>
      </w:tr>
      <w:tr w:rsidR="000D15B2" w:rsidRPr="00F70CB0" w14:paraId="76C1859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262090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25</w:t>
            </w:r>
          </w:p>
        </w:tc>
        <w:tc>
          <w:tcPr>
            <w:tcW w:w="1134" w:type="dxa"/>
            <w:tcBorders>
              <w:top w:val="nil"/>
              <w:left w:val="nil"/>
              <w:bottom w:val="single" w:sz="4" w:space="0" w:color="auto"/>
              <w:right w:val="single" w:sz="4" w:space="0" w:color="auto"/>
            </w:tcBorders>
            <w:noWrap/>
            <w:vAlign w:val="bottom"/>
            <w:hideMark/>
          </w:tcPr>
          <w:p w14:paraId="360206E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Santos (2018)</w:t>
            </w:r>
          </w:p>
        </w:tc>
        <w:tc>
          <w:tcPr>
            <w:tcW w:w="678" w:type="dxa"/>
            <w:tcBorders>
              <w:top w:val="nil"/>
              <w:left w:val="nil"/>
              <w:bottom w:val="single" w:sz="4" w:space="0" w:color="auto"/>
              <w:right w:val="single" w:sz="4" w:space="0" w:color="auto"/>
            </w:tcBorders>
            <w:noWrap/>
            <w:vAlign w:val="bottom"/>
            <w:hideMark/>
          </w:tcPr>
          <w:p w14:paraId="06D0656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03CFCA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Customer Value Model</w:t>
            </w:r>
          </w:p>
        </w:tc>
        <w:tc>
          <w:tcPr>
            <w:tcW w:w="711" w:type="dxa"/>
            <w:tcBorders>
              <w:top w:val="nil"/>
              <w:left w:val="nil"/>
              <w:bottom w:val="single" w:sz="4" w:space="0" w:color="auto"/>
              <w:right w:val="single" w:sz="4" w:space="0" w:color="auto"/>
            </w:tcBorders>
            <w:noWrap/>
            <w:vAlign w:val="bottom"/>
            <w:hideMark/>
          </w:tcPr>
          <w:p w14:paraId="5592008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Thesis / Quantitative</w:t>
            </w:r>
          </w:p>
        </w:tc>
        <w:tc>
          <w:tcPr>
            <w:tcW w:w="447" w:type="dxa"/>
            <w:tcBorders>
              <w:top w:val="nil"/>
              <w:left w:val="nil"/>
              <w:bottom w:val="single" w:sz="4" w:space="0" w:color="auto"/>
              <w:right w:val="single" w:sz="4" w:space="0" w:color="auto"/>
            </w:tcBorders>
            <w:noWrap/>
            <w:vAlign w:val="bottom"/>
            <w:hideMark/>
          </w:tcPr>
          <w:p w14:paraId="5D2A6F1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201</w:t>
            </w:r>
          </w:p>
        </w:tc>
        <w:tc>
          <w:tcPr>
            <w:tcW w:w="1695" w:type="dxa"/>
            <w:tcBorders>
              <w:top w:val="nil"/>
              <w:left w:val="nil"/>
              <w:bottom w:val="single" w:sz="4" w:space="0" w:color="auto"/>
              <w:right w:val="single" w:sz="4" w:space="0" w:color="auto"/>
            </w:tcBorders>
            <w:noWrap/>
            <w:vAlign w:val="bottom"/>
            <w:hideMark/>
          </w:tcPr>
          <w:p w14:paraId="3FF3B1F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Customer Value, WOM, Loyalty</w:t>
            </w:r>
          </w:p>
        </w:tc>
        <w:tc>
          <w:tcPr>
            <w:tcW w:w="922" w:type="dxa"/>
            <w:tcBorders>
              <w:top w:val="nil"/>
              <w:left w:val="nil"/>
              <w:bottom w:val="single" w:sz="4" w:space="0" w:color="auto"/>
              <w:right w:val="single" w:sz="4" w:space="0" w:color="auto"/>
            </w:tcBorders>
            <w:noWrap/>
            <w:vAlign w:val="bottom"/>
            <w:hideMark/>
          </w:tcPr>
          <w:p w14:paraId="02FF6C4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Traditional vs challenger banks</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BE9E34B"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Limited empirical evidence; mostly conceptual comparison</w:t>
            </w:r>
          </w:p>
        </w:tc>
      </w:tr>
      <w:tr w:rsidR="000D15B2" w:rsidRPr="00F70CB0" w14:paraId="60F10D0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92FF94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26</w:t>
            </w:r>
          </w:p>
        </w:tc>
        <w:tc>
          <w:tcPr>
            <w:tcW w:w="1134" w:type="dxa"/>
            <w:tcBorders>
              <w:top w:val="nil"/>
              <w:left w:val="nil"/>
              <w:bottom w:val="single" w:sz="4" w:space="0" w:color="auto"/>
              <w:right w:val="single" w:sz="4" w:space="0" w:color="auto"/>
            </w:tcBorders>
            <w:noWrap/>
            <w:vAlign w:val="bottom"/>
            <w:hideMark/>
          </w:tcPr>
          <w:p w14:paraId="407B14CD"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Insoll</w:t>
            </w:r>
            <w:proofErr w:type="spellEnd"/>
            <w:r w:rsidRPr="00F70CB0">
              <w:rPr>
                <w:color w:val="000000"/>
                <w:sz w:val="24"/>
                <w:szCs w:val="24"/>
                <w:lang w:val="en-GB" w:eastAsia="en-GB"/>
              </w:rPr>
              <w:t xml:space="preserve"> et al. (2019)</w:t>
            </w:r>
          </w:p>
        </w:tc>
        <w:tc>
          <w:tcPr>
            <w:tcW w:w="678" w:type="dxa"/>
            <w:tcBorders>
              <w:top w:val="nil"/>
              <w:left w:val="nil"/>
              <w:bottom w:val="single" w:sz="4" w:space="0" w:color="auto"/>
              <w:right w:val="single" w:sz="4" w:space="0" w:color="auto"/>
            </w:tcBorders>
            <w:noWrap/>
            <w:vAlign w:val="bottom"/>
            <w:hideMark/>
          </w:tcPr>
          <w:p w14:paraId="4CD9C7A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59CC261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Switching Cost Theory</w:t>
            </w:r>
          </w:p>
        </w:tc>
        <w:tc>
          <w:tcPr>
            <w:tcW w:w="711" w:type="dxa"/>
            <w:tcBorders>
              <w:top w:val="nil"/>
              <w:left w:val="nil"/>
              <w:bottom w:val="single" w:sz="4" w:space="0" w:color="auto"/>
              <w:right w:val="single" w:sz="4" w:space="0" w:color="auto"/>
            </w:tcBorders>
            <w:noWrap/>
            <w:vAlign w:val="bottom"/>
            <w:hideMark/>
          </w:tcPr>
          <w:p w14:paraId="07DDCF1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Qualitative</w:t>
            </w:r>
          </w:p>
        </w:tc>
        <w:tc>
          <w:tcPr>
            <w:tcW w:w="447" w:type="dxa"/>
            <w:tcBorders>
              <w:top w:val="nil"/>
              <w:left w:val="nil"/>
              <w:bottom w:val="single" w:sz="4" w:space="0" w:color="auto"/>
              <w:right w:val="single" w:sz="4" w:space="0" w:color="auto"/>
            </w:tcBorders>
            <w:noWrap/>
            <w:vAlign w:val="bottom"/>
            <w:hideMark/>
          </w:tcPr>
          <w:p w14:paraId="635F836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24191A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Switching Costs</w:t>
            </w:r>
          </w:p>
        </w:tc>
        <w:tc>
          <w:tcPr>
            <w:tcW w:w="922" w:type="dxa"/>
            <w:tcBorders>
              <w:top w:val="nil"/>
              <w:left w:val="nil"/>
              <w:bottom w:val="single" w:sz="4" w:space="0" w:color="auto"/>
              <w:right w:val="single" w:sz="4" w:space="0" w:color="auto"/>
            </w:tcBorders>
            <w:noWrap/>
            <w:vAlign w:val="bottom"/>
            <w:hideMark/>
          </w:tcPr>
          <w:p w14:paraId="087EE36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Digital challenger </w:t>
            </w:r>
            <w:r w:rsidRPr="00F70CB0">
              <w:rPr>
                <w:color w:val="000000"/>
                <w:sz w:val="24"/>
                <w:szCs w:val="24"/>
                <w:lang w:val="en-GB" w:eastAsia="en-GB"/>
              </w:rPr>
              <w:lastRenderedPageBreak/>
              <w:t>bank switching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6E6D7CA"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lastRenderedPageBreak/>
              <w:t>Small sample size; limited generalisability</w:t>
            </w:r>
          </w:p>
        </w:tc>
      </w:tr>
      <w:tr w:rsidR="000D15B2" w:rsidRPr="00F70CB0" w14:paraId="1B5E77E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A8E1C5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27</w:t>
            </w:r>
          </w:p>
        </w:tc>
        <w:tc>
          <w:tcPr>
            <w:tcW w:w="1134" w:type="dxa"/>
            <w:tcBorders>
              <w:top w:val="nil"/>
              <w:left w:val="nil"/>
              <w:bottom w:val="single" w:sz="4" w:space="0" w:color="auto"/>
              <w:right w:val="single" w:sz="4" w:space="0" w:color="auto"/>
            </w:tcBorders>
            <w:noWrap/>
            <w:vAlign w:val="bottom"/>
            <w:hideMark/>
          </w:tcPr>
          <w:p w14:paraId="58E2EC8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Han &amp; Ko (2025)</w:t>
            </w:r>
          </w:p>
        </w:tc>
        <w:tc>
          <w:tcPr>
            <w:tcW w:w="678" w:type="dxa"/>
            <w:tcBorders>
              <w:top w:val="nil"/>
              <w:left w:val="nil"/>
              <w:bottom w:val="single" w:sz="4" w:space="0" w:color="auto"/>
              <w:right w:val="single" w:sz="4" w:space="0" w:color="auto"/>
            </w:tcBorders>
            <w:noWrap/>
            <w:vAlign w:val="bottom"/>
            <w:hideMark/>
          </w:tcPr>
          <w:p w14:paraId="1499FC7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Korea</w:t>
            </w:r>
          </w:p>
        </w:tc>
        <w:tc>
          <w:tcPr>
            <w:tcW w:w="1196" w:type="dxa"/>
            <w:tcBorders>
              <w:top w:val="nil"/>
              <w:left w:val="nil"/>
              <w:bottom w:val="single" w:sz="4" w:space="0" w:color="auto"/>
              <w:right w:val="single" w:sz="4" w:space="0" w:color="auto"/>
            </w:tcBorders>
            <w:noWrap/>
            <w:vAlign w:val="bottom"/>
            <w:hideMark/>
          </w:tcPr>
          <w:p w14:paraId="72767AB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Technology Adoption Model</w:t>
            </w:r>
          </w:p>
        </w:tc>
        <w:tc>
          <w:tcPr>
            <w:tcW w:w="711" w:type="dxa"/>
            <w:tcBorders>
              <w:top w:val="nil"/>
              <w:left w:val="nil"/>
              <w:bottom w:val="single" w:sz="4" w:space="0" w:color="auto"/>
              <w:right w:val="single" w:sz="4" w:space="0" w:color="auto"/>
            </w:tcBorders>
            <w:noWrap/>
            <w:vAlign w:val="bottom"/>
            <w:hideMark/>
          </w:tcPr>
          <w:p w14:paraId="464F1F3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Hierarchical regression</w:t>
            </w:r>
          </w:p>
        </w:tc>
        <w:tc>
          <w:tcPr>
            <w:tcW w:w="447" w:type="dxa"/>
            <w:tcBorders>
              <w:top w:val="nil"/>
              <w:left w:val="nil"/>
              <w:bottom w:val="single" w:sz="4" w:space="0" w:color="auto"/>
              <w:right w:val="single" w:sz="4" w:space="0" w:color="auto"/>
            </w:tcBorders>
            <w:noWrap/>
            <w:vAlign w:val="bottom"/>
            <w:hideMark/>
          </w:tcPr>
          <w:p w14:paraId="646C6AB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488</w:t>
            </w:r>
          </w:p>
        </w:tc>
        <w:tc>
          <w:tcPr>
            <w:tcW w:w="1695" w:type="dxa"/>
            <w:tcBorders>
              <w:top w:val="nil"/>
              <w:left w:val="nil"/>
              <w:bottom w:val="single" w:sz="4" w:space="0" w:color="auto"/>
              <w:right w:val="single" w:sz="4" w:space="0" w:color="auto"/>
            </w:tcBorders>
            <w:noWrap/>
            <w:vAlign w:val="bottom"/>
            <w:hideMark/>
          </w:tcPr>
          <w:p w14:paraId="2E481A5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Technology Anxiety, Familiarity, Age, Continuance</w:t>
            </w:r>
          </w:p>
        </w:tc>
        <w:tc>
          <w:tcPr>
            <w:tcW w:w="922" w:type="dxa"/>
            <w:tcBorders>
              <w:top w:val="nil"/>
              <w:left w:val="nil"/>
              <w:bottom w:val="single" w:sz="4" w:space="0" w:color="auto"/>
              <w:right w:val="single" w:sz="4" w:space="0" w:color="auto"/>
            </w:tcBorders>
            <w:noWrap/>
            <w:vAlign w:val="bottom"/>
            <w:hideMark/>
          </w:tcPr>
          <w:p w14:paraId="1F269C1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Elderly mobile finance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73E480A" w14:textId="342BB0F6"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Focus on </w:t>
            </w:r>
            <w:r w:rsidR="009F1DF3" w:rsidRPr="00F70CB0">
              <w:rPr>
                <w:color w:val="000000"/>
                <w:sz w:val="24"/>
                <w:szCs w:val="24"/>
                <w:lang w:val="en-GB" w:eastAsia="en-GB"/>
              </w:rPr>
              <w:t xml:space="preserve">the </w:t>
            </w:r>
            <w:r w:rsidRPr="00F70CB0">
              <w:rPr>
                <w:color w:val="000000"/>
                <w:sz w:val="24"/>
                <w:szCs w:val="24"/>
                <w:lang w:val="en-GB" w:eastAsia="en-GB"/>
              </w:rPr>
              <w:t xml:space="preserve">elderly only; </w:t>
            </w:r>
            <w:r w:rsidR="009F1DF3" w:rsidRPr="00F70CB0">
              <w:rPr>
                <w:color w:val="000000"/>
                <w:sz w:val="24"/>
                <w:szCs w:val="24"/>
                <w:lang w:val="en-GB" w:eastAsia="en-GB"/>
              </w:rPr>
              <w:t xml:space="preserve">it </w:t>
            </w:r>
            <w:r w:rsidRPr="00F70CB0">
              <w:rPr>
                <w:color w:val="000000"/>
                <w:sz w:val="24"/>
                <w:szCs w:val="24"/>
                <w:lang w:val="en-GB" w:eastAsia="en-GB"/>
              </w:rPr>
              <w:t>lacks broader user analysis</w:t>
            </w:r>
          </w:p>
        </w:tc>
      </w:tr>
      <w:tr w:rsidR="000D15B2" w:rsidRPr="00F70CB0" w14:paraId="5F7ED9F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229E13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28</w:t>
            </w:r>
          </w:p>
        </w:tc>
        <w:tc>
          <w:tcPr>
            <w:tcW w:w="1134" w:type="dxa"/>
            <w:tcBorders>
              <w:top w:val="nil"/>
              <w:left w:val="nil"/>
              <w:bottom w:val="single" w:sz="4" w:space="0" w:color="auto"/>
              <w:right w:val="single" w:sz="4" w:space="0" w:color="auto"/>
            </w:tcBorders>
            <w:noWrap/>
            <w:vAlign w:val="bottom"/>
            <w:hideMark/>
          </w:tcPr>
          <w:p w14:paraId="6BB097DF"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Matraku</w:t>
            </w:r>
            <w:proofErr w:type="spellEnd"/>
            <w:r w:rsidRPr="00F70CB0">
              <w:rPr>
                <w:color w:val="000000"/>
                <w:sz w:val="24"/>
                <w:szCs w:val="24"/>
                <w:lang w:val="en-GB" w:eastAsia="en-GB"/>
              </w:rPr>
              <w:t xml:space="preserve"> (2024)</w:t>
            </w:r>
          </w:p>
        </w:tc>
        <w:tc>
          <w:tcPr>
            <w:tcW w:w="678" w:type="dxa"/>
            <w:tcBorders>
              <w:top w:val="nil"/>
              <w:left w:val="nil"/>
              <w:bottom w:val="single" w:sz="4" w:space="0" w:color="auto"/>
              <w:right w:val="single" w:sz="4" w:space="0" w:color="auto"/>
            </w:tcBorders>
            <w:noWrap/>
            <w:vAlign w:val="bottom"/>
            <w:hideMark/>
          </w:tcPr>
          <w:p w14:paraId="70BF310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71C8024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Adoption / Satisfaction Model</w:t>
            </w:r>
          </w:p>
        </w:tc>
        <w:tc>
          <w:tcPr>
            <w:tcW w:w="711" w:type="dxa"/>
            <w:tcBorders>
              <w:top w:val="nil"/>
              <w:left w:val="nil"/>
              <w:bottom w:val="single" w:sz="4" w:space="0" w:color="auto"/>
              <w:right w:val="single" w:sz="4" w:space="0" w:color="auto"/>
            </w:tcBorders>
            <w:noWrap/>
            <w:vAlign w:val="bottom"/>
            <w:hideMark/>
          </w:tcPr>
          <w:p w14:paraId="210B3A1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46BFC93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697F6F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Neobank Adoption, Satisfaction</w:t>
            </w:r>
          </w:p>
        </w:tc>
        <w:tc>
          <w:tcPr>
            <w:tcW w:w="922" w:type="dxa"/>
            <w:tcBorders>
              <w:top w:val="nil"/>
              <w:left w:val="nil"/>
              <w:bottom w:val="single" w:sz="4" w:space="0" w:color="auto"/>
              <w:right w:val="single" w:sz="4" w:space="0" w:color="auto"/>
            </w:tcBorders>
            <w:noWrap/>
            <w:vAlign w:val="bottom"/>
            <w:hideMark/>
          </w:tcPr>
          <w:p w14:paraId="4EE91D7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Neobank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01D4F7A"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Limited to student population; lacks real-world banking diversity</w:t>
            </w:r>
          </w:p>
        </w:tc>
      </w:tr>
      <w:tr w:rsidR="000D15B2" w:rsidRPr="00F70CB0" w14:paraId="182CE40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07C4F4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29</w:t>
            </w:r>
          </w:p>
        </w:tc>
        <w:tc>
          <w:tcPr>
            <w:tcW w:w="1134" w:type="dxa"/>
            <w:tcBorders>
              <w:top w:val="nil"/>
              <w:left w:val="nil"/>
              <w:bottom w:val="single" w:sz="4" w:space="0" w:color="auto"/>
              <w:right w:val="single" w:sz="4" w:space="0" w:color="auto"/>
            </w:tcBorders>
            <w:noWrap/>
            <w:vAlign w:val="bottom"/>
            <w:hideMark/>
          </w:tcPr>
          <w:p w14:paraId="5BFAA811"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Pradhina</w:t>
            </w:r>
            <w:proofErr w:type="spellEnd"/>
            <w:r w:rsidRPr="00F70CB0">
              <w:rPr>
                <w:color w:val="000000"/>
                <w:sz w:val="24"/>
                <w:szCs w:val="24"/>
                <w:lang w:val="en-GB" w:eastAsia="en-GB"/>
              </w:rPr>
              <w:t xml:space="preserve"> &amp; Pillai (2020)</w:t>
            </w:r>
          </w:p>
        </w:tc>
        <w:tc>
          <w:tcPr>
            <w:tcW w:w="678" w:type="dxa"/>
            <w:tcBorders>
              <w:top w:val="nil"/>
              <w:left w:val="nil"/>
              <w:bottom w:val="single" w:sz="4" w:space="0" w:color="auto"/>
              <w:right w:val="single" w:sz="4" w:space="0" w:color="auto"/>
            </w:tcBorders>
            <w:noWrap/>
            <w:vAlign w:val="bottom"/>
            <w:hideMark/>
          </w:tcPr>
          <w:p w14:paraId="3A0E7A6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879ABC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Continuance Model</w:t>
            </w:r>
          </w:p>
        </w:tc>
        <w:tc>
          <w:tcPr>
            <w:tcW w:w="711" w:type="dxa"/>
            <w:tcBorders>
              <w:top w:val="nil"/>
              <w:left w:val="nil"/>
              <w:bottom w:val="single" w:sz="4" w:space="0" w:color="auto"/>
              <w:right w:val="single" w:sz="4" w:space="0" w:color="auto"/>
            </w:tcBorders>
            <w:noWrap/>
            <w:vAlign w:val="bottom"/>
            <w:hideMark/>
          </w:tcPr>
          <w:p w14:paraId="4EC021F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Book chapter / Conceptual</w:t>
            </w:r>
          </w:p>
        </w:tc>
        <w:tc>
          <w:tcPr>
            <w:tcW w:w="447" w:type="dxa"/>
            <w:tcBorders>
              <w:top w:val="nil"/>
              <w:left w:val="nil"/>
              <w:bottom w:val="single" w:sz="4" w:space="0" w:color="auto"/>
              <w:right w:val="single" w:sz="4" w:space="0" w:color="auto"/>
            </w:tcBorders>
            <w:noWrap/>
            <w:vAlign w:val="bottom"/>
            <w:hideMark/>
          </w:tcPr>
          <w:p w14:paraId="3BE4332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C8A8BD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Continuance Intention</w:t>
            </w:r>
          </w:p>
        </w:tc>
        <w:tc>
          <w:tcPr>
            <w:tcW w:w="922" w:type="dxa"/>
            <w:tcBorders>
              <w:top w:val="nil"/>
              <w:left w:val="nil"/>
              <w:bottom w:val="single" w:sz="4" w:space="0" w:color="auto"/>
              <w:right w:val="single" w:sz="4" w:space="0" w:color="auto"/>
            </w:tcBorders>
            <w:noWrap/>
            <w:vAlign w:val="bottom"/>
            <w:hideMark/>
          </w:tcPr>
          <w:p w14:paraId="2A23DE4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D12E01F"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Limited empirical depth; lacks comprehensive model testing</w:t>
            </w:r>
          </w:p>
        </w:tc>
      </w:tr>
      <w:tr w:rsidR="000D15B2" w:rsidRPr="00F70CB0" w14:paraId="0A9C4F2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D35719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30</w:t>
            </w:r>
          </w:p>
        </w:tc>
        <w:tc>
          <w:tcPr>
            <w:tcW w:w="1134" w:type="dxa"/>
            <w:tcBorders>
              <w:top w:val="nil"/>
              <w:left w:val="nil"/>
              <w:bottom w:val="single" w:sz="4" w:space="0" w:color="auto"/>
              <w:right w:val="single" w:sz="4" w:space="0" w:color="auto"/>
            </w:tcBorders>
            <w:noWrap/>
            <w:vAlign w:val="bottom"/>
            <w:hideMark/>
          </w:tcPr>
          <w:p w14:paraId="56533712"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Asnakew</w:t>
            </w:r>
            <w:proofErr w:type="spellEnd"/>
            <w:r w:rsidRPr="00F70CB0">
              <w:rPr>
                <w:color w:val="000000"/>
                <w:sz w:val="24"/>
                <w:szCs w:val="24"/>
                <w:lang w:val="en-GB" w:eastAsia="en-GB"/>
              </w:rPr>
              <w:t xml:space="preserve"> (2020)</w:t>
            </w:r>
          </w:p>
        </w:tc>
        <w:tc>
          <w:tcPr>
            <w:tcW w:w="678" w:type="dxa"/>
            <w:tcBorders>
              <w:top w:val="nil"/>
              <w:left w:val="nil"/>
              <w:bottom w:val="single" w:sz="4" w:space="0" w:color="auto"/>
              <w:right w:val="single" w:sz="4" w:space="0" w:color="auto"/>
            </w:tcBorders>
            <w:noWrap/>
            <w:vAlign w:val="bottom"/>
            <w:hideMark/>
          </w:tcPr>
          <w:p w14:paraId="5174947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Ethiopia</w:t>
            </w:r>
          </w:p>
        </w:tc>
        <w:tc>
          <w:tcPr>
            <w:tcW w:w="1196" w:type="dxa"/>
            <w:tcBorders>
              <w:top w:val="nil"/>
              <w:left w:val="nil"/>
              <w:bottom w:val="single" w:sz="4" w:space="0" w:color="auto"/>
              <w:right w:val="single" w:sz="4" w:space="0" w:color="auto"/>
            </w:tcBorders>
            <w:noWrap/>
            <w:vAlign w:val="bottom"/>
            <w:hideMark/>
          </w:tcPr>
          <w:p w14:paraId="00716F4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Integrated Continuance Model</w:t>
            </w:r>
          </w:p>
        </w:tc>
        <w:tc>
          <w:tcPr>
            <w:tcW w:w="711" w:type="dxa"/>
            <w:tcBorders>
              <w:top w:val="nil"/>
              <w:left w:val="nil"/>
              <w:bottom w:val="single" w:sz="4" w:space="0" w:color="auto"/>
              <w:right w:val="single" w:sz="4" w:space="0" w:color="auto"/>
            </w:tcBorders>
            <w:noWrap/>
            <w:vAlign w:val="bottom"/>
            <w:hideMark/>
          </w:tcPr>
          <w:p w14:paraId="1AC6D7E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59557BF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F8220F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Continuance Intention, Satisfaction</w:t>
            </w:r>
          </w:p>
        </w:tc>
        <w:tc>
          <w:tcPr>
            <w:tcW w:w="922" w:type="dxa"/>
            <w:tcBorders>
              <w:top w:val="nil"/>
              <w:left w:val="nil"/>
              <w:bottom w:val="single" w:sz="4" w:space="0" w:color="auto"/>
              <w:right w:val="single" w:sz="4" w:space="0" w:color="auto"/>
            </w:tcBorders>
            <w:noWrap/>
            <w:vAlign w:val="bottom"/>
            <w:hideMark/>
          </w:tcPr>
          <w:p w14:paraId="7E377E8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1FE7A08"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Regional focus; lacks cross-cultural or global comparison</w:t>
            </w:r>
          </w:p>
        </w:tc>
      </w:tr>
      <w:tr w:rsidR="000D15B2" w:rsidRPr="00F70CB0" w14:paraId="22A9B18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995B1F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31</w:t>
            </w:r>
          </w:p>
        </w:tc>
        <w:tc>
          <w:tcPr>
            <w:tcW w:w="1134" w:type="dxa"/>
            <w:tcBorders>
              <w:top w:val="nil"/>
              <w:left w:val="nil"/>
              <w:bottom w:val="single" w:sz="4" w:space="0" w:color="auto"/>
              <w:right w:val="single" w:sz="4" w:space="0" w:color="auto"/>
            </w:tcBorders>
            <w:noWrap/>
            <w:vAlign w:val="bottom"/>
            <w:hideMark/>
          </w:tcPr>
          <w:p w14:paraId="6ED8EA94"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Vedadi</w:t>
            </w:r>
            <w:proofErr w:type="spellEnd"/>
            <w:r w:rsidRPr="00F70CB0">
              <w:rPr>
                <w:color w:val="000000"/>
                <w:sz w:val="24"/>
                <w:szCs w:val="24"/>
                <w:lang w:val="en-GB" w:eastAsia="en-GB"/>
              </w:rPr>
              <w:t xml:space="preserve"> &amp; Warkentin (2016)</w:t>
            </w:r>
          </w:p>
        </w:tc>
        <w:tc>
          <w:tcPr>
            <w:tcW w:w="678" w:type="dxa"/>
            <w:tcBorders>
              <w:top w:val="nil"/>
              <w:left w:val="nil"/>
              <w:bottom w:val="single" w:sz="4" w:space="0" w:color="auto"/>
              <w:right w:val="single" w:sz="4" w:space="0" w:color="auto"/>
            </w:tcBorders>
            <w:noWrap/>
            <w:vAlign w:val="bottom"/>
            <w:hideMark/>
          </w:tcPr>
          <w:p w14:paraId="12AC232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USA</w:t>
            </w:r>
          </w:p>
        </w:tc>
        <w:tc>
          <w:tcPr>
            <w:tcW w:w="1196" w:type="dxa"/>
            <w:tcBorders>
              <w:top w:val="nil"/>
              <w:left w:val="nil"/>
              <w:bottom w:val="single" w:sz="4" w:space="0" w:color="auto"/>
              <w:right w:val="single" w:sz="4" w:space="0" w:color="auto"/>
            </w:tcBorders>
            <w:noWrap/>
            <w:vAlign w:val="bottom"/>
            <w:hideMark/>
          </w:tcPr>
          <w:p w14:paraId="70CD84E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IS Continuance Model</w:t>
            </w:r>
          </w:p>
        </w:tc>
        <w:tc>
          <w:tcPr>
            <w:tcW w:w="711" w:type="dxa"/>
            <w:tcBorders>
              <w:top w:val="nil"/>
              <w:left w:val="nil"/>
              <w:bottom w:val="single" w:sz="4" w:space="0" w:color="auto"/>
              <w:right w:val="single" w:sz="4" w:space="0" w:color="auto"/>
            </w:tcBorders>
            <w:noWrap/>
            <w:vAlign w:val="bottom"/>
            <w:hideMark/>
          </w:tcPr>
          <w:p w14:paraId="176F934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2E7258E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256</w:t>
            </w:r>
          </w:p>
        </w:tc>
        <w:tc>
          <w:tcPr>
            <w:tcW w:w="1695" w:type="dxa"/>
            <w:tcBorders>
              <w:top w:val="nil"/>
              <w:left w:val="nil"/>
              <w:bottom w:val="single" w:sz="4" w:space="0" w:color="auto"/>
              <w:right w:val="single" w:sz="4" w:space="0" w:color="auto"/>
            </w:tcBorders>
            <w:noWrap/>
            <w:vAlign w:val="bottom"/>
            <w:hideMark/>
          </w:tcPr>
          <w:p w14:paraId="73CA23C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Expectation, Satisfaction, Continuance</w:t>
            </w:r>
          </w:p>
        </w:tc>
        <w:tc>
          <w:tcPr>
            <w:tcW w:w="922" w:type="dxa"/>
            <w:tcBorders>
              <w:top w:val="nil"/>
              <w:left w:val="nil"/>
              <w:bottom w:val="single" w:sz="4" w:space="0" w:color="auto"/>
              <w:right w:val="single" w:sz="4" w:space="0" w:color="auto"/>
            </w:tcBorders>
            <w:noWrap/>
            <w:vAlign w:val="bottom"/>
            <w:hideMark/>
          </w:tcPr>
          <w:p w14:paraId="2CCCA06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1317D88"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Focuses only on continuance intention; lacks integration with adoption and satisfaction factors</w:t>
            </w:r>
          </w:p>
        </w:tc>
      </w:tr>
      <w:tr w:rsidR="000D15B2" w:rsidRPr="00F70CB0" w14:paraId="4407FFD7"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30B9FA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32</w:t>
            </w:r>
          </w:p>
        </w:tc>
        <w:tc>
          <w:tcPr>
            <w:tcW w:w="1134" w:type="dxa"/>
            <w:tcBorders>
              <w:top w:val="nil"/>
              <w:left w:val="nil"/>
              <w:bottom w:val="single" w:sz="4" w:space="0" w:color="auto"/>
              <w:right w:val="single" w:sz="4" w:space="0" w:color="auto"/>
            </w:tcBorders>
            <w:noWrap/>
            <w:vAlign w:val="bottom"/>
            <w:hideMark/>
          </w:tcPr>
          <w:p w14:paraId="4FF93BF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Christy &amp; Lisana (2025)</w:t>
            </w:r>
          </w:p>
        </w:tc>
        <w:tc>
          <w:tcPr>
            <w:tcW w:w="678" w:type="dxa"/>
            <w:tcBorders>
              <w:top w:val="nil"/>
              <w:left w:val="nil"/>
              <w:bottom w:val="single" w:sz="4" w:space="0" w:color="auto"/>
              <w:right w:val="single" w:sz="4" w:space="0" w:color="auto"/>
            </w:tcBorders>
            <w:noWrap/>
            <w:vAlign w:val="bottom"/>
            <w:hideMark/>
          </w:tcPr>
          <w:p w14:paraId="277F1CB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27DA77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Systematic Review</w:t>
            </w:r>
          </w:p>
        </w:tc>
        <w:tc>
          <w:tcPr>
            <w:tcW w:w="711" w:type="dxa"/>
            <w:tcBorders>
              <w:top w:val="nil"/>
              <w:left w:val="nil"/>
              <w:bottom w:val="single" w:sz="4" w:space="0" w:color="auto"/>
              <w:right w:val="single" w:sz="4" w:space="0" w:color="auto"/>
            </w:tcBorders>
            <w:noWrap/>
            <w:vAlign w:val="bottom"/>
            <w:hideMark/>
          </w:tcPr>
          <w:p w14:paraId="398D89C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Systematic literature review</w:t>
            </w:r>
          </w:p>
        </w:tc>
        <w:tc>
          <w:tcPr>
            <w:tcW w:w="447" w:type="dxa"/>
            <w:tcBorders>
              <w:top w:val="nil"/>
              <w:left w:val="nil"/>
              <w:bottom w:val="single" w:sz="4" w:space="0" w:color="auto"/>
              <w:right w:val="single" w:sz="4" w:space="0" w:color="auto"/>
            </w:tcBorders>
            <w:noWrap/>
            <w:vAlign w:val="bottom"/>
            <w:hideMark/>
          </w:tcPr>
          <w:p w14:paraId="05EB1DB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29 studies</w:t>
            </w:r>
          </w:p>
        </w:tc>
        <w:tc>
          <w:tcPr>
            <w:tcW w:w="1695" w:type="dxa"/>
            <w:tcBorders>
              <w:top w:val="nil"/>
              <w:left w:val="nil"/>
              <w:bottom w:val="single" w:sz="4" w:space="0" w:color="auto"/>
              <w:right w:val="single" w:sz="4" w:space="0" w:color="auto"/>
            </w:tcBorders>
            <w:noWrap/>
            <w:vAlign w:val="bottom"/>
            <w:hideMark/>
          </w:tcPr>
          <w:p w14:paraId="27E0A6F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Satisfaction, Privacy, Security, User Experience, Continuance</w:t>
            </w:r>
          </w:p>
        </w:tc>
        <w:tc>
          <w:tcPr>
            <w:tcW w:w="922" w:type="dxa"/>
            <w:tcBorders>
              <w:top w:val="nil"/>
              <w:left w:val="nil"/>
              <w:bottom w:val="single" w:sz="4" w:space="0" w:color="auto"/>
              <w:right w:val="single" w:sz="4" w:space="0" w:color="auto"/>
            </w:tcBorders>
            <w:noWrap/>
            <w:vAlign w:val="bottom"/>
            <w:hideMark/>
          </w:tcPr>
          <w:p w14:paraId="70721A4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continuance review</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4664F95"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Systematic review; lacks primary empirical validation and real-world data</w:t>
            </w:r>
          </w:p>
        </w:tc>
      </w:tr>
      <w:tr w:rsidR="000D15B2" w:rsidRPr="00F70CB0" w14:paraId="4A2FA68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1EEA67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33</w:t>
            </w:r>
          </w:p>
        </w:tc>
        <w:tc>
          <w:tcPr>
            <w:tcW w:w="1134" w:type="dxa"/>
            <w:tcBorders>
              <w:top w:val="nil"/>
              <w:left w:val="nil"/>
              <w:bottom w:val="single" w:sz="4" w:space="0" w:color="auto"/>
              <w:right w:val="single" w:sz="4" w:space="0" w:color="auto"/>
            </w:tcBorders>
            <w:noWrap/>
            <w:vAlign w:val="bottom"/>
            <w:hideMark/>
          </w:tcPr>
          <w:p w14:paraId="3B75B28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Jafri et al. (2024)</w:t>
            </w:r>
          </w:p>
        </w:tc>
        <w:tc>
          <w:tcPr>
            <w:tcW w:w="678" w:type="dxa"/>
            <w:tcBorders>
              <w:top w:val="nil"/>
              <w:left w:val="nil"/>
              <w:bottom w:val="single" w:sz="4" w:space="0" w:color="auto"/>
              <w:right w:val="single" w:sz="4" w:space="0" w:color="auto"/>
            </w:tcBorders>
            <w:noWrap/>
            <w:vAlign w:val="bottom"/>
            <w:hideMark/>
          </w:tcPr>
          <w:p w14:paraId="2D4F73F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C21743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ROSES / TCCM</w:t>
            </w:r>
          </w:p>
        </w:tc>
        <w:tc>
          <w:tcPr>
            <w:tcW w:w="711" w:type="dxa"/>
            <w:tcBorders>
              <w:top w:val="nil"/>
              <w:left w:val="nil"/>
              <w:bottom w:val="single" w:sz="4" w:space="0" w:color="auto"/>
              <w:right w:val="single" w:sz="4" w:space="0" w:color="auto"/>
            </w:tcBorders>
            <w:noWrap/>
            <w:vAlign w:val="bottom"/>
            <w:hideMark/>
          </w:tcPr>
          <w:p w14:paraId="0A73805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Systematic literature review</w:t>
            </w:r>
          </w:p>
        </w:tc>
        <w:tc>
          <w:tcPr>
            <w:tcW w:w="447" w:type="dxa"/>
            <w:tcBorders>
              <w:top w:val="nil"/>
              <w:left w:val="nil"/>
              <w:bottom w:val="single" w:sz="4" w:space="0" w:color="auto"/>
              <w:right w:val="single" w:sz="4" w:space="0" w:color="auto"/>
            </w:tcBorders>
            <w:noWrap/>
            <w:vAlign w:val="bottom"/>
            <w:hideMark/>
          </w:tcPr>
          <w:p w14:paraId="0C0FBC8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26 studies</w:t>
            </w:r>
          </w:p>
        </w:tc>
        <w:tc>
          <w:tcPr>
            <w:tcW w:w="1695" w:type="dxa"/>
            <w:tcBorders>
              <w:top w:val="nil"/>
              <w:left w:val="nil"/>
              <w:bottom w:val="single" w:sz="4" w:space="0" w:color="auto"/>
              <w:right w:val="single" w:sz="4" w:space="0" w:color="auto"/>
            </w:tcBorders>
            <w:noWrap/>
            <w:vAlign w:val="bottom"/>
            <w:hideMark/>
          </w:tcPr>
          <w:p w14:paraId="52C0A45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Security, Risk, Behavioural Intention</w:t>
            </w:r>
          </w:p>
        </w:tc>
        <w:tc>
          <w:tcPr>
            <w:tcW w:w="922" w:type="dxa"/>
            <w:tcBorders>
              <w:top w:val="nil"/>
              <w:left w:val="nil"/>
              <w:bottom w:val="single" w:sz="4" w:space="0" w:color="auto"/>
              <w:right w:val="single" w:sz="4" w:space="0" w:color="auto"/>
            </w:tcBorders>
            <w:noWrap/>
            <w:vAlign w:val="bottom"/>
            <w:hideMark/>
          </w:tcPr>
          <w:p w14:paraId="436C9B6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adoption review</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891BDEB"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Review-based study; lacks empirical testing of trust and security relationships</w:t>
            </w:r>
          </w:p>
        </w:tc>
      </w:tr>
      <w:tr w:rsidR="000D15B2" w:rsidRPr="00F70CB0" w14:paraId="02E01CC8"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1137D4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34</w:t>
            </w:r>
          </w:p>
        </w:tc>
        <w:tc>
          <w:tcPr>
            <w:tcW w:w="1134" w:type="dxa"/>
            <w:tcBorders>
              <w:top w:val="nil"/>
              <w:left w:val="nil"/>
              <w:bottom w:val="single" w:sz="4" w:space="0" w:color="auto"/>
              <w:right w:val="single" w:sz="4" w:space="0" w:color="auto"/>
            </w:tcBorders>
            <w:noWrap/>
            <w:vAlign w:val="bottom"/>
            <w:hideMark/>
          </w:tcPr>
          <w:p w14:paraId="03BAD60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Bacha et al. (2025)</w:t>
            </w:r>
          </w:p>
        </w:tc>
        <w:tc>
          <w:tcPr>
            <w:tcW w:w="678" w:type="dxa"/>
            <w:tcBorders>
              <w:top w:val="nil"/>
              <w:left w:val="nil"/>
              <w:bottom w:val="single" w:sz="4" w:space="0" w:color="auto"/>
              <w:right w:val="single" w:sz="4" w:space="0" w:color="auto"/>
            </w:tcBorders>
            <w:noWrap/>
            <w:vAlign w:val="bottom"/>
            <w:hideMark/>
          </w:tcPr>
          <w:p w14:paraId="31B1A95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07B9CCB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Behavioural Dynamics Model</w:t>
            </w:r>
          </w:p>
        </w:tc>
        <w:tc>
          <w:tcPr>
            <w:tcW w:w="711" w:type="dxa"/>
            <w:tcBorders>
              <w:top w:val="nil"/>
              <w:left w:val="nil"/>
              <w:bottom w:val="single" w:sz="4" w:space="0" w:color="auto"/>
              <w:right w:val="single" w:sz="4" w:space="0" w:color="auto"/>
            </w:tcBorders>
            <w:noWrap/>
            <w:vAlign w:val="bottom"/>
            <w:hideMark/>
          </w:tcPr>
          <w:p w14:paraId="7DF0449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0584AEE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250</w:t>
            </w:r>
          </w:p>
        </w:tc>
        <w:tc>
          <w:tcPr>
            <w:tcW w:w="1695" w:type="dxa"/>
            <w:tcBorders>
              <w:top w:val="nil"/>
              <w:left w:val="nil"/>
              <w:bottom w:val="single" w:sz="4" w:space="0" w:color="auto"/>
              <w:right w:val="single" w:sz="4" w:space="0" w:color="auto"/>
            </w:tcBorders>
            <w:noWrap/>
            <w:vAlign w:val="bottom"/>
            <w:hideMark/>
          </w:tcPr>
          <w:p w14:paraId="4E36773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Usefulness, Security Trust, Peer Influence, Usage Intention</w:t>
            </w:r>
          </w:p>
        </w:tc>
        <w:tc>
          <w:tcPr>
            <w:tcW w:w="922" w:type="dxa"/>
            <w:tcBorders>
              <w:top w:val="nil"/>
              <w:left w:val="nil"/>
              <w:bottom w:val="single" w:sz="4" w:space="0" w:color="auto"/>
              <w:right w:val="single" w:sz="4" w:space="0" w:color="auto"/>
            </w:tcBorders>
            <w:noWrap/>
            <w:vAlign w:val="bottom"/>
            <w:hideMark/>
          </w:tcPr>
          <w:p w14:paraId="1A881B4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usage intention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28C13CA" w14:textId="4998933C"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Limited to </w:t>
            </w:r>
            <w:r w:rsidR="009F1DF3" w:rsidRPr="00F70CB0">
              <w:rPr>
                <w:color w:val="000000"/>
                <w:sz w:val="24"/>
                <w:szCs w:val="24"/>
                <w:lang w:val="en-GB" w:eastAsia="en-GB"/>
              </w:rPr>
              <w:t xml:space="preserve">the </w:t>
            </w:r>
            <w:r w:rsidRPr="00F70CB0">
              <w:rPr>
                <w:color w:val="000000"/>
                <w:sz w:val="24"/>
                <w:szCs w:val="24"/>
                <w:lang w:val="en-GB" w:eastAsia="en-GB"/>
              </w:rPr>
              <w:t>UK usage context; lacks comparative international analysis</w:t>
            </w:r>
          </w:p>
        </w:tc>
      </w:tr>
      <w:tr w:rsidR="000D15B2" w:rsidRPr="00F70CB0" w14:paraId="3C71F97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ABCC37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35</w:t>
            </w:r>
          </w:p>
        </w:tc>
        <w:tc>
          <w:tcPr>
            <w:tcW w:w="1134" w:type="dxa"/>
            <w:tcBorders>
              <w:top w:val="nil"/>
              <w:left w:val="nil"/>
              <w:bottom w:val="single" w:sz="4" w:space="0" w:color="auto"/>
              <w:right w:val="single" w:sz="4" w:space="0" w:color="auto"/>
            </w:tcBorders>
            <w:noWrap/>
            <w:vAlign w:val="bottom"/>
            <w:hideMark/>
          </w:tcPr>
          <w:p w14:paraId="66A305B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Shankar &amp; </w:t>
            </w:r>
            <w:proofErr w:type="spellStart"/>
            <w:r w:rsidRPr="00F70CB0">
              <w:rPr>
                <w:color w:val="000000"/>
                <w:sz w:val="24"/>
                <w:szCs w:val="24"/>
                <w:lang w:val="en-GB" w:eastAsia="en-GB"/>
              </w:rPr>
              <w:t>Jebarajakirthy</w:t>
            </w:r>
            <w:proofErr w:type="spellEnd"/>
            <w:r w:rsidRPr="00F70CB0">
              <w:rPr>
                <w:color w:val="000000"/>
                <w:sz w:val="24"/>
                <w:szCs w:val="24"/>
                <w:lang w:val="en-GB" w:eastAsia="en-GB"/>
              </w:rPr>
              <w:t xml:space="preserve"> (2019)</w:t>
            </w:r>
          </w:p>
        </w:tc>
        <w:tc>
          <w:tcPr>
            <w:tcW w:w="678" w:type="dxa"/>
            <w:tcBorders>
              <w:top w:val="nil"/>
              <w:left w:val="nil"/>
              <w:bottom w:val="single" w:sz="4" w:space="0" w:color="auto"/>
              <w:right w:val="single" w:sz="4" w:space="0" w:color="auto"/>
            </w:tcBorders>
            <w:noWrap/>
            <w:vAlign w:val="bottom"/>
            <w:hideMark/>
          </w:tcPr>
          <w:p w14:paraId="171F46C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25EA049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Cognitive-Motivation-Relational Theory</w:t>
            </w:r>
          </w:p>
        </w:tc>
        <w:tc>
          <w:tcPr>
            <w:tcW w:w="711" w:type="dxa"/>
            <w:tcBorders>
              <w:top w:val="nil"/>
              <w:left w:val="nil"/>
              <w:bottom w:val="single" w:sz="4" w:space="0" w:color="auto"/>
              <w:right w:val="single" w:sz="4" w:space="0" w:color="auto"/>
            </w:tcBorders>
            <w:noWrap/>
            <w:vAlign w:val="bottom"/>
            <w:hideMark/>
          </w:tcPr>
          <w:p w14:paraId="1DBF3B0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4C49108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1028</w:t>
            </w:r>
          </w:p>
        </w:tc>
        <w:tc>
          <w:tcPr>
            <w:tcW w:w="1695" w:type="dxa"/>
            <w:tcBorders>
              <w:top w:val="nil"/>
              <w:left w:val="nil"/>
              <w:bottom w:val="single" w:sz="4" w:space="0" w:color="auto"/>
              <w:right w:val="single" w:sz="4" w:space="0" w:color="auto"/>
            </w:tcBorders>
            <w:noWrap/>
            <w:vAlign w:val="bottom"/>
            <w:hideMark/>
          </w:tcPr>
          <w:p w14:paraId="2A0CDF3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E-banking Service Quality, Trust, Loyalty</w:t>
            </w:r>
          </w:p>
        </w:tc>
        <w:tc>
          <w:tcPr>
            <w:tcW w:w="922" w:type="dxa"/>
            <w:tcBorders>
              <w:top w:val="nil"/>
              <w:left w:val="nil"/>
              <w:bottom w:val="single" w:sz="4" w:space="0" w:color="auto"/>
              <w:right w:val="single" w:sz="4" w:space="0" w:color="auto"/>
            </w:tcBorders>
            <w:noWrap/>
            <w:vAlign w:val="bottom"/>
            <w:hideMark/>
          </w:tcPr>
          <w:p w14:paraId="4ADC33B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E-banking loyalty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CB81105"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Complex mediation model; limited practical applicability for banking practitioners</w:t>
            </w:r>
          </w:p>
        </w:tc>
      </w:tr>
      <w:tr w:rsidR="000D15B2" w:rsidRPr="00F70CB0" w14:paraId="287E842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B7BD51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36</w:t>
            </w:r>
          </w:p>
        </w:tc>
        <w:tc>
          <w:tcPr>
            <w:tcW w:w="1134" w:type="dxa"/>
            <w:tcBorders>
              <w:top w:val="nil"/>
              <w:left w:val="nil"/>
              <w:bottom w:val="single" w:sz="4" w:space="0" w:color="auto"/>
              <w:right w:val="single" w:sz="4" w:space="0" w:color="auto"/>
            </w:tcBorders>
            <w:noWrap/>
            <w:vAlign w:val="bottom"/>
            <w:hideMark/>
          </w:tcPr>
          <w:p w14:paraId="58AAE08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Ozcan &amp; </w:t>
            </w:r>
            <w:proofErr w:type="spellStart"/>
            <w:r w:rsidRPr="00F70CB0">
              <w:rPr>
                <w:color w:val="000000"/>
                <w:sz w:val="24"/>
                <w:szCs w:val="24"/>
                <w:lang w:val="en-GB" w:eastAsia="en-GB"/>
              </w:rPr>
              <w:t>Arikan</w:t>
            </w:r>
            <w:proofErr w:type="spellEnd"/>
            <w:r w:rsidRPr="00F70CB0">
              <w:rPr>
                <w:color w:val="000000"/>
                <w:sz w:val="24"/>
                <w:szCs w:val="24"/>
                <w:lang w:val="en-GB" w:eastAsia="en-GB"/>
              </w:rPr>
              <w:t xml:space="preserve"> (2022)</w:t>
            </w:r>
          </w:p>
        </w:tc>
        <w:tc>
          <w:tcPr>
            <w:tcW w:w="678" w:type="dxa"/>
            <w:tcBorders>
              <w:top w:val="nil"/>
              <w:left w:val="nil"/>
              <w:bottom w:val="single" w:sz="4" w:space="0" w:color="auto"/>
              <w:right w:val="single" w:sz="4" w:space="0" w:color="auto"/>
            </w:tcBorders>
            <w:noWrap/>
            <w:vAlign w:val="bottom"/>
            <w:hideMark/>
          </w:tcPr>
          <w:p w14:paraId="2E743040"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Turkiye</w:t>
            </w:r>
            <w:proofErr w:type="spellEnd"/>
          </w:p>
        </w:tc>
        <w:tc>
          <w:tcPr>
            <w:tcW w:w="1196" w:type="dxa"/>
            <w:tcBorders>
              <w:top w:val="nil"/>
              <w:left w:val="nil"/>
              <w:bottom w:val="single" w:sz="4" w:space="0" w:color="auto"/>
              <w:right w:val="single" w:sz="4" w:space="0" w:color="auto"/>
            </w:tcBorders>
            <w:noWrap/>
            <w:vAlign w:val="bottom"/>
            <w:hideMark/>
          </w:tcPr>
          <w:p w14:paraId="3A6BCA3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UTAUT2 + IS Success</w:t>
            </w:r>
          </w:p>
        </w:tc>
        <w:tc>
          <w:tcPr>
            <w:tcW w:w="711" w:type="dxa"/>
            <w:tcBorders>
              <w:top w:val="nil"/>
              <w:left w:val="nil"/>
              <w:bottom w:val="single" w:sz="4" w:space="0" w:color="auto"/>
              <w:right w:val="single" w:sz="4" w:space="0" w:color="auto"/>
            </w:tcBorders>
            <w:noWrap/>
            <w:vAlign w:val="bottom"/>
            <w:hideMark/>
          </w:tcPr>
          <w:p w14:paraId="543A487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5AFB1A4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422</w:t>
            </w:r>
          </w:p>
        </w:tc>
        <w:tc>
          <w:tcPr>
            <w:tcW w:w="1695" w:type="dxa"/>
            <w:tcBorders>
              <w:top w:val="nil"/>
              <w:left w:val="nil"/>
              <w:bottom w:val="single" w:sz="4" w:space="0" w:color="auto"/>
              <w:right w:val="single" w:sz="4" w:space="0" w:color="auto"/>
            </w:tcBorders>
            <w:noWrap/>
            <w:vAlign w:val="bottom"/>
            <w:hideMark/>
          </w:tcPr>
          <w:p w14:paraId="6E2C0B3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Satisfaction, System Quality, Continuance</w:t>
            </w:r>
          </w:p>
        </w:tc>
        <w:tc>
          <w:tcPr>
            <w:tcW w:w="922" w:type="dxa"/>
            <w:tcBorders>
              <w:top w:val="nil"/>
              <w:left w:val="nil"/>
              <w:bottom w:val="single" w:sz="4" w:space="0" w:color="auto"/>
              <w:right w:val="single" w:sz="4" w:space="0" w:color="auto"/>
            </w:tcBorders>
            <w:noWrap/>
            <w:vAlign w:val="bottom"/>
            <w:hideMark/>
          </w:tcPr>
          <w:p w14:paraId="2AB6BBE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F5484FC"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Limited variables; lacks integration of behavioural and psychological constructs</w:t>
            </w:r>
          </w:p>
        </w:tc>
      </w:tr>
      <w:tr w:rsidR="000D15B2" w:rsidRPr="00F70CB0" w14:paraId="19D55B5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89F8B8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37</w:t>
            </w:r>
          </w:p>
        </w:tc>
        <w:tc>
          <w:tcPr>
            <w:tcW w:w="1134" w:type="dxa"/>
            <w:tcBorders>
              <w:top w:val="nil"/>
              <w:left w:val="nil"/>
              <w:bottom w:val="single" w:sz="4" w:space="0" w:color="auto"/>
              <w:right w:val="single" w:sz="4" w:space="0" w:color="auto"/>
            </w:tcBorders>
            <w:noWrap/>
            <w:vAlign w:val="bottom"/>
            <w:hideMark/>
          </w:tcPr>
          <w:p w14:paraId="3BB893F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Velika &amp; Adnas (2025)</w:t>
            </w:r>
          </w:p>
        </w:tc>
        <w:tc>
          <w:tcPr>
            <w:tcW w:w="678" w:type="dxa"/>
            <w:tcBorders>
              <w:top w:val="nil"/>
              <w:left w:val="nil"/>
              <w:bottom w:val="single" w:sz="4" w:space="0" w:color="auto"/>
              <w:right w:val="single" w:sz="4" w:space="0" w:color="auto"/>
            </w:tcBorders>
            <w:noWrap/>
            <w:vAlign w:val="bottom"/>
            <w:hideMark/>
          </w:tcPr>
          <w:p w14:paraId="3310F6A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2CD2ED3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User Experience Model</w:t>
            </w:r>
          </w:p>
        </w:tc>
        <w:tc>
          <w:tcPr>
            <w:tcW w:w="711" w:type="dxa"/>
            <w:tcBorders>
              <w:top w:val="nil"/>
              <w:left w:val="nil"/>
              <w:bottom w:val="single" w:sz="4" w:space="0" w:color="auto"/>
              <w:right w:val="single" w:sz="4" w:space="0" w:color="auto"/>
            </w:tcBorders>
            <w:noWrap/>
            <w:vAlign w:val="bottom"/>
            <w:hideMark/>
          </w:tcPr>
          <w:p w14:paraId="32E2FF3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4965CF9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161</w:t>
            </w:r>
          </w:p>
        </w:tc>
        <w:tc>
          <w:tcPr>
            <w:tcW w:w="1695" w:type="dxa"/>
            <w:tcBorders>
              <w:top w:val="nil"/>
              <w:left w:val="nil"/>
              <w:bottom w:val="single" w:sz="4" w:space="0" w:color="auto"/>
              <w:right w:val="single" w:sz="4" w:space="0" w:color="auto"/>
            </w:tcBorders>
            <w:noWrap/>
            <w:vAlign w:val="bottom"/>
            <w:hideMark/>
          </w:tcPr>
          <w:p w14:paraId="61D9182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User Experience, Satisfaction, Loyalty</w:t>
            </w:r>
          </w:p>
        </w:tc>
        <w:tc>
          <w:tcPr>
            <w:tcW w:w="922" w:type="dxa"/>
            <w:tcBorders>
              <w:top w:val="nil"/>
              <w:left w:val="nil"/>
              <w:bottom w:val="single" w:sz="4" w:space="0" w:color="auto"/>
              <w:right w:val="single" w:sz="4" w:space="0" w:color="auto"/>
            </w:tcBorders>
            <w:noWrap/>
            <w:vAlign w:val="bottom"/>
            <w:hideMark/>
          </w:tcPr>
          <w:p w14:paraId="607FD97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customer loyalty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3C6B9DF"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Focuses on user experience only; lacks integration with trust and risk factors</w:t>
            </w:r>
          </w:p>
        </w:tc>
      </w:tr>
      <w:tr w:rsidR="000D15B2" w:rsidRPr="00F70CB0" w14:paraId="62F01BA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91E868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38</w:t>
            </w:r>
          </w:p>
        </w:tc>
        <w:tc>
          <w:tcPr>
            <w:tcW w:w="1134" w:type="dxa"/>
            <w:tcBorders>
              <w:top w:val="nil"/>
              <w:left w:val="nil"/>
              <w:bottom w:val="single" w:sz="4" w:space="0" w:color="auto"/>
              <w:right w:val="single" w:sz="4" w:space="0" w:color="auto"/>
            </w:tcBorders>
            <w:noWrap/>
            <w:vAlign w:val="bottom"/>
            <w:hideMark/>
          </w:tcPr>
          <w:p w14:paraId="131AD18B"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Barjaktarovic</w:t>
            </w:r>
            <w:proofErr w:type="spellEnd"/>
            <w:r w:rsidRPr="00F70CB0">
              <w:rPr>
                <w:color w:val="000000"/>
                <w:sz w:val="24"/>
                <w:szCs w:val="24"/>
                <w:lang w:val="en-GB" w:eastAsia="en-GB"/>
              </w:rPr>
              <w:t xml:space="preserve"> Rakocevic et al. (2025)</w:t>
            </w:r>
          </w:p>
        </w:tc>
        <w:tc>
          <w:tcPr>
            <w:tcW w:w="678" w:type="dxa"/>
            <w:tcBorders>
              <w:top w:val="nil"/>
              <w:left w:val="nil"/>
              <w:bottom w:val="single" w:sz="4" w:space="0" w:color="auto"/>
              <w:right w:val="single" w:sz="4" w:space="0" w:color="auto"/>
            </w:tcBorders>
            <w:noWrap/>
            <w:vAlign w:val="bottom"/>
            <w:hideMark/>
          </w:tcPr>
          <w:p w14:paraId="06E56A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Serbia / Balkans</w:t>
            </w:r>
          </w:p>
        </w:tc>
        <w:tc>
          <w:tcPr>
            <w:tcW w:w="1196" w:type="dxa"/>
            <w:tcBorders>
              <w:top w:val="nil"/>
              <w:left w:val="nil"/>
              <w:bottom w:val="single" w:sz="4" w:space="0" w:color="auto"/>
              <w:right w:val="single" w:sz="4" w:space="0" w:color="auto"/>
            </w:tcBorders>
            <w:noWrap/>
            <w:vAlign w:val="bottom"/>
            <w:hideMark/>
          </w:tcPr>
          <w:p w14:paraId="2A2D187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Perceived Risk–Expectation Model</w:t>
            </w:r>
          </w:p>
        </w:tc>
        <w:tc>
          <w:tcPr>
            <w:tcW w:w="711" w:type="dxa"/>
            <w:tcBorders>
              <w:top w:val="nil"/>
              <w:left w:val="nil"/>
              <w:bottom w:val="single" w:sz="4" w:space="0" w:color="auto"/>
              <w:right w:val="single" w:sz="4" w:space="0" w:color="auto"/>
            </w:tcBorders>
            <w:noWrap/>
            <w:vAlign w:val="bottom"/>
            <w:hideMark/>
          </w:tcPr>
          <w:p w14:paraId="1F117CE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7CF18FA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535</w:t>
            </w:r>
          </w:p>
        </w:tc>
        <w:tc>
          <w:tcPr>
            <w:tcW w:w="1695" w:type="dxa"/>
            <w:tcBorders>
              <w:top w:val="nil"/>
              <w:left w:val="nil"/>
              <w:bottom w:val="single" w:sz="4" w:space="0" w:color="auto"/>
              <w:right w:val="single" w:sz="4" w:space="0" w:color="auto"/>
            </w:tcBorders>
            <w:noWrap/>
            <w:vAlign w:val="bottom"/>
            <w:hideMark/>
          </w:tcPr>
          <w:p w14:paraId="5A21869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Perceived Risk, Expectations, Satisfaction</w:t>
            </w:r>
          </w:p>
        </w:tc>
        <w:tc>
          <w:tcPr>
            <w:tcW w:w="922" w:type="dxa"/>
            <w:tcBorders>
              <w:top w:val="nil"/>
              <w:left w:val="nil"/>
              <w:bottom w:val="single" w:sz="4" w:space="0" w:color="auto"/>
              <w:right w:val="single" w:sz="4" w:space="0" w:color="auto"/>
            </w:tcBorders>
            <w:noWrap/>
            <w:vAlign w:val="bottom"/>
            <w:hideMark/>
          </w:tcPr>
          <w:p w14:paraId="5334FEE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satisfaction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33230E80"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Complex variable structure; lacks clarity in causal relationships</w:t>
            </w:r>
          </w:p>
        </w:tc>
      </w:tr>
      <w:tr w:rsidR="000D15B2" w:rsidRPr="00F70CB0" w14:paraId="57C21047"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06145E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39</w:t>
            </w:r>
          </w:p>
        </w:tc>
        <w:tc>
          <w:tcPr>
            <w:tcW w:w="1134" w:type="dxa"/>
            <w:tcBorders>
              <w:top w:val="nil"/>
              <w:left w:val="nil"/>
              <w:bottom w:val="single" w:sz="4" w:space="0" w:color="auto"/>
              <w:right w:val="single" w:sz="4" w:space="0" w:color="auto"/>
            </w:tcBorders>
            <w:noWrap/>
            <w:vAlign w:val="bottom"/>
            <w:hideMark/>
          </w:tcPr>
          <w:p w14:paraId="1EC4B61F"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Bankuoru</w:t>
            </w:r>
            <w:proofErr w:type="spellEnd"/>
            <w:r w:rsidRPr="00F70CB0">
              <w:rPr>
                <w:color w:val="000000"/>
                <w:sz w:val="24"/>
                <w:szCs w:val="24"/>
                <w:lang w:val="en-GB" w:eastAsia="en-GB"/>
              </w:rPr>
              <w:t xml:space="preserve"> Egala et al. (2021)</w:t>
            </w:r>
          </w:p>
        </w:tc>
        <w:tc>
          <w:tcPr>
            <w:tcW w:w="678" w:type="dxa"/>
            <w:tcBorders>
              <w:top w:val="nil"/>
              <w:left w:val="nil"/>
              <w:bottom w:val="single" w:sz="4" w:space="0" w:color="auto"/>
              <w:right w:val="single" w:sz="4" w:space="0" w:color="auto"/>
            </w:tcBorders>
            <w:noWrap/>
            <w:vAlign w:val="bottom"/>
            <w:hideMark/>
          </w:tcPr>
          <w:p w14:paraId="7B8B83F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Ghana</w:t>
            </w:r>
          </w:p>
        </w:tc>
        <w:tc>
          <w:tcPr>
            <w:tcW w:w="1196" w:type="dxa"/>
            <w:tcBorders>
              <w:top w:val="nil"/>
              <w:left w:val="nil"/>
              <w:bottom w:val="single" w:sz="4" w:space="0" w:color="auto"/>
              <w:right w:val="single" w:sz="4" w:space="0" w:color="auto"/>
            </w:tcBorders>
            <w:noWrap/>
            <w:vAlign w:val="bottom"/>
            <w:hideMark/>
          </w:tcPr>
          <w:p w14:paraId="3253CB7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E-S-QUAL + BSQ</w:t>
            </w:r>
          </w:p>
        </w:tc>
        <w:tc>
          <w:tcPr>
            <w:tcW w:w="711" w:type="dxa"/>
            <w:tcBorders>
              <w:top w:val="nil"/>
              <w:left w:val="nil"/>
              <w:bottom w:val="single" w:sz="4" w:space="0" w:color="auto"/>
              <w:right w:val="single" w:sz="4" w:space="0" w:color="auto"/>
            </w:tcBorders>
            <w:noWrap/>
            <w:vAlign w:val="bottom"/>
            <w:hideMark/>
          </w:tcPr>
          <w:p w14:paraId="53B086F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3637890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395</w:t>
            </w:r>
          </w:p>
        </w:tc>
        <w:tc>
          <w:tcPr>
            <w:tcW w:w="1695" w:type="dxa"/>
            <w:tcBorders>
              <w:top w:val="nil"/>
              <w:left w:val="nil"/>
              <w:bottom w:val="single" w:sz="4" w:space="0" w:color="auto"/>
              <w:right w:val="single" w:sz="4" w:space="0" w:color="auto"/>
            </w:tcBorders>
            <w:noWrap/>
            <w:vAlign w:val="bottom"/>
            <w:hideMark/>
          </w:tcPr>
          <w:p w14:paraId="0B919C3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Satisfaction, Retention</w:t>
            </w:r>
          </w:p>
        </w:tc>
        <w:tc>
          <w:tcPr>
            <w:tcW w:w="922" w:type="dxa"/>
            <w:tcBorders>
              <w:top w:val="nil"/>
              <w:left w:val="nil"/>
              <w:bottom w:val="single" w:sz="4" w:space="0" w:color="auto"/>
              <w:right w:val="single" w:sz="4" w:space="0" w:color="auto"/>
            </w:tcBorders>
            <w:noWrap/>
            <w:vAlign w:val="bottom"/>
            <w:hideMark/>
          </w:tcPr>
          <w:p w14:paraId="6C22409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retention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915E368"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Regional focus; lacks global applicability and cross-cultural validation</w:t>
            </w:r>
          </w:p>
        </w:tc>
      </w:tr>
      <w:tr w:rsidR="000D15B2" w:rsidRPr="00F70CB0" w14:paraId="47DCEAF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AF76B9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40</w:t>
            </w:r>
          </w:p>
        </w:tc>
        <w:tc>
          <w:tcPr>
            <w:tcW w:w="1134" w:type="dxa"/>
            <w:tcBorders>
              <w:top w:val="nil"/>
              <w:left w:val="nil"/>
              <w:bottom w:val="single" w:sz="4" w:space="0" w:color="auto"/>
              <w:right w:val="single" w:sz="4" w:space="0" w:color="auto"/>
            </w:tcBorders>
            <w:noWrap/>
            <w:vAlign w:val="bottom"/>
            <w:hideMark/>
          </w:tcPr>
          <w:p w14:paraId="10E7DDC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Nagy et al. (2024)</w:t>
            </w:r>
          </w:p>
        </w:tc>
        <w:tc>
          <w:tcPr>
            <w:tcW w:w="678" w:type="dxa"/>
            <w:tcBorders>
              <w:top w:val="nil"/>
              <w:left w:val="nil"/>
              <w:bottom w:val="single" w:sz="4" w:space="0" w:color="auto"/>
              <w:right w:val="single" w:sz="4" w:space="0" w:color="auto"/>
            </w:tcBorders>
            <w:noWrap/>
            <w:vAlign w:val="bottom"/>
            <w:hideMark/>
          </w:tcPr>
          <w:p w14:paraId="2A348F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Hungary</w:t>
            </w:r>
          </w:p>
        </w:tc>
        <w:tc>
          <w:tcPr>
            <w:tcW w:w="1196" w:type="dxa"/>
            <w:tcBorders>
              <w:top w:val="nil"/>
              <w:left w:val="nil"/>
              <w:bottom w:val="single" w:sz="4" w:space="0" w:color="auto"/>
              <w:right w:val="single" w:sz="4" w:space="0" w:color="auto"/>
            </w:tcBorders>
            <w:noWrap/>
            <w:vAlign w:val="bottom"/>
            <w:hideMark/>
          </w:tcPr>
          <w:p w14:paraId="3D6BA0D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 Trust</w:t>
            </w:r>
          </w:p>
        </w:tc>
        <w:tc>
          <w:tcPr>
            <w:tcW w:w="711" w:type="dxa"/>
            <w:tcBorders>
              <w:top w:val="nil"/>
              <w:left w:val="nil"/>
              <w:bottom w:val="single" w:sz="4" w:space="0" w:color="auto"/>
              <w:right w:val="single" w:sz="4" w:space="0" w:color="auto"/>
            </w:tcBorders>
            <w:noWrap/>
            <w:vAlign w:val="bottom"/>
            <w:hideMark/>
          </w:tcPr>
          <w:p w14:paraId="6507618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6736568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475</w:t>
            </w:r>
          </w:p>
        </w:tc>
        <w:tc>
          <w:tcPr>
            <w:tcW w:w="1695" w:type="dxa"/>
            <w:tcBorders>
              <w:top w:val="nil"/>
              <w:left w:val="nil"/>
              <w:bottom w:val="single" w:sz="4" w:space="0" w:color="auto"/>
              <w:right w:val="single" w:sz="4" w:space="0" w:color="auto"/>
            </w:tcBorders>
            <w:noWrap/>
            <w:vAlign w:val="bottom"/>
            <w:hideMark/>
          </w:tcPr>
          <w:p w14:paraId="2AA37AD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PU, PEOU, Attitude, Adoption</w:t>
            </w:r>
          </w:p>
        </w:tc>
        <w:tc>
          <w:tcPr>
            <w:tcW w:w="922" w:type="dxa"/>
            <w:tcBorders>
              <w:top w:val="nil"/>
              <w:left w:val="nil"/>
              <w:bottom w:val="single" w:sz="4" w:space="0" w:color="auto"/>
              <w:right w:val="single" w:sz="4" w:space="0" w:color="auto"/>
            </w:tcBorders>
            <w:noWrap/>
            <w:vAlign w:val="bottom"/>
            <w:hideMark/>
          </w:tcPr>
          <w:p w14:paraId="5CACBAE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Neobank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98C5670"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Limited to fintech/neobank context; lacks traditional banking comparison</w:t>
            </w:r>
          </w:p>
        </w:tc>
      </w:tr>
      <w:tr w:rsidR="000D15B2" w:rsidRPr="00F70CB0" w14:paraId="7131F59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12DFAB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41</w:t>
            </w:r>
          </w:p>
        </w:tc>
        <w:tc>
          <w:tcPr>
            <w:tcW w:w="1134" w:type="dxa"/>
            <w:tcBorders>
              <w:top w:val="nil"/>
              <w:left w:val="nil"/>
              <w:bottom w:val="single" w:sz="4" w:space="0" w:color="auto"/>
              <w:right w:val="single" w:sz="4" w:space="0" w:color="auto"/>
            </w:tcBorders>
            <w:noWrap/>
            <w:vAlign w:val="bottom"/>
            <w:hideMark/>
          </w:tcPr>
          <w:p w14:paraId="5BF900A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Saputra et al. (2023)</w:t>
            </w:r>
          </w:p>
        </w:tc>
        <w:tc>
          <w:tcPr>
            <w:tcW w:w="678" w:type="dxa"/>
            <w:tcBorders>
              <w:top w:val="nil"/>
              <w:left w:val="nil"/>
              <w:bottom w:val="single" w:sz="4" w:space="0" w:color="auto"/>
              <w:right w:val="single" w:sz="4" w:space="0" w:color="auto"/>
            </w:tcBorders>
            <w:noWrap/>
            <w:vAlign w:val="bottom"/>
            <w:hideMark/>
          </w:tcPr>
          <w:p w14:paraId="7A9BA26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FB2E9A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SLR Framework</w:t>
            </w:r>
          </w:p>
        </w:tc>
        <w:tc>
          <w:tcPr>
            <w:tcW w:w="711" w:type="dxa"/>
            <w:tcBorders>
              <w:top w:val="nil"/>
              <w:left w:val="nil"/>
              <w:bottom w:val="single" w:sz="4" w:space="0" w:color="auto"/>
              <w:right w:val="single" w:sz="4" w:space="0" w:color="auto"/>
            </w:tcBorders>
            <w:noWrap/>
            <w:vAlign w:val="bottom"/>
            <w:hideMark/>
          </w:tcPr>
          <w:p w14:paraId="4DBB164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Systematic literature review</w:t>
            </w:r>
          </w:p>
        </w:tc>
        <w:tc>
          <w:tcPr>
            <w:tcW w:w="447" w:type="dxa"/>
            <w:tcBorders>
              <w:top w:val="nil"/>
              <w:left w:val="nil"/>
              <w:bottom w:val="single" w:sz="4" w:space="0" w:color="auto"/>
              <w:right w:val="single" w:sz="4" w:space="0" w:color="auto"/>
            </w:tcBorders>
            <w:noWrap/>
            <w:vAlign w:val="bottom"/>
            <w:hideMark/>
          </w:tcPr>
          <w:p w14:paraId="1D52240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70 studies</w:t>
            </w:r>
          </w:p>
        </w:tc>
        <w:tc>
          <w:tcPr>
            <w:tcW w:w="1695" w:type="dxa"/>
            <w:tcBorders>
              <w:top w:val="nil"/>
              <w:left w:val="nil"/>
              <w:bottom w:val="single" w:sz="4" w:space="0" w:color="auto"/>
              <w:right w:val="single" w:sz="4" w:space="0" w:color="auto"/>
            </w:tcBorders>
            <w:noWrap/>
            <w:vAlign w:val="bottom"/>
            <w:hideMark/>
          </w:tcPr>
          <w:p w14:paraId="733D7EB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Social Influence, Service Quality, Acceptance</w:t>
            </w:r>
          </w:p>
        </w:tc>
        <w:tc>
          <w:tcPr>
            <w:tcW w:w="922" w:type="dxa"/>
            <w:tcBorders>
              <w:top w:val="nil"/>
              <w:left w:val="nil"/>
              <w:bottom w:val="single" w:sz="4" w:space="0" w:color="auto"/>
              <w:right w:val="single" w:sz="4" w:space="0" w:color="auto"/>
            </w:tcBorders>
            <w:noWrap/>
            <w:vAlign w:val="bottom"/>
            <w:hideMark/>
          </w:tcPr>
          <w:p w14:paraId="1932AEE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acceptance review</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86BF8BB"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Review-based; lacks primary data and empirical validation</w:t>
            </w:r>
          </w:p>
        </w:tc>
      </w:tr>
      <w:tr w:rsidR="000D15B2" w:rsidRPr="00F70CB0" w14:paraId="07718D8B"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4A7DC5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42</w:t>
            </w:r>
          </w:p>
        </w:tc>
        <w:tc>
          <w:tcPr>
            <w:tcW w:w="1134" w:type="dxa"/>
            <w:tcBorders>
              <w:top w:val="nil"/>
              <w:left w:val="nil"/>
              <w:bottom w:val="single" w:sz="4" w:space="0" w:color="auto"/>
              <w:right w:val="single" w:sz="4" w:space="0" w:color="auto"/>
            </w:tcBorders>
            <w:noWrap/>
            <w:vAlign w:val="bottom"/>
            <w:hideMark/>
          </w:tcPr>
          <w:p w14:paraId="56BD4694"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Almaiah</w:t>
            </w:r>
            <w:proofErr w:type="spellEnd"/>
            <w:r w:rsidRPr="00F70CB0">
              <w:rPr>
                <w:color w:val="000000"/>
                <w:sz w:val="24"/>
                <w:szCs w:val="24"/>
                <w:lang w:val="en-GB" w:eastAsia="en-GB"/>
              </w:rPr>
              <w:t xml:space="preserve"> et al. (2023)</w:t>
            </w:r>
          </w:p>
        </w:tc>
        <w:tc>
          <w:tcPr>
            <w:tcW w:w="678" w:type="dxa"/>
            <w:tcBorders>
              <w:top w:val="nil"/>
              <w:left w:val="nil"/>
              <w:bottom w:val="single" w:sz="4" w:space="0" w:color="auto"/>
              <w:right w:val="single" w:sz="4" w:space="0" w:color="auto"/>
            </w:tcBorders>
            <w:noWrap/>
            <w:vAlign w:val="bottom"/>
            <w:hideMark/>
          </w:tcPr>
          <w:p w14:paraId="36498C7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E9E458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 Security/Risk Model</w:t>
            </w:r>
          </w:p>
        </w:tc>
        <w:tc>
          <w:tcPr>
            <w:tcW w:w="711" w:type="dxa"/>
            <w:tcBorders>
              <w:top w:val="nil"/>
              <w:left w:val="nil"/>
              <w:bottom w:val="single" w:sz="4" w:space="0" w:color="auto"/>
              <w:right w:val="single" w:sz="4" w:space="0" w:color="auto"/>
            </w:tcBorders>
            <w:noWrap/>
            <w:vAlign w:val="bottom"/>
            <w:hideMark/>
          </w:tcPr>
          <w:p w14:paraId="58DE7B3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6A2A2D7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F1F46C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Perceived Risk, Security, Trust, Adoption</w:t>
            </w:r>
          </w:p>
        </w:tc>
        <w:tc>
          <w:tcPr>
            <w:tcW w:w="922" w:type="dxa"/>
            <w:tcBorders>
              <w:top w:val="nil"/>
              <w:left w:val="nil"/>
              <w:bottom w:val="single" w:sz="4" w:space="0" w:color="auto"/>
              <w:right w:val="single" w:sz="4" w:space="0" w:color="auto"/>
            </w:tcBorders>
            <w:noWrap/>
            <w:vAlign w:val="bottom"/>
            <w:hideMark/>
          </w:tcPr>
          <w:p w14:paraId="1DEB5FF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security and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9CD6390"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 on security and trust; lacks broader behavioural and usability factors</w:t>
            </w:r>
          </w:p>
        </w:tc>
      </w:tr>
      <w:tr w:rsidR="000D15B2" w:rsidRPr="00F70CB0" w14:paraId="066E333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A4FB52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43</w:t>
            </w:r>
          </w:p>
        </w:tc>
        <w:tc>
          <w:tcPr>
            <w:tcW w:w="1134" w:type="dxa"/>
            <w:tcBorders>
              <w:top w:val="nil"/>
              <w:left w:val="nil"/>
              <w:bottom w:val="single" w:sz="4" w:space="0" w:color="auto"/>
              <w:right w:val="single" w:sz="4" w:space="0" w:color="auto"/>
            </w:tcBorders>
            <w:noWrap/>
            <w:vAlign w:val="bottom"/>
            <w:hideMark/>
          </w:tcPr>
          <w:p w14:paraId="4EE4B690"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Apaua</w:t>
            </w:r>
            <w:proofErr w:type="spellEnd"/>
            <w:r w:rsidRPr="00F70CB0">
              <w:rPr>
                <w:color w:val="000000"/>
                <w:sz w:val="24"/>
                <w:szCs w:val="24"/>
                <w:lang w:val="en-GB" w:eastAsia="en-GB"/>
              </w:rPr>
              <w:t xml:space="preserve"> &amp; Lallie (2022)</w:t>
            </w:r>
          </w:p>
        </w:tc>
        <w:tc>
          <w:tcPr>
            <w:tcW w:w="678" w:type="dxa"/>
            <w:tcBorders>
              <w:top w:val="nil"/>
              <w:left w:val="nil"/>
              <w:bottom w:val="single" w:sz="4" w:space="0" w:color="auto"/>
              <w:right w:val="single" w:sz="4" w:space="0" w:color="auto"/>
            </w:tcBorders>
            <w:noWrap/>
            <w:vAlign w:val="bottom"/>
            <w:hideMark/>
          </w:tcPr>
          <w:p w14:paraId="373C8AA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28A0086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Extended UTAUT2</w:t>
            </w:r>
          </w:p>
        </w:tc>
        <w:tc>
          <w:tcPr>
            <w:tcW w:w="711" w:type="dxa"/>
            <w:tcBorders>
              <w:top w:val="nil"/>
              <w:left w:val="nil"/>
              <w:bottom w:val="single" w:sz="4" w:space="0" w:color="auto"/>
              <w:right w:val="single" w:sz="4" w:space="0" w:color="auto"/>
            </w:tcBorders>
            <w:noWrap/>
            <w:vAlign w:val="bottom"/>
            <w:hideMark/>
          </w:tcPr>
          <w:p w14:paraId="1E701CA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CB-SEM</w:t>
            </w:r>
          </w:p>
        </w:tc>
        <w:tc>
          <w:tcPr>
            <w:tcW w:w="447" w:type="dxa"/>
            <w:tcBorders>
              <w:top w:val="nil"/>
              <w:left w:val="nil"/>
              <w:bottom w:val="single" w:sz="4" w:space="0" w:color="auto"/>
              <w:right w:val="single" w:sz="4" w:space="0" w:color="auto"/>
            </w:tcBorders>
            <w:noWrap/>
            <w:vAlign w:val="bottom"/>
            <w:hideMark/>
          </w:tcPr>
          <w:p w14:paraId="4E092C4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315</w:t>
            </w:r>
          </w:p>
        </w:tc>
        <w:tc>
          <w:tcPr>
            <w:tcW w:w="1695" w:type="dxa"/>
            <w:tcBorders>
              <w:top w:val="nil"/>
              <w:left w:val="nil"/>
              <w:bottom w:val="single" w:sz="4" w:space="0" w:color="auto"/>
              <w:right w:val="single" w:sz="4" w:space="0" w:color="auto"/>
            </w:tcBorders>
            <w:noWrap/>
            <w:vAlign w:val="bottom"/>
            <w:hideMark/>
          </w:tcPr>
          <w:p w14:paraId="50F5982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Perceived Security, Trust, Behavioural Intention, Use Behaviour</w:t>
            </w:r>
          </w:p>
        </w:tc>
        <w:tc>
          <w:tcPr>
            <w:tcW w:w="922" w:type="dxa"/>
            <w:tcBorders>
              <w:top w:val="nil"/>
              <w:left w:val="nil"/>
              <w:bottom w:val="single" w:sz="4" w:space="0" w:color="auto"/>
              <w:right w:val="single" w:sz="4" w:space="0" w:color="auto"/>
            </w:tcBorders>
            <w:noWrap/>
            <w:vAlign w:val="bottom"/>
            <w:hideMark/>
          </w:tcPr>
          <w:p w14:paraId="78DB1EF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security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94064F8" w14:textId="742122B5"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Extended model complexity; difficult to apply in </w:t>
            </w:r>
            <w:r w:rsidR="009F1DF3" w:rsidRPr="00F70CB0">
              <w:rPr>
                <w:color w:val="000000"/>
                <w:sz w:val="24"/>
                <w:szCs w:val="24"/>
                <w:lang w:val="en-GB" w:eastAsia="en-GB"/>
              </w:rPr>
              <w:t xml:space="preserve">a </w:t>
            </w:r>
            <w:r w:rsidRPr="00F70CB0">
              <w:rPr>
                <w:color w:val="000000"/>
                <w:sz w:val="24"/>
                <w:szCs w:val="24"/>
                <w:lang w:val="en-GB" w:eastAsia="en-GB"/>
              </w:rPr>
              <w:t>practical banking context</w:t>
            </w:r>
          </w:p>
        </w:tc>
      </w:tr>
      <w:tr w:rsidR="000D15B2" w:rsidRPr="00F70CB0" w14:paraId="45B6011D"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CAFBCD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44</w:t>
            </w:r>
          </w:p>
        </w:tc>
        <w:tc>
          <w:tcPr>
            <w:tcW w:w="1134" w:type="dxa"/>
            <w:tcBorders>
              <w:top w:val="nil"/>
              <w:left w:val="nil"/>
              <w:bottom w:val="single" w:sz="4" w:space="0" w:color="auto"/>
              <w:right w:val="single" w:sz="4" w:space="0" w:color="auto"/>
            </w:tcBorders>
            <w:noWrap/>
            <w:vAlign w:val="bottom"/>
            <w:hideMark/>
          </w:tcPr>
          <w:p w14:paraId="0CED5C1B"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Slazus</w:t>
            </w:r>
            <w:proofErr w:type="spellEnd"/>
            <w:r w:rsidRPr="00F70CB0">
              <w:rPr>
                <w:color w:val="000000"/>
                <w:sz w:val="24"/>
                <w:szCs w:val="24"/>
                <w:lang w:val="en-GB" w:eastAsia="en-GB"/>
              </w:rPr>
              <w:t xml:space="preserve"> &amp; Bick (2022)</w:t>
            </w:r>
          </w:p>
        </w:tc>
        <w:tc>
          <w:tcPr>
            <w:tcW w:w="678" w:type="dxa"/>
            <w:tcBorders>
              <w:top w:val="nil"/>
              <w:left w:val="nil"/>
              <w:bottom w:val="single" w:sz="4" w:space="0" w:color="auto"/>
              <w:right w:val="single" w:sz="4" w:space="0" w:color="auto"/>
            </w:tcBorders>
            <w:noWrap/>
            <w:vAlign w:val="bottom"/>
            <w:hideMark/>
          </w:tcPr>
          <w:p w14:paraId="08F327E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South Africa</w:t>
            </w:r>
          </w:p>
        </w:tc>
        <w:tc>
          <w:tcPr>
            <w:tcW w:w="1196" w:type="dxa"/>
            <w:tcBorders>
              <w:top w:val="nil"/>
              <w:left w:val="nil"/>
              <w:bottom w:val="single" w:sz="4" w:space="0" w:color="auto"/>
              <w:right w:val="single" w:sz="4" w:space="0" w:color="auto"/>
            </w:tcBorders>
            <w:noWrap/>
            <w:vAlign w:val="bottom"/>
            <w:hideMark/>
          </w:tcPr>
          <w:p w14:paraId="734F070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Adoption Model</w:t>
            </w:r>
          </w:p>
        </w:tc>
        <w:tc>
          <w:tcPr>
            <w:tcW w:w="711" w:type="dxa"/>
            <w:tcBorders>
              <w:top w:val="nil"/>
              <w:left w:val="nil"/>
              <w:bottom w:val="single" w:sz="4" w:space="0" w:color="auto"/>
              <w:right w:val="single" w:sz="4" w:space="0" w:color="auto"/>
            </w:tcBorders>
            <w:noWrap/>
            <w:vAlign w:val="bottom"/>
            <w:hideMark/>
          </w:tcPr>
          <w:p w14:paraId="39CCD11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Mixed methods / EFA</w:t>
            </w:r>
          </w:p>
        </w:tc>
        <w:tc>
          <w:tcPr>
            <w:tcW w:w="447" w:type="dxa"/>
            <w:tcBorders>
              <w:top w:val="nil"/>
              <w:left w:val="nil"/>
              <w:bottom w:val="single" w:sz="4" w:space="0" w:color="auto"/>
              <w:right w:val="single" w:sz="4" w:space="0" w:color="auto"/>
            </w:tcBorders>
            <w:noWrap/>
            <w:vAlign w:val="bottom"/>
            <w:hideMark/>
          </w:tcPr>
          <w:p w14:paraId="017F02E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217</w:t>
            </w:r>
          </w:p>
        </w:tc>
        <w:tc>
          <w:tcPr>
            <w:tcW w:w="1695" w:type="dxa"/>
            <w:tcBorders>
              <w:top w:val="nil"/>
              <w:left w:val="nil"/>
              <w:bottom w:val="single" w:sz="4" w:space="0" w:color="auto"/>
              <w:right w:val="single" w:sz="4" w:space="0" w:color="auto"/>
            </w:tcBorders>
            <w:noWrap/>
            <w:vAlign w:val="bottom"/>
            <w:hideMark/>
          </w:tcPr>
          <w:p w14:paraId="009F28B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Utility, Risk, Cost, Mobile Device Trust</w:t>
            </w:r>
          </w:p>
        </w:tc>
        <w:tc>
          <w:tcPr>
            <w:tcW w:w="922" w:type="dxa"/>
            <w:tcBorders>
              <w:top w:val="nil"/>
              <w:left w:val="nil"/>
              <w:bottom w:val="single" w:sz="4" w:space="0" w:color="auto"/>
              <w:right w:val="single" w:sz="4" w:space="0" w:color="auto"/>
            </w:tcBorders>
            <w:noWrap/>
            <w:vAlign w:val="bottom"/>
            <w:hideMark/>
          </w:tcPr>
          <w:p w14:paraId="74E8E0C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Branchless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504D6ED" w14:textId="5372F176"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Limited to </w:t>
            </w:r>
            <w:r w:rsidR="009F1DF3" w:rsidRPr="00F70CB0">
              <w:rPr>
                <w:color w:val="000000"/>
                <w:sz w:val="24"/>
                <w:szCs w:val="24"/>
                <w:lang w:val="en-GB" w:eastAsia="en-GB"/>
              </w:rPr>
              <w:t xml:space="preserve">the </w:t>
            </w:r>
            <w:r w:rsidRPr="00F70CB0">
              <w:rPr>
                <w:color w:val="000000"/>
                <w:sz w:val="24"/>
                <w:szCs w:val="24"/>
                <w:lang w:val="en-GB" w:eastAsia="en-GB"/>
              </w:rPr>
              <w:t>branchless banking context; lacks general banking applicability</w:t>
            </w:r>
          </w:p>
        </w:tc>
      </w:tr>
      <w:tr w:rsidR="000D15B2" w:rsidRPr="00F70CB0" w14:paraId="69D6EC01"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255862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45</w:t>
            </w:r>
          </w:p>
        </w:tc>
        <w:tc>
          <w:tcPr>
            <w:tcW w:w="1134" w:type="dxa"/>
            <w:tcBorders>
              <w:top w:val="nil"/>
              <w:left w:val="nil"/>
              <w:bottom w:val="single" w:sz="4" w:space="0" w:color="auto"/>
              <w:right w:val="single" w:sz="4" w:space="0" w:color="auto"/>
            </w:tcBorders>
            <w:noWrap/>
            <w:vAlign w:val="bottom"/>
            <w:hideMark/>
          </w:tcPr>
          <w:p w14:paraId="5608977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Frans et al. (2024)</w:t>
            </w:r>
          </w:p>
        </w:tc>
        <w:tc>
          <w:tcPr>
            <w:tcW w:w="678" w:type="dxa"/>
            <w:tcBorders>
              <w:top w:val="nil"/>
              <w:left w:val="nil"/>
              <w:bottom w:val="single" w:sz="4" w:space="0" w:color="auto"/>
              <w:right w:val="single" w:sz="4" w:space="0" w:color="auto"/>
            </w:tcBorders>
            <w:noWrap/>
            <w:vAlign w:val="bottom"/>
            <w:hideMark/>
          </w:tcPr>
          <w:p w14:paraId="22A71EC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0545F69" w14:textId="63A8103C" w:rsidR="000D15B2" w:rsidRPr="00F70CB0" w:rsidRDefault="009F1DF3" w:rsidP="00073A87">
            <w:pPr>
              <w:spacing w:before="0" w:after="0"/>
              <w:jc w:val="both"/>
              <w:rPr>
                <w:color w:val="000000"/>
                <w:sz w:val="24"/>
                <w:szCs w:val="24"/>
                <w:lang w:val="en-GB" w:eastAsia="en-GB"/>
              </w:rPr>
            </w:pPr>
            <w:r w:rsidRPr="00F70CB0">
              <w:rPr>
                <w:color w:val="000000"/>
                <w:sz w:val="24"/>
                <w:szCs w:val="24"/>
                <w:lang w:val="en-GB" w:eastAsia="en-GB"/>
              </w:rPr>
              <w:t>User-Centred</w:t>
            </w:r>
            <w:r w:rsidR="000D15B2" w:rsidRPr="00F70CB0">
              <w:rPr>
                <w:color w:val="000000"/>
                <w:sz w:val="24"/>
                <w:szCs w:val="24"/>
                <w:lang w:val="en-GB" w:eastAsia="en-GB"/>
              </w:rPr>
              <w:t xml:space="preserve"> Design</w:t>
            </w:r>
          </w:p>
        </w:tc>
        <w:tc>
          <w:tcPr>
            <w:tcW w:w="711" w:type="dxa"/>
            <w:tcBorders>
              <w:top w:val="nil"/>
              <w:left w:val="nil"/>
              <w:bottom w:val="single" w:sz="4" w:space="0" w:color="auto"/>
              <w:right w:val="single" w:sz="4" w:space="0" w:color="auto"/>
            </w:tcBorders>
            <w:noWrap/>
            <w:vAlign w:val="bottom"/>
            <w:hideMark/>
          </w:tcPr>
          <w:p w14:paraId="3FDCEB9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Mixed methods</w:t>
            </w:r>
          </w:p>
        </w:tc>
        <w:tc>
          <w:tcPr>
            <w:tcW w:w="447" w:type="dxa"/>
            <w:tcBorders>
              <w:top w:val="nil"/>
              <w:left w:val="nil"/>
              <w:bottom w:val="single" w:sz="4" w:space="0" w:color="auto"/>
              <w:right w:val="single" w:sz="4" w:space="0" w:color="auto"/>
            </w:tcBorders>
            <w:noWrap/>
            <w:vAlign w:val="bottom"/>
            <w:hideMark/>
          </w:tcPr>
          <w:p w14:paraId="19465B9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B349B6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User Experience, User Interface, Satisfaction</w:t>
            </w:r>
          </w:p>
        </w:tc>
        <w:tc>
          <w:tcPr>
            <w:tcW w:w="922" w:type="dxa"/>
            <w:tcBorders>
              <w:top w:val="nil"/>
              <w:left w:val="nil"/>
              <w:bottom w:val="single" w:sz="4" w:space="0" w:color="auto"/>
              <w:right w:val="single" w:sz="4" w:space="0" w:color="auto"/>
            </w:tcBorders>
            <w:noWrap/>
            <w:vAlign w:val="bottom"/>
            <w:hideMark/>
          </w:tcPr>
          <w:p w14:paraId="6C39A4D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Banking app usability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7A74B1D3"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Focus on usability only; lacks integration with </w:t>
            </w:r>
            <w:r w:rsidRPr="00F70CB0">
              <w:rPr>
                <w:color w:val="000000"/>
                <w:sz w:val="24"/>
                <w:szCs w:val="24"/>
                <w:lang w:val="en-GB" w:eastAsia="en-GB"/>
              </w:rPr>
              <w:lastRenderedPageBreak/>
              <w:t>satisfaction and trust</w:t>
            </w:r>
          </w:p>
        </w:tc>
      </w:tr>
      <w:tr w:rsidR="000D15B2" w:rsidRPr="00F70CB0" w14:paraId="56461B3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528C20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46</w:t>
            </w:r>
          </w:p>
        </w:tc>
        <w:tc>
          <w:tcPr>
            <w:tcW w:w="1134" w:type="dxa"/>
            <w:tcBorders>
              <w:top w:val="nil"/>
              <w:left w:val="nil"/>
              <w:bottom w:val="single" w:sz="4" w:space="0" w:color="auto"/>
              <w:right w:val="single" w:sz="4" w:space="0" w:color="auto"/>
            </w:tcBorders>
            <w:noWrap/>
            <w:vAlign w:val="bottom"/>
            <w:hideMark/>
          </w:tcPr>
          <w:p w14:paraId="37A91E7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Anwar et al. (2024)</w:t>
            </w:r>
          </w:p>
        </w:tc>
        <w:tc>
          <w:tcPr>
            <w:tcW w:w="678" w:type="dxa"/>
            <w:tcBorders>
              <w:top w:val="nil"/>
              <w:left w:val="nil"/>
              <w:bottom w:val="single" w:sz="4" w:space="0" w:color="auto"/>
              <w:right w:val="single" w:sz="4" w:space="0" w:color="auto"/>
            </w:tcBorders>
            <w:noWrap/>
            <w:vAlign w:val="bottom"/>
            <w:hideMark/>
          </w:tcPr>
          <w:p w14:paraId="6E02F92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031DF87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Inclusion Perspective</w:t>
            </w:r>
          </w:p>
        </w:tc>
        <w:tc>
          <w:tcPr>
            <w:tcW w:w="711" w:type="dxa"/>
            <w:tcBorders>
              <w:top w:val="nil"/>
              <w:left w:val="nil"/>
              <w:bottom w:val="single" w:sz="4" w:space="0" w:color="auto"/>
              <w:right w:val="single" w:sz="4" w:space="0" w:color="auto"/>
            </w:tcBorders>
            <w:noWrap/>
            <w:vAlign w:val="bottom"/>
            <w:hideMark/>
          </w:tcPr>
          <w:p w14:paraId="2FD0801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Conceptual / conference paper</w:t>
            </w:r>
          </w:p>
        </w:tc>
        <w:tc>
          <w:tcPr>
            <w:tcW w:w="447" w:type="dxa"/>
            <w:tcBorders>
              <w:top w:val="nil"/>
              <w:left w:val="nil"/>
              <w:bottom w:val="single" w:sz="4" w:space="0" w:color="auto"/>
              <w:right w:val="single" w:sz="4" w:space="0" w:color="auto"/>
            </w:tcBorders>
            <w:noWrap/>
            <w:vAlign w:val="bottom"/>
            <w:hideMark/>
          </w:tcPr>
          <w:p w14:paraId="6CCE839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99B202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Literacy, Accessibility, Security Issues</w:t>
            </w:r>
          </w:p>
        </w:tc>
        <w:tc>
          <w:tcPr>
            <w:tcW w:w="922" w:type="dxa"/>
            <w:tcBorders>
              <w:top w:val="nil"/>
              <w:left w:val="nil"/>
              <w:bottom w:val="single" w:sz="4" w:space="0" w:color="auto"/>
              <w:right w:val="single" w:sz="4" w:space="0" w:color="auto"/>
            </w:tcBorders>
            <w:noWrap/>
            <w:vAlign w:val="bottom"/>
            <w:hideMark/>
          </w:tcPr>
          <w:p w14:paraId="5F2D726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Older adults and digital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D89B087"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Conceptual approach; lacks empirical validation and real-world testing</w:t>
            </w:r>
          </w:p>
        </w:tc>
      </w:tr>
      <w:tr w:rsidR="000D15B2" w:rsidRPr="00F70CB0" w14:paraId="6FCF39E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A8EBD4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47</w:t>
            </w:r>
          </w:p>
        </w:tc>
        <w:tc>
          <w:tcPr>
            <w:tcW w:w="1134" w:type="dxa"/>
            <w:tcBorders>
              <w:top w:val="nil"/>
              <w:left w:val="nil"/>
              <w:bottom w:val="single" w:sz="4" w:space="0" w:color="auto"/>
              <w:right w:val="single" w:sz="4" w:space="0" w:color="auto"/>
            </w:tcBorders>
            <w:noWrap/>
            <w:vAlign w:val="bottom"/>
            <w:hideMark/>
          </w:tcPr>
          <w:p w14:paraId="31015F9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Amin et al. (2025)</w:t>
            </w:r>
          </w:p>
        </w:tc>
        <w:tc>
          <w:tcPr>
            <w:tcW w:w="678" w:type="dxa"/>
            <w:tcBorders>
              <w:top w:val="nil"/>
              <w:left w:val="nil"/>
              <w:bottom w:val="single" w:sz="4" w:space="0" w:color="auto"/>
              <w:right w:val="single" w:sz="4" w:space="0" w:color="auto"/>
            </w:tcBorders>
            <w:noWrap/>
            <w:vAlign w:val="bottom"/>
            <w:hideMark/>
          </w:tcPr>
          <w:p w14:paraId="1CBDAA5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333C3D5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E-S-QUAL + BSQ</w:t>
            </w:r>
          </w:p>
        </w:tc>
        <w:tc>
          <w:tcPr>
            <w:tcW w:w="711" w:type="dxa"/>
            <w:tcBorders>
              <w:top w:val="nil"/>
              <w:left w:val="nil"/>
              <w:bottom w:val="single" w:sz="4" w:space="0" w:color="auto"/>
              <w:right w:val="single" w:sz="4" w:space="0" w:color="auto"/>
            </w:tcBorders>
            <w:noWrap/>
            <w:vAlign w:val="bottom"/>
            <w:hideMark/>
          </w:tcPr>
          <w:p w14:paraId="290B2BB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Comparative survey</w:t>
            </w:r>
          </w:p>
        </w:tc>
        <w:tc>
          <w:tcPr>
            <w:tcW w:w="447" w:type="dxa"/>
            <w:tcBorders>
              <w:top w:val="nil"/>
              <w:left w:val="nil"/>
              <w:bottom w:val="single" w:sz="4" w:space="0" w:color="auto"/>
              <w:right w:val="single" w:sz="4" w:space="0" w:color="auto"/>
            </w:tcBorders>
            <w:noWrap/>
            <w:vAlign w:val="bottom"/>
            <w:hideMark/>
          </w:tcPr>
          <w:p w14:paraId="2C99134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7845D3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Security, Satisfaction</w:t>
            </w:r>
          </w:p>
        </w:tc>
        <w:tc>
          <w:tcPr>
            <w:tcW w:w="922" w:type="dxa"/>
            <w:tcBorders>
              <w:top w:val="nil"/>
              <w:left w:val="nil"/>
              <w:bottom w:val="single" w:sz="4" w:space="0" w:color="auto"/>
              <w:right w:val="single" w:sz="4" w:space="0" w:color="auto"/>
            </w:tcBorders>
            <w:noWrap/>
            <w:vAlign w:val="bottom"/>
            <w:hideMark/>
          </w:tcPr>
          <w:p w14:paraId="7BF7B33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service quality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8A3D27F"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 on service quality; lacks behavioural intention and adoption integration</w:t>
            </w:r>
          </w:p>
        </w:tc>
      </w:tr>
      <w:tr w:rsidR="000D15B2" w:rsidRPr="00F70CB0" w14:paraId="5FAB8B4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BED8F6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48</w:t>
            </w:r>
          </w:p>
        </w:tc>
        <w:tc>
          <w:tcPr>
            <w:tcW w:w="1134" w:type="dxa"/>
            <w:tcBorders>
              <w:top w:val="nil"/>
              <w:left w:val="nil"/>
              <w:bottom w:val="single" w:sz="4" w:space="0" w:color="auto"/>
              <w:right w:val="single" w:sz="4" w:space="0" w:color="auto"/>
            </w:tcBorders>
            <w:noWrap/>
            <w:vAlign w:val="bottom"/>
            <w:hideMark/>
          </w:tcPr>
          <w:p w14:paraId="63A495D3"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Kantika</w:t>
            </w:r>
            <w:proofErr w:type="spellEnd"/>
            <w:r w:rsidRPr="00F70CB0">
              <w:rPr>
                <w:color w:val="000000"/>
                <w:sz w:val="24"/>
                <w:szCs w:val="24"/>
                <w:lang w:val="en-GB" w:eastAsia="en-GB"/>
              </w:rPr>
              <w:t xml:space="preserve"> et al. (2022)</w:t>
            </w:r>
          </w:p>
        </w:tc>
        <w:tc>
          <w:tcPr>
            <w:tcW w:w="678" w:type="dxa"/>
            <w:tcBorders>
              <w:top w:val="nil"/>
              <w:left w:val="nil"/>
              <w:bottom w:val="single" w:sz="4" w:space="0" w:color="auto"/>
              <w:right w:val="single" w:sz="4" w:space="0" w:color="auto"/>
            </w:tcBorders>
            <w:noWrap/>
            <w:vAlign w:val="bottom"/>
            <w:hideMark/>
          </w:tcPr>
          <w:p w14:paraId="3C14AD4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048264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Mediation Model</w:t>
            </w:r>
          </w:p>
        </w:tc>
        <w:tc>
          <w:tcPr>
            <w:tcW w:w="711" w:type="dxa"/>
            <w:tcBorders>
              <w:top w:val="nil"/>
              <w:left w:val="nil"/>
              <w:bottom w:val="single" w:sz="4" w:space="0" w:color="auto"/>
              <w:right w:val="single" w:sz="4" w:space="0" w:color="auto"/>
            </w:tcBorders>
            <w:noWrap/>
            <w:vAlign w:val="bottom"/>
            <w:hideMark/>
          </w:tcPr>
          <w:p w14:paraId="6AF249F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 survey</w:t>
            </w:r>
          </w:p>
        </w:tc>
        <w:tc>
          <w:tcPr>
            <w:tcW w:w="447" w:type="dxa"/>
            <w:tcBorders>
              <w:top w:val="nil"/>
              <w:left w:val="nil"/>
              <w:bottom w:val="single" w:sz="4" w:space="0" w:color="auto"/>
              <w:right w:val="single" w:sz="4" w:space="0" w:color="auto"/>
            </w:tcBorders>
            <w:noWrap/>
            <w:vAlign w:val="bottom"/>
            <w:hideMark/>
          </w:tcPr>
          <w:p w14:paraId="6C0B609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B85785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Security, Enjoyment, Financial Literacy, Trust, Adoption</w:t>
            </w:r>
          </w:p>
        </w:tc>
        <w:tc>
          <w:tcPr>
            <w:tcW w:w="922" w:type="dxa"/>
            <w:tcBorders>
              <w:top w:val="nil"/>
              <w:left w:val="nil"/>
              <w:bottom w:val="single" w:sz="4" w:space="0" w:color="auto"/>
              <w:right w:val="single" w:sz="4" w:space="0" w:color="auto"/>
            </w:tcBorders>
            <w:noWrap/>
            <w:vAlign w:val="bottom"/>
            <w:hideMark/>
          </w:tcPr>
          <w:p w14:paraId="1A677D3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F3AD935" w14:textId="5F4AE2A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Limited to </w:t>
            </w:r>
            <w:r w:rsidR="009F1DF3" w:rsidRPr="00F70CB0">
              <w:rPr>
                <w:color w:val="000000"/>
                <w:sz w:val="24"/>
                <w:szCs w:val="24"/>
                <w:lang w:val="en-GB" w:eastAsia="en-GB"/>
              </w:rPr>
              <w:t xml:space="preserve">a </w:t>
            </w:r>
            <w:r w:rsidRPr="00F70CB0">
              <w:rPr>
                <w:color w:val="000000"/>
                <w:sz w:val="24"/>
                <w:szCs w:val="24"/>
                <w:lang w:val="en-GB" w:eastAsia="en-GB"/>
              </w:rPr>
              <w:t>specific cultural context; lacks generalisability</w:t>
            </w:r>
          </w:p>
        </w:tc>
      </w:tr>
      <w:tr w:rsidR="000D15B2" w:rsidRPr="00F70CB0" w14:paraId="277C14F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30A6E5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49</w:t>
            </w:r>
          </w:p>
        </w:tc>
        <w:tc>
          <w:tcPr>
            <w:tcW w:w="1134" w:type="dxa"/>
            <w:tcBorders>
              <w:top w:val="nil"/>
              <w:left w:val="nil"/>
              <w:bottom w:val="single" w:sz="4" w:space="0" w:color="auto"/>
              <w:right w:val="single" w:sz="4" w:space="0" w:color="auto"/>
            </w:tcBorders>
            <w:noWrap/>
            <w:vAlign w:val="bottom"/>
            <w:hideMark/>
          </w:tcPr>
          <w:p w14:paraId="5237FA1D"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Hammood</w:t>
            </w:r>
            <w:proofErr w:type="spellEnd"/>
            <w:r w:rsidRPr="00F70CB0">
              <w:rPr>
                <w:color w:val="000000"/>
                <w:sz w:val="24"/>
                <w:szCs w:val="24"/>
                <w:lang w:val="en-GB" w:eastAsia="en-GB"/>
              </w:rPr>
              <w:t xml:space="preserve"> et al. (2023)</w:t>
            </w:r>
          </w:p>
        </w:tc>
        <w:tc>
          <w:tcPr>
            <w:tcW w:w="678" w:type="dxa"/>
            <w:tcBorders>
              <w:top w:val="nil"/>
              <w:left w:val="nil"/>
              <w:bottom w:val="single" w:sz="4" w:space="0" w:color="auto"/>
              <w:right w:val="single" w:sz="4" w:space="0" w:color="auto"/>
            </w:tcBorders>
            <w:noWrap/>
            <w:vAlign w:val="bottom"/>
            <w:hideMark/>
          </w:tcPr>
          <w:p w14:paraId="488303B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Iraq</w:t>
            </w:r>
          </w:p>
        </w:tc>
        <w:tc>
          <w:tcPr>
            <w:tcW w:w="1196" w:type="dxa"/>
            <w:tcBorders>
              <w:top w:val="nil"/>
              <w:left w:val="nil"/>
              <w:bottom w:val="single" w:sz="4" w:space="0" w:color="auto"/>
              <w:right w:val="single" w:sz="4" w:space="0" w:color="auto"/>
            </w:tcBorders>
            <w:noWrap/>
            <w:vAlign w:val="bottom"/>
            <w:hideMark/>
          </w:tcPr>
          <w:p w14:paraId="6531C9B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 Risk + Trust</w:t>
            </w:r>
          </w:p>
        </w:tc>
        <w:tc>
          <w:tcPr>
            <w:tcW w:w="711" w:type="dxa"/>
            <w:tcBorders>
              <w:top w:val="nil"/>
              <w:left w:val="nil"/>
              <w:bottom w:val="single" w:sz="4" w:space="0" w:color="auto"/>
              <w:right w:val="single" w:sz="4" w:space="0" w:color="auto"/>
            </w:tcBorders>
            <w:noWrap/>
            <w:vAlign w:val="bottom"/>
            <w:hideMark/>
          </w:tcPr>
          <w:p w14:paraId="4214233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Conceptual model</w:t>
            </w:r>
          </w:p>
        </w:tc>
        <w:tc>
          <w:tcPr>
            <w:tcW w:w="447" w:type="dxa"/>
            <w:tcBorders>
              <w:top w:val="nil"/>
              <w:left w:val="nil"/>
              <w:bottom w:val="single" w:sz="4" w:space="0" w:color="auto"/>
              <w:right w:val="single" w:sz="4" w:space="0" w:color="auto"/>
            </w:tcBorders>
            <w:noWrap/>
            <w:vAlign w:val="bottom"/>
            <w:hideMark/>
          </w:tcPr>
          <w:p w14:paraId="19987FA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A65EEC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Perceived Risk, Trust, Behavioural Intention</w:t>
            </w:r>
          </w:p>
        </w:tc>
        <w:tc>
          <w:tcPr>
            <w:tcW w:w="922" w:type="dxa"/>
            <w:tcBorders>
              <w:top w:val="nil"/>
              <w:left w:val="nil"/>
              <w:bottom w:val="single" w:sz="4" w:space="0" w:color="auto"/>
              <w:right w:val="single" w:sz="4" w:space="0" w:color="auto"/>
            </w:tcBorders>
            <w:noWrap/>
            <w:vAlign w:val="bottom"/>
            <w:hideMark/>
          </w:tcPr>
          <w:p w14:paraId="038527B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Internet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651B43B"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 on adoption only; lacks post-adoption behavioural analysis</w:t>
            </w:r>
          </w:p>
        </w:tc>
      </w:tr>
      <w:tr w:rsidR="000D15B2" w:rsidRPr="00F70CB0" w14:paraId="657C12A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E3D709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50</w:t>
            </w:r>
          </w:p>
        </w:tc>
        <w:tc>
          <w:tcPr>
            <w:tcW w:w="1134" w:type="dxa"/>
            <w:tcBorders>
              <w:top w:val="nil"/>
              <w:left w:val="nil"/>
              <w:bottom w:val="single" w:sz="4" w:space="0" w:color="auto"/>
              <w:right w:val="single" w:sz="4" w:space="0" w:color="auto"/>
            </w:tcBorders>
            <w:noWrap/>
            <w:vAlign w:val="bottom"/>
            <w:hideMark/>
          </w:tcPr>
          <w:p w14:paraId="76164745"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Hutomo</w:t>
            </w:r>
            <w:proofErr w:type="spellEnd"/>
            <w:r w:rsidRPr="00F70CB0">
              <w:rPr>
                <w:color w:val="000000"/>
                <w:sz w:val="24"/>
                <w:szCs w:val="24"/>
                <w:lang w:val="en-GB" w:eastAsia="en-GB"/>
              </w:rPr>
              <w:t xml:space="preserve"> (2023)</w:t>
            </w:r>
          </w:p>
        </w:tc>
        <w:tc>
          <w:tcPr>
            <w:tcW w:w="678" w:type="dxa"/>
            <w:tcBorders>
              <w:top w:val="nil"/>
              <w:left w:val="nil"/>
              <w:bottom w:val="single" w:sz="4" w:space="0" w:color="auto"/>
              <w:right w:val="single" w:sz="4" w:space="0" w:color="auto"/>
            </w:tcBorders>
            <w:noWrap/>
            <w:vAlign w:val="bottom"/>
            <w:hideMark/>
          </w:tcPr>
          <w:p w14:paraId="4FB9152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A6D796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Modified TAM</w:t>
            </w:r>
          </w:p>
        </w:tc>
        <w:tc>
          <w:tcPr>
            <w:tcW w:w="711" w:type="dxa"/>
            <w:tcBorders>
              <w:top w:val="nil"/>
              <w:left w:val="nil"/>
              <w:bottom w:val="single" w:sz="4" w:space="0" w:color="auto"/>
              <w:right w:val="single" w:sz="4" w:space="0" w:color="auto"/>
            </w:tcBorders>
            <w:noWrap/>
            <w:vAlign w:val="bottom"/>
            <w:hideMark/>
          </w:tcPr>
          <w:p w14:paraId="24D6032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4144FB7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436</w:t>
            </w:r>
          </w:p>
        </w:tc>
        <w:tc>
          <w:tcPr>
            <w:tcW w:w="1695" w:type="dxa"/>
            <w:tcBorders>
              <w:top w:val="nil"/>
              <w:left w:val="nil"/>
              <w:bottom w:val="single" w:sz="4" w:space="0" w:color="auto"/>
              <w:right w:val="single" w:sz="4" w:space="0" w:color="auto"/>
            </w:tcBorders>
            <w:noWrap/>
            <w:vAlign w:val="bottom"/>
            <w:hideMark/>
          </w:tcPr>
          <w:p w14:paraId="0E6FD27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PU, PEOU, Safety, Credibility, Convenience</w:t>
            </w:r>
          </w:p>
        </w:tc>
        <w:tc>
          <w:tcPr>
            <w:tcW w:w="922" w:type="dxa"/>
            <w:tcBorders>
              <w:top w:val="nil"/>
              <w:left w:val="nil"/>
              <w:bottom w:val="single" w:sz="4" w:space="0" w:color="auto"/>
              <w:right w:val="single" w:sz="4" w:space="0" w:color="auto"/>
            </w:tcBorders>
            <w:noWrap/>
            <w:vAlign w:val="bottom"/>
            <w:hideMark/>
          </w:tcPr>
          <w:p w14:paraId="72E99E4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076915F5"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Modified TAM model; lacks integration with emotional and experiential factors</w:t>
            </w:r>
          </w:p>
        </w:tc>
      </w:tr>
      <w:tr w:rsidR="000D15B2" w:rsidRPr="00F70CB0" w14:paraId="2E6C5E1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3E532F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51</w:t>
            </w:r>
          </w:p>
        </w:tc>
        <w:tc>
          <w:tcPr>
            <w:tcW w:w="1134" w:type="dxa"/>
            <w:tcBorders>
              <w:top w:val="nil"/>
              <w:left w:val="nil"/>
              <w:bottom w:val="single" w:sz="4" w:space="0" w:color="auto"/>
              <w:right w:val="single" w:sz="4" w:space="0" w:color="auto"/>
            </w:tcBorders>
            <w:noWrap/>
            <w:vAlign w:val="bottom"/>
            <w:hideMark/>
          </w:tcPr>
          <w:p w14:paraId="6AE014F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Islam &amp; Khan (2024)</w:t>
            </w:r>
          </w:p>
        </w:tc>
        <w:tc>
          <w:tcPr>
            <w:tcW w:w="678" w:type="dxa"/>
            <w:tcBorders>
              <w:top w:val="nil"/>
              <w:left w:val="nil"/>
              <w:bottom w:val="single" w:sz="4" w:space="0" w:color="auto"/>
              <w:right w:val="single" w:sz="4" w:space="0" w:color="auto"/>
            </w:tcBorders>
            <w:noWrap/>
            <w:vAlign w:val="bottom"/>
            <w:hideMark/>
          </w:tcPr>
          <w:p w14:paraId="3190A07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Bangladesh</w:t>
            </w:r>
          </w:p>
        </w:tc>
        <w:tc>
          <w:tcPr>
            <w:tcW w:w="1196" w:type="dxa"/>
            <w:tcBorders>
              <w:top w:val="nil"/>
              <w:left w:val="nil"/>
              <w:bottom w:val="single" w:sz="4" w:space="0" w:color="auto"/>
              <w:right w:val="single" w:sz="4" w:space="0" w:color="auto"/>
            </w:tcBorders>
            <w:noWrap/>
            <w:vAlign w:val="bottom"/>
            <w:hideMark/>
          </w:tcPr>
          <w:p w14:paraId="1468EE8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Literacy Model</w:t>
            </w:r>
          </w:p>
        </w:tc>
        <w:tc>
          <w:tcPr>
            <w:tcW w:w="711" w:type="dxa"/>
            <w:tcBorders>
              <w:top w:val="nil"/>
              <w:left w:val="nil"/>
              <w:bottom w:val="single" w:sz="4" w:space="0" w:color="auto"/>
              <w:right w:val="single" w:sz="4" w:space="0" w:color="auto"/>
            </w:tcBorders>
            <w:noWrap/>
            <w:vAlign w:val="bottom"/>
            <w:hideMark/>
          </w:tcPr>
          <w:p w14:paraId="189400E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 / SPSS</w:t>
            </w:r>
          </w:p>
        </w:tc>
        <w:tc>
          <w:tcPr>
            <w:tcW w:w="447" w:type="dxa"/>
            <w:tcBorders>
              <w:top w:val="nil"/>
              <w:left w:val="nil"/>
              <w:bottom w:val="single" w:sz="4" w:space="0" w:color="auto"/>
              <w:right w:val="single" w:sz="4" w:space="0" w:color="auto"/>
            </w:tcBorders>
            <w:noWrap/>
            <w:vAlign w:val="bottom"/>
            <w:hideMark/>
          </w:tcPr>
          <w:p w14:paraId="00F3261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450</w:t>
            </w:r>
          </w:p>
        </w:tc>
        <w:tc>
          <w:tcPr>
            <w:tcW w:w="1695" w:type="dxa"/>
            <w:tcBorders>
              <w:top w:val="nil"/>
              <w:left w:val="nil"/>
              <w:bottom w:val="single" w:sz="4" w:space="0" w:color="auto"/>
              <w:right w:val="single" w:sz="4" w:space="0" w:color="auto"/>
            </w:tcBorders>
            <w:noWrap/>
            <w:vAlign w:val="bottom"/>
            <w:hideMark/>
          </w:tcPr>
          <w:p w14:paraId="0B08EC1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Financial Literacy, Digital Literacy, Self-Efficacy, Adoption</w:t>
            </w:r>
          </w:p>
        </w:tc>
        <w:tc>
          <w:tcPr>
            <w:tcW w:w="922" w:type="dxa"/>
            <w:tcBorders>
              <w:top w:val="nil"/>
              <w:left w:val="nil"/>
              <w:bottom w:val="single" w:sz="4" w:space="0" w:color="auto"/>
              <w:right w:val="single" w:sz="4" w:space="0" w:color="auto"/>
            </w:tcBorders>
            <w:noWrap/>
            <w:vAlign w:val="bottom"/>
            <w:hideMark/>
          </w:tcPr>
          <w:p w14:paraId="7056F15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adoption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5276B0E0"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Limited to financial literacy; ignores technological usability aspects</w:t>
            </w:r>
          </w:p>
        </w:tc>
      </w:tr>
      <w:tr w:rsidR="000D15B2" w:rsidRPr="00F70CB0" w14:paraId="0CF11FA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E6159B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52</w:t>
            </w:r>
          </w:p>
        </w:tc>
        <w:tc>
          <w:tcPr>
            <w:tcW w:w="1134" w:type="dxa"/>
            <w:tcBorders>
              <w:top w:val="nil"/>
              <w:left w:val="nil"/>
              <w:bottom w:val="single" w:sz="4" w:space="0" w:color="auto"/>
              <w:right w:val="single" w:sz="4" w:space="0" w:color="auto"/>
            </w:tcBorders>
            <w:noWrap/>
            <w:vAlign w:val="bottom"/>
            <w:hideMark/>
          </w:tcPr>
          <w:p w14:paraId="47BC7DE7"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Aloulou</w:t>
            </w:r>
            <w:proofErr w:type="spellEnd"/>
            <w:r w:rsidRPr="00F70CB0">
              <w:rPr>
                <w:color w:val="000000"/>
                <w:sz w:val="24"/>
                <w:szCs w:val="24"/>
                <w:lang w:val="en-GB" w:eastAsia="en-GB"/>
              </w:rPr>
              <w:t xml:space="preserve"> et al. (2024)</w:t>
            </w:r>
          </w:p>
        </w:tc>
        <w:tc>
          <w:tcPr>
            <w:tcW w:w="678" w:type="dxa"/>
            <w:tcBorders>
              <w:top w:val="nil"/>
              <w:left w:val="nil"/>
              <w:bottom w:val="single" w:sz="4" w:space="0" w:color="auto"/>
              <w:right w:val="single" w:sz="4" w:space="0" w:color="auto"/>
            </w:tcBorders>
            <w:noWrap/>
            <w:vAlign w:val="bottom"/>
            <w:hideMark/>
          </w:tcPr>
          <w:p w14:paraId="2536E36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UAE</w:t>
            </w:r>
          </w:p>
        </w:tc>
        <w:tc>
          <w:tcPr>
            <w:tcW w:w="1196" w:type="dxa"/>
            <w:tcBorders>
              <w:top w:val="nil"/>
              <w:left w:val="nil"/>
              <w:bottom w:val="single" w:sz="4" w:space="0" w:color="auto"/>
              <w:right w:val="single" w:sz="4" w:space="0" w:color="auto"/>
            </w:tcBorders>
            <w:noWrap/>
            <w:vAlign w:val="bottom"/>
            <w:hideMark/>
          </w:tcPr>
          <w:p w14:paraId="45BDDF9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Adoption Model</w:t>
            </w:r>
          </w:p>
        </w:tc>
        <w:tc>
          <w:tcPr>
            <w:tcW w:w="711" w:type="dxa"/>
            <w:tcBorders>
              <w:top w:val="nil"/>
              <w:left w:val="nil"/>
              <w:bottom w:val="single" w:sz="4" w:space="0" w:color="auto"/>
              <w:right w:val="single" w:sz="4" w:space="0" w:color="auto"/>
            </w:tcBorders>
            <w:noWrap/>
            <w:vAlign w:val="bottom"/>
            <w:hideMark/>
          </w:tcPr>
          <w:p w14:paraId="2038B95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3B2C267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260</w:t>
            </w:r>
          </w:p>
        </w:tc>
        <w:tc>
          <w:tcPr>
            <w:tcW w:w="1695" w:type="dxa"/>
            <w:tcBorders>
              <w:top w:val="nil"/>
              <w:left w:val="nil"/>
              <w:bottom w:val="single" w:sz="4" w:space="0" w:color="auto"/>
              <w:right w:val="single" w:sz="4" w:space="0" w:color="auto"/>
            </w:tcBorders>
            <w:noWrap/>
            <w:vAlign w:val="bottom"/>
            <w:hideMark/>
          </w:tcPr>
          <w:p w14:paraId="27CD4CF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Adoption, Competitiveness, Performance</w:t>
            </w:r>
          </w:p>
        </w:tc>
        <w:tc>
          <w:tcPr>
            <w:tcW w:w="922" w:type="dxa"/>
            <w:tcBorders>
              <w:top w:val="nil"/>
              <w:left w:val="nil"/>
              <w:bottom w:val="single" w:sz="4" w:space="0" w:color="auto"/>
              <w:right w:val="single" w:sz="4" w:space="0" w:color="auto"/>
            </w:tcBorders>
            <w:noWrap/>
            <w:vAlign w:val="bottom"/>
            <w:hideMark/>
          </w:tcPr>
          <w:p w14:paraId="0A0FA6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transformation in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56CE09A"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 on performance outcomes; lacks behavioural intention analysis</w:t>
            </w:r>
          </w:p>
        </w:tc>
      </w:tr>
      <w:tr w:rsidR="000D15B2" w:rsidRPr="00F70CB0" w14:paraId="433BD1A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957395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53</w:t>
            </w:r>
          </w:p>
        </w:tc>
        <w:tc>
          <w:tcPr>
            <w:tcW w:w="1134" w:type="dxa"/>
            <w:tcBorders>
              <w:top w:val="nil"/>
              <w:left w:val="nil"/>
              <w:bottom w:val="single" w:sz="4" w:space="0" w:color="auto"/>
              <w:right w:val="single" w:sz="4" w:space="0" w:color="auto"/>
            </w:tcBorders>
            <w:noWrap/>
            <w:vAlign w:val="bottom"/>
            <w:hideMark/>
          </w:tcPr>
          <w:p w14:paraId="4240380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Riasat et al. (2025)</w:t>
            </w:r>
          </w:p>
        </w:tc>
        <w:tc>
          <w:tcPr>
            <w:tcW w:w="678" w:type="dxa"/>
            <w:tcBorders>
              <w:top w:val="nil"/>
              <w:left w:val="nil"/>
              <w:bottom w:val="single" w:sz="4" w:space="0" w:color="auto"/>
              <w:right w:val="single" w:sz="4" w:space="0" w:color="auto"/>
            </w:tcBorders>
            <w:noWrap/>
            <w:vAlign w:val="bottom"/>
            <w:hideMark/>
          </w:tcPr>
          <w:p w14:paraId="34B2CB9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Pakistan</w:t>
            </w:r>
          </w:p>
        </w:tc>
        <w:tc>
          <w:tcPr>
            <w:tcW w:w="1196" w:type="dxa"/>
            <w:tcBorders>
              <w:top w:val="nil"/>
              <w:left w:val="nil"/>
              <w:bottom w:val="single" w:sz="4" w:space="0" w:color="auto"/>
              <w:right w:val="single" w:sz="4" w:space="0" w:color="auto"/>
            </w:tcBorders>
            <w:noWrap/>
            <w:vAlign w:val="bottom"/>
            <w:hideMark/>
          </w:tcPr>
          <w:p w14:paraId="4A3A737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Extension</w:t>
            </w:r>
          </w:p>
        </w:tc>
        <w:tc>
          <w:tcPr>
            <w:tcW w:w="711" w:type="dxa"/>
            <w:tcBorders>
              <w:top w:val="nil"/>
              <w:left w:val="nil"/>
              <w:bottom w:val="single" w:sz="4" w:space="0" w:color="auto"/>
              <w:right w:val="single" w:sz="4" w:space="0" w:color="auto"/>
            </w:tcBorders>
            <w:noWrap/>
            <w:vAlign w:val="bottom"/>
            <w:hideMark/>
          </w:tcPr>
          <w:p w14:paraId="3F6D95B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Qualitative</w:t>
            </w:r>
          </w:p>
        </w:tc>
        <w:tc>
          <w:tcPr>
            <w:tcW w:w="447" w:type="dxa"/>
            <w:tcBorders>
              <w:top w:val="nil"/>
              <w:left w:val="nil"/>
              <w:bottom w:val="single" w:sz="4" w:space="0" w:color="auto"/>
              <w:right w:val="single" w:sz="4" w:space="0" w:color="auto"/>
            </w:tcBorders>
            <w:noWrap/>
            <w:vAlign w:val="bottom"/>
            <w:hideMark/>
          </w:tcPr>
          <w:p w14:paraId="6A1591B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22</w:t>
            </w:r>
          </w:p>
        </w:tc>
        <w:tc>
          <w:tcPr>
            <w:tcW w:w="1695" w:type="dxa"/>
            <w:tcBorders>
              <w:top w:val="nil"/>
              <w:left w:val="nil"/>
              <w:bottom w:val="single" w:sz="4" w:space="0" w:color="auto"/>
              <w:right w:val="single" w:sz="4" w:space="0" w:color="auto"/>
            </w:tcBorders>
            <w:noWrap/>
            <w:vAlign w:val="bottom"/>
            <w:hideMark/>
          </w:tcPr>
          <w:p w14:paraId="58847D4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Usefulness, Security Tools Adoption</w:t>
            </w:r>
          </w:p>
        </w:tc>
        <w:tc>
          <w:tcPr>
            <w:tcW w:w="922" w:type="dxa"/>
            <w:tcBorders>
              <w:top w:val="nil"/>
              <w:left w:val="nil"/>
              <w:bottom w:val="single" w:sz="4" w:space="0" w:color="auto"/>
              <w:right w:val="single" w:sz="4" w:space="0" w:color="auto"/>
            </w:tcBorders>
            <w:noWrap/>
            <w:vAlign w:val="bottom"/>
            <w:hideMark/>
          </w:tcPr>
          <w:p w14:paraId="6DC6545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Cybersecurity in mobile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C9FA2F7" w14:textId="0A325B4C"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Limited to cybersecurity; lacks integration with </w:t>
            </w:r>
            <w:r w:rsidR="009F1DF3" w:rsidRPr="00F70CB0">
              <w:rPr>
                <w:color w:val="000000"/>
                <w:sz w:val="24"/>
                <w:szCs w:val="24"/>
                <w:lang w:val="en-GB" w:eastAsia="en-GB"/>
              </w:rPr>
              <w:t xml:space="preserve">the </w:t>
            </w:r>
            <w:r w:rsidRPr="00F70CB0">
              <w:rPr>
                <w:color w:val="000000"/>
                <w:sz w:val="24"/>
                <w:szCs w:val="24"/>
                <w:lang w:val="en-GB" w:eastAsia="en-GB"/>
              </w:rPr>
              <w:t>overall banking experience</w:t>
            </w:r>
          </w:p>
        </w:tc>
      </w:tr>
      <w:tr w:rsidR="000D15B2" w:rsidRPr="00F70CB0" w14:paraId="415E6A2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8E680C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54</w:t>
            </w:r>
          </w:p>
        </w:tc>
        <w:tc>
          <w:tcPr>
            <w:tcW w:w="1134" w:type="dxa"/>
            <w:tcBorders>
              <w:top w:val="nil"/>
              <w:left w:val="nil"/>
              <w:bottom w:val="single" w:sz="4" w:space="0" w:color="auto"/>
              <w:right w:val="single" w:sz="4" w:space="0" w:color="auto"/>
            </w:tcBorders>
            <w:noWrap/>
            <w:vAlign w:val="bottom"/>
            <w:hideMark/>
          </w:tcPr>
          <w:p w14:paraId="6DE74A53"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Alrababah</w:t>
            </w:r>
            <w:proofErr w:type="spellEnd"/>
            <w:r w:rsidRPr="00F70CB0">
              <w:rPr>
                <w:color w:val="000000"/>
                <w:sz w:val="24"/>
                <w:szCs w:val="24"/>
                <w:lang w:val="en-GB" w:eastAsia="en-GB"/>
              </w:rPr>
              <w:t xml:space="preserve"> et al. (2024)</w:t>
            </w:r>
          </w:p>
        </w:tc>
        <w:tc>
          <w:tcPr>
            <w:tcW w:w="678" w:type="dxa"/>
            <w:tcBorders>
              <w:top w:val="nil"/>
              <w:left w:val="nil"/>
              <w:bottom w:val="single" w:sz="4" w:space="0" w:color="auto"/>
              <w:right w:val="single" w:sz="4" w:space="0" w:color="auto"/>
            </w:tcBorders>
            <w:noWrap/>
            <w:vAlign w:val="bottom"/>
            <w:hideMark/>
          </w:tcPr>
          <w:p w14:paraId="5D1B51E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UAE</w:t>
            </w:r>
          </w:p>
        </w:tc>
        <w:tc>
          <w:tcPr>
            <w:tcW w:w="1196" w:type="dxa"/>
            <w:tcBorders>
              <w:top w:val="nil"/>
              <w:left w:val="nil"/>
              <w:bottom w:val="single" w:sz="4" w:space="0" w:color="auto"/>
              <w:right w:val="single" w:sz="4" w:space="0" w:color="auto"/>
            </w:tcBorders>
            <w:noWrap/>
            <w:vAlign w:val="bottom"/>
            <w:hideMark/>
          </w:tcPr>
          <w:p w14:paraId="7C21FF9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Cybersecurity Awareness Model</w:t>
            </w:r>
          </w:p>
        </w:tc>
        <w:tc>
          <w:tcPr>
            <w:tcW w:w="711" w:type="dxa"/>
            <w:tcBorders>
              <w:top w:val="nil"/>
              <w:left w:val="nil"/>
              <w:bottom w:val="single" w:sz="4" w:space="0" w:color="auto"/>
              <w:right w:val="single" w:sz="4" w:space="0" w:color="auto"/>
            </w:tcBorders>
            <w:noWrap/>
            <w:vAlign w:val="bottom"/>
            <w:hideMark/>
          </w:tcPr>
          <w:p w14:paraId="3F56C9D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 survey</w:t>
            </w:r>
          </w:p>
        </w:tc>
        <w:tc>
          <w:tcPr>
            <w:tcW w:w="447" w:type="dxa"/>
            <w:tcBorders>
              <w:top w:val="nil"/>
              <w:left w:val="nil"/>
              <w:bottom w:val="single" w:sz="4" w:space="0" w:color="auto"/>
              <w:right w:val="single" w:sz="4" w:space="0" w:color="auto"/>
            </w:tcBorders>
            <w:noWrap/>
            <w:vAlign w:val="bottom"/>
            <w:hideMark/>
          </w:tcPr>
          <w:p w14:paraId="7F8A780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500</w:t>
            </w:r>
          </w:p>
        </w:tc>
        <w:tc>
          <w:tcPr>
            <w:tcW w:w="1695" w:type="dxa"/>
            <w:tcBorders>
              <w:top w:val="nil"/>
              <w:left w:val="nil"/>
              <w:bottom w:val="single" w:sz="4" w:space="0" w:color="auto"/>
              <w:right w:val="single" w:sz="4" w:space="0" w:color="auto"/>
            </w:tcBorders>
            <w:noWrap/>
            <w:vAlign w:val="bottom"/>
            <w:hideMark/>
          </w:tcPr>
          <w:p w14:paraId="7E2C6BF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Security Awareness, Demographics, Satisfaction</w:t>
            </w:r>
          </w:p>
        </w:tc>
        <w:tc>
          <w:tcPr>
            <w:tcW w:w="922" w:type="dxa"/>
            <w:tcBorders>
              <w:top w:val="nil"/>
              <w:left w:val="nil"/>
              <w:bottom w:val="single" w:sz="4" w:space="0" w:color="auto"/>
              <w:right w:val="single" w:sz="4" w:space="0" w:color="auto"/>
            </w:tcBorders>
            <w:noWrap/>
            <w:vAlign w:val="bottom"/>
            <w:hideMark/>
          </w:tcPr>
          <w:p w14:paraId="09374D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cybersecurity behaviour</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99E84EE"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 on awareness only; lacks behavioural and emotional constructs</w:t>
            </w:r>
          </w:p>
        </w:tc>
      </w:tr>
      <w:tr w:rsidR="000D15B2" w:rsidRPr="00F70CB0" w14:paraId="6068C2F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E1AAC1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55</w:t>
            </w:r>
          </w:p>
        </w:tc>
        <w:tc>
          <w:tcPr>
            <w:tcW w:w="1134" w:type="dxa"/>
            <w:tcBorders>
              <w:top w:val="nil"/>
              <w:left w:val="nil"/>
              <w:bottom w:val="single" w:sz="4" w:space="0" w:color="auto"/>
              <w:right w:val="single" w:sz="4" w:space="0" w:color="auto"/>
            </w:tcBorders>
            <w:noWrap/>
            <w:vAlign w:val="bottom"/>
            <w:hideMark/>
          </w:tcPr>
          <w:p w14:paraId="4048ACF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Bhattacharya &amp; Sinha (2022)</w:t>
            </w:r>
          </w:p>
        </w:tc>
        <w:tc>
          <w:tcPr>
            <w:tcW w:w="678" w:type="dxa"/>
            <w:tcBorders>
              <w:top w:val="nil"/>
              <w:left w:val="nil"/>
              <w:bottom w:val="single" w:sz="4" w:space="0" w:color="auto"/>
              <w:right w:val="single" w:sz="4" w:space="0" w:color="auto"/>
            </w:tcBorders>
            <w:noWrap/>
            <w:vAlign w:val="bottom"/>
            <w:hideMark/>
          </w:tcPr>
          <w:p w14:paraId="3F2186C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043C7FD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AI in Banking Framework</w:t>
            </w:r>
          </w:p>
        </w:tc>
        <w:tc>
          <w:tcPr>
            <w:tcW w:w="711" w:type="dxa"/>
            <w:tcBorders>
              <w:top w:val="nil"/>
              <w:left w:val="nil"/>
              <w:bottom w:val="single" w:sz="4" w:space="0" w:color="auto"/>
              <w:right w:val="single" w:sz="4" w:space="0" w:color="auto"/>
            </w:tcBorders>
            <w:noWrap/>
            <w:vAlign w:val="bottom"/>
            <w:hideMark/>
          </w:tcPr>
          <w:p w14:paraId="20007AF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Mixed methods</w:t>
            </w:r>
          </w:p>
        </w:tc>
        <w:tc>
          <w:tcPr>
            <w:tcW w:w="447" w:type="dxa"/>
            <w:tcBorders>
              <w:top w:val="nil"/>
              <w:left w:val="nil"/>
              <w:bottom w:val="single" w:sz="4" w:space="0" w:color="auto"/>
              <w:right w:val="single" w:sz="4" w:space="0" w:color="auto"/>
            </w:tcBorders>
            <w:noWrap/>
            <w:vAlign w:val="bottom"/>
            <w:hideMark/>
          </w:tcPr>
          <w:p w14:paraId="4D7A7A9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EBD244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AI, Chatbots, Customer Experience, Satisfaction</w:t>
            </w:r>
          </w:p>
        </w:tc>
        <w:tc>
          <w:tcPr>
            <w:tcW w:w="922" w:type="dxa"/>
            <w:tcBorders>
              <w:top w:val="nil"/>
              <w:left w:val="nil"/>
              <w:bottom w:val="single" w:sz="4" w:space="0" w:color="auto"/>
              <w:right w:val="single" w:sz="4" w:space="0" w:color="auto"/>
            </w:tcBorders>
            <w:noWrap/>
            <w:vAlign w:val="bottom"/>
            <w:hideMark/>
          </w:tcPr>
          <w:p w14:paraId="6924BD0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Artificial intelligence in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4175D492" w14:textId="1D8998B4"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Focus on AI in banking; </w:t>
            </w:r>
            <w:r w:rsidR="009F1DF3" w:rsidRPr="00F70CB0">
              <w:rPr>
                <w:color w:val="000000"/>
                <w:sz w:val="24"/>
                <w:szCs w:val="24"/>
                <w:lang w:val="en-GB" w:eastAsia="en-GB"/>
              </w:rPr>
              <w:t xml:space="preserve">it </w:t>
            </w:r>
            <w:r w:rsidRPr="00F70CB0">
              <w:rPr>
                <w:color w:val="000000"/>
                <w:sz w:val="24"/>
                <w:szCs w:val="24"/>
                <w:lang w:val="en-GB" w:eastAsia="en-GB"/>
              </w:rPr>
              <w:t xml:space="preserve">lacks </w:t>
            </w:r>
            <w:r w:rsidR="009F1DF3" w:rsidRPr="00F70CB0">
              <w:rPr>
                <w:color w:val="000000"/>
                <w:sz w:val="24"/>
                <w:szCs w:val="24"/>
                <w:lang w:val="en-GB" w:eastAsia="en-GB"/>
              </w:rPr>
              <w:t xml:space="preserve">a </w:t>
            </w:r>
            <w:r w:rsidRPr="00F70CB0">
              <w:rPr>
                <w:color w:val="000000"/>
                <w:sz w:val="24"/>
                <w:szCs w:val="24"/>
                <w:lang w:val="en-GB" w:eastAsia="en-GB"/>
              </w:rPr>
              <w:t>customer behavioural perspective</w:t>
            </w:r>
          </w:p>
        </w:tc>
      </w:tr>
      <w:tr w:rsidR="000D15B2" w:rsidRPr="00F70CB0" w14:paraId="6D694775"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E0DA84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56</w:t>
            </w:r>
          </w:p>
        </w:tc>
        <w:tc>
          <w:tcPr>
            <w:tcW w:w="1134" w:type="dxa"/>
            <w:tcBorders>
              <w:top w:val="nil"/>
              <w:left w:val="nil"/>
              <w:bottom w:val="single" w:sz="4" w:space="0" w:color="auto"/>
              <w:right w:val="single" w:sz="4" w:space="0" w:color="auto"/>
            </w:tcBorders>
            <w:noWrap/>
            <w:vAlign w:val="bottom"/>
            <w:hideMark/>
          </w:tcPr>
          <w:p w14:paraId="5CFE488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Jena (2022)</w:t>
            </w:r>
          </w:p>
        </w:tc>
        <w:tc>
          <w:tcPr>
            <w:tcW w:w="678" w:type="dxa"/>
            <w:tcBorders>
              <w:top w:val="nil"/>
              <w:left w:val="nil"/>
              <w:bottom w:val="single" w:sz="4" w:space="0" w:color="auto"/>
              <w:right w:val="single" w:sz="4" w:space="0" w:color="auto"/>
            </w:tcBorders>
            <w:noWrap/>
            <w:vAlign w:val="bottom"/>
            <w:hideMark/>
          </w:tcPr>
          <w:p w14:paraId="2230F92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4BD2F0A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Extended UTAUT</w:t>
            </w:r>
          </w:p>
        </w:tc>
        <w:tc>
          <w:tcPr>
            <w:tcW w:w="711" w:type="dxa"/>
            <w:tcBorders>
              <w:top w:val="nil"/>
              <w:left w:val="nil"/>
              <w:bottom w:val="single" w:sz="4" w:space="0" w:color="auto"/>
              <w:right w:val="single" w:sz="4" w:space="0" w:color="auto"/>
            </w:tcBorders>
            <w:noWrap/>
            <w:vAlign w:val="bottom"/>
            <w:hideMark/>
          </w:tcPr>
          <w:p w14:paraId="7668472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w:t>
            </w:r>
          </w:p>
        </w:tc>
        <w:tc>
          <w:tcPr>
            <w:tcW w:w="447" w:type="dxa"/>
            <w:tcBorders>
              <w:top w:val="nil"/>
              <w:left w:val="nil"/>
              <w:bottom w:val="single" w:sz="4" w:space="0" w:color="auto"/>
              <w:right w:val="single" w:sz="4" w:space="0" w:color="auto"/>
            </w:tcBorders>
            <w:noWrap/>
            <w:vAlign w:val="bottom"/>
            <w:hideMark/>
          </w:tcPr>
          <w:p w14:paraId="197EC4B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2F4D6BA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Performance Expectancy, Blockchain Adoption</w:t>
            </w:r>
          </w:p>
        </w:tc>
        <w:tc>
          <w:tcPr>
            <w:tcW w:w="922" w:type="dxa"/>
            <w:tcBorders>
              <w:top w:val="nil"/>
              <w:left w:val="nil"/>
              <w:bottom w:val="single" w:sz="4" w:space="0" w:color="auto"/>
              <w:right w:val="single" w:sz="4" w:space="0" w:color="auto"/>
            </w:tcBorders>
            <w:noWrap/>
            <w:vAlign w:val="bottom"/>
            <w:hideMark/>
          </w:tcPr>
          <w:p w14:paraId="482706C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Blockchain in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C3D0EB0" w14:textId="07883775"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Limited integration of constructs; lacks </w:t>
            </w:r>
            <w:r w:rsidR="009F1DF3" w:rsidRPr="00F70CB0">
              <w:rPr>
                <w:color w:val="000000"/>
                <w:sz w:val="24"/>
                <w:szCs w:val="24"/>
                <w:lang w:val="en-GB" w:eastAsia="en-GB"/>
              </w:rPr>
              <w:t xml:space="preserve">a </w:t>
            </w:r>
            <w:r w:rsidRPr="00F70CB0">
              <w:rPr>
                <w:color w:val="000000"/>
                <w:sz w:val="24"/>
                <w:szCs w:val="24"/>
                <w:lang w:val="en-GB" w:eastAsia="en-GB"/>
              </w:rPr>
              <w:t>holistic digital banking framework</w:t>
            </w:r>
          </w:p>
        </w:tc>
      </w:tr>
      <w:tr w:rsidR="000D15B2" w:rsidRPr="00F70CB0" w14:paraId="36DFE37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AE7455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57</w:t>
            </w:r>
          </w:p>
        </w:tc>
        <w:tc>
          <w:tcPr>
            <w:tcW w:w="1134" w:type="dxa"/>
            <w:tcBorders>
              <w:top w:val="nil"/>
              <w:left w:val="nil"/>
              <w:bottom w:val="single" w:sz="4" w:space="0" w:color="auto"/>
              <w:right w:val="single" w:sz="4" w:space="0" w:color="auto"/>
            </w:tcBorders>
            <w:noWrap/>
            <w:vAlign w:val="bottom"/>
            <w:hideMark/>
          </w:tcPr>
          <w:p w14:paraId="155B31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Casolaro et al. (2025)</w:t>
            </w:r>
          </w:p>
        </w:tc>
        <w:tc>
          <w:tcPr>
            <w:tcW w:w="678" w:type="dxa"/>
            <w:tcBorders>
              <w:top w:val="nil"/>
              <w:left w:val="nil"/>
              <w:bottom w:val="single" w:sz="4" w:space="0" w:color="auto"/>
              <w:right w:val="single" w:sz="4" w:space="0" w:color="auto"/>
            </w:tcBorders>
            <w:noWrap/>
            <w:vAlign w:val="bottom"/>
            <w:hideMark/>
          </w:tcPr>
          <w:p w14:paraId="66805BE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655368F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PRISMA</w:t>
            </w:r>
          </w:p>
        </w:tc>
        <w:tc>
          <w:tcPr>
            <w:tcW w:w="711" w:type="dxa"/>
            <w:tcBorders>
              <w:top w:val="nil"/>
              <w:left w:val="nil"/>
              <w:bottom w:val="single" w:sz="4" w:space="0" w:color="auto"/>
              <w:right w:val="single" w:sz="4" w:space="0" w:color="auto"/>
            </w:tcBorders>
            <w:noWrap/>
            <w:vAlign w:val="bottom"/>
            <w:hideMark/>
          </w:tcPr>
          <w:p w14:paraId="4BEEABB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Systematic literature review</w:t>
            </w:r>
          </w:p>
        </w:tc>
        <w:tc>
          <w:tcPr>
            <w:tcW w:w="447" w:type="dxa"/>
            <w:tcBorders>
              <w:top w:val="nil"/>
              <w:left w:val="nil"/>
              <w:bottom w:val="single" w:sz="4" w:space="0" w:color="auto"/>
              <w:right w:val="single" w:sz="4" w:space="0" w:color="auto"/>
            </w:tcBorders>
            <w:noWrap/>
            <w:vAlign w:val="bottom"/>
            <w:hideMark/>
          </w:tcPr>
          <w:p w14:paraId="1E3E591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8ED418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Open Banking, Innovation, Data Privacy, Consumer Protection</w:t>
            </w:r>
          </w:p>
        </w:tc>
        <w:tc>
          <w:tcPr>
            <w:tcW w:w="922" w:type="dxa"/>
            <w:tcBorders>
              <w:top w:val="nil"/>
              <w:left w:val="nil"/>
              <w:bottom w:val="single" w:sz="4" w:space="0" w:color="auto"/>
              <w:right w:val="single" w:sz="4" w:space="0" w:color="auto"/>
            </w:tcBorders>
            <w:noWrap/>
            <w:vAlign w:val="bottom"/>
            <w:hideMark/>
          </w:tcPr>
          <w:p w14:paraId="20F8381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Open banking review</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D8C3526"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Focus on chatbot/AI features; lacks trust and risk considerations</w:t>
            </w:r>
          </w:p>
        </w:tc>
      </w:tr>
      <w:tr w:rsidR="000D15B2" w:rsidRPr="00F70CB0" w14:paraId="71E8A48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627602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58</w:t>
            </w:r>
          </w:p>
        </w:tc>
        <w:tc>
          <w:tcPr>
            <w:tcW w:w="1134" w:type="dxa"/>
            <w:tcBorders>
              <w:top w:val="nil"/>
              <w:left w:val="nil"/>
              <w:bottom w:val="single" w:sz="4" w:space="0" w:color="auto"/>
              <w:right w:val="single" w:sz="4" w:space="0" w:color="auto"/>
            </w:tcBorders>
            <w:noWrap/>
            <w:vAlign w:val="bottom"/>
            <w:hideMark/>
          </w:tcPr>
          <w:p w14:paraId="6FA1341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Abdul Mannan &amp; Farhana (2023)</w:t>
            </w:r>
          </w:p>
        </w:tc>
        <w:tc>
          <w:tcPr>
            <w:tcW w:w="678" w:type="dxa"/>
            <w:tcBorders>
              <w:top w:val="nil"/>
              <w:left w:val="nil"/>
              <w:bottom w:val="single" w:sz="4" w:space="0" w:color="auto"/>
              <w:right w:val="single" w:sz="4" w:space="0" w:color="auto"/>
            </w:tcBorders>
            <w:noWrap/>
            <w:vAlign w:val="bottom"/>
            <w:hideMark/>
          </w:tcPr>
          <w:p w14:paraId="1657B0A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Bangladesh</w:t>
            </w:r>
          </w:p>
        </w:tc>
        <w:tc>
          <w:tcPr>
            <w:tcW w:w="1196" w:type="dxa"/>
            <w:tcBorders>
              <w:top w:val="nil"/>
              <w:left w:val="nil"/>
              <w:bottom w:val="single" w:sz="4" w:space="0" w:color="auto"/>
              <w:right w:val="single" w:sz="4" w:space="0" w:color="auto"/>
            </w:tcBorders>
            <w:noWrap/>
            <w:vAlign w:val="bottom"/>
            <w:hideMark/>
          </w:tcPr>
          <w:p w14:paraId="3D215C0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Financial Inclusion Model</w:t>
            </w:r>
          </w:p>
        </w:tc>
        <w:tc>
          <w:tcPr>
            <w:tcW w:w="711" w:type="dxa"/>
            <w:tcBorders>
              <w:top w:val="nil"/>
              <w:left w:val="nil"/>
              <w:bottom w:val="single" w:sz="4" w:space="0" w:color="auto"/>
              <w:right w:val="single" w:sz="4" w:space="0" w:color="auto"/>
            </w:tcBorders>
            <w:noWrap/>
            <w:vAlign w:val="bottom"/>
            <w:hideMark/>
          </w:tcPr>
          <w:p w14:paraId="43D42C1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 survey</w:t>
            </w:r>
          </w:p>
        </w:tc>
        <w:tc>
          <w:tcPr>
            <w:tcW w:w="447" w:type="dxa"/>
            <w:tcBorders>
              <w:top w:val="nil"/>
              <w:left w:val="nil"/>
              <w:bottom w:val="single" w:sz="4" w:space="0" w:color="auto"/>
              <w:right w:val="single" w:sz="4" w:space="0" w:color="auto"/>
            </w:tcBorders>
            <w:noWrap/>
            <w:vAlign w:val="bottom"/>
            <w:hideMark/>
          </w:tcPr>
          <w:p w14:paraId="3DAC6D5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2165</w:t>
            </w:r>
          </w:p>
        </w:tc>
        <w:tc>
          <w:tcPr>
            <w:tcW w:w="1695" w:type="dxa"/>
            <w:tcBorders>
              <w:top w:val="nil"/>
              <w:left w:val="nil"/>
              <w:bottom w:val="single" w:sz="4" w:space="0" w:color="auto"/>
              <w:right w:val="single" w:sz="4" w:space="0" w:color="auto"/>
            </w:tcBorders>
            <w:noWrap/>
            <w:vAlign w:val="bottom"/>
            <w:hideMark/>
          </w:tcPr>
          <w:p w14:paraId="1AEC37B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Remittances, E-bank Accounts, Mobile Banking</w:t>
            </w:r>
          </w:p>
        </w:tc>
        <w:tc>
          <w:tcPr>
            <w:tcW w:w="922" w:type="dxa"/>
            <w:tcBorders>
              <w:top w:val="nil"/>
              <w:left w:val="nil"/>
              <w:bottom w:val="single" w:sz="4" w:space="0" w:color="auto"/>
              <w:right w:val="single" w:sz="4" w:space="0" w:color="auto"/>
            </w:tcBorders>
            <w:noWrap/>
            <w:vAlign w:val="bottom"/>
            <w:hideMark/>
          </w:tcPr>
          <w:p w14:paraId="73214FE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Financial inclusion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0031926"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Limited empirical depth; lacks longitudinal validation</w:t>
            </w:r>
          </w:p>
        </w:tc>
      </w:tr>
      <w:tr w:rsidR="000D15B2" w:rsidRPr="00F70CB0" w14:paraId="5B1F7DF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4FD24E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59</w:t>
            </w:r>
          </w:p>
        </w:tc>
        <w:tc>
          <w:tcPr>
            <w:tcW w:w="1134" w:type="dxa"/>
            <w:tcBorders>
              <w:top w:val="nil"/>
              <w:left w:val="nil"/>
              <w:bottom w:val="single" w:sz="4" w:space="0" w:color="auto"/>
              <w:right w:val="single" w:sz="4" w:space="0" w:color="auto"/>
            </w:tcBorders>
            <w:noWrap/>
            <w:vAlign w:val="bottom"/>
            <w:hideMark/>
          </w:tcPr>
          <w:p w14:paraId="7E7D01E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Mwiya et al. (2022)</w:t>
            </w:r>
          </w:p>
        </w:tc>
        <w:tc>
          <w:tcPr>
            <w:tcW w:w="678" w:type="dxa"/>
            <w:tcBorders>
              <w:top w:val="nil"/>
              <w:left w:val="nil"/>
              <w:bottom w:val="single" w:sz="4" w:space="0" w:color="auto"/>
              <w:right w:val="single" w:sz="4" w:space="0" w:color="auto"/>
            </w:tcBorders>
            <w:noWrap/>
            <w:vAlign w:val="bottom"/>
            <w:hideMark/>
          </w:tcPr>
          <w:p w14:paraId="1CBE511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Zambia</w:t>
            </w:r>
          </w:p>
        </w:tc>
        <w:tc>
          <w:tcPr>
            <w:tcW w:w="1196" w:type="dxa"/>
            <w:tcBorders>
              <w:top w:val="nil"/>
              <w:left w:val="nil"/>
              <w:bottom w:val="single" w:sz="4" w:space="0" w:color="auto"/>
              <w:right w:val="single" w:sz="4" w:space="0" w:color="auto"/>
            </w:tcBorders>
            <w:noWrap/>
            <w:vAlign w:val="bottom"/>
            <w:hideMark/>
          </w:tcPr>
          <w:p w14:paraId="4C3A6B8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E-SERVQUAL</w:t>
            </w:r>
          </w:p>
        </w:tc>
        <w:tc>
          <w:tcPr>
            <w:tcW w:w="711" w:type="dxa"/>
            <w:tcBorders>
              <w:top w:val="nil"/>
              <w:left w:val="nil"/>
              <w:bottom w:val="single" w:sz="4" w:space="0" w:color="auto"/>
              <w:right w:val="single" w:sz="4" w:space="0" w:color="auto"/>
            </w:tcBorders>
            <w:noWrap/>
            <w:vAlign w:val="bottom"/>
            <w:hideMark/>
          </w:tcPr>
          <w:p w14:paraId="783BD10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Quantitative / regression</w:t>
            </w:r>
          </w:p>
        </w:tc>
        <w:tc>
          <w:tcPr>
            <w:tcW w:w="447" w:type="dxa"/>
            <w:tcBorders>
              <w:top w:val="nil"/>
              <w:left w:val="nil"/>
              <w:bottom w:val="single" w:sz="4" w:space="0" w:color="auto"/>
              <w:right w:val="single" w:sz="4" w:space="0" w:color="auto"/>
            </w:tcBorders>
            <w:noWrap/>
            <w:vAlign w:val="bottom"/>
            <w:hideMark/>
          </w:tcPr>
          <w:p w14:paraId="29CF52E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314</w:t>
            </w:r>
          </w:p>
        </w:tc>
        <w:tc>
          <w:tcPr>
            <w:tcW w:w="1695" w:type="dxa"/>
            <w:tcBorders>
              <w:top w:val="nil"/>
              <w:left w:val="nil"/>
              <w:bottom w:val="single" w:sz="4" w:space="0" w:color="auto"/>
              <w:right w:val="single" w:sz="4" w:space="0" w:color="auto"/>
            </w:tcBorders>
            <w:noWrap/>
            <w:vAlign w:val="bottom"/>
            <w:hideMark/>
          </w:tcPr>
          <w:p w14:paraId="11AC8C3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Security, Privacy, Responsiveness, Satisfaction</w:t>
            </w:r>
          </w:p>
        </w:tc>
        <w:tc>
          <w:tcPr>
            <w:tcW w:w="922" w:type="dxa"/>
            <w:tcBorders>
              <w:top w:val="nil"/>
              <w:left w:val="nil"/>
              <w:bottom w:val="single" w:sz="4" w:space="0" w:color="auto"/>
              <w:right w:val="single" w:sz="4" w:space="0" w:color="auto"/>
            </w:tcBorders>
            <w:noWrap/>
            <w:vAlign w:val="bottom"/>
            <w:hideMark/>
          </w:tcPr>
          <w:p w14:paraId="238CC09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service quality</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9C58F83" w14:textId="3279A3C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Focus on specific innovation; lacks </w:t>
            </w:r>
            <w:r w:rsidR="009F1DF3" w:rsidRPr="00F70CB0">
              <w:rPr>
                <w:color w:val="000000"/>
                <w:sz w:val="24"/>
                <w:szCs w:val="24"/>
                <w:lang w:val="en-GB" w:eastAsia="en-GB"/>
              </w:rPr>
              <w:t xml:space="preserve">a </w:t>
            </w:r>
            <w:r w:rsidRPr="00F70CB0">
              <w:rPr>
                <w:color w:val="000000"/>
                <w:sz w:val="24"/>
                <w:szCs w:val="24"/>
                <w:lang w:val="en-GB" w:eastAsia="en-GB"/>
              </w:rPr>
              <w:t>broader banking system perspective</w:t>
            </w:r>
          </w:p>
        </w:tc>
      </w:tr>
      <w:tr w:rsidR="000D15B2" w:rsidRPr="00F70CB0" w14:paraId="782EF83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22F48D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60</w:t>
            </w:r>
          </w:p>
        </w:tc>
        <w:tc>
          <w:tcPr>
            <w:tcW w:w="1134" w:type="dxa"/>
            <w:tcBorders>
              <w:top w:val="nil"/>
              <w:left w:val="nil"/>
              <w:bottom w:val="single" w:sz="4" w:space="0" w:color="auto"/>
              <w:right w:val="single" w:sz="4" w:space="0" w:color="auto"/>
            </w:tcBorders>
            <w:noWrap/>
            <w:vAlign w:val="bottom"/>
            <w:hideMark/>
          </w:tcPr>
          <w:p w14:paraId="4B0B169C"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Setiyawati</w:t>
            </w:r>
            <w:proofErr w:type="spellEnd"/>
            <w:r w:rsidRPr="00F70CB0">
              <w:rPr>
                <w:color w:val="000000"/>
                <w:sz w:val="24"/>
                <w:szCs w:val="24"/>
                <w:lang w:val="en-GB" w:eastAsia="en-GB"/>
              </w:rPr>
              <w:t xml:space="preserve"> &amp; </w:t>
            </w:r>
            <w:proofErr w:type="spellStart"/>
            <w:r w:rsidRPr="00F70CB0">
              <w:rPr>
                <w:color w:val="000000"/>
                <w:sz w:val="24"/>
                <w:szCs w:val="24"/>
                <w:lang w:val="en-GB" w:eastAsia="en-GB"/>
              </w:rPr>
              <w:t>Bangkalang</w:t>
            </w:r>
            <w:proofErr w:type="spellEnd"/>
            <w:r w:rsidRPr="00F70CB0">
              <w:rPr>
                <w:color w:val="000000"/>
                <w:sz w:val="24"/>
                <w:szCs w:val="24"/>
                <w:lang w:val="en-GB" w:eastAsia="en-GB"/>
              </w:rPr>
              <w:t xml:space="preserve"> (2022)</w:t>
            </w:r>
          </w:p>
        </w:tc>
        <w:tc>
          <w:tcPr>
            <w:tcW w:w="678" w:type="dxa"/>
            <w:tcBorders>
              <w:top w:val="nil"/>
              <w:left w:val="nil"/>
              <w:bottom w:val="single" w:sz="4" w:space="0" w:color="auto"/>
              <w:right w:val="single" w:sz="4" w:space="0" w:color="auto"/>
            </w:tcBorders>
            <w:noWrap/>
            <w:vAlign w:val="bottom"/>
            <w:hideMark/>
          </w:tcPr>
          <w:p w14:paraId="036F2DB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5B39DDE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UEQ + SUS</w:t>
            </w:r>
          </w:p>
        </w:tc>
        <w:tc>
          <w:tcPr>
            <w:tcW w:w="711" w:type="dxa"/>
            <w:tcBorders>
              <w:top w:val="nil"/>
              <w:left w:val="nil"/>
              <w:bottom w:val="single" w:sz="4" w:space="0" w:color="auto"/>
              <w:right w:val="single" w:sz="4" w:space="0" w:color="auto"/>
            </w:tcBorders>
            <w:noWrap/>
            <w:vAlign w:val="bottom"/>
            <w:hideMark/>
          </w:tcPr>
          <w:p w14:paraId="5602127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Comparative evaluation</w:t>
            </w:r>
          </w:p>
        </w:tc>
        <w:tc>
          <w:tcPr>
            <w:tcW w:w="447" w:type="dxa"/>
            <w:tcBorders>
              <w:top w:val="nil"/>
              <w:left w:val="nil"/>
              <w:bottom w:val="single" w:sz="4" w:space="0" w:color="auto"/>
              <w:right w:val="single" w:sz="4" w:space="0" w:color="auto"/>
            </w:tcBorders>
            <w:noWrap/>
            <w:vAlign w:val="bottom"/>
            <w:hideMark/>
          </w:tcPr>
          <w:p w14:paraId="288B90F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D45018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UX, Usability</w:t>
            </w:r>
          </w:p>
        </w:tc>
        <w:tc>
          <w:tcPr>
            <w:tcW w:w="922" w:type="dxa"/>
            <w:tcBorders>
              <w:top w:val="nil"/>
              <w:left w:val="nil"/>
              <w:bottom w:val="single" w:sz="4" w:space="0" w:color="auto"/>
              <w:right w:val="single" w:sz="4" w:space="0" w:color="auto"/>
            </w:tcBorders>
            <w:noWrap/>
            <w:vAlign w:val="bottom"/>
            <w:hideMark/>
          </w:tcPr>
          <w:p w14:paraId="2B57D7C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User experience in mobile banking</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63FCE6CB" w14:textId="77777777"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Limited contextual scope; lacks integration with established adoption theories</w:t>
            </w:r>
          </w:p>
        </w:tc>
      </w:tr>
      <w:tr w:rsidR="000D15B2" w:rsidRPr="00F70CB0" w14:paraId="3E38797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CF593E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61</w:t>
            </w:r>
          </w:p>
        </w:tc>
        <w:tc>
          <w:tcPr>
            <w:tcW w:w="1134" w:type="dxa"/>
            <w:tcBorders>
              <w:top w:val="nil"/>
              <w:left w:val="nil"/>
              <w:bottom w:val="single" w:sz="4" w:space="0" w:color="auto"/>
              <w:right w:val="single" w:sz="4" w:space="0" w:color="auto"/>
            </w:tcBorders>
            <w:noWrap/>
            <w:vAlign w:val="bottom"/>
            <w:hideMark/>
          </w:tcPr>
          <w:p w14:paraId="3438B04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Kumar &amp; Rani (2024)</w:t>
            </w:r>
          </w:p>
        </w:tc>
        <w:tc>
          <w:tcPr>
            <w:tcW w:w="678" w:type="dxa"/>
            <w:tcBorders>
              <w:top w:val="nil"/>
              <w:left w:val="nil"/>
              <w:bottom w:val="single" w:sz="4" w:space="0" w:color="auto"/>
              <w:right w:val="single" w:sz="4" w:space="0" w:color="auto"/>
            </w:tcBorders>
            <w:noWrap/>
            <w:vAlign w:val="bottom"/>
            <w:hideMark/>
          </w:tcPr>
          <w:p w14:paraId="7DCEA08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7AF2337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Adoption Model</w:t>
            </w:r>
          </w:p>
        </w:tc>
        <w:tc>
          <w:tcPr>
            <w:tcW w:w="711" w:type="dxa"/>
            <w:tcBorders>
              <w:top w:val="nil"/>
              <w:left w:val="nil"/>
              <w:bottom w:val="single" w:sz="4" w:space="0" w:color="auto"/>
              <w:right w:val="single" w:sz="4" w:space="0" w:color="auto"/>
            </w:tcBorders>
            <w:noWrap/>
            <w:vAlign w:val="bottom"/>
            <w:hideMark/>
          </w:tcPr>
          <w:p w14:paraId="38AE1C6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Empirical study</w:t>
            </w:r>
          </w:p>
        </w:tc>
        <w:tc>
          <w:tcPr>
            <w:tcW w:w="447" w:type="dxa"/>
            <w:tcBorders>
              <w:top w:val="nil"/>
              <w:left w:val="nil"/>
              <w:bottom w:val="single" w:sz="4" w:space="0" w:color="auto"/>
              <w:right w:val="single" w:sz="4" w:space="0" w:color="auto"/>
            </w:tcBorders>
            <w:noWrap/>
            <w:vAlign w:val="bottom"/>
            <w:hideMark/>
          </w:tcPr>
          <w:p w14:paraId="0A8454B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11B3AEC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Adoption, Behaviour</w:t>
            </w:r>
          </w:p>
        </w:tc>
        <w:tc>
          <w:tcPr>
            <w:tcW w:w="922" w:type="dxa"/>
            <w:tcBorders>
              <w:top w:val="nil"/>
              <w:left w:val="nil"/>
              <w:bottom w:val="single" w:sz="4" w:space="0" w:color="auto"/>
              <w:right w:val="single" w:sz="4" w:space="0" w:color="auto"/>
            </w:tcBorders>
            <w:noWrap/>
            <w:vAlign w:val="bottom"/>
            <w:hideMark/>
          </w:tcPr>
          <w:p w14:paraId="3544D32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Intention to adopt FinTech</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2C651DE4" w14:textId="61F84B7A" w:rsidR="000D15B2" w:rsidRPr="00F70CB0" w:rsidRDefault="000D15B2" w:rsidP="00073A87">
            <w:pPr>
              <w:spacing w:before="0" w:after="0"/>
              <w:ind w:firstLineChars="100" w:firstLine="240"/>
              <w:jc w:val="both"/>
              <w:rPr>
                <w:color w:val="000000"/>
                <w:sz w:val="24"/>
                <w:szCs w:val="24"/>
                <w:lang w:val="en-GB" w:eastAsia="en-GB"/>
              </w:rPr>
            </w:pPr>
            <w:r w:rsidRPr="00F70CB0">
              <w:rPr>
                <w:color w:val="000000"/>
                <w:sz w:val="24"/>
                <w:szCs w:val="24"/>
                <w:lang w:val="en-GB" w:eastAsia="en-GB"/>
              </w:rPr>
              <w:t xml:space="preserve">Focus on open banking only; </w:t>
            </w:r>
            <w:r w:rsidR="009F1DF3" w:rsidRPr="00F70CB0">
              <w:rPr>
                <w:color w:val="000000"/>
                <w:sz w:val="24"/>
                <w:szCs w:val="24"/>
                <w:lang w:val="en-GB" w:eastAsia="en-GB"/>
              </w:rPr>
              <w:t xml:space="preserve">it </w:t>
            </w:r>
            <w:r w:rsidRPr="00F70CB0">
              <w:rPr>
                <w:color w:val="000000"/>
                <w:sz w:val="24"/>
                <w:szCs w:val="24"/>
                <w:lang w:val="en-GB" w:eastAsia="en-GB"/>
              </w:rPr>
              <w:t>lacks integration with traditional banking systems</w:t>
            </w:r>
          </w:p>
        </w:tc>
      </w:tr>
      <w:tr w:rsidR="000D15B2" w:rsidRPr="00F70CB0" w14:paraId="12B1B73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7978DB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62</w:t>
            </w:r>
          </w:p>
        </w:tc>
        <w:tc>
          <w:tcPr>
            <w:tcW w:w="1134" w:type="dxa"/>
            <w:tcBorders>
              <w:top w:val="nil"/>
              <w:left w:val="nil"/>
              <w:bottom w:val="single" w:sz="4" w:space="0" w:color="auto"/>
              <w:right w:val="single" w:sz="4" w:space="0" w:color="auto"/>
            </w:tcBorders>
            <w:noWrap/>
            <w:vAlign w:val="bottom"/>
            <w:hideMark/>
          </w:tcPr>
          <w:p w14:paraId="2C2458A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Natalia et al. (2025)</w:t>
            </w:r>
          </w:p>
        </w:tc>
        <w:tc>
          <w:tcPr>
            <w:tcW w:w="678" w:type="dxa"/>
            <w:tcBorders>
              <w:top w:val="nil"/>
              <w:left w:val="nil"/>
              <w:bottom w:val="single" w:sz="4" w:space="0" w:color="auto"/>
              <w:right w:val="single" w:sz="4" w:space="0" w:color="auto"/>
            </w:tcBorders>
            <w:noWrap/>
            <w:vAlign w:val="bottom"/>
            <w:hideMark/>
          </w:tcPr>
          <w:p w14:paraId="096A013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42BC9EA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ECM + Trust + Security</w:t>
            </w:r>
          </w:p>
        </w:tc>
        <w:tc>
          <w:tcPr>
            <w:tcW w:w="711" w:type="dxa"/>
            <w:tcBorders>
              <w:top w:val="nil"/>
              <w:left w:val="nil"/>
              <w:bottom w:val="single" w:sz="4" w:space="0" w:color="auto"/>
              <w:right w:val="single" w:sz="4" w:space="0" w:color="auto"/>
            </w:tcBorders>
            <w:noWrap/>
            <w:vAlign w:val="bottom"/>
            <w:hideMark/>
          </w:tcPr>
          <w:p w14:paraId="59201F9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4068243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7643303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PU, Trust, Satisfaction, Continuance</w:t>
            </w:r>
          </w:p>
        </w:tc>
        <w:tc>
          <w:tcPr>
            <w:tcW w:w="922" w:type="dxa"/>
            <w:tcBorders>
              <w:top w:val="nil"/>
              <w:left w:val="nil"/>
              <w:bottom w:val="single" w:sz="4" w:space="0" w:color="auto"/>
              <w:right w:val="single" w:sz="4" w:space="0" w:color="auto"/>
            </w:tcBorders>
            <w:noWrap/>
            <w:vAlign w:val="bottom"/>
            <w:hideMark/>
          </w:tcPr>
          <w:p w14:paraId="0A9CC78F"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Superapp</w:t>
            </w:r>
            <w:proofErr w:type="spellEnd"/>
            <w:r w:rsidRPr="00F70CB0">
              <w:rPr>
                <w:color w:val="000000"/>
                <w:sz w:val="24"/>
                <w:szCs w:val="24"/>
                <w:lang w:val="en-GB" w:eastAsia="en-GB"/>
              </w:rPr>
              <w:t xml:space="preserve"> mobile banking continuance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3BA060E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Review-based study; lacks empirical validation and real-world application</w:t>
            </w:r>
          </w:p>
        </w:tc>
      </w:tr>
      <w:tr w:rsidR="000D15B2" w:rsidRPr="00F70CB0" w14:paraId="7A08FBA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6CD744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63</w:t>
            </w:r>
          </w:p>
        </w:tc>
        <w:tc>
          <w:tcPr>
            <w:tcW w:w="1134" w:type="dxa"/>
            <w:tcBorders>
              <w:top w:val="nil"/>
              <w:left w:val="nil"/>
              <w:bottom w:val="single" w:sz="4" w:space="0" w:color="auto"/>
              <w:right w:val="single" w:sz="4" w:space="0" w:color="auto"/>
            </w:tcBorders>
            <w:noWrap/>
            <w:vAlign w:val="bottom"/>
            <w:hideMark/>
          </w:tcPr>
          <w:p w14:paraId="52F34281"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Bajunaied</w:t>
            </w:r>
            <w:proofErr w:type="spellEnd"/>
            <w:r w:rsidRPr="00F70CB0">
              <w:rPr>
                <w:color w:val="000000"/>
                <w:sz w:val="24"/>
                <w:szCs w:val="24"/>
                <w:lang w:val="en-GB" w:eastAsia="en-GB"/>
              </w:rPr>
              <w:t xml:space="preserve"> et al. (2023)</w:t>
            </w:r>
          </w:p>
        </w:tc>
        <w:tc>
          <w:tcPr>
            <w:tcW w:w="678" w:type="dxa"/>
            <w:tcBorders>
              <w:top w:val="nil"/>
              <w:left w:val="nil"/>
              <w:bottom w:val="single" w:sz="4" w:space="0" w:color="auto"/>
              <w:right w:val="single" w:sz="4" w:space="0" w:color="auto"/>
            </w:tcBorders>
            <w:noWrap/>
            <w:vAlign w:val="bottom"/>
            <w:hideMark/>
          </w:tcPr>
          <w:p w14:paraId="594B1FD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212225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UTAUT Extension</w:t>
            </w:r>
          </w:p>
        </w:tc>
        <w:tc>
          <w:tcPr>
            <w:tcW w:w="711" w:type="dxa"/>
            <w:tcBorders>
              <w:top w:val="nil"/>
              <w:left w:val="nil"/>
              <w:bottom w:val="single" w:sz="4" w:space="0" w:color="auto"/>
              <w:right w:val="single" w:sz="4" w:space="0" w:color="auto"/>
            </w:tcBorders>
            <w:noWrap/>
            <w:vAlign w:val="bottom"/>
            <w:hideMark/>
          </w:tcPr>
          <w:p w14:paraId="7CBB971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43A0AF3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66DB04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Performance Expectancy, Effort Expectancy, Privacy</w:t>
            </w:r>
          </w:p>
        </w:tc>
        <w:tc>
          <w:tcPr>
            <w:tcW w:w="922" w:type="dxa"/>
            <w:tcBorders>
              <w:top w:val="nil"/>
              <w:left w:val="nil"/>
              <w:bottom w:val="single" w:sz="4" w:space="0" w:color="auto"/>
              <w:right w:val="single" w:sz="4" w:space="0" w:color="auto"/>
            </w:tcBorders>
            <w:noWrap/>
            <w:vAlign w:val="bottom"/>
            <w:hideMark/>
          </w:tcPr>
          <w:p w14:paraId="390FBC6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BBC836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Limited to financial inclusion; lacks broader digital banking behavioural analysis</w:t>
            </w:r>
          </w:p>
        </w:tc>
      </w:tr>
      <w:tr w:rsidR="000D15B2" w:rsidRPr="00F70CB0" w14:paraId="0A725C2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5AB003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64</w:t>
            </w:r>
          </w:p>
        </w:tc>
        <w:tc>
          <w:tcPr>
            <w:tcW w:w="1134" w:type="dxa"/>
            <w:tcBorders>
              <w:top w:val="nil"/>
              <w:left w:val="nil"/>
              <w:bottom w:val="single" w:sz="4" w:space="0" w:color="auto"/>
              <w:right w:val="single" w:sz="4" w:space="0" w:color="auto"/>
            </w:tcBorders>
            <w:noWrap/>
            <w:vAlign w:val="bottom"/>
            <w:hideMark/>
          </w:tcPr>
          <w:p w14:paraId="4C345A5B"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Pritjahjono</w:t>
            </w:r>
            <w:proofErr w:type="spellEnd"/>
            <w:r w:rsidRPr="00F70CB0">
              <w:rPr>
                <w:color w:val="000000"/>
                <w:sz w:val="24"/>
                <w:szCs w:val="24"/>
                <w:lang w:val="en-GB" w:eastAsia="en-GB"/>
              </w:rPr>
              <w:t xml:space="preserve"> et al. (2023)</w:t>
            </w:r>
          </w:p>
        </w:tc>
        <w:tc>
          <w:tcPr>
            <w:tcW w:w="678" w:type="dxa"/>
            <w:tcBorders>
              <w:top w:val="nil"/>
              <w:left w:val="nil"/>
              <w:bottom w:val="single" w:sz="4" w:space="0" w:color="auto"/>
              <w:right w:val="single" w:sz="4" w:space="0" w:color="auto"/>
            </w:tcBorders>
            <w:noWrap/>
            <w:vAlign w:val="bottom"/>
            <w:hideMark/>
          </w:tcPr>
          <w:p w14:paraId="0F7B321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43E99A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SOR Model</w:t>
            </w:r>
          </w:p>
        </w:tc>
        <w:tc>
          <w:tcPr>
            <w:tcW w:w="711" w:type="dxa"/>
            <w:tcBorders>
              <w:top w:val="nil"/>
              <w:left w:val="nil"/>
              <w:bottom w:val="single" w:sz="4" w:space="0" w:color="auto"/>
              <w:right w:val="single" w:sz="4" w:space="0" w:color="auto"/>
            </w:tcBorders>
            <w:noWrap/>
            <w:vAlign w:val="bottom"/>
            <w:hideMark/>
          </w:tcPr>
          <w:p w14:paraId="7099F6C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5D9C4EC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0884F6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Satisfaction, Experience, EWOM, Loyalty</w:t>
            </w:r>
          </w:p>
        </w:tc>
        <w:tc>
          <w:tcPr>
            <w:tcW w:w="922" w:type="dxa"/>
            <w:tcBorders>
              <w:top w:val="nil"/>
              <w:left w:val="nil"/>
              <w:bottom w:val="single" w:sz="4" w:space="0" w:color="auto"/>
              <w:right w:val="single" w:sz="4" w:space="0" w:color="auto"/>
            </w:tcBorders>
            <w:noWrap/>
            <w:vAlign w:val="bottom"/>
            <w:hideMark/>
          </w:tcPr>
          <w:p w14:paraId="185B64C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loyalty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5362D3E" w14:textId="20399196"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Focus on mobile banking only; lacks </w:t>
            </w:r>
            <w:r w:rsidR="009F1DF3" w:rsidRPr="00F70CB0">
              <w:rPr>
                <w:color w:val="000000"/>
                <w:sz w:val="24"/>
                <w:szCs w:val="24"/>
                <w:lang w:val="en-GB" w:eastAsia="en-GB"/>
              </w:rPr>
              <w:lastRenderedPageBreak/>
              <w:t xml:space="preserve">an </w:t>
            </w:r>
            <w:r w:rsidRPr="00F70CB0">
              <w:rPr>
                <w:color w:val="000000"/>
                <w:sz w:val="24"/>
                <w:szCs w:val="24"/>
                <w:lang w:val="en-GB" w:eastAsia="en-GB"/>
              </w:rPr>
              <w:t>omnichannel banking perspective</w:t>
            </w:r>
          </w:p>
        </w:tc>
      </w:tr>
      <w:tr w:rsidR="000D15B2" w:rsidRPr="00F70CB0" w14:paraId="553B612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046C3B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65</w:t>
            </w:r>
          </w:p>
        </w:tc>
        <w:tc>
          <w:tcPr>
            <w:tcW w:w="1134" w:type="dxa"/>
            <w:tcBorders>
              <w:top w:val="nil"/>
              <w:left w:val="nil"/>
              <w:bottom w:val="single" w:sz="4" w:space="0" w:color="auto"/>
              <w:right w:val="single" w:sz="4" w:space="0" w:color="auto"/>
            </w:tcBorders>
            <w:noWrap/>
            <w:vAlign w:val="bottom"/>
            <w:hideMark/>
          </w:tcPr>
          <w:p w14:paraId="15D0665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Ogundipe et al. (2024)</w:t>
            </w:r>
          </w:p>
        </w:tc>
        <w:tc>
          <w:tcPr>
            <w:tcW w:w="678" w:type="dxa"/>
            <w:tcBorders>
              <w:top w:val="nil"/>
              <w:left w:val="nil"/>
              <w:bottom w:val="single" w:sz="4" w:space="0" w:color="auto"/>
              <w:right w:val="single" w:sz="4" w:space="0" w:color="auto"/>
            </w:tcBorders>
            <w:noWrap/>
            <w:vAlign w:val="bottom"/>
            <w:hideMark/>
          </w:tcPr>
          <w:p w14:paraId="76F28C9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208622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Agile Framework</w:t>
            </w:r>
          </w:p>
        </w:tc>
        <w:tc>
          <w:tcPr>
            <w:tcW w:w="711" w:type="dxa"/>
            <w:tcBorders>
              <w:top w:val="nil"/>
              <w:left w:val="nil"/>
              <w:bottom w:val="single" w:sz="4" w:space="0" w:color="auto"/>
              <w:right w:val="single" w:sz="4" w:space="0" w:color="auto"/>
            </w:tcBorders>
            <w:noWrap/>
            <w:vAlign w:val="bottom"/>
            <w:hideMark/>
          </w:tcPr>
          <w:p w14:paraId="26AA888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Conceptual</w:t>
            </w:r>
          </w:p>
        </w:tc>
        <w:tc>
          <w:tcPr>
            <w:tcW w:w="447" w:type="dxa"/>
            <w:tcBorders>
              <w:top w:val="nil"/>
              <w:left w:val="nil"/>
              <w:bottom w:val="single" w:sz="4" w:space="0" w:color="auto"/>
              <w:right w:val="single" w:sz="4" w:space="0" w:color="auto"/>
            </w:tcBorders>
            <w:noWrap/>
            <w:vAlign w:val="bottom"/>
            <w:hideMark/>
          </w:tcPr>
          <w:p w14:paraId="774551E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963EC1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Agile, Customer Satisfaction</w:t>
            </w:r>
          </w:p>
        </w:tc>
        <w:tc>
          <w:tcPr>
            <w:tcW w:w="922" w:type="dxa"/>
            <w:tcBorders>
              <w:top w:val="nil"/>
              <w:left w:val="nil"/>
              <w:bottom w:val="single" w:sz="4" w:space="0" w:color="auto"/>
              <w:right w:val="single" w:sz="4" w:space="0" w:color="auto"/>
            </w:tcBorders>
            <w:noWrap/>
            <w:vAlign w:val="bottom"/>
            <w:hideMark/>
          </w:tcPr>
          <w:p w14:paraId="49656B8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innovation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52DBCC59" w14:textId="3D9C0031"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to </w:t>
            </w:r>
            <w:r w:rsidR="009F1DF3" w:rsidRPr="00F70CB0">
              <w:rPr>
                <w:color w:val="000000"/>
                <w:sz w:val="24"/>
                <w:szCs w:val="24"/>
                <w:lang w:val="en-GB" w:eastAsia="en-GB"/>
              </w:rPr>
              <w:t xml:space="preserve">the </w:t>
            </w:r>
            <w:r w:rsidRPr="00F70CB0">
              <w:rPr>
                <w:color w:val="000000"/>
                <w:sz w:val="24"/>
                <w:szCs w:val="24"/>
                <w:lang w:val="en-GB" w:eastAsia="en-GB"/>
              </w:rPr>
              <w:t>developing country context; lacks applicability to developed markets like the UK</w:t>
            </w:r>
          </w:p>
        </w:tc>
      </w:tr>
      <w:tr w:rsidR="000D15B2" w:rsidRPr="00F70CB0" w14:paraId="1B1F60B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20AE17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66</w:t>
            </w:r>
          </w:p>
        </w:tc>
        <w:tc>
          <w:tcPr>
            <w:tcW w:w="1134" w:type="dxa"/>
            <w:tcBorders>
              <w:top w:val="nil"/>
              <w:left w:val="nil"/>
              <w:bottom w:val="single" w:sz="4" w:space="0" w:color="auto"/>
              <w:right w:val="single" w:sz="4" w:space="0" w:color="auto"/>
            </w:tcBorders>
            <w:noWrap/>
            <w:vAlign w:val="bottom"/>
            <w:hideMark/>
          </w:tcPr>
          <w:p w14:paraId="5677A8C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Khan et al. (2022)</w:t>
            </w:r>
          </w:p>
        </w:tc>
        <w:tc>
          <w:tcPr>
            <w:tcW w:w="678" w:type="dxa"/>
            <w:tcBorders>
              <w:top w:val="nil"/>
              <w:left w:val="nil"/>
              <w:bottom w:val="single" w:sz="4" w:space="0" w:color="auto"/>
              <w:right w:val="single" w:sz="4" w:space="0" w:color="auto"/>
            </w:tcBorders>
            <w:noWrap/>
            <w:vAlign w:val="bottom"/>
            <w:hideMark/>
          </w:tcPr>
          <w:p w14:paraId="4793D13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0CCEC1F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 Model</w:t>
            </w:r>
          </w:p>
        </w:tc>
        <w:tc>
          <w:tcPr>
            <w:tcW w:w="711" w:type="dxa"/>
            <w:tcBorders>
              <w:top w:val="nil"/>
              <w:left w:val="nil"/>
              <w:bottom w:val="single" w:sz="4" w:space="0" w:color="auto"/>
              <w:right w:val="single" w:sz="4" w:space="0" w:color="auto"/>
            </w:tcBorders>
            <w:noWrap/>
            <w:vAlign w:val="bottom"/>
            <w:hideMark/>
          </w:tcPr>
          <w:p w14:paraId="72F2F78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6E0F63C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F74238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Adoption</w:t>
            </w:r>
          </w:p>
        </w:tc>
        <w:tc>
          <w:tcPr>
            <w:tcW w:w="922" w:type="dxa"/>
            <w:tcBorders>
              <w:top w:val="nil"/>
              <w:left w:val="nil"/>
              <w:bottom w:val="single" w:sz="4" w:space="0" w:color="auto"/>
              <w:right w:val="single" w:sz="4" w:space="0" w:color="auto"/>
            </w:tcBorders>
            <w:noWrap/>
            <w:vAlign w:val="bottom"/>
            <w:hideMark/>
          </w:tcPr>
          <w:p w14:paraId="0585037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AE1950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trust and risk; lacks integration with service quality and experience factors</w:t>
            </w:r>
          </w:p>
        </w:tc>
      </w:tr>
      <w:tr w:rsidR="000D15B2" w:rsidRPr="00F70CB0" w14:paraId="74E7761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DCD721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67</w:t>
            </w:r>
          </w:p>
        </w:tc>
        <w:tc>
          <w:tcPr>
            <w:tcW w:w="1134" w:type="dxa"/>
            <w:tcBorders>
              <w:top w:val="nil"/>
              <w:left w:val="nil"/>
              <w:bottom w:val="single" w:sz="4" w:space="0" w:color="auto"/>
              <w:right w:val="single" w:sz="4" w:space="0" w:color="auto"/>
            </w:tcBorders>
            <w:noWrap/>
            <w:vAlign w:val="bottom"/>
            <w:hideMark/>
          </w:tcPr>
          <w:p w14:paraId="6D9FC07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Bhuvaneswari &amp; </w:t>
            </w:r>
            <w:proofErr w:type="spellStart"/>
            <w:r w:rsidRPr="00F70CB0">
              <w:rPr>
                <w:color w:val="000000"/>
                <w:sz w:val="24"/>
                <w:szCs w:val="24"/>
                <w:lang w:val="en-GB" w:eastAsia="en-GB"/>
              </w:rPr>
              <w:t>Maruthamuthu</w:t>
            </w:r>
            <w:proofErr w:type="spellEnd"/>
            <w:r w:rsidRPr="00F70CB0">
              <w:rPr>
                <w:color w:val="000000"/>
                <w:sz w:val="24"/>
                <w:szCs w:val="24"/>
                <w:lang w:val="en-GB" w:eastAsia="en-GB"/>
              </w:rPr>
              <w:t xml:space="preserve"> (2024)</w:t>
            </w:r>
          </w:p>
        </w:tc>
        <w:tc>
          <w:tcPr>
            <w:tcW w:w="678" w:type="dxa"/>
            <w:tcBorders>
              <w:top w:val="nil"/>
              <w:left w:val="nil"/>
              <w:bottom w:val="single" w:sz="4" w:space="0" w:color="auto"/>
              <w:right w:val="single" w:sz="4" w:space="0" w:color="auto"/>
            </w:tcBorders>
            <w:noWrap/>
            <w:vAlign w:val="bottom"/>
            <w:hideMark/>
          </w:tcPr>
          <w:p w14:paraId="24A8623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6ACC938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SERVQUAL + SEM</w:t>
            </w:r>
          </w:p>
        </w:tc>
        <w:tc>
          <w:tcPr>
            <w:tcW w:w="711" w:type="dxa"/>
            <w:tcBorders>
              <w:top w:val="nil"/>
              <w:left w:val="nil"/>
              <w:bottom w:val="single" w:sz="4" w:space="0" w:color="auto"/>
              <w:right w:val="single" w:sz="4" w:space="0" w:color="auto"/>
            </w:tcBorders>
            <w:noWrap/>
            <w:vAlign w:val="bottom"/>
            <w:hideMark/>
          </w:tcPr>
          <w:p w14:paraId="45454B3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E63191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AC5F28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Satisfaction</w:t>
            </w:r>
          </w:p>
        </w:tc>
        <w:tc>
          <w:tcPr>
            <w:tcW w:w="922" w:type="dxa"/>
            <w:tcBorders>
              <w:top w:val="nil"/>
              <w:left w:val="nil"/>
              <w:bottom w:val="single" w:sz="4" w:space="0" w:color="auto"/>
              <w:right w:val="single" w:sz="4" w:space="0" w:color="auto"/>
            </w:tcBorders>
            <w:noWrap/>
            <w:vAlign w:val="bottom"/>
            <w:hideMark/>
          </w:tcPr>
          <w:p w14:paraId="66F5EBD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service quality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365D6A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Limited to security constructs; ignores user satisfaction and usability</w:t>
            </w:r>
          </w:p>
        </w:tc>
      </w:tr>
      <w:tr w:rsidR="000D15B2" w:rsidRPr="00F70CB0" w14:paraId="6005801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EAA328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68</w:t>
            </w:r>
          </w:p>
        </w:tc>
        <w:tc>
          <w:tcPr>
            <w:tcW w:w="1134" w:type="dxa"/>
            <w:tcBorders>
              <w:top w:val="nil"/>
              <w:left w:val="nil"/>
              <w:bottom w:val="single" w:sz="4" w:space="0" w:color="auto"/>
              <w:right w:val="single" w:sz="4" w:space="0" w:color="auto"/>
            </w:tcBorders>
            <w:noWrap/>
            <w:vAlign w:val="bottom"/>
            <w:hideMark/>
          </w:tcPr>
          <w:p w14:paraId="1260A3A2"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Suci</w:t>
            </w:r>
            <w:proofErr w:type="spellEnd"/>
            <w:r w:rsidRPr="00F70CB0">
              <w:rPr>
                <w:color w:val="000000"/>
                <w:sz w:val="24"/>
                <w:szCs w:val="24"/>
                <w:lang w:val="en-GB" w:eastAsia="en-GB"/>
              </w:rPr>
              <w:t xml:space="preserve"> &amp; Dahlan (2023)</w:t>
            </w:r>
          </w:p>
        </w:tc>
        <w:tc>
          <w:tcPr>
            <w:tcW w:w="678" w:type="dxa"/>
            <w:tcBorders>
              <w:top w:val="nil"/>
              <w:left w:val="nil"/>
              <w:bottom w:val="single" w:sz="4" w:space="0" w:color="auto"/>
              <w:right w:val="single" w:sz="4" w:space="0" w:color="auto"/>
            </w:tcBorders>
            <w:noWrap/>
            <w:vAlign w:val="bottom"/>
            <w:hideMark/>
          </w:tcPr>
          <w:p w14:paraId="207241D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5A5398B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Trust-Security Model</w:t>
            </w:r>
          </w:p>
        </w:tc>
        <w:tc>
          <w:tcPr>
            <w:tcW w:w="711" w:type="dxa"/>
            <w:tcBorders>
              <w:top w:val="nil"/>
              <w:left w:val="nil"/>
              <w:bottom w:val="single" w:sz="4" w:space="0" w:color="auto"/>
              <w:right w:val="single" w:sz="4" w:space="0" w:color="auto"/>
            </w:tcBorders>
            <w:noWrap/>
            <w:vAlign w:val="bottom"/>
            <w:hideMark/>
          </w:tcPr>
          <w:p w14:paraId="54174BC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1CC2BED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242</w:t>
            </w:r>
          </w:p>
        </w:tc>
        <w:tc>
          <w:tcPr>
            <w:tcW w:w="1695" w:type="dxa"/>
            <w:tcBorders>
              <w:top w:val="nil"/>
              <w:left w:val="nil"/>
              <w:bottom w:val="single" w:sz="4" w:space="0" w:color="auto"/>
              <w:right w:val="single" w:sz="4" w:space="0" w:color="auto"/>
            </w:tcBorders>
            <w:noWrap/>
            <w:vAlign w:val="bottom"/>
            <w:hideMark/>
          </w:tcPr>
          <w:p w14:paraId="7620757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Security, Trust, Satisfaction</w:t>
            </w:r>
          </w:p>
        </w:tc>
        <w:tc>
          <w:tcPr>
            <w:tcW w:w="922" w:type="dxa"/>
            <w:tcBorders>
              <w:top w:val="nil"/>
              <w:left w:val="nil"/>
              <w:bottom w:val="single" w:sz="4" w:space="0" w:color="auto"/>
              <w:right w:val="single" w:sz="4" w:space="0" w:color="auto"/>
            </w:tcBorders>
            <w:noWrap/>
            <w:vAlign w:val="bottom"/>
            <w:hideMark/>
          </w:tcPr>
          <w:p w14:paraId="5646CF3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satisfaction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5873B93" w14:textId="21C906B1"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Focus on blockchain adoption; </w:t>
            </w:r>
            <w:r w:rsidR="009F1DF3" w:rsidRPr="00F70CB0">
              <w:rPr>
                <w:color w:val="000000"/>
                <w:sz w:val="24"/>
                <w:szCs w:val="24"/>
                <w:lang w:val="en-GB" w:eastAsia="en-GB"/>
              </w:rPr>
              <w:t xml:space="preserve">it </w:t>
            </w:r>
            <w:r w:rsidRPr="00F70CB0">
              <w:rPr>
                <w:color w:val="000000"/>
                <w:sz w:val="24"/>
                <w:szCs w:val="24"/>
                <w:lang w:val="en-GB" w:eastAsia="en-GB"/>
              </w:rPr>
              <w:t xml:space="preserve">lacks </w:t>
            </w:r>
            <w:r w:rsidR="009F1DF3" w:rsidRPr="00F70CB0">
              <w:rPr>
                <w:color w:val="000000"/>
                <w:sz w:val="24"/>
                <w:szCs w:val="24"/>
                <w:lang w:val="en-GB" w:eastAsia="en-GB"/>
              </w:rPr>
              <w:t xml:space="preserve">a </w:t>
            </w:r>
            <w:r w:rsidRPr="00F70CB0">
              <w:rPr>
                <w:color w:val="000000"/>
                <w:sz w:val="24"/>
                <w:szCs w:val="24"/>
                <w:lang w:val="en-GB" w:eastAsia="en-GB"/>
              </w:rPr>
              <w:t>broader customer behaviour perspective</w:t>
            </w:r>
          </w:p>
        </w:tc>
      </w:tr>
      <w:tr w:rsidR="000D15B2" w:rsidRPr="00F70CB0" w14:paraId="5565192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E10F9B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69</w:t>
            </w:r>
          </w:p>
        </w:tc>
        <w:tc>
          <w:tcPr>
            <w:tcW w:w="1134" w:type="dxa"/>
            <w:tcBorders>
              <w:top w:val="nil"/>
              <w:left w:val="nil"/>
              <w:bottom w:val="single" w:sz="4" w:space="0" w:color="auto"/>
              <w:right w:val="single" w:sz="4" w:space="0" w:color="auto"/>
            </w:tcBorders>
            <w:noWrap/>
            <w:vAlign w:val="bottom"/>
            <w:hideMark/>
          </w:tcPr>
          <w:p w14:paraId="7C48636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Kowsar et al. (2025)</w:t>
            </w:r>
          </w:p>
        </w:tc>
        <w:tc>
          <w:tcPr>
            <w:tcW w:w="678" w:type="dxa"/>
            <w:tcBorders>
              <w:top w:val="nil"/>
              <w:left w:val="nil"/>
              <w:bottom w:val="single" w:sz="4" w:space="0" w:color="auto"/>
              <w:right w:val="single" w:sz="4" w:space="0" w:color="auto"/>
            </w:tcBorders>
            <w:noWrap/>
            <w:vAlign w:val="bottom"/>
            <w:hideMark/>
          </w:tcPr>
          <w:p w14:paraId="001B422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South Asia</w:t>
            </w:r>
          </w:p>
        </w:tc>
        <w:tc>
          <w:tcPr>
            <w:tcW w:w="1196" w:type="dxa"/>
            <w:tcBorders>
              <w:top w:val="nil"/>
              <w:left w:val="nil"/>
              <w:bottom w:val="single" w:sz="4" w:space="0" w:color="auto"/>
              <w:right w:val="single" w:sz="4" w:space="0" w:color="auto"/>
            </w:tcBorders>
            <w:noWrap/>
            <w:vAlign w:val="bottom"/>
            <w:hideMark/>
          </w:tcPr>
          <w:p w14:paraId="30C5F89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PRISMA Review</w:t>
            </w:r>
          </w:p>
        </w:tc>
        <w:tc>
          <w:tcPr>
            <w:tcW w:w="711" w:type="dxa"/>
            <w:tcBorders>
              <w:top w:val="nil"/>
              <w:left w:val="nil"/>
              <w:bottom w:val="single" w:sz="4" w:space="0" w:color="auto"/>
              <w:right w:val="single" w:sz="4" w:space="0" w:color="auto"/>
            </w:tcBorders>
            <w:noWrap/>
            <w:vAlign w:val="bottom"/>
            <w:hideMark/>
          </w:tcPr>
          <w:p w14:paraId="35DE563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Systematic review</w:t>
            </w:r>
          </w:p>
        </w:tc>
        <w:tc>
          <w:tcPr>
            <w:tcW w:w="447" w:type="dxa"/>
            <w:tcBorders>
              <w:top w:val="nil"/>
              <w:left w:val="nil"/>
              <w:bottom w:val="single" w:sz="4" w:space="0" w:color="auto"/>
              <w:right w:val="single" w:sz="4" w:space="0" w:color="auto"/>
            </w:tcBorders>
            <w:noWrap/>
            <w:vAlign w:val="bottom"/>
            <w:hideMark/>
          </w:tcPr>
          <w:p w14:paraId="2D9EDF1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84 studies</w:t>
            </w:r>
          </w:p>
        </w:tc>
        <w:tc>
          <w:tcPr>
            <w:tcW w:w="1695" w:type="dxa"/>
            <w:tcBorders>
              <w:top w:val="nil"/>
              <w:left w:val="nil"/>
              <w:bottom w:val="single" w:sz="4" w:space="0" w:color="auto"/>
              <w:right w:val="single" w:sz="4" w:space="0" w:color="auto"/>
            </w:tcBorders>
            <w:noWrap/>
            <w:vAlign w:val="bottom"/>
            <w:hideMark/>
          </w:tcPr>
          <w:p w14:paraId="42E13E09" w14:textId="519AC62A" w:rsidR="000D15B2" w:rsidRPr="00F70CB0" w:rsidRDefault="00073A87" w:rsidP="00073A87">
            <w:pPr>
              <w:spacing w:before="0" w:after="0"/>
              <w:jc w:val="both"/>
              <w:rPr>
                <w:color w:val="000000"/>
                <w:sz w:val="24"/>
                <w:szCs w:val="24"/>
                <w:lang w:val="en-GB" w:eastAsia="en-GB"/>
              </w:rPr>
            </w:pPr>
            <w:r w:rsidRPr="00F70CB0">
              <w:rPr>
                <w:color w:val="000000"/>
                <w:sz w:val="24"/>
                <w:szCs w:val="24"/>
                <w:lang w:val="en-GB" w:eastAsia="en-GB"/>
              </w:rPr>
              <w:t>Digitisation</w:t>
            </w:r>
            <w:r w:rsidR="000D15B2" w:rsidRPr="00F70CB0">
              <w:rPr>
                <w:color w:val="000000"/>
                <w:sz w:val="24"/>
                <w:szCs w:val="24"/>
                <w:lang w:val="en-GB" w:eastAsia="en-GB"/>
              </w:rPr>
              <w:t>, Engagement, Adoption</w:t>
            </w:r>
          </w:p>
        </w:tc>
        <w:tc>
          <w:tcPr>
            <w:tcW w:w="922" w:type="dxa"/>
            <w:tcBorders>
              <w:top w:val="nil"/>
              <w:left w:val="nil"/>
              <w:bottom w:val="single" w:sz="4" w:space="0" w:color="auto"/>
              <w:right w:val="single" w:sz="4" w:space="0" w:color="auto"/>
            </w:tcBorders>
            <w:noWrap/>
            <w:vAlign w:val="bottom"/>
            <w:hideMark/>
          </w:tcPr>
          <w:p w14:paraId="5615C07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transformation</w:t>
            </w:r>
          </w:p>
        </w:tc>
        <w:tc>
          <w:tcPr>
            <w:tcW w:w="2145" w:type="dxa"/>
            <w:tcBorders>
              <w:top w:val="single" w:sz="4" w:space="0" w:color="auto"/>
              <w:left w:val="single" w:sz="4" w:space="0" w:color="auto"/>
              <w:bottom w:val="single" w:sz="4" w:space="0" w:color="auto"/>
              <w:right w:val="single" w:sz="4" w:space="0" w:color="auto"/>
            </w:tcBorders>
            <w:noWrap/>
            <w:vAlign w:val="center"/>
            <w:hideMark/>
          </w:tcPr>
          <w:p w14:paraId="1B84EC2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Conceptual study; lacks empirical validation and quantitative evidence</w:t>
            </w:r>
          </w:p>
        </w:tc>
      </w:tr>
      <w:tr w:rsidR="000D15B2" w:rsidRPr="00F70CB0" w14:paraId="08D865E7"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2826D0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70</w:t>
            </w:r>
          </w:p>
        </w:tc>
        <w:tc>
          <w:tcPr>
            <w:tcW w:w="1134" w:type="dxa"/>
            <w:tcBorders>
              <w:top w:val="nil"/>
              <w:left w:val="nil"/>
              <w:bottom w:val="single" w:sz="4" w:space="0" w:color="auto"/>
              <w:right w:val="single" w:sz="4" w:space="0" w:color="auto"/>
            </w:tcBorders>
            <w:noWrap/>
            <w:vAlign w:val="bottom"/>
            <w:hideMark/>
          </w:tcPr>
          <w:p w14:paraId="009D24B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Joseph et al. (2005)</w:t>
            </w:r>
          </w:p>
        </w:tc>
        <w:tc>
          <w:tcPr>
            <w:tcW w:w="678" w:type="dxa"/>
            <w:tcBorders>
              <w:top w:val="nil"/>
              <w:left w:val="nil"/>
              <w:bottom w:val="single" w:sz="4" w:space="0" w:color="auto"/>
              <w:right w:val="single" w:sz="4" w:space="0" w:color="auto"/>
            </w:tcBorders>
            <w:noWrap/>
            <w:vAlign w:val="bottom"/>
            <w:hideMark/>
          </w:tcPr>
          <w:p w14:paraId="279680C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53D66B1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Model</w:t>
            </w:r>
          </w:p>
        </w:tc>
        <w:tc>
          <w:tcPr>
            <w:tcW w:w="711" w:type="dxa"/>
            <w:tcBorders>
              <w:top w:val="nil"/>
              <w:left w:val="nil"/>
              <w:bottom w:val="single" w:sz="4" w:space="0" w:color="auto"/>
              <w:right w:val="single" w:sz="4" w:space="0" w:color="auto"/>
            </w:tcBorders>
            <w:noWrap/>
            <w:vAlign w:val="bottom"/>
            <w:hideMark/>
          </w:tcPr>
          <w:p w14:paraId="63D83EA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79E9035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300</w:t>
            </w:r>
          </w:p>
        </w:tc>
        <w:tc>
          <w:tcPr>
            <w:tcW w:w="1695" w:type="dxa"/>
            <w:tcBorders>
              <w:top w:val="nil"/>
              <w:left w:val="nil"/>
              <w:bottom w:val="single" w:sz="4" w:space="0" w:color="auto"/>
              <w:right w:val="single" w:sz="4" w:space="0" w:color="auto"/>
            </w:tcBorders>
            <w:noWrap/>
            <w:vAlign w:val="bottom"/>
            <w:hideMark/>
          </w:tcPr>
          <w:p w14:paraId="7B31AC3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Technology, Service Quality</w:t>
            </w:r>
          </w:p>
        </w:tc>
        <w:tc>
          <w:tcPr>
            <w:tcW w:w="922" w:type="dxa"/>
            <w:tcBorders>
              <w:top w:val="nil"/>
              <w:left w:val="nil"/>
              <w:bottom w:val="single" w:sz="4" w:space="0" w:color="auto"/>
              <w:right w:val="single" w:sz="4" w:space="0" w:color="auto"/>
            </w:tcBorders>
            <w:noWrap/>
            <w:vAlign w:val="bottom"/>
            <w:hideMark/>
          </w:tcPr>
          <w:p w14:paraId="3BA8C02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Banking technology perception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3E16479" w14:textId="7D49702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Focus on digital transformation; </w:t>
            </w:r>
            <w:r w:rsidR="00073A87" w:rsidRPr="00F70CB0">
              <w:rPr>
                <w:color w:val="000000"/>
                <w:sz w:val="24"/>
                <w:szCs w:val="24"/>
                <w:lang w:val="en-GB" w:eastAsia="en-GB"/>
              </w:rPr>
              <w:t xml:space="preserve">it </w:t>
            </w:r>
            <w:r w:rsidRPr="00F70CB0">
              <w:rPr>
                <w:color w:val="000000"/>
                <w:sz w:val="24"/>
                <w:szCs w:val="24"/>
                <w:lang w:val="en-GB" w:eastAsia="en-GB"/>
              </w:rPr>
              <w:t>lacks customer-</w:t>
            </w:r>
            <w:r w:rsidRPr="00F70CB0">
              <w:rPr>
                <w:color w:val="000000"/>
                <w:sz w:val="24"/>
                <w:szCs w:val="24"/>
                <w:lang w:val="en-GB" w:eastAsia="en-GB"/>
              </w:rPr>
              <w:lastRenderedPageBreak/>
              <w:t>level behavioural insights</w:t>
            </w:r>
          </w:p>
        </w:tc>
      </w:tr>
      <w:tr w:rsidR="000D15B2" w:rsidRPr="00F70CB0" w14:paraId="32663A5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0CA10A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71</w:t>
            </w:r>
          </w:p>
        </w:tc>
        <w:tc>
          <w:tcPr>
            <w:tcW w:w="1134" w:type="dxa"/>
            <w:tcBorders>
              <w:top w:val="nil"/>
              <w:left w:val="nil"/>
              <w:bottom w:val="single" w:sz="4" w:space="0" w:color="auto"/>
              <w:right w:val="single" w:sz="4" w:space="0" w:color="auto"/>
            </w:tcBorders>
            <w:noWrap/>
            <w:vAlign w:val="bottom"/>
            <w:hideMark/>
          </w:tcPr>
          <w:p w14:paraId="12ECD5CB"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Khudzaeva</w:t>
            </w:r>
            <w:proofErr w:type="spellEnd"/>
            <w:r w:rsidRPr="00F70CB0">
              <w:rPr>
                <w:color w:val="000000"/>
                <w:sz w:val="24"/>
                <w:szCs w:val="24"/>
                <w:lang w:val="en-GB" w:eastAsia="en-GB"/>
              </w:rPr>
              <w:t xml:space="preserve"> et al. (2023)</w:t>
            </w:r>
          </w:p>
        </w:tc>
        <w:tc>
          <w:tcPr>
            <w:tcW w:w="678" w:type="dxa"/>
            <w:tcBorders>
              <w:top w:val="nil"/>
              <w:left w:val="nil"/>
              <w:bottom w:val="single" w:sz="4" w:space="0" w:color="auto"/>
              <w:right w:val="single" w:sz="4" w:space="0" w:color="auto"/>
            </w:tcBorders>
            <w:noWrap/>
            <w:vAlign w:val="bottom"/>
            <w:hideMark/>
          </w:tcPr>
          <w:p w14:paraId="22D2966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03E0B61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ECM</w:t>
            </w:r>
          </w:p>
        </w:tc>
        <w:tc>
          <w:tcPr>
            <w:tcW w:w="711" w:type="dxa"/>
            <w:tcBorders>
              <w:top w:val="nil"/>
              <w:left w:val="nil"/>
              <w:bottom w:val="single" w:sz="4" w:space="0" w:color="auto"/>
              <w:right w:val="single" w:sz="4" w:space="0" w:color="auto"/>
            </w:tcBorders>
            <w:noWrap/>
            <w:vAlign w:val="bottom"/>
            <w:hideMark/>
          </w:tcPr>
          <w:p w14:paraId="5EB6BE4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23AE00B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220</w:t>
            </w:r>
          </w:p>
        </w:tc>
        <w:tc>
          <w:tcPr>
            <w:tcW w:w="1695" w:type="dxa"/>
            <w:tcBorders>
              <w:top w:val="nil"/>
              <w:left w:val="nil"/>
              <w:bottom w:val="single" w:sz="4" w:space="0" w:color="auto"/>
              <w:right w:val="single" w:sz="4" w:space="0" w:color="auto"/>
            </w:tcBorders>
            <w:noWrap/>
            <w:vAlign w:val="bottom"/>
            <w:hideMark/>
          </w:tcPr>
          <w:p w14:paraId="655EF17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PU, Confirmation, Satisfaction</w:t>
            </w:r>
          </w:p>
        </w:tc>
        <w:tc>
          <w:tcPr>
            <w:tcW w:w="922" w:type="dxa"/>
            <w:tcBorders>
              <w:top w:val="nil"/>
              <w:left w:val="nil"/>
              <w:bottom w:val="single" w:sz="4" w:space="0" w:color="auto"/>
              <w:right w:val="single" w:sz="4" w:space="0" w:color="auto"/>
            </w:tcBorders>
            <w:noWrap/>
            <w:vAlign w:val="bottom"/>
            <w:hideMark/>
          </w:tcPr>
          <w:p w14:paraId="0661E21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Continuance intention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42B0B8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Limited to organisational perspective; lacks consumer behaviour analysis</w:t>
            </w:r>
          </w:p>
        </w:tc>
      </w:tr>
      <w:tr w:rsidR="000D15B2" w:rsidRPr="00F70CB0" w14:paraId="55D7650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6D8346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72</w:t>
            </w:r>
          </w:p>
        </w:tc>
        <w:tc>
          <w:tcPr>
            <w:tcW w:w="1134" w:type="dxa"/>
            <w:tcBorders>
              <w:top w:val="nil"/>
              <w:left w:val="nil"/>
              <w:bottom w:val="single" w:sz="4" w:space="0" w:color="auto"/>
              <w:right w:val="single" w:sz="4" w:space="0" w:color="auto"/>
            </w:tcBorders>
            <w:noWrap/>
            <w:vAlign w:val="bottom"/>
            <w:hideMark/>
          </w:tcPr>
          <w:p w14:paraId="7F60353A"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Garepasha</w:t>
            </w:r>
            <w:proofErr w:type="spellEnd"/>
            <w:r w:rsidRPr="00F70CB0">
              <w:rPr>
                <w:color w:val="000000"/>
                <w:sz w:val="24"/>
                <w:szCs w:val="24"/>
                <w:lang w:val="en-GB" w:eastAsia="en-GB"/>
              </w:rPr>
              <w:t xml:space="preserve"> et al. (2021)</w:t>
            </w:r>
          </w:p>
        </w:tc>
        <w:tc>
          <w:tcPr>
            <w:tcW w:w="678" w:type="dxa"/>
            <w:tcBorders>
              <w:top w:val="nil"/>
              <w:left w:val="nil"/>
              <w:bottom w:val="single" w:sz="4" w:space="0" w:color="auto"/>
              <w:right w:val="single" w:sz="4" w:space="0" w:color="auto"/>
            </w:tcBorders>
            <w:noWrap/>
            <w:vAlign w:val="bottom"/>
            <w:hideMark/>
          </w:tcPr>
          <w:p w14:paraId="28E6E70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Iran</w:t>
            </w:r>
          </w:p>
        </w:tc>
        <w:tc>
          <w:tcPr>
            <w:tcW w:w="1196" w:type="dxa"/>
            <w:tcBorders>
              <w:top w:val="nil"/>
              <w:left w:val="nil"/>
              <w:bottom w:val="single" w:sz="4" w:space="0" w:color="auto"/>
              <w:right w:val="single" w:sz="4" w:space="0" w:color="auto"/>
            </w:tcBorders>
            <w:noWrap/>
            <w:vAlign w:val="bottom"/>
            <w:hideMark/>
          </w:tcPr>
          <w:p w14:paraId="3D3A0C9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Relationship Lifecycle Model</w:t>
            </w:r>
          </w:p>
        </w:tc>
        <w:tc>
          <w:tcPr>
            <w:tcW w:w="711" w:type="dxa"/>
            <w:tcBorders>
              <w:top w:val="nil"/>
              <w:left w:val="nil"/>
              <w:bottom w:val="single" w:sz="4" w:space="0" w:color="auto"/>
              <w:right w:val="single" w:sz="4" w:space="0" w:color="auto"/>
            </w:tcBorders>
            <w:noWrap/>
            <w:vAlign w:val="bottom"/>
            <w:hideMark/>
          </w:tcPr>
          <w:p w14:paraId="7701481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738127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651</w:t>
            </w:r>
          </w:p>
        </w:tc>
        <w:tc>
          <w:tcPr>
            <w:tcW w:w="1695" w:type="dxa"/>
            <w:tcBorders>
              <w:top w:val="nil"/>
              <w:left w:val="nil"/>
              <w:bottom w:val="single" w:sz="4" w:space="0" w:color="auto"/>
              <w:right w:val="single" w:sz="4" w:space="0" w:color="auto"/>
            </w:tcBorders>
            <w:noWrap/>
            <w:vAlign w:val="bottom"/>
            <w:hideMark/>
          </w:tcPr>
          <w:p w14:paraId="0D2862C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Trust, Loyalty</w:t>
            </w:r>
          </w:p>
        </w:tc>
        <w:tc>
          <w:tcPr>
            <w:tcW w:w="922" w:type="dxa"/>
            <w:tcBorders>
              <w:top w:val="nil"/>
              <w:left w:val="nil"/>
              <w:bottom w:val="single" w:sz="4" w:space="0" w:color="auto"/>
              <w:right w:val="single" w:sz="4" w:space="0" w:color="auto"/>
            </w:tcBorders>
            <w:noWrap/>
            <w:vAlign w:val="bottom"/>
            <w:hideMark/>
          </w:tcPr>
          <w:p w14:paraId="61622B1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loyalty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E1BA6B7" w14:textId="2FAF9254"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Focus on fintech adoption; </w:t>
            </w:r>
            <w:r w:rsidR="00B72961" w:rsidRPr="00F70CB0">
              <w:rPr>
                <w:color w:val="000000"/>
                <w:sz w:val="24"/>
                <w:szCs w:val="24"/>
                <w:lang w:val="en-GB" w:eastAsia="en-GB"/>
              </w:rPr>
              <w:t xml:space="preserve">it </w:t>
            </w:r>
            <w:r w:rsidRPr="00F70CB0">
              <w:rPr>
                <w:color w:val="000000"/>
                <w:sz w:val="24"/>
                <w:szCs w:val="24"/>
                <w:lang w:val="en-GB" w:eastAsia="en-GB"/>
              </w:rPr>
              <w:t>lacks comparison with traditional banking systems</w:t>
            </w:r>
          </w:p>
        </w:tc>
      </w:tr>
      <w:tr w:rsidR="000D15B2" w:rsidRPr="00F70CB0" w14:paraId="49996AF6"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34C111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73</w:t>
            </w:r>
          </w:p>
        </w:tc>
        <w:tc>
          <w:tcPr>
            <w:tcW w:w="1134" w:type="dxa"/>
            <w:tcBorders>
              <w:top w:val="nil"/>
              <w:left w:val="nil"/>
              <w:bottom w:val="single" w:sz="4" w:space="0" w:color="auto"/>
              <w:right w:val="single" w:sz="4" w:space="0" w:color="auto"/>
            </w:tcBorders>
            <w:noWrap/>
            <w:vAlign w:val="bottom"/>
            <w:hideMark/>
          </w:tcPr>
          <w:p w14:paraId="58378A3F"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Puriwat</w:t>
            </w:r>
            <w:proofErr w:type="spellEnd"/>
            <w:r w:rsidRPr="00F70CB0">
              <w:rPr>
                <w:color w:val="000000"/>
                <w:sz w:val="24"/>
                <w:szCs w:val="24"/>
                <w:lang w:val="en-GB" w:eastAsia="en-GB"/>
              </w:rPr>
              <w:t xml:space="preserve"> &amp; </w:t>
            </w:r>
            <w:proofErr w:type="spellStart"/>
            <w:r w:rsidRPr="00F70CB0">
              <w:rPr>
                <w:color w:val="000000"/>
                <w:sz w:val="24"/>
                <w:szCs w:val="24"/>
                <w:lang w:val="en-GB" w:eastAsia="en-GB"/>
              </w:rPr>
              <w:t>Tripopsakul</w:t>
            </w:r>
            <w:proofErr w:type="spellEnd"/>
            <w:r w:rsidRPr="00F70CB0">
              <w:rPr>
                <w:color w:val="000000"/>
                <w:sz w:val="24"/>
                <w:szCs w:val="24"/>
                <w:lang w:val="en-GB" w:eastAsia="en-GB"/>
              </w:rPr>
              <w:t xml:space="preserve"> (2017)</w:t>
            </w:r>
          </w:p>
        </w:tc>
        <w:tc>
          <w:tcPr>
            <w:tcW w:w="678" w:type="dxa"/>
            <w:tcBorders>
              <w:top w:val="nil"/>
              <w:left w:val="nil"/>
              <w:bottom w:val="single" w:sz="4" w:space="0" w:color="auto"/>
              <w:right w:val="single" w:sz="4" w:space="0" w:color="auto"/>
            </w:tcBorders>
            <w:noWrap/>
            <w:vAlign w:val="bottom"/>
            <w:hideMark/>
          </w:tcPr>
          <w:p w14:paraId="65BF814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Thailand</w:t>
            </w:r>
          </w:p>
        </w:tc>
        <w:tc>
          <w:tcPr>
            <w:tcW w:w="1196" w:type="dxa"/>
            <w:tcBorders>
              <w:top w:val="nil"/>
              <w:left w:val="nil"/>
              <w:bottom w:val="single" w:sz="4" w:space="0" w:color="auto"/>
              <w:right w:val="single" w:sz="4" w:space="0" w:color="auto"/>
            </w:tcBorders>
            <w:noWrap/>
            <w:vAlign w:val="bottom"/>
            <w:hideMark/>
          </w:tcPr>
          <w:p w14:paraId="7ECE89C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E-SERVQUAL</w:t>
            </w:r>
          </w:p>
        </w:tc>
        <w:tc>
          <w:tcPr>
            <w:tcW w:w="711" w:type="dxa"/>
            <w:tcBorders>
              <w:top w:val="nil"/>
              <w:left w:val="nil"/>
              <w:bottom w:val="single" w:sz="4" w:space="0" w:color="auto"/>
              <w:right w:val="single" w:sz="4" w:space="0" w:color="auto"/>
            </w:tcBorders>
            <w:noWrap/>
            <w:vAlign w:val="bottom"/>
            <w:hideMark/>
          </w:tcPr>
          <w:p w14:paraId="548992F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3CD782D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432</w:t>
            </w:r>
          </w:p>
        </w:tc>
        <w:tc>
          <w:tcPr>
            <w:tcW w:w="1695" w:type="dxa"/>
            <w:tcBorders>
              <w:top w:val="nil"/>
              <w:left w:val="nil"/>
              <w:bottom w:val="single" w:sz="4" w:space="0" w:color="auto"/>
              <w:right w:val="single" w:sz="4" w:space="0" w:color="auto"/>
            </w:tcBorders>
            <w:noWrap/>
            <w:vAlign w:val="bottom"/>
            <w:hideMark/>
          </w:tcPr>
          <w:p w14:paraId="32C44B8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Satisfaction, Loyalty</w:t>
            </w:r>
          </w:p>
        </w:tc>
        <w:tc>
          <w:tcPr>
            <w:tcW w:w="922" w:type="dxa"/>
            <w:tcBorders>
              <w:top w:val="nil"/>
              <w:left w:val="nil"/>
              <w:bottom w:val="single" w:sz="4" w:space="0" w:color="auto"/>
              <w:right w:val="single" w:sz="4" w:space="0" w:color="auto"/>
            </w:tcBorders>
            <w:noWrap/>
            <w:vAlign w:val="bottom"/>
            <w:hideMark/>
          </w:tcPr>
          <w:p w14:paraId="2F923B7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service quality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17FFC0F0" w14:textId="2329DBC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sample size; reduces </w:t>
            </w:r>
            <w:r w:rsidR="00B72961" w:rsidRPr="00F70CB0">
              <w:rPr>
                <w:color w:val="000000"/>
                <w:sz w:val="24"/>
                <w:szCs w:val="24"/>
                <w:lang w:val="en-GB" w:eastAsia="en-GB"/>
              </w:rPr>
              <w:t xml:space="preserve">the </w:t>
            </w:r>
            <w:r w:rsidRPr="00F70CB0">
              <w:rPr>
                <w:color w:val="000000"/>
                <w:sz w:val="24"/>
                <w:szCs w:val="24"/>
                <w:lang w:val="en-GB" w:eastAsia="en-GB"/>
              </w:rPr>
              <w:t>generalisability of findings</w:t>
            </w:r>
          </w:p>
        </w:tc>
      </w:tr>
      <w:tr w:rsidR="000D15B2" w:rsidRPr="00F70CB0" w14:paraId="772F08DD"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DA94CE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74</w:t>
            </w:r>
          </w:p>
        </w:tc>
        <w:tc>
          <w:tcPr>
            <w:tcW w:w="1134" w:type="dxa"/>
            <w:tcBorders>
              <w:top w:val="nil"/>
              <w:left w:val="nil"/>
              <w:bottom w:val="single" w:sz="4" w:space="0" w:color="auto"/>
              <w:right w:val="single" w:sz="4" w:space="0" w:color="auto"/>
            </w:tcBorders>
            <w:noWrap/>
            <w:vAlign w:val="bottom"/>
            <w:hideMark/>
          </w:tcPr>
          <w:p w14:paraId="02F875E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Barbu et al. (2021)</w:t>
            </w:r>
          </w:p>
        </w:tc>
        <w:tc>
          <w:tcPr>
            <w:tcW w:w="678" w:type="dxa"/>
            <w:tcBorders>
              <w:top w:val="nil"/>
              <w:left w:val="nil"/>
              <w:bottom w:val="single" w:sz="4" w:space="0" w:color="auto"/>
              <w:right w:val="single" w:sz="4" w:space="0" w:color="auto"/>
            </w:tcBorders>
            <w:noWrap/>
            <w:vAlign w:val="bottom"/>
            <w:hideMark/>
          </w:tcPr>
          <w:p w14:paraId="10D061B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254226F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SOR Model</w:t>
            </w:r>
          </w:p>
        </w:tc>
        <w:tc>
          <w:tcPr>
            <w:tcW w:w="711" w:type="dxa"/>
            <w:tcBorders>
              <w:top w:val="nil"/>
              <w:left w:val="nil"/>
              <w:bottom w:val="single" w:sz="4" w:space="0" w:color="auto"/>
              <w:right w:val="single" w:sz="4" w:space="0" w:color="auto"/>
            </w:tcBorders>
            <w:noWrap/>
            <w:vAlign w:val="bottom"/>
            <w:hideMark/>
          </w:tcPr>
          <w:p w14:paraId="75DDAF0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54900BC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520137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Customer Experience, Value, Loyalty</w:t>
            </w:r>
          </w:p>
        </w:tc>
        <w:tc>
          <w:tcPr>
            <w:tcW w:w="922" w:type="dxa"/>
            <w:tcBorders>
              <w:top w:val="nil"/>
              <w:left w:val="nil"/>
              <w:bottom w:val="single" w:sz="4" w:space="0" w:color="auto"/>
              <w:right w:val="single" w:sz="4" w:space="0" w:color="auto"/>
            </w:tcBorders>
            <w:noWrap/>
            <w:vAlign w:val="bottom"/>
            <w:hideMark/>
          </w:tcPr>
          <w:p w14:paraId="2A980EC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customer experience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67BD1D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technology only; lacks emotional and psychological factors</w:t>
            </w:r>
          </w:p>
        </w:tc>
      </w:tr>
      <w:tr w:rsidR="000D15B2" w:rsidRPr="00F70CB0" w14:paraId="5069428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273F09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75</w:t>
            </w:r>
          </w:p>
        </w:tc>
        <w:tc>
          <w:tcPr>
            <w:tcW w:w="1134" w:type="dxa"/>
            <w:tcBorders>
              <w:top w:val="nil"/>
              <w:left w:val="nil"/>
              <w:bottom w:val="single" w:sz="4" w:space="0" w:color="auto"/>
              <w:right w:val="single" w:sz="4" w:space="0" w:color="auto"/>
            </w:tcBorders>
            <w:noWrap/>
            <w:vAlign w:val="bottom"/>
            <w:hideMark/>
          </w:tcPr>
          <w:p w14:paraId="14E260E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Hanif &amp; Lallie (2021)</w:t>
            </w:r>
          </w:p>
        </w:tc>
        <w:tc>
          <w:tcPr>
            <w:tcW w:w="678" w:type="dxa"/>
            <w:tcBorders>
              <w:top w:val="nil"/>
              <w:left w:val="nil"/>
              <w:bottom w:val="single" w:sz="4" w:space="0" w:color="auto"/>
              <w:right w:val="single" w:sz="4" w:space="0" w:color="auto"/>
            </w:tcBorders>
            <w:noWrap/>
            <w:vAlign w:val="bottom"/>
            <w:hideMark/>
          </w:tcPr>
          <w:p w14:paraId="4BAD05D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UK</w:t>
            </w:r>
          </w:p>
        </w:tc>
        <w:tc>
          <w:tcPr>
            <w:tcW w:w="1196" w:type="dxa"/>
            <w:tcBorders>
              <w:top w:val="nil"/>
              <w:left w:val="nil"/>
              <w:bottom w:val="single" w:sz="4" w:space="0" w:color="auto"/>
              <w:right w:val="single" w:sz="4" w:space="0" w:color="auto"/>
            </w:tcBorders>
            <w:noWrap/>
            <w:vAlign w:val="bottom"/>
            <w:hideMark/>
          </w:tcPr>
          <w:p w14:paraId="47C4F2B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UTAUT + Security Model</w:t>
            </w:r>
          </w:p>
        </w:tc>
        <w:tc>
          <w:tcPr>
            <w:tcW w:w="711" w:type="dxa"/>
            <w:tcBorders>
              <w:top w:val="nil"/>
              <w:left w:val="nil"/>
              <w:bottom w:val="single" w:sz="4" w:space="0" w:color="auto"/>
              <w:right w:val="single" w:sz="4" w:space="0" w:color="auto"/>
            </w:tcBorders>
            <w:noWrap/>
            <w:vAlign w:val="bottom"/>
            <w:hideMark/>
          </w:tcPr>
          <w:p w14:paraId="69A08E3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Mixed methods</w:t>
            </w:r>
          </w:p>
        </w:tc>
        <w:tc>
          <w:tcPr>
            <w:tcW w:w="447" w:type="dxa"/>
            <w:tcBorders>
              <w:top w:val="nil"/>
              <w:left w:val="nil"/>
              <w:bottom w:val="single" w:sz="4" w:space="0" w:color="auto"/>
              <w:right w:val="single" w:sz="4" w:space="0" w:color="auto"/>
            </w:tcBorders>
            <w:noWrap/>
            <w:vAlign w:val="bottom"/>
            <w:hideMark/>
          </w:tcPr>
          <w:p w14:paraId="4F7C496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191</w:t>
            </w:r>
          </w:p>
        </w:tc>
        <w:tc>
          <w:tcPr>
            <w:tcW w:w="1695" w:type="dxa"/>
            <w:tcBorders>
              <w:top w:val="nil"/>
              <w:left w:val="nil"/>
              <w:bottom w:val="single" w:sz="4" w:space="0" w:color="auto"/>
              <w:right w:val="single" w:sz="4" w:space="0" w:color="auto"/>
            </w:tcBorders>
            <w:noWrap/>
            <w:vAlign w:val="bottom"/>
            <w:hideMark/>
          </w:tcPr>
          <w:p w14:paraId="6E19504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Security Risk, Trust, Intention</w:t>
            </w:r>
          </w:p>
        </w:tc>
        <w:tc>
          <w:tcPr>
            <w:tcW w:w="922" w:type="dxa"/>
            <w:tcBorders>
              <w:top w:val="nil"/>
              <w:left w:val="nil"/>
              <w:bottom w:val="single" w:sz="4" w:space="0" w:color="auto"/>
              <w:right w:val="single" w:sz="4" w:space="0" w:color="auto"/>
            </w:tcBorders>
            <w:noWrap/>
            <w:vAlign w:val="bottom"/>
            <w:hideMark/>
          </w:tcPr>
          <w:p w14:paraId="5C28CB4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adoption (elderly)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40AE112" w14:textId="059FCFD4"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to </w:t>
            </w:r>
            <w:r w:rsidR="00B72961" w:rsidRPr="00F70CB0">
              <w:rPr>
                <w:color w:val="000000"/>
                <w:sz w:val="24"/>
                <w:szCs w:val="24"/>
                <w:lang w:val="en-GB" w:eastAsia="en-GB"/>
              </w:rPr>
              <w:t xml:space="preserve">a </w:t>
            </w:r>
            <w:r w:rsidRPr="00F70CB0">
              <w:rPr>
                <w:color w:val="000000"/>
                <w:sz w:val="24"/>
                <w:szCs w:val="24"/>
                <w:lang w:val="en-GB" w:eastAsia="en-GB"/>
              </w:rPr>
              <w:t>specific geographic region; lacks cross-cultural validation</w:t>
            </w:r>
          </w:p>
        </w:tc>
      </w:tr>
      <w:tr w:rsidR="000D15B2" w:rsidRPr="00F70CB0" w14:paraId="57F02CF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12B4BA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76</w:t>
            </w:r>
          </w:p>
        </w:tc>
        <w:tc>
          <w:tcPr>
            <w:tcW w:w="1134" w:type="dxa"/>
            <w:tcBorders>
              <w:top w:val="nil"/>
              <w:left w:val="nil"/>
              <w:bottom w:val="single" w:sz="4" w:space="0" w:color="auto"/>
              <w:right w:val="single" w:sz="4" w:space="0" w:color="auto"/>
            </w:tcBorders>
            <w:noWrap/>
            <w:vAlign w:val="bottom"/>
            <w:hideMark/>
          </w:tcPr>
          <w:p w14:paraId="250322FC"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Apau</w:t>
            </w:r>
            <w:proofErr w:type="spellEnd"/>
            <w:r w:rsidRPr="00F70CB0">
              <w:rPr>
                <w:color w:val="000000"/>
                <w:sz w:val="24"/>
                <w:szCs w:val="24"/>
                <w:lang w:val="en-GB" w:eastAsia="en-GB"/>
              </w:rPr>
              <w:t xml:space="preserve"> et al. (2025)</w:t>
            </w:r>
          </w:p>
        </w:tc>
        <w:tc>
          <w:tcPr>
            <w:tcW w:w="678" w:type="dxa"/>
            <w:tcBorders>
              <w:top w:val="nil"/>
              <w:left w:val="nil"/>
              <w:bottom w:val="single" w:sz="4" w:space="0" w:color="auto"/>
              <w:right w:val="single" w:sz="4" w:space="0" w:color="auto"/>
            </w:tcBorders>
            <w:noWrap/>
            <w:vAlign w:val="bottom"/>
            <w:hideMark/>
          </w:tcPr>
          <w:p w14:paraId="0461F03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C486F0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UTAUT2 Extension</w:t>
            </w:r>
          </w:p>
        </w:tc>
        <w:tc>
          <w:tcPr>
            <w:tcW w:w="711" w:type="dxa"/>
            <w:tcBorders>
              <w:top w:val="nil"/>
              <w:left w:val="nil"/>
              <w:bottom w:val="single" w:sz="4" w:space="0" w:color="auto"/>
              <w:right w:val="single" w:sz="4" w:space="0" w:color="auto"/>
            </w:tcBorders>
            <w:noWrap/>
            <w:vAlign w:val="bottom"/>
            <w:hideMark/>
          </w:tcPr>
          <w:p w14:paraId="41D92B1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CB-SEM</w:t>
            </w:r>
          </w:p>
        </w:tc>
        <w:tc>
          <w:tcPr>
            <w:tcW w:w="447" w:type="dxa"/>
            <w:tcBorders>
              <w:top w:val="nil"/>
              <w:left w:val="nil"/>
              <w:bottom w:val="single" w:sz="4" w:space="0" w:color="auto"/>
              <w:right w:val="single" w:sz="4" w:space="0" w:color="auto"/>
            </w:tcBorders>
            <w:noWrap/>
            <w:vAlign w:val="bottom"/>
            <w:hideMark/>
          </w:tcPr>
          <w:p w14:paraId="4357551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315</w:t>
            </w:r>
          </w:p>
        </w:tc>
        <w:tc>
          <w:tcPr>
            <w:tcW w:w="1695" w:type="dxa"/>
            <w:tcBorders>
              <w:top w:val="nil"/>
              <w:left w:val="nil"/>
              <w:bottom w:val="single" w:sz="4" w:space="0" w:color="auto"/>
              <w:right w:val="single" w:sz="4" w:space="0" w:color="auto"/>
            </w:tcBorders>
            <w:noWrap/>
            <w:vAlign w:val="bottom"/>
            <w:hideMark/>
          </w:tcPr>
          <w:p w14:paraId="0867581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Security, Trust, Behavioural Intention</w:t>
            </w:r>
          </w:p>
        </w:tc>
        <w:tc>
          <w:tcPr>
            <w:tcW w:w="922" w:type="dxa"/>
            <w:tcBorders>
              <w:top w:val="nil"/>
              <w:left w:val="nil"/>
              <w:bottom w:val="single" w:sz="4" w:space="0" w:color="auto"/>
              <w:right w:val="single" w:sz="4" w:space="0" w:color="auto"/>
            </w:tcBorders>
            <w:noWrap/>
            <w:vAlign w:val="bottom"/>
            <w:hideMark/>
          </w:tcPr>
          <w:p w14:paraId="7FAB98A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50B921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service quality only; lacks integration with trust and risk constructs</w:t>
            </w:r>
          </w:p>
        </w:tc>
      </w:tr>
      <w:tr w:rsidR="000D15B2" w:rsidRPr="00F70CB0" w14:paraId="7155FE2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3FA950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77</w:t>
            </w:r>
          </w:p>
        </w:tc>
        <w:tc>
          <w:tcPr>
            <w:tcW w:w="1134" w:type="dxa"/>
            <w:tcBorders>
              <w:top w:val="nil"/>
              <w:left w:val="nil"/>
              <w:bottom w:val="single" w:sz="4" w:space="0" w:color="auto"/>
              <w:right w:val="single" w:sz="4" w:space="0" w:color="auto"/>
            </w:tcBorders>
            <w:noWrap/>
            <w:vAlign w:val="bottom"/>
            <w:hideMark/>
          </w:tcPr>
          <w:p w14:paraId="2F348424"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Rokhimah</w:t>
            </w:r>
            <w:proofErr w:type="spellEnd"/>
            <w:r w:rsidRPr="00F70CB0">
              <w:rPr>
                <w:color w:val="000000"/>
                <w:sz w:val="24"/>
                <w:szCs w:val="24"/>
                <w:lang w:val="en-GB" w:eastAsia="en-GB"/>
              </w:rPr>
              <w:t xml:space="preserve"> &amp; </w:t>
            </w:r>
            <w:proofErr w:type="spellStart"/>
            <w:r w:rsidRPr="00F70CB0">
              <w:rPr>
                <w:color w:val="000000"/>
                <w:sz w:val="24"/>
                <w:szCs w:val="24"/>
                <w:lang w:val="en-GB" w:eastAsia="en-GB"/>
              </w:rPr>
              <w:t>Suhermin</w:t>
            </w:r>
            <w:proofErr w:type="spellEnd"/>
            <w:r w:rsidRPr="00F70CB0">
              <w:rPr>
                <w:color w:val="000000"/>
                <w:sz w:val="24"/>
                <w:szCs w:val="24"/>
                <w:lang w:val="en-GB" w:eastAsia="en-GB"/>
              </w:rPr>
              <w:t xml:space="preserve"> (2024)</w:t>
            </w:r>
          </w:p>
        </w:tc>
        <w:tc>
          <w:tcPr>
            <w:tcW w:w="678" w:type="dxa"/>
            <w:tcBorders>
              <w:top w:val="nil"/>
              <w:left w:val="nil"/>
              <w:bottom w:val="single" w:sz="4" w:space="0" w:color="auto"/>
              <w:right w:val="single" w:sz="4" w:space="0" w:color="auto"/>
            </w:tcBorders>
            <w:noWrap/>
            <w:vAlign w:val="bottom"/>
            <w:hideMark/>
          </w:tcPr>
          <w:p w14:paraId="0CBE14F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733666C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ECM + AI + Security</w:t>
            </w:r>
          </w:p>
        </w:tc>
        <w:tc>
          <w:tcPr>
            <w:tcW w:w="711" w:type="dxa"/>
            <w:tcBorders>
              <w:top w:val="nil"/>
              <w:left w:val="nil"/>
              <w:bottom w:val="single" w:sz="4" w:space="0" w:color="auto"/>
              <w:right w:val="single" w:sz="4" w:space="0" w:color="auto"/>
            </w:tcBorders>
            <w:noWrap/>
            <w:vAlign w:val="bottom"/>
            <w:hideMark/>
          </w:tcPr>
          <w:p w14:paraId="0911922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21F812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DAAC9D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AI, Satisfaction, Continuance</w:t>
            </w:r>
          </w:p>
        </w:tc>
        <w:tc>
          <w:tcPr>
            <w:tcW w:w="922" w:type="dxa"/>
            <w:tcBorders>
              <w:top w:val="nil"/>
              <w:left w:val="nil"/>
              <w:bottom w:val="single" w:sz="4" w:space="0" w:color="auto"/>
              <w:right w:val="single" w:sz="4" w:space="0" w:color="auto"/>
            </w:tcBorders>
            <w:noWrap/>
            <w:vAlign w:val="bottom"/>
            <w:hideMark/>
          </w:tcPr>
          <w:p w14:paraId="6C0D8BE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EBC1A9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Limited to customer experience; lacks behavioural intention analysis</w:t>
            </w:r>
          </w:p>
        </w:tc>
      </w:tr>
      <w:tr w:rsidR="000D15B2" w:rsidRPr="00F70CB0" w14:paraId="1885F83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B05224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78</w:t>
            </w:r>
          </w:p>
        </w:tc>
        <w:tc>
          <w:tcPr>
            <w:tcW w:w="1134" w:type="dxa"/>
            <w:tcBorders>
              <w:top w:val="nil"/>
              <w:left w:val="nil"/>
              <w:bottom w:val="single" w:sz="4" w:space="0" w:color="auto"/>
              <w:right w:val="single" w:sz="4" w:space="0" w:color="auto"/>
            </w:tcBorders>
            <w:noWrap/>
            <w:vAlign w:val="bottom"/>
            <w:hideMark/>
          </w:tcPr>
          <w:p w14:paraId="5F01938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Martinez-</w:t>
            </w:r>
            <w:proofErr w:type="spellStart"/>
            <w:r w:rsidRPr="00F70CB0">
              <w:rPr>
                <w:color w:val="000000"/>
                <w:sz w:val="24"/>
                <w:szCs w:val="24"/>
                <w:lang w:val="en-GB" w:eastAsia="en-GB"/>
              </w:rPr>
              <w:t>Navalon</w:t>
            </w:r>
            <w:proofErr w:type="spellEnd"/>
            <w:r w:rsidRPr="00F70CB0">
              <w:rPr>
                <w:color w:val="000000"/>
                <w:sz w:val="24"/>
                <w:szCs w:val="24"/>
                <w:lang w:val="en-GB" w:eastAsia="en-GB"/>
              </w:rPr>
              <w:t xml:space="preserve"> et al. (2023)</w:t>
            </w:r>
          </w:p>
        </w:tc>
        <w:tc>
          <w:tcPr>
            <w:tcW w:w="678" w:type="dxa"/>
            <w:tcBorders>
              <w:top w:val="nil"/>
              <w:left w:val="nil"/>
              <w:bottom w:val="single" w:sz="4" w:space="0" w:color="auto"/>
              <w:right w:val="single" w:sz="4" w:space="0" w:color="auto"/>
            </w:tcBorders>
            <w:noWrap/>
            <w:vAlign w:val="bottom"/>
            <w:hideMark/>
          </w:tcPr>
          <w:p w14:paraId="5A866F2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Spain/Portugal</w:t>
            </w:r>
          </w:p>
        </w:tc>
        <w:tc>
          <w:tcPr>
            <w:tcW w:w="1196" w:type="dxa"/>
            <w:tcBorders>
              <w:top w:val="nil"/>
              <w:left w:val="nil"/>
              <w:bottom w:val="single" w:sz="4" w:space="0" w:color="auto"/>
              <w:right w:val="single" w:sz="4" w:space="0" w:color="auto"/>
            </w:tcBorders>
            <w:noWrap/>
            <w:vAlign w:val="bottom"/>
            <w:hideMark/>
          </w:tcPr>
          <w:p w14:paraId="7263DAD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w:t>
            </w:r>
          </w:p>
        </w:tc>
        <w:tc>
          <w:tcPr>
            <w:tcW w:w="711" w:type="dxa"/>
            <w:tcBorders>
              <w:top w:val="nil"/>
              <w:left w:val="nil"/>
              <w:bottom w:val="single" w:sz="4" w:space="0" w:color="auto"/>
              <w:right w:val="single" w:sz="4" w:space="0" w:color="auto"/>
            </w:tcBorders>
            <w:noWrap/>
            <w:vAlign w:val="bottom"/>
            <w:hideMark/>
          </w:tcPr>
          <w:p w14:paraId="7BCFBE4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6BC4796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6B72076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Privacy, Ease of Use, Trust</w:t>
            </w:r>
          </w:p>
        </w:tc>
        <w:tc>
          <w:tcPr>
            <w:tcW w:w="922" w:type="dxa"/>
            <w:tcBorders>
              <w:top w:val="nil"/>
              <w:left w:val="nil"/>
              <w:bottom w:val="single" w:sz="4" w:space="0" w:color="auto"/>
              <w:right w:val="single" w:sz="4" w:space="0" w:color="auto"/>
            </w:tcBorders>
            <w:noWrap/>
            <w:vAlign w:val="bottom"/>
            <w:hideMark/>
          </w:tcPr>
          <w:p w14:paraId="10931A6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trust</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66840A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usability and interface; lacks deeper trust and security analysis</w:t>
            </w:r>
          </w:p>
        </w:tc>
      </w:tr>
      <w:tr w:rsidR="000D15B2" w:rsidRPr="00F70CB0" w14:paraId="14BD01A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69098B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79</w:t>
            </w:r>
          </w:p>
        </w:tc>
        <w:tc>
          <w:tcPr>
            <w:tcW w:w="1134" w:type="dxa"/>
            <w:tcBorders>
              <w:top w:val="nil"/>
              <w:left w:val="nil"/>
              <w:bottom w:val="single" w:sz="4" w:space="0" w:color="auto"/>
              <w:right w:val="single" w:sz="4" w:space="0" w:color="auto"/>
            </w:tcBorders>
            <w:noWrap/>
            <w:vAlign w:val="bottom"/>
            <w:hideMark/>
          </w:tcPr>
          <w:p w14:paraId="543FA7E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Kamboj et al. (2022)</w:t>
            </w:r>
          </w:p>
        </w:tc>
        <w:tc>
          <w:tcPr>
            <w:tcW w:w="678" w:type="dxa"/>
            <w:tcBorders>
              <w:top w:val="nil"/>
              <w:left w:val="nil"/>
              <w:bottom w:val="single" w:sz="4" w:space="0" w:color="auto"/>
              <w:right w:val="single" w:sz="4" w:space="0" w:color="auto"/>
            </w:tcBorders>
            <w:noWrap/>
            <w:vAlign w:val="bottom"/>
            <w:hideMark/>
          </w:tcPr>
          <w:p w14:paraId="291939B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47C6D69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Failure Model + IS Success</w:t>
            </w:r>
          </w:p>
        </w:tc>
        <w:tc>
          <w:tcPr>
            <w:tcW w:w="711" w:type="dxa"/>
            <w:tcBorders>
              <w:top w:val="nil"/>
              <w:left w:val="nil"/>
              <w:bottom w:val="single" w:sz="4" w:space="0" w:color="auto"/>
              <w:right w:val="single" w:sz="4" w:space="0" w:color="auto"/>
            </w:tcBorders>
            <w:noWrap/>
            <w:vAlign w:val="bottom"/>
            <w:hideMark/>
          </w:tcPr>
          <w:p w14:paraId="3222A3B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75F0576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338</w:t>
            </w:r>
          </w:p>
        </w:tc>
        <w:tc>
          <w:tcPr>
            <w:tcW w:w="1695" w:type="dxa"/>
            <w:tcBorders>
              <w:top w:val="nil"/>
              <w:left w:val="nil"/>
              <w:bottom w:val="single" w:sz="4" w:space="0" w:color="auto"/>
              <w:right w:val="single" w:sz="4" w:space="0" w:color="auto"/>
            </w:tcBorders>
            <w:noWrap/>
            <w:vAlign w:val="bottom"/>
            <w:hideMark/>
          </w:tcPr>
          <w:p w14:paraId="20572BF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Failure, Satisfaction, Engagement</w:t>
            </w:r>
          </w:p>
        </w:tc>
        <w:tc>
          <w:tcPr>
            <w:tcW w:w="922" w:type="dxa"/>
            <w:tcBorders>
              <w:top w:val="nil"/>
              <w:left w:val="nil"/>
              <w:bottom w:val="single" w:sz="4" w:space="0" w:color="auto"/>
              <w:right w:val="single" w:sz="4" w:space="0" w:color="auto"/>
            </w:tcBorders>
            <w:noWrap/>
            <w:vAlign w:val="bottom"/>
            <w:hideMark/>
          </w:tcPr>
          <w:p w14:paraId="4B3F940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failure impact</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611F9C5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Limited empirical scope; lacks longitudinal data</w:t>
            </w:r>
          </w:p>
        </w:tc>
      </w:tr>
      <w:tr w:rsidR="000D15B2" w:rsidRPr="00F70CB0" w14:paraId="3FBE86F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1F64EC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80</w:t>
            </w:r>
          </w:p>
        </w:tc>
        <w:tc>
          <w:tcPr>
            <w:tcW w:w="1134" w:type="dxa"/>
            <w:tcBorders>
              <w:top w:val="nil"/>
              <w:left w:val="nil"/>
              <w:bottom w:val="single" w:sz="4" w:space="0" w:color="auto"/>
              <w:right w:val="single" w:sz="4" w:space="0" w:color="auto"/>
            </w:tcBorders>
            <w:noWrap/>
            <w:vAlign w:val="bottom"/>
            <w:hideMark/>
          </w:tcPr>
          <w:p w14:paraId="5138BE3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Akin &amp; Yetgin (2025)</w:t>
            </w:r>
          </w:p>
        </w:tc>
        <w:tc>
          <w:tcPr>
            <w:tcW w:w="678" w:type="dxa"/>
            <w:tcBorders>
              <w:top w:val="nil"/>
              <w:left w:val="nil"/>
              <w:bottom w:val="single" w:sz="4" w:space="0" w:color="auto"/>
              <w:right w:val="single" w:sz="4" w:space="0" w:color="auto"/>
            </w:tcBorders>
            <w:noWrap/>
            <w:vAlign w:val="bottom"/>
            <w:hideMark/>
          </w:tcPr>
          <w:p w14:paraId="08E75932"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Turkiye</w:t>
            </w:r>
            <w:proofErr w:type="spellEnd"/>
          </w:p>
        </w:tc>
        <w:tc>
          <w:tcPr>
            <w:tcW w:w="1196" w:type="dxa"/>
            <w:tcBorders>
              <w:top w:val="nil"/>
              <w:left w:val="nil"/>
              <w:bottom w:val="single" w:sz="4" w:space="0" w:color="auto"/>
              <w:right w:val="single" w:sz="4" w:space="0" w:color="auto"/>
            </w:tcBorders>
            <w:noWrap/>
            <w:vAlign w:val="bottom"/>
            <w:hideMark/>
          </w:tcPr>
          <w:p w14:paraId="2E5592A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Customer Experience Model</w:t>
            </w:r>
          </w:p>
        </w:tc>
        <w:tc>
          <w:tcPr>
            <w:tcW w:w="711" w:type="dxa"/>
            <w:tcBorders>
              <w:top w:val="nil"/>
              <w:left w:val="nil"/>
              <w:bottom w:val="single" w:sz="4" w:space="0" w:color="auto"/>
              <w:right w:val="single" w:sz="4" w:space="0" w:color="auto"/>
            </w:tcBorders>
            <w:noWrap/>
            <w:vAlign w:val="bottom"/>
            <w:hideMark/>
          </w:tcPr>
          <w:p w14:paraId="23E6FE8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6FC0862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7E71D3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Experience, Satisfaction, Loyalty</w:t>
            </w:r>
          </w:p>
        </w:tc>
        <w:tc>
          <w:tcPr>
            <w:tcW w:w="922" w:type="dxa"/>
            <w:tcBorders>
              <w:top w:val="nil"/>
              <w:left w:val="nil"/>
              <w:bottom w:val="single" w:sz="4" w:space="0" w:color="auto"/>
              <w:right w:val="single" w:sz="4" w:space="0" w:color="auto"/>
            </w:tcBorders>
            <w:noWrap/>
            <w:vAlign w:val="bottom"/>
            <w:hideMark/>
          </w:tcPr>
          <w:p w14:paraId="0859D1A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experience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8CBDBD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innovation adoption; lacks post-adoption behavioural analysis</w:t>
            </w:r>
          </w:p>
        </w:tc>
      </w:tr>
      <w:tr w:rsidR="000D15B2" w:rsidRPr="00F70CB0" w14:paraId="4C86F12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B4CE8A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81</w:t>
            </w:r>
          </w:p>
        </w:tc>
        <w:tc>
          <w:tcPr>
            <w:tcW w:w="1134" w:type="dxa"/>
            <w:tcBorders>
              <w:top w:val="single" w:sz="4" w:space="0" w:color="auto"/>
              <w:left w:val="nil"/>
              <w:bottom w:val="single" w:sz="4" w:space="0" w:color="auto"/>
              <w:right w:val="single" w:sz="4" w:space="0" w:color="auto"/>
            </w:tcBorders>
            <w:noWrap/>
            <w:vAlign w:val="bottom"/>
            <w:hideMark/>
          </w:tcPr>
          <w:p w14:paraId="2085511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Daoud et al. (2026)</w:t>
            </w:r>
          </w:p>
        </w:tc>
        <w:tc>
          <w:tcPr>
            <w:tcW w:w="678" w:type="dxa"/>
            <w:tcBorders>
              <w:top w:val="single" w:sz="4" w:space="0" w:color="auto"/>
              <w:left w:val="nil"/>
              <w:bottom w:val="single" w:sz="4" w:space="0" w:color="auto"/>
              <w:right w:val="single" w:sz="4" w:space="0" w:color="auto"/>
            </w:tcBorders>
            <w:noWrap/>
            <w:vAlign w:val="bottom"/>
            <w:hideMark/>
          </w:tcPr>
          <w:p w14:paraId="3584A8B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Jordan</w:t>
            </w:r>
          </w:p>
        </w:tc>
        <w:tc>
          <w:tcPr>
            <w:tcW w:w="1196" w:type="dxa"/>
            <w:tcBorders>
              <w:top w:val="single" w:sz="4" w:space="0" w:color="auto"/>
              <w:left w:val="nil"/>
              <w:bottom w:val="single" w:sz="4" w:space="0" w:color="auto"/>
              <w:right w:val="single" w:sz="4" w:space="0" w:color="auto"/>
            </w:tcBorders>
            <w:noWrap/>
            <w:vAlign w:val="bottom"/>
            <w:hideMark/>
          </w:tcPr>
          <w:p w14:paraId="3D49214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PLS-SEM Model</w:t>
            </w:r>
          </w:p>
        </w:tc>
        <w:tc>
          <w:tcPr>
            <w:tcW w:w="711" w:type="dxa"/>
            <w:tcBorders>
              <w:top w:val="single" w:sz="4" w:space="0" w:color="auto"/>
              <w:left w:val="nil"/>
              <w:bottom w:val="single" w:sz="4" w:space="0" w:color="auto"/>
              <w:right w:val="single" w:sz="4" w:space="0" w:color="auto"/>
            </w:tcBorders>
            <w:noWrap/>
            <w:vAlign w:val="bottom"/>
            <w:hideMark/>
          </w:tcPr>
          <w:p w14:paraId="398EDF3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single" w:sz="4" w:space="0" w:color="auto"/>
              <w:left w:val="nil"/>
              <w:bottom w:val="single" w:sz="4" w:space="0" w:color="auto"/>
              <w:right w:val="single" w:sz="4" w:space="0" w:color="auto"/>
            </w:tcBorders>
            <w:noWrap/>
            <w:vAlign w:val="bottom"/>
            <w:hideMark/>
          </w:tcPr>
          <w:p w14:paraId="3914FCF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400</w:t>
            </w:r>
          </w:p>
        </w:tc>
        <w:tc>
          <w:tcPr>
            <w:tcW w:w="1695" w:type="dxa"/>
            <w:tcBorders>
              <w:top w:val="single" w:sz="4" w:space="0" w:color="auto"/>
              <w:left w:val="nil"/>
              <w:bottom w:val="single" w:sz="4" w:space="0" w:color="auto"/>
              <w:right w:val="single" w:sz="4" w:space="0" w:color="auto"/>
            </w:tcBorders>
            <w:noWrap/>
            <w:vAlign w:val="bottom"/>
            <w:hideMark/>
          </w:tcPr>
          <w:p w14:paraId="7539895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FinTech Innovation, Usability, Satisfaction</w:t>
            </w:r>
          </w:p>
        </w:tc>
        <w:tc>
          <w:tcPr>
            <w:tcW w:w="922" w:type="dxa"/>
            <w:tcBorders>
              <w:top w:val="single" w:sz="4" w:space="0" w:color="auto"/>
              <w:left w:val="nil"/>
              <w:bottom w:val="single" w:sz="4" w:space="0" w:color="auto"/>
              <w:right w:val="single" w:sz="4" w:space="0" w:color="auto"/>
            </w:tcBorders>
            <w:noWrap/>
            <w:vAlign w:val="bottom"/>
            <w:hideMark/>
          </w:tcPr>
          <w:p w14:paraId="3B56A0E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satisfaction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5669C4D" w14:textId="49AF9EBE"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to </w:t>
            </w:r>
            <w:r w:rsidR="00B72961" w:rsidRPr="00F70CB0">
              <w:rPr>
                <w:color w:val="000000"/>
                <w:sz w:val="24"/>
                <w:szCs w:val="24"/>
                <w:lang w:val="en-GB" w:eastAsia="en-GB"/>
              </w:rPr>
              <w:t xml:space="preserve">a </w:t>
            </w:r>
            <w:r w:rsidRPr="00F70CB0">
              <w:rPr>
                <w:color w:val="000000"/>
                <w:sz w:val="24"/>
                <w:szCs w:val="24"/>
                <w:lang w:val="en-GB" w:eastAsia="en-GB"/>
              </w:rPr>
              <w:t>specific model; lacks integration with broader theoretical frameworks</w:t>
            </w:r>
          </w:p>
        </w:tc>
      </w:tr>
      <w:tr w:rsidR="000D15B2" w:rsidRPr="00F70CB0" w14:paraId="668203A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FDEC52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82</w:t>
            </w:r>
          </w:p>
        </w:tc>
        <w:tc>
          <w:tcPr>
            <w:tcW w:w="1134" w:type="dxa"/>
            <w:tcBorders>
              <w:top w:val="nil"/>
              <w:left w:val="nil"/>
              <w:bottom w:val="single" w:sz="4" w:space="0" w:color="auto"/>
              <w:right w:val="single" w:sz="4" w:space="0" w:color="auto"/>
            </w:tcBorders>
            <w:noWrap/>
            <w:vAlign w:val="bottom"/>
            <w:hideMark/>
          </w:tcPr>
          <w:p w14:paraId="503D59E8"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Paramadana</w:t>
            </w:r>
            <w:proofErr w:type="spellEnd"/>
            <w:r w:rsidRPr="00F70CB0">
              <w:rPr>
                <w:color w:val="000000"/>
                <w:sz w:val="24"/>
                <w:szCs w:val="24"/>
                <w:lang w:val="en-GB" w:eastAsia="en-GB"/>
              </w:rPr>
              <w:t xml:space="preserve"> et al. (2025)</w:t>
            </w:r>
          </w:p>
        </w:tc>
        <w:tc>
          <w:tcPr>
            <w:tcW w:w="678" w:type="dxa"/>
            <w:tcBorders>
              <w:top w:val="nil"/>
              <w:left w:val="nil"/>
              <w:bottom w:val="single" w:sz="4" w:space="0" w:color="auto"/>
              <w:right w:val="single" w:sz="4" w:space="0" w:color="auto"/>
            </w:tcBorders>
            <w:noWrap/>
            <w:vAlign w:val="bottom"/>
            <w:hideMark/>
          </w:tcPr>
          <w:p w14:paraId="5CAEE7B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Indonesia</w:t>
            </w:r>
          </w:p>
        </w:tc>
        <w:tc>
          <w:tcPr>
            <w:tcW w:w="1196" w:type="dxa"/>
            <w:tcBorders>
              <w:top w:val="nil"/>
              <w:left w:val="nil"/>
              <w:bottom w:val="single" w:sz="4" w:space="0" w:color="auto"/>
              <w:right w:val="single" w:sz="4" w:space="0" w:color="auto"/>
            </w:tcBorders>
            <w:noWrap/>
            <w:vAlign w:val="bottom"/>
            <w:hideMark/>
          </w:tcPr>
          <w:p w14:paraId="3CFCD19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Moderation Model</w:t>
            </w:r>
          </w:p>
        </w:tc>
        <w:tc>
          <w:tcPr>
            <w:tcW w:w="711" w:type="dxa"/>
            <w:tcBorders>
              <w:top w:val="nil"/>
              <w:left w:val="nil"/>
              <w:bottom w:val="single" w:sz="4" w:space="0" w:color="auto"/>
              <w:right w:val="single" w:sz="4" w:space="0" w:color="auto"/>
            </w:tcBorders>
            <w:noWrap/>
            <w:vAlign w:val="bottom"/>
            <w:hideMark/>
          </w:tcPr>
          <w:p w14:paraId="4A0173D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34C5946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278</w:t>
            </w:r>
          </w:p>
        </w:tc>
        <w:tc>
          <w:tcPr>
            <w:tcW w:w="1695" w:type="dxa"/>
            <w:tcBorders>
              <w:top w:val="nil"/>
              <w:left w:val="nil"/>
              <w:bottom w:val="single" w:sz="4" w:space="0" w:color="auto"/>
              <w:right w:val="single" w:sz="4" w:space="0" w:color="auto"/>
            </w:tcBorders>
            <w:noWrap/>
            <w:vAlign w:val="bottom"/>
            <w:hideMark/>
          </w:tcPr>
          <w:p w14:paraId="1ADA63E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Satisfaction, Trust, Loyalty</w:t>
            </w:r>
          </w:p>
        </w:tc>
        <w:tc>
          <w:tcPr>
            <w:tcW w:w="922" w:type="dxa"/>
            <w:tcBorders>
              <w:top w:val="nil"/>
              <w:left w:val="nil"/>
              <w:bottom w:val="single" w:sz="4" w:space="0" w:color="auto"/>
              <w:right w:val="single" w:sz="4" w:space="0" w:color="auto"/>
            </w:tcBorders>
            <w:noWrap/>
            <w:vAlign w:val="bottom"/>
            <w:hideMark/>
          </w:tcPr>
          <w:p w14:paraId="473812E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loyalty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4D3ADEC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customer satisfaction; lacks analysis of switching behaviour</w:t>
            </w:r>
          </w:p>
        </w:tc>
      </w:tr>
      <w:tr w:rsidR="000D15B2" w:rsidRPr="00F70CB0" w14:paraId="6B455238"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24D261A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83</w:t>
            </w:r>
          </w:p>
        </w:tc>
        <w:tc>
          <w:tcPr>
            <w:tcW w:w="1134" w:type="dxa"/>
            <w:tcBorders>
              <w:top w:val="nil"/>
              <w:left w:val="nil"/>
              <w:bottom w:val="single" w:sz="4" w:space="0" w:color="auto"/>
              <w:right w:val="single" w:sz="4" w:space="0" w:color="auto"/>
            </w:tcBorders>
            <w:noWrap/>
            <w:vAlign w:val="bottom"/>
            <w:hideMark/>
          </w:tcPr>
          <w:p w14:paraId="35F90A8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Jun &amp; Palacios (2016)</w:t>
            </w:r>
          </w:p>
        </w:tc>
        <w:tc>
          <w:tcPr>
            <w:tcW w:w="678" w:type="dxa"/>
            <w:tcBorders>
              <w:top w:val="nil"/>
              <w:left w:val="nil"/>
              <w:bottom w:val="single" w:sz="4" w:space="0" w:color="auto"/>
              <w:right w:val="single" w:sz="4" w:space="0" w:color="auto"/>
            </w:tcBorders>
            <w:noWrap/>
            <w:vAlign w:val="bottom"/>
            <w:hideMark/>
          </w:tcPr>
          <w:p w14:paraId="2E16969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39D0B9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Model</w:t>
            </w:r>
          </w:p>
        </w:tc>
        <w:tc>
          <w:tcPr>
            <w:tcW w:w="711" w:type="dxa"/>
            <w:tcBorders>
              <w:top w:val="nil"/>
              <w:left w:val="nil"/>
              <w:bottom w:val="single" w:sz="4" w:space="0" w:color="auto"/>
              <w:right w:val="single" w:sz="4" w:space="0" w:color="auto"/>
            </w:tcBorders>
            <w:noWrap/>
            <w:vAlign w:val="bottom"/>
            <w:hideMark/>
          </w:tcPr>
          <w:p w14:paraId="2AD31BD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Critical incident technique</w:t>
            </w:r>
          </w:p>
        </w:tc>
        <w:tc>
          <w:tcPr>
            <w:tcW w:w="447" w:type="dxa"/>
            <w:tcBorders>
              <w:top w:val="nil"/>
              <w:left w:val="nil"/>
              <w:bottom w:val="single" w:sz="4" w:space="0" w:color="auto"/>
              <w:right w:val="single" w:sz="4" w:space="0" w:color="auto"/>
            </w:tcBorders>
            <w:noWrap/>
            <w:vAlign w:val="bottom"/>
            <w:hideMark/>
          </w:tcPr>
          <w:p w14:paraId="7FDFDB7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49F39F0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Dimensions</w:t>
            </w:r>
          </w:p>
        </w:tc>
        <w:tc>
          <w:tcPr>
            <w:tcW w:w="922" w:type="dxa"/>
            <w:tcBorders>
              <w:top w:val="nil"/>
              <w:left w:val="nil"/>
              <w:bottom w:val="single" w:sz="4" w:space="0" w:color="auto"/>
              <w:right w:val="single" w:sz="4" w:space="0" w:color="auto"/>
            </w:tcBorders>
            <w:noWrap/>
            <w:vAlign w:val="bottom"/>
            <w:hideMark/>
          </w:tcPr>
          <w:p w14:paraId="2228A2F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service quality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BFFB16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to perception-based variables; lacks objective </w:t>
            </w:r>
            <w:r w:rsidRPr="00F70CB0">
              <w:rPr>
                <w:color w:val="000000"/>
                <w:sz w:val="24"/>
                <w:szCs w:val="24"/>
                <w:lang w:val="en-GB" w:eastAsia="en-GB"/>
              </w:rPr>
              <w:lastRenderedPageBreak/>
              <w:t>performance measures</w:t>
            </w:r>
          </w:p>
        </w:tc>
      </w:tr>
      <w:tr w:rsidR="000D15B2" w:rsidRPr="00F70CB0" w14:paraId="7598ABE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5D70291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84</w:t>
            </w:r>
          </w:p>
        </w:tc>
        <w:tc>
          <w:tcPr>
            <w:tcW w:w="1134" w:type="dxa"/>
            <w:tcBorders>
              <w:top w:val="nil"/>
              <w:left w:val="nil"/>
              <w:bottom w:val="single" w:sz="4" w:space="0" w:color="auto"/>
              <w:right w:val="single" w:sz="4" w:space="0" w:color="auto"/>
            </w:tcBorders>
            <w:noWrap/>
            <w:vAlign w:val="bottom"/>
            <w:hideMark/>
          </w:tcPr>
          <w:p w14:paraId="32E4AC1F"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Mkpojiogu</w:t>
            </w:r>
            <w:proofErr w:type="spellEnd"/>
            <w:r w:rsidRPr="00F70CB0">
              <w:rPr>
                <w:color w:val="000000"/>
                <w:sz w:val="24"/>
                <w:szCs w:val="24"/>
                <w:lang w:val="en-GB" w:eastAsia="en-GB"/>
              </w:rPr>
              <w:t xml:space="preserve"> et al. (2016)</w:t>
            </w:r>
          </w:p>
        </w:tc>
        <w:tc>
          <w:tcPr>
            <w:tcW w:w="678" w:type="dxa"/>
            <w:tcBorders>
              <w:top w:val="nil"/>
              <w:left w:val="nil"/>
              <w:bottom w:val="single" w:sz="4" w:space="0" w:color="auto"/>
              <w:right w:val="single" w:sz="4" w:space="0" w:color="auto"/>
            </w:tcBorders>
            <w:noWrap/>
            <w:vAlign w:val="bottom"/>
            <w:hideMark/>
          </w:tcPr>
          <w:p w14:paraId="09AC028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Nigeria</w:t>
            </w:r>
          </w:p>
        </w:tc>
        <w:tc>
          <w:tcPr>
            <w:tcW w:w="1196" w:type="dxa"/>
            <w:tcBorders>
              <w:top w:val="nil"/>
              <w:left w:val="nil"/>
              <w:bottom w:val="single" w:sz="4" w:space="0" w:color="auto"/>
              <w:right w:val="single" w:sz="4" w:space="0" w:color="auto"/>
            </w:tcBorders>
            <w:noWrap/>
            <w:vAlign w:val="bottom"/>
            <w:hideMark/>
          </w:tcPr>
          <w:p w14:paraId="26E9795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Usability Model</w:t>
            </w:r>
          </w:p>
        </w:tc>
        <w:tc>
          <w:tcPr>
            <w:tcW w:w="711" w:type="dxa"/>
            <w:tcBorders>
              <w:top w:val="nil"/>
              <w:left w:val="nil"/>
              <w:bottom w:val="single" w:sz="4" w:space="0" w:color="auto"/>
              <w:right w:val="single" w:sz="4" w:space="0" w:color="auto"/>
            </w:tcBorders>
            <w:noWrap/>
            <w:vAlign w:val="bottom"/>
            <w:hideMark/>
          </w:tcPr>
          <w:p w14:paraId="65DFD97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57A6772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28370E7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Demographics, Usability, Satisfaction</w:t>
            </w:r>
          </w:p>
        </w:tc>
        <w:tc>
          <w:tcPr>
            <w:tcW w:w="922" w:type="dxa"/>
            <w:tcBorders>
              <w:top w:val="nil"/>
              <w:left w:val="nil"/>
              <w:bottom w:val="single" w:sz="4" w:space="0" w:color="auto"/>
              <w:right w:val="single" w:sz="4" w:space="0" w:color="auto"/>
            </w:tcBorders>
            <w:noWrap/>
            <w:vAlign w:val="bottom"/>
            <w:hideMark/>
          </w:tcPr>
          <w:p w14:paraId="633263D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usability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1F2BFD14" w14:textId="501CF018"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Focus on digital literacy; </w:t>
            </w:r>
            <w:r w:rsidR="00B72961" w:rsidRPr="00F70CB0">
              <w:rPr>
                <w:color w:val="000000"/>
                <w:sz w:val="24"/>
                <w:szCs w:val="24"/>
                <w:lang w:val="en-GB" w:eastAsia="en-GB"/>
              </w:rPr>
              <w:t xml:space="preserve">it </w:t>
            </w:r>
            <w:r w:rsidRPr="00F70CB0">
              <w:rPr>
                <w:color w:val="000000"/>
                <w:sz w:val="24"/>
                <w:szCs w:val="24"/>
                <w:lang w:val="en-GB" w:eastAsia="en-GB"/>
              </w:rPr>
              <w:t>lacks integration with trust and risk factors</w:t>
            </w:r>
          </w:p>
        </w:tc>
      </w:tr>
      <w:tr w:rsidR="000D15B2" w:rsidRPr="00F70CB0" w14:paraId="4DFD179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D087DC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85</w:t>
            </w:r>
          </w:p>
        </w:tc>
        <w:tc>
          <w:tcPr>
            <w:tcW w:w="1134" w:type="dxa"/>
            <w:tcBorders>
              <w:top w:val="nil"/>
              <w:left w:val="nil"/>
              <w:bottom w:val="single" w:sz="4" w:space="0" w:color="auto"/>
              <w:right w:val="single" w:sz="4" w:space="0" w:color="auto"/>
            </w:tcBorders>
            <w:noWrap/>
            <w:vAlign w:val="bottom"/>
            <w:hideMark/>
          </w:tcPr>
          <w:p w14:paraId="49CD739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Dimitrova et al. (2022)</w:t>
            </w:r>
          </w:p>
        </w:tc>
        <w:tc>
          <w:tcPr>
            <w:tcW w:w="678" w:type="dxa"/>
            <w:tcBorders>
              <w:top w:val="nil"/>
              <w:left w:val="nil"/>
              <w:bottom w:val="single" w:sz="4" w:space="0" w:color="auto"/>
              <w:right w:val="single" w:sz="4" w:space="0" w:color="auto"/>
            </w:tcBorders>
            <w:noWrap/>
            <w:vAlign w:val="bottom"/>
            <w:hideMark/>
          </w:tcPr>
          <w:p w14:paraId="69D821E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Sweden</w:t>
            </w:r>
          </w:p>
        </w:tc>
        <w:tc>
          <w:tcPr>
            <w:tcW w:w="1196" w:type="dxa"/>
            <w:tcBorders>
              <w:top w:val="nil"/>
              <w:left w:val="nil"/>
              <w:bottom w:val="single" w:sz="4" w:space="0" w:color="auto"/>
              <w:right w:val="single" w:sz="4" w:space="0" w:color="auto"/>
            </w:tcBorders>
            <w:noWrap/>
            <w:vAlign w:val="bottom"/>
            <w:hideMark/>
          </w:tcPr>
          <w:p w14:paraId="239A522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Barrier Model</w:t>
            </w:r>
          </w:p>
        </w:tc>
        <w:tc>
          <w:tcPr>
            <w:tcW w:w="711" w:type="dxa"/>
            <w:tcBorders>
              <w:top w:val="nil"/>
              <w:left w:val="nil"/>
              <w:bottom w:val="single" w:sz="4" w:space="0" w:color="auto"/>
              <w:right w:val="single" w:sz="4" w:space="0" w:color="auto"/>
            </w:tcBorders>
            <w:noWrap/>
            <w:vAlign w:val="bottom"/>
            <w:hideMark/>
          </w:tcPr>
          <w:p w14:paraId="724F29F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Ordinal regression</w:t>
            </w:r>
          </w:p>
        </w:tc>
        <w:tc>
          <w:tcPr>
            <w:tcW w:w="447" w:type="dxa"/>
            <w:tcBorders>
              <w:top w:val="nil"/>
              <w:left w:val="nil"/>
              <w:bottom w:val="single" w:sz="4" w:space="0" w:color="auto"/>
              <w:right w:val="single" w:sz="4" w:space="0" w:color="auto"/>
            </w:tcBorders>
            <w:noWrap/>
            <w:vAlign w:val="bottom"/>
            <w:hideMark/>
          </w:tcPr>
          <w:p w14:paraId="620ABE1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12BDA9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Privacy, Access Barriers</w:t>
            </w:r>
          </w:p>
        </w:tc>
        <w:tc>
          <w:tcPr>
            <w:tcW w:w="922" w:type="dxa"/>
            <w:tcBorders>
              <w:top w:val="nil"/>
              <w:left w:val="nil"/>
              <w:bottom w:val="single" w:sz="4" w:space="0" w:color="auto"/>
              <w:right w:val="single" w:sz="4" w:space="0" w:color="auto"/>
            </w:tcBorders>
            <w:noWrap/>
            <w:vAlign w:val="bottom"/>
            <w:hideMark/>
          </w:tcPr>
          <w:p w14:paraId="1A6CAE7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payment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66DD12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Limited to survey method; lacks mixed-method or qualitative insights</w:t>
            </w:r>
          </w:p>
        </w:tc>
      </w:tr>
      <w:tr w:rsidR="000D15B2" w:rsidRPr="00F70CB0" w14:paraId="64153CD0"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017FAB1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86</w:t>
            </w:r>
          </w:p>
        </w:tc>
        <w:tc>
          <w:tcPr>
            <w:tcW w:w="1134" w:type="dxa"/>
            <w:tcBorders>
              <w:top w:val="nil"/>
              <w:left w:val="nil"/>
              <w:bottom w:val="single" w:sz="4" w:space="0" w:color="auto"/>
              <w:right w:val="single" w:sz="4" w:space="0" w:color="auto"/>
            </w:tcBorders>
            <w:noWrap/>
            <w:vAlign w:val="bottom"/>
            <w:hideMark/>
          </w:tcPr>
          <w:p w14:paraId="19D36F0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Singh &amp; Srivastava (2020)</w:t>
            </w:r>
          </w:p>
        </w:tc>
        <w:tc>
          <w:tcPr>
            <w:tcW w:w="678" w:type="dxa"/>
            <w:tcBorders>
              <w:top w:val="nil"/>
              <w:left w:val="nil"/>
              <w:bottom w:val="single" w:sz="4" w:space="0" w:color="auto"/>
              <w:right w:val="single" w:sz="4" w:space="0" w:color="auto"/>
            </w:tcBorders>
            <w:noWrap/>
            <w:vAlign w:val="bottom"/>
            <w:hideMark/>
          </w:tcPr>
          <w:p w14:paraId="5F56C83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India</w:t>
            </w:r>
          </w:p>
        </w:tc>
        <w:tc>
          <w:tcPr>
            <w:tcW w:w="1196" w:type="dxa"/>
            <w:tcBorders>
              <w:top w:val="nil"/>
              <w:left w:val="nil"/>
              <w:bottom w:val="single" w:sz="4" w:space="0" w:color="auto"/>
              <w:right w:val="single" w:sz="4" w:space="0" w:color="auto"/>
            </w:tcBorders>
            <w:noWrap/>
            <w:vAlign w:val="bottom"/>
            <w:hideMark/>
          </w:tcPr>
          <w:p w14:paraId="1F4CC50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Extension</w:t>
            </w:r>
          </w:p>
        </w:tc>
        <w:tc>
          <w:tcPr>
            <w:tcW w:w="711" w:type="dxa"/>
            <w:tcBorders>
              <w:top w:val="nil"/>
              <w:left w:val="nil"/>
              <w:bottom w:val="single" w:sz="4" w:space="0" w:color="auto"/>
              <w:right w:val="single" w:sz="4" w:space="0" w:color="auto"/>
            </w:tcBorders>
            <w:noWrap/>
            <w:vAlign w:val="bottom"/>
            <w:hideMark/>
          </w:tcPr>
          <w:p w14:paraId="5F309A0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PLS-SEM</w:t>
            </w:r>
          </w:p>
        </w:tc>
        <w:tc>
          <w:tcPr>
            <w:tcW w:w="447" w:type="dxa"/>
            <w:tcBorders>
              <w:top w:val="nil"/>
              <w:left w:val="nil"/>
              <w:bottom w:val="single" w:sz="4" w:space="0" w:color="auto"/>
              <w:right w:val="single" w:sz="4" w:space="0" w:color="auto"/>
            </w:tcBorders>
            <w:noWrap/>
            <w:vAlign w:val="bottom"/>
            <w:hideMark/>
          </w:tcPr>
          <w:p w14:paraId="6691E69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420</w:t>
            </w:r>
          </w:p>
        </w:tc>
        <w:tc>
          <w:tcPr>
            <w:tcW w:w="1695" w:type="dxa"/>
            <w:tcBorders>
              <w:top w:val="nil"/>
              <w:left w:val="nil"/>
              <w:bottom w:val="single" w:sz="4" w:space="0" w:color="auto"/>
              <w:right w:val="single" w:sz="4" w:space="0" w:color="auto"/>
            </w:tcBorders>
            <w:noWrap/>
            <w:vAlign w:val="bottom"/>
            <w:hideMark/>
          </w:tcPr>
          <w:p w14:paraId="064920B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PEOU, Security, Behavioural Intention</w:t>
            </w:r>
          </w:p>
        </w:tc>
        <w:tc>
          <w:tcPr>
            <w:tcW w:w="922" w:type="dxa"/>
            <w:tcBorders>
              <w:top w:val="nil"/>
              <w:left w:val="nil"/>
              <w:bottom w:val="single" w:sz="4" w:space="0" w:color="auto"/>
              <w:right w:val="single" w:sz="4" w:space="0" w:color="auto"/>
            </w:tcBorders>
            <w:noWrap/>
            <w:vAlign w:val="bottom"/>
            <w:hideMark/>
          </w:tcPr>
          <w:p w14:paraId="3E78630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B7C8C0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behavioural intention only; lacks actual usage behaviour analysis</w:t>
            </w:r>
          </w:p>
        </w:tc>
      </w:tr>
      <w:tr w:rsidR="000D15B2" w:rsidRPr="00F70CB0" w14:paraId="2827DAB9"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DCAE7F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87</w:t>
            </w:r>
          </w:p>
        </w:tc>
        <w:tc>
          <w:tcPr>
            <w:tcW w:w="1134" w:type="dxa"/>
            <w:tcBorders>
              <w:top w:val="nil"/>
              <w:left w:val="nil"/>
              <w:bottom w:val="single" w:sz="4" w:space="0" w:color="auto"/>
              <w:right w:val="single" w:sz="4" w:space="0" w:color="auto"/>
            </w:tcBorders>
            <w:noWrap/>
            <w:vAlign w:val="bottom"/>
            <w:hideMark/>
          </w:tcPr>
          <w:p w14:paraId="0C31672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Pikkarainen et al. (2004)</w:t>
            </w:r>
          </w:p>
        </w:tc>
        <w:tc>
          <w:tcPr>
            <w:tcW w:w="678" w:type="dxa"/>
            <w:tcBorders>
              <w:top w:val="nil"/>
              <w:left w:val="nil"/>
              <w:bottom w:val="single" w:sz="4" w:space="0" w:color="auto"/>
              <w:right w:val="single" w:sz="4" w:space="0" w:color="auto"/>
            </w:tcBorders>
            <w:noWrap/>
            <w:vAlign w:val="bottom"/>
            <w:hideMark/>
          </w:tcPr>
          <w:p w14:paraId="5E4F82D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Finland</w:t>
            </w:r>
          </w:p>
        </w:tc>
        <w:tc>
          <w:tcPr>
            <w:tcW w:w="1196" w:type="dxa"/>
            <w:tcBorders>
              <w:top w:val="nil"/>
              <w:left w:val="nil"/>
              <w:bottom w:val="single" w:sz="4" w:space="0" w:color="auto"/>
              <w:right w:val="single" w:sz="4" w:space="0" w:color="auto"/>
            </w:tcBorders>
            <w:noWrap/>
            <w:vAlign w:val="bottom"/>
            <w:hideMark/>
          </w:tcPr>
          <w:p w14:paraId="2B5B17A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Extension</w:t>
            </w:r>
          </w:p>
        </w:tc>
        <w:tc>
          <w:tcPr>
            <w:tcW w:w="711" w:type="dxa"/>
            <w:tcBorders>
              <w:top w:val="nil"/>
              <w:left w:val="nil"/>
              <w:bottom w:val="single" w:sz="4" w:space="0" w:color="auto"/>
              <w:right w:val="single" w:sz="4" w:space="0" w:color="auto"/>
            </w:tcBorders>
            <w:noWrap/>
            <w:vAlign w:val="bottom"/>
            <w:hideMark/>
          </w:tcPr>
          <w:p w14:paraId="60A6EED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w:t>
            </w:r>
          </w:p>
        </w:tc>
        <w:tc>
          <w:tcPr>
            <w:tcW w:w="447" w:type="dxa"/>
            <w:tcBorders>
              <w:top w:val="nil"/>
              <w:left w:val="nil"/>
              <w:bottom w:val="single" w:sz="4" w:space="0" w:color="auto"/>
              <w:right w:val="single" w:sz="4" w:space="0" w:color="auto"/>
            </w:tcBorders>
            <w:noWrap/>
            <w:vAlign w:val="bottom"/>
            <w:hideMark/>
          </w:tcPr>
          <w:p w14:paraId="7F26203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268</w:t>
            </w:r>
          </w:p>
        </w:tc>
        <w:tc>
          <w:tcPr>
            <w:tcW w:w="1695" w:type="dxa"/>
            <w:tcBorders>
              <w:top w:val="nil"/>
              <w:left w:val="nil"/>
              <w:bottom w:val="single" w:sz="4" w:space="0" w:color="auto"/>
              <w:right w:val="single" w:sz="4" w:space="0" w:color="auto"/>
            </w:tcBorders>
            <w:noWrap/>
            <w:vAlign w:val="bottom"/>
            <w:hideMark/>
          </w:tcPr>
          <w:p w14:paraId="74AE19C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PU, Web Info, Adoption</w:t>
            </w:r>
          </w:p>
        </w:tc>
        <w:tc>
          <w:tcPr>
            <w:tcW w:w="922" w:type="dxa"/>
            <w:tcBorders>
              <w:top w:val="nil"/>
              <w:left w:val="nil"/>
              <w:bottom w:val="single" w:sz="4" w:space="0" w:color="auto"/>
              <w:right w:val="single" w:sz="4" w:space="0" w:color="auto"/>
            </w:tcBorders>
            <w:noWrap/>
            <w:vAlign w:val="bottom"/>
            <w:hideMark/>
          </w:tcPr>
          <w:p w14:paraId="562075D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Online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36564F2A" w14:textId="46BAA610"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to </w:t>
            </w:r>
            <w:r w:rsidR="00B72961" w:rsidRPr="00F70CB0">
              <w:rPr>
                <w:color w:val="000000"/>
                <w:sz w:val="24"/>
                <w:szCs w:val="24"/>
                <w:lang w:val="en-GB" w:eastAsia="en-GB"/>
              </w:rPr>
              <w:t xml:space="preserve">a </w:t>
            </w:r>
            <w:r w:rsidRPr="00F70CB0">
              <w:rPr>
                <w:color w:val="000000"/>
                <w:sz w:val="24"/>
                <w:szCs w:val="24"/>
                <w:lang w:val="en-GB" w:eastAsia="en-GB"/>
              </w:rPr>
              <w:t>specific user group; lacks diverse demographic representation</w:t>
            </w:r>
          </w:p>
        </w:tc>
      </w:tr>
      <w:tr w:rsidR="000D15B2" w:rsidRPr="00F70CB0" w14:paraId="36A3636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BFEA43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88</w:t>
            </w:r>
          </w:p>
        </w:tc>
        <w:tc>
          <w:tcPr>
            <w:tcW w:w="1134" w:type="dxa"/>
            <w:tcBorders>
              <w:top w:val="single" w:sz="4" w:space="0" w:color="auto"/>
              <w:left w:val="nil"/>
              <w:bottom w:val="single" w:sz="4" w:space="0" w:color="auto"/>
              <w:right w:val="single" w:sz="4" w:space="0" w:color="auto"/>
            </w:tcBorders>
            <w:noWrap/>
            <w:vAlign w:val="bottom"/>
            <w:hideMark/>
          </w:tcPr>
          <w:p w14:paraId="12EF27A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Ngau et al. (2023)</w:t>
            </w:r>
          </w:p>
        </w:tc>
        <w:tc>
          <w:tcPr>
            <w:tcW w:w="678" w:type="dxa"/>
            <w:tcBorders>
              <w:top w:val="single" w:sz="4" w:space="0" w:color="auto"/>
              <w:left w:val="nil"/>
              <w:bottom w:val="single" w:sz="4" w:space="0" w:color="auto"/>
              <w:right w:val="single" w:sz="4" w:space="0" w:color="auto"/>
            </w:tcBorders>
            <w:noWrap/>
            <w:vAlign w:val="bottom"/>
            <w:hideMark/>
          </w:tcPr>
          <w:p w14:paraId="7BD1F32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single" w:sz="4" w:space="0" w:color="auto"/>
              <w:left w:val="nil"/>
              <w:bottom w:val="single" w:sz="4" w:space="0" w:color="auto"/>
              <w:right w:val="single" w:sz="4" w:space="0" w:color="auto"/>
            </w:tcBorders>
            <w:noWrap/>
            <w:vAlign w:val="bottom"/>
            <w:hideMark/>
          </w:tcPr>
          <w:p w14:paraId="406B3C0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Systematic Review</w:t>
            </w:r>
          </w:p>
        </w:tc>
        <w:tc>
          <w:tcPr>
            <w:tcW w:w="711" w:type="dxa"/>
            <w:tcBorders>
              <w:top w:val="single" w:sz="4" w:space="0" w:color="auto"/>
              <w:left w:val="nil"/>
              <w:bottom w:val="single" w:sz="4" w:space="0" w:color="auto"/>
              <w:right w:val="single" w:sz="4" w:space="0" w:color="auto"/>
            </w:tcBorders>
            <w:noWrap/>
            <w:vAlign w:val="bottom"/>
            <w:hideMark/>
          </w:tcPr>
          <w:p w14:paraId="6CEA860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Review of 44 papers</w:t>
            </w:r>
          </w:p>
        </w:tc>
        <w:tc>
          <w:tcPr>
            <w:tcW w:w="447" w:type="dxa"/>
            <w:tcBorders>
              <w:top w:val="single" w:sz="4" w:space="0" w:color="auto"/>
              <w:left w:val="nil"/>
              <w:bottom w:val="single" w:sz="4" w:space="0" w:color="auto"/>
              <w:right w:val="single" w:sz="4" w:space="0" w:color="auto"/>
            </w:tcBorders>
            <w:noWrap/>
            <w:vAlign w:val="bottom"/>
            <w:hideMark/>
          </w:tcPr>
          <w:p w14:paraId="7C2477D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single" w:sz="4" w:space="0" w:color="auto"/>
              <w:left w:val="nil"/>
              <w:bottom w:val="single" w:sz="4" w:space="0" w:color="auto"/>
              <w:right w:val="single" w:sz="4" w:space="0" w:color="auto"/>
            </w:tcBorders>
            <w:noWrap/>
            <w:vAlign w:val="bottom"/>
            <w:hideMark/>
          </w:tcPr>
          <w:p w14:paraId="1E1616B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Switching Behaviour, Determinants</w:t>
            </w:r>
          </w:p>
        </w:tc>
        <w:tc>
          <w:tcPr>
            <w:tcW w:w="922" w:type="dxa"/>
            <w:tcBorders>
              <w:top w:val="single" w:sz="4" w:space="0" w:color="auto"/>
              <w:left w:val="nil"/>
              <w:bottom w:val="single" w:sz="4" w:space="0" w:color="auto"/>
              <w:right w:val="single" w:sz="4" w:space="0" w:color="auto"/>
            </w:tcBorders>
            <w:noWrap/>
            <w:vAlign w:val="bottom"/>
            <w:hideMark/>
          </w:tcPr>
          <w:p w14:paraId="50718F4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Bank switching behaviour</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F9307EA" w14:textId="6A2A7500"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Focus on service innovation; </w:t>
            </w:r>
            <w:r w:rsidR="00B72961" w:rsidRPr="00F70CB0">
              <w:rPr>
                <w:color w:val="000000"/>
                <w:sz w:val="24"/>
                <w:szCs w:val="24"/>
                <w:lang w:val="en-GB" w:eastAsia="en-GB"/>
              </w:rPr>
              <w:t xml:space="preserve">it </w:t>
            </w:r>
            <w:r w:rsidRPr="00F70CB0">
              <w:rPr>
                <w:color w:val="000000"/>
                <w:sz w:val="24"/>
                <w:szCs w:val="24"/>
                <w:lang w:val="en-GB" w:eastAsia="en-GB"/>
              </w:rPr>
              <w:t>lacks integration with adoption theories</w:t>
            </w:r>
          </w:p>
        </w:tc>
      </w:tr>
      <w:tr w:rsidR="000D15B2" w:rsidRPr="00F70CB0" w14:paraId="5B0C1454"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3529B75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89</w:t>
            </w:r>
          </w:p>
        </w:tc>
        <w:tc>
          <w:tcPr>
            <w:tcW w:w="1134" w:type="dxa"/>
            <w:tcBorders>
              <w:top w:val="nil"/>
              <w:left w:val="nil"/>
              <w:bottom w:val="single" w:sz="4" w:space="0" w:color="auto"/>
              <w:right w:val="single" w:sz="4" w:space="0" w:color="auto"/>
            </w:tcBorders>
            <w:noWrap/>
            <w:vAlign w:val="bottom"/>
            <w:hideMark/>
          </w:tcPr>
          <w:p w14:paraId="1C6A882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Chauhan et al. (2022)</w:t>
            </w:r>
          </w:p>
        </w:tc>
        <w:tc>
          <w:tcPr>
            <w:tcW w:w="678" w:type="dxa"/>
            <w:tcBorders>
              <w:top w:val="nil"/>
              <w:left w:val="nil"/>
              <w:bottom w:val="single" w:sz="4" w:space="0" w:color="auto"/>
              <w:right w:val="single" w:sz="4" w:space="0" w:color="auto"/>
            </w:tcBorders>
            <w:noWrap/>
            <w:vAlign w:val="bottom"/>
            <w:hideMark/>
          </w:tcPr>
          <w:p w14:paraId="3DF5FEF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2142DF1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Review Framework</w:t>
            </w:r>
          </w:p>
        </w:tc>
        <w:tc>
          <w:tcPr>
            <w:tcW w:w="711" w:type="dxa"/>
            <w:tcBorders>
              <w:top w:val="nil"/>
              <w:left w:val="nil"/>
              <w:bottom w:val="single" w:sz="4" w:space="0" w:color="auto"/>
              <w:right w:val="single" w:sz="4" w:space="0" w:color="auto"/>
            </w:tcBorders>
            <w:noWrap/>
            <w:vAlign w:val="bottom"/>
            <w:hideMark/>
          </w:tcPr>
          <w:p w14:paraId="1D751FE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Literature review</w:t>
            </w:r>
          </w:p>
        </w:tc>
        <w:tc>
          <w:tcPr>
            <w:tcW w:w="447" w:type="dxa"/>
            <w:tcBorders>
              <w:top w:val="nil"/>
              <w:left w:val="nil"/>
              <w:bottom w:val="single" w:sz="4" w:space="0" w:color="auto"/>
              <w:right w:val="single" w:sz="4" w:space="0" w:color="auto"/>
            </w:tcBorders>
            <w:noWrap/>
            <w:vAlign w:val="bottom"/>
            <w:hideMark/>
          </w:tcPr>
          <w:p w14:paraId="3156347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5326A41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Customer Experience</w:t>
            </w:r>
          </w:p>
        </w:tc>
        <w:tc>
          <w:tcPr>
            <w:tcW w:w="922" w:type="dxa"/>
            <w:tcBorders>
              <w:top w:val="nil"/>
              <w:left w:val="nil"/>
              <w:bottom w:val="single" w:sz="4" w:space="0" w:color="auto"/>
              <w:right w:val="single" w:sz="4" w:space="0" w:color="auto"/>
            </w:tcBorders>
            <w:noWrap/>
            <w:vAlign w:val="bottom"/>
            <w:hideMark/>
          </w:tcPr>
          <w:p w14:paraId="0C7327A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experience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38C43AAF" w14:textId="399E062F"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conceptual depth; lacks </w:t>
            </w:r>
            <w:r w:rsidR="00B72961" w:rsidRPr="00F70CB0">
              <w:rPr>
                <w:color w:val="000000"/>
                <w:sz w:val="24"/>
                <w:szCs w:val="24"/>
                <w:lang w:val="en-GB" w:eastAsia="en-GB"/>
              </w:rPr>
              <w:t xml:space="preserve">a </w:t>
            </w:r>
            <w:r w:rsidRPr="00F70CB0">
              <w:rPr>
                <w:color w:val="000000"/>
                <w:sz w:val="24"/>
                <w:szCs w:val="24"/>
                <w:lang w:val="en-GB" w:eastAsia="en-GB"/>
              </w:rPr>
              <w:t>comprehensive theoretical framework</w:t>
            </w:r>
          </w:p>
        </w:tc>
      </w:tr>
      <w:tr w:rsidR="000D15B2" w:rsidRPr="00F70CB0" w14:paraId="1A66A8D7"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974C2A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90</w:t>
            </w:r>
          </w:p>
        </w:tc>
        <w:tc>
          <w:tcPr>
            <w:tcW w:w="1134" w:type="dxa"/>
            <w:tcBorders>
              <w:top w:val="nil"/>
              <w:left w:val="nil"/>
              <w:bottom w:val="single" w:sz="4" w:space="0" w:color="auto"/>
              <w:right w:val="single" w:sz="4" w:space="0" w:color="auto"/>
            </w:tcBorders>
            <w:noWrap/>
            <w:vAlign w:val="bottom"/>
            <w:hideMark/>
          </w:tcPr>
          <w:p w14:paraId="0F5CE00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Arcand et al. (2017)</w:t>
            </w:r>
          </w:p>
        </w:tc>
        <w:tc>
          <w:tcPr>
            <w:tcW w:w="678" w:type="dxa"/>
            <w:tcBorders>
              <w:top w:val="nil"/>
              <w:left w:val="nil"/>
              <w:bottom w:val="single" w:sz="4" w:space="0" w:color="auto"/>
              <w:right w:val="single" w:sz="4" w:space="0" w:color="auto"/>
            </w:tcBorders>
            <w:noWrap/>
            <w:vAlign w:val="bottom"/>
            <w:hideMark/>
          </w:tcPr>
          <w:p w14:paraId="790B588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434F8FF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Model</w:t>
            </w:r>
          </w:p>
        </w:tc>
        <w:tc>
          <w:tcPr>
            <w:tcW w:w="711" w:type="dxa"/>
            <w:tcBorders>
              <w:top w:val="nil"/>
              <w:left w:val="nil"/>
              <w:bottom w:val="single" w:sz="4" w:space="0" w:color="auto"/>
              <w:right w:val="single" w:sz="4" w:space="0" w:color="auto"/>
            </w:tcBorders>
            <w:noWrap/>
            <w:vAlign w:val="bottom"/>
            <w:hideMark/>
          </w:tcPr>
          <w:p w14:paraId="5E53435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3B4BFC9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375</w:t>
            </w:r>
          </w:p>
        </w:tc>
        <w:tc>
          <w:tcPr>
            <w:tcW w:w="1695" w:type="dxa"/>
            <w:tcBorders>
              <w:top w:val="nil"/>
              <w:left w:val="nil"/>
              <w:bottom w:val="single" w:sz="4" w:space="0" w:color="auto"/>
              <w:right w:val="single" w:sz="4" w:space="0" w:color="auto"/>
            </w:tcBorders>
            <w:noWrap/>
            <w:vAlign w:val="bottom"/>
            <w:hideMark/>
          </w:tcPr>
          <w:p w14:paraId="6D25CA0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Satisfaction, Commitment</w:t>
            </w:r>
          </w:p>
        </w:tc>
        <w:tc>
          <w:tcPr>
            <w:tcW w:w="922" w:type="dxa"/>
            <w:tcBorders>
              <w:top w:val="nil"/>
              <w:left w:val="nil"/>
              <w:bottom w:val="single" w:sz="4" w:space="0" w:color="auto"/>
              <w:right w:val="single" w:sz="4" w:space="0" w:color="auto"/>
            </w:tcBorders>
            <w:noWrap/>
            <w:vAlign w:val="bottom"/>
            <w:hideMark/>
          </w:tcPr>
          <w:p w14:paraId="5DC3551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Mobile banking </w:t>
            </w:r>
            <w:r w:rsidRPr="00F70CB0">
              <w:rPr>
                <w:color w:val="000000"/>
                <w:sz w:val="24"/>
                <w:szCs w:val="24"/>
                <w:lang w:val="en-GB" w:eastAsia="en-GB"/>
              </w:rPr>
              <w:lastRenderedPageBreak/>
              <w:t>relationship quality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9A42D32" w14:textId="5E94B44A"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 xml:space="preserve">Focus on </w:t>
            </w:r>
            <w:r w:rsidR="00B72961" w:rsidRPr="00F70CB0">
              <w:rPr>
                <w:color w:val="000000"/>
                <w:sz w:val="24"/>
                <w:szCs w:val="24"/>
                <w:lang w:val="en-GB" w:eastAsia="en-GB"/>
              </w:rPr>
              <w:t xml:space="preserve">the </w:t>
            </w:r>
            <w:r w:rsidRPr="00F70CB0">
              <w:rPr>
                <w:color w:val="000000"/>
                <w:sz w:val="24"/>
                <w:szCs w:val="24"/>
                <w:lang w:val="en-GB" w:eastAsia="en-GB"/>
              </w:rPr>
              <w:t xml:space="preserve">fintech ecosystem; </w:t>
            </w:r>
            <w:r w:rsidR="00B72961" w:rsidRPr="00F70CB0">
              <w:rPr>
                <w:color w:val="000000"/>
                <w:sz w:val="24"/>
                <w:szCs w:val="24"/>
                <w:lang w:val="en-GB" w:eastAsia="en-GB"/>
              </w:rPr>
              <w:t xml:space="preserve">it </w:t>
            </w:r>
            <w:r w:rsidRPr="00F70CB0">
              <w:rPr>
                <w:color w:val="000000"/>
                <w:sz w:val="24"/>
                <w:szCs w:val="24"/>
                <w:lang w:val="en-GB" w:eastAsia="en-GB"/>
              </w:rPr>
              <w:t xml:space="preserve">lacks </w:t>
            </w:r>
            <w:r w:rsidR="00B72961" w:rsidRPr="00F70CB0">
              <w:rPr>
                <w:color w:val="000000"/>
                <w:sz w:val="24"/>
                <w:szCs w:val="24"/>
                <w:lang w:val="en-GB" w:eastAsia="en-GB"/>
              </w:rPr>
              <w:lastRenderedPageBreak/>
              <w:t xml:space="preserve">a </w:t>
            </w:r>
            <w:r w:rsidRPr="00F70CB0">
              <w:rPr>
                <w:color w:val="000000"/>
                <w:sz w:val="24"/>
                <w:szCs w:val="24"/>
                <w:lang w:val="en-GB" w:eastAsia="en-GB"/>
              </w:rPr>
              <w:t>direct banking sector comparison</w:t>
            </w:r>
          </w:p>
        </w:tc>
      </w:tr>
      <w:tr w:rsidR="000D15B2" w:rsidRPr="00F70CB0" w14:paraId="1F6F7E22"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6F67F32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91</w:t>
            </w:r>
          </w:p>
        </w:tc>
        <w:tc>
          <w:tcPr>
            <w:tcW w:w="1134" w:type="dxa"/>
            <w:tcBorders>
              <w:top w:val="nil"/>
              <w:left w:val="nil"/>
              <w:bottom w:val="single" w:sz="4" w:space="0" w:color="auto"/>
              <w:right w:val="single" w:sz="4" w:space="0" w:color="auto"/>
            </w:tcBorders>
            <w:noWrap/>
            <w:vAlign w:val="bottom"/>
            <w:hideMark/>
          </w:tcPr>
          <w:p w14:paraId="01E72D9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Moga et al. (2012)</w:t>
            </w:r>
          </w:p>
        </w:tc>
        <w:tc>
          <w:tcPr>
            <w:tcW w:w="678" w:type="dxa"/>
            <w:tcBorders>
              <w:top w:val="nil"/>
              <w:left w:val="nil"/>
              <w:bottom w:val="single" w:sz="4" w:space="0" w:color="auto"/>
              <w:right w:val="single" w:sz="4" w:space="0" w:color="auto"/>
            </w:tcBorders>
            <w:noWrap/>
            <w:vAlign w:val="bottom"/>
            <w:hideMark/>
          </w:tcPr>
          <w:p w14:paraId="1CCC528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Romania</w:t>
            </w:r>
          </w:p>
        </w:tc>
        <w:tc>
          <w:tcPr>
            <w:tcW w:w="1196" w:type="dxa"/>
            <w:tcBorders>
              <w:top w:val="nil"/>
              <w:left w:val="nil"/>
              <w:bottom w:val="single" w:sz="4" w:space="0" w:color="auto"/>
              <w:right w:val="single" w:sz="4" w:space="0" w:color="auto"/>
            </w:tcBorders>
            <w:noWrap/>
            <w:vAlign w:val="bottom"/>
            <w:hideMark/>
          </w:tcPr>
          <w:p w14:paraId="6586844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Trust-Security Framework</w:t>
            </w:r>
          </w:p>
        </w:tc>
        <w:tc>
          <w:tcPr>
            <w:tcW w:w="711" w:type="dxa"/>
            <w:tcBorders>
              <w:top w:val="nil"/>
              <w:left w:val="nil"/>
              <w:bottom w:val="single" w:sz="4" w:space="0" w:color="auto"/>
              <w:right w:val="single" w:sz="4" w:space="0" w:color="auto"/>
            </w:tcBorders>
            <w:noWrap/>
            <w:vAlign w:val="bottom"/>
            <w:hideMark/>
          </w:tcPr>
          <w:p w14:paraId="748E292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Review</w:t>
            </w:r>
          </w:p>
        </w:tc>
        <w:tc>
          <w:tcPr>
            <w:tcW w:w="447" w:type="dxa"/>
            <w:tcBorders>
              <w:top w:val="nil"/>
              <w:left w:val="nil"/>
              <w:bottom w:val="single" w:sz="4" w:space="0" w:color="auto"/>
              <w:right w:val="single" w:sz="4" w:space="0" w:color="auto"/>
            </w:tcBorders>
            <w:noWrap/>
            <w:vAlign w:val="bottom"/>
            <w:hideMark/>
          </w:tcPr>
          <w:p w14:paraId="0CCCC8C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27405D6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Security</w:t>
            </w:r>
          </w:p>
        </w:tc>
        <w:tc>
          <w:tcPr>
            <w:tcW w:w="922" w:type="dxa"/>
            <w:tcBorders>
              <w:top w:val="nil"/>
              <w:left w:val="nil"/>
              <w:bottom w:val="single" w:sz="4" w:space="0" w:color="auto"/>
              <w:right w:val="single" w:sz="4" w:space="0" w:color="auto"/>
            </w:tcBorders>
            <w:noWrap/>
            <w:vAlign w:val="bottom"/>
            <w:hideMark/>
          </w:tcPr>
          <w:p w14:paraId="6B4B243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E-banking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3CB8FA8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Limited to early-stage adoption; lacks long-term behavioural insights</w:t>
            </w:r>
          </w:p>
        </w:tc>
      </w:tr>
      <w:tr w:rsidR="000D15B2" w:rsidRPr="00F70CB0" w14:paraId="0B7974F3"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346B29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92</w:t>
            </w:r>
          </w:p>
        </w:tc>
        <w:tc>
          <w:tcPr>
            <w:tcW w:w="1134" w:type="dxa"/>
            <w:tcBorders>
              <w:top w:val="nil"/>
              <w:left w:val="nil"/>
              <w:bottom w:val="single" w:sz="4" w:space="0" w:color="auto"/>
              <w:right w:val="single" w:sz="4" w:space="0" w:color="auto"/>
            </w:tcBorders>
            <w:noWrap/>
            <w:vAlign w:val="bottom"/>
            <w:hideMark/>
          </w:tcPr>
          <w:p w14:paraId="1A3D6B2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Foroughi et al. (2019)</w:t>
            </w:r>
          </w:p>
        </w:tc>
        <w:tc>
          <w:tcPr>
            <w:tcW w:w="678" w:type="dxa"/>
            <w:tcBorders>
              <w:top w:val="nil"/>
              <w:left w:val="nil"/>
              <w:bottom w:val="single" w:sz="4" w:space="0" w:color="auto"/>
              <w:right w:val="single" w:sz="4" w:space="0" w:color="auto"/>
            </w:tcBorders>
            <w:noWrap/>
            <w:vAlign w:val="bottom"/>
            <w:hideMark/>
          </w:tcPr>
          <w:p w14:paraId="4145528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Malaysia</w:t>
            </w:r>
          </w:p>
        </w:tc>
        <w:tc>
          <w:tcPr>
            <w:tcW w:w="1196" w:type="dxa"/>
            <w:tcBorders>
              <w:top w:val="nil"/>
              <w:left w:val="nil"/>
              <w:bottom w:val="single" w:sz="4" w:space="0" w:color="auto"/>
              <w:right w:val="single" w:sz="4" w:space="0" w:color="auto"/>
            </w:tcBorders>
            <w:noWrap/>
            <w:vAlign w:val="bottom"/>
            <w:hideMark/>
          </w:tcPr>
          <w:p w14:paraId="1B7C9D5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 Continuance Model</w:t>
            </w:r>
          </w:p>
        </w:tc>
        <w:tc>
          <w:tcPr>
            <w:tcW w:w="711" w:type="dxa"/>
            <w:tcBorders>
              <w:top w:val="nil"/>
              <w:left w:val="nil"/>
              <w:bottom w:val="single" w:sz="4" w:space="0" w:color="auto"/>
              <w:right w:val="single" w:sz="4" w:space="0" w:color="auto"/>
            </w:tcBorders>
            <w:noWrap/>
            <w:vAlign w:val="bottom"/>
            <w:hideMark/>
          </w:tcPr>
          <w:p w14:paraId="16AD4D0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1170DC6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31C3897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Satisfaction, Continuance</w:t>
            </w:r>
          </w:p>
        </w:tc>
        <w:tc>
          <w:tcPr>
            <w:tcW w:w="922" w:type="dxa"/>
            <w:tcBorders>
              <w:top w:val="nil"/>
              <w:left w:val="nil"/>
              <w:bottom w:val="single" w:sz="4" w:space="0" w:color="auto"/>
              <w:right w:val="single" w:sz="4" w:space="0" w:color="auto"/>
            </w:tcBorders>
            <w:noWrap/>
            <w:vAlign w:val="bottom"/>
            <w:hideMark/>
          </w:tcPr>
          <w:p w14:paraId="357CBF3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continuance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0DBFA06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user perception only; lacks organisational and system-level analysis</w:t>
            </w:r>
          </w:p>
        </w:tc>
      </w:tr>
      <w:tr w:rsidR="000D15B2" w:rsidRPr="00F70CB0" w14:paraId="32B9B38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D88467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93</w:t>
            </w:r>
          </w:p>
        </w:tc>
        <w:tc>
          <w:tcPr>
            <w:tcW w:w="1134" w:type="dxa"/>
            <w:tcBorders>
              <w:top w:val="nil"/>
              <w:left w:val="nil"/>
              <w:bottom w:val="single" w:sz="4" w:space="0" w:color="auto"/>
              <w:right w:val="single" w:sz="4" w:space="0" w:color="auto"/>
            </w:tcBorders>
            <w:noWrap/>
            <w:vAlign w:val="bottom"/>
            <w:hideMark/>
          </w:tcPr>
          <w:p w14:paraId="000472A4"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Lolemo</w:t>
            </w:r>
            <w:proofErr w:type="spellEnd"/>
            <w:r w:rsidRPr="00F70CB0">
              <w:rPr>
                <w:color w:val="000000"/>
                <w:sz w:val="24"/>
                <w:szCs w:val="24"/>
                <w:lang w:val="en-GB" w:eastAsia="en-GB"/>
              </w:rPr>
              <w:t xml:space="preserve"> &amp; Pandya (2024)</w:t>
            </w:r>
          </w:p>
        </w:tc>
        <w:tc>
          <w:tcPr>
            <w:tcW w:w="678" w:type="dxa"/>
            <w:tcBorders>
              <w:top w:val="nil"/>
              <w:left w:val="nil"/>
              <w:bottom w:val="single" w:sz="4" w:space="0" w:color="auto"/>
              <w:right w:val="single" w:sz="4" w:space="0" w:color="auto"/>
            </w:tcBorders>
            <w:noWrap/>
            <w:vAlign w:val="bottom"/>
            <w:hideMark/>
          </w:tcPr>
          <w:p w14:paraId="45AEB98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5B10092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Systematic Review</w:t>
            </w:r>
          </w:p>
        </w:tc>
        <w:tc>
          <w:tcPr>
            <w:tcW w:w="711" w:type="dxa"/>
            <w:tcBorders>
              <w:top w:val="nil"/>
              <w:left w:val="nil"/>
              <w:bottom w:val="single" w:sz="4" w:space="0" w:color="auto"/>
              <w:right w:val="single" w:sz="4" w:space="0" w:color="auto"/>
            </w:tcBorders>
            <w:noWrap/>
            <w:vAlign w:val="bottom"/>
            <w:hideMark/>
          </w:tcPr>
          <w:p w14:paraId="113BB26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Review</w:t>
            </w:r>
          </w:p>
        </w:tc>
        <w:tc>
          <w:tcPr>
            <w:tcW w:w="447" w:type="dxa"/>
            <w:tcBorders>
              <w:top w:val="nil"/>
              <w:left w:val="nil"/>
              <w:bottom w:val="single" w:sz="4" w:space="0" w:color="auto"/>
              <w:right w:val="single" w:sz="4" w:space="0" w:color="auto"/>
            </w:tcBorders>
            <w:noWrap/>
            <w:vAlign w:val="bottom"/>
            <w:hideMark/>
          </w:tcPr>
          <w:p w14:paraId="3A36CFD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146 studies</w:t>
            </w:r>
          </w:p>
        </w:tc>
        <w:tc>
          <w:tcPr>
            <w:tcW w:w="1695" w:type="dxa"/>
            <w:tcBorders>
              <w:top w:val="nil"/>
              <w:left w:val="nil"/>
              <w:bottom w:val="single" w:sz="4" w:space="0" w:color="auto"/>
              <w:right w:val="single" w:sz="4" w:space="0" w:color="auto"/>
            </w:tcBorders>
            <w:noWrap/>
            <w:vAlign w:val="bottom"/>
            <w:hideMark/>
          </w:tcPr>
          <w:p w14:paraId="63D1139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Satisfaction, Loyalty</w:t>
            </w:r>
          </w:p>
        </w:tc>
        <w:tc>
          <w:tcPr>
            <w:tcW w:w="922" w:type="dxa"/>
            <w:tcBorders>
              <w:top w:val="nil"/>
              <w:left w:val="nil"/>
              <w:bottom w:val="single" w:sz="4" w:space="0" w:color="auto"/>
              <w:right w:val="single" w:sz="4" w:space="0" w:color="auto"/>
            </w:tcBorders>
            <w:noWrap/>
            <w:vAlign w:val="bottom"/>
            <w:hideMark/>
          </w:tcPr>
          <w:p w14:paraId="66E9A4E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review</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2C68275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Limited integration of variables; lacks holistic model development</w:t>
            </w:r>
          </w:p>
        </w:tc>
      </w:tr>
      <w:tr w:rsidR="000D15B2" w:rsidRPr="00F70CB0" w14:paraId="08531B0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192A39F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94</w:t>
            </w:r>
          </w:p>
        </w:tc>
        <w:tc>
          <w:tcPr>
            <w:tcW w:w="1134" w:type="dxa"/>
            <w:tcBorders>
              <w:top w:val="nil"/>
              <w:left w:val="nil"/>
              <w:bottom w:val="single" w:sz="4" w:space="0" w:color="auto"/>
              <w:right w:val="single" w:sz="4" w:space="0" w:color="auto"/>
            </w:tcBorders>
            <w:noWrap/>
            <w:vAlign w:val="bottom"/>
            <w:hideMark/>
          </w:tcPr>
          <w:p w14:paraId="03FE510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Hussain et al. (2014)</w:t>
            </w:r>
          </w:p>
        </w:tc>
        <w:tc>
          <w:tcPr>
            <w:tcW w:w="678" w:type="dxa"/>
            <w:tcBorders>
              <w:top w:val="nil"/>
              <w:left w:val="nil"/>
              <w:bottom w:val="single" w:sz="4" w:space="0" w:color="auto"/>
              <w:right w:val="single" w:sz="4" w:space="0" w:color="auto"/>
            </w:tcBorders>
            <w:noWrap/>
            <w:vAlign w:val="bottom"/>
            <w:hideMark/>
          </w:tcPr>
          <w:p w14:paraId="4E768DD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nil"/>
              <w:left w:val="nil"/>
              <w:bottom w:val="single" w:sz="4" w:space="0" w:color="auto"/>
              <w:right w:val="single" w:sz="4" w:space="0" w:color="auto"/>
            </w:tcBorders>
            <w:noWrap/>
            <w:vAlign w:val="bottom"/>
            <w:hideMark/>
          </w:tcPr>
          <w:p w14:paraId="352D7D2D"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Usability Framework</w:t>
            </w:r>
          </w:p>
        </w:tc>
        <w:tc>
          <w:tcPr>
            <w:tcW w:w="711" w:type="dxa"/>
            <w:tcBorders>
              <w:top w:val="nil"/>
              <w:left w:val="nil"/>
              <w:bottom w:val="single" w:sz="4" w:space="0" w:color="auto"/>
              <w:right w:val="single" w:sz="4" w:space="0" w:color="auto"/>
            </w:tcBorders>
            <w:noWrap/>
            <w:vAlign w:val="bottom"/>
            <w:hideMark/>
          </w:tcPr>
          <w:p w14:paraId="2D28070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Systematic review</w:t>
            </w:r>
          </w:p>
        </w:tc>
        <w:tc>
          <w:tcPr>
            <w:tcW w:w="447" w:type="dxa"/>
            <w:tcBorders>
              <w:top w:val="nil"/>
              <w:left w:val="nil"/>
              <w:bottom w:val="single" w:sz="4" w:space="0" w:color="auto"/>
              <w:right w:val="single" w:sz="4" w:space="0" w:color="auto"/>
            </w:tcBorders>
            <w:noWrap/>
            <w:vAlign w:val="bottom"/>
            <w:hideMark/>
          </w:tcPr>
          <w:p w14:paraId="73A2960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49 studies</w:t>
            </w:r>
          </w:p>
        </w:tc>
        <w:tc>
          <w:tcPr>
            <w:tcW w:w="1695" w:type="dxa"/>
            <w:tcBorders>
              <w:top w:val="nil"/>
              <w:left w:val="nil"/>
              <w:bottom w:val="single" w:sz="4" w:space="0" w:color="auto"/>
              <w:right w:val="single" w:sz="4" w:space="0" w:color="auto"/>
            </w:tcBorders>
            <w:noWrap/>
            <w:vAlign w:val="bottom"/>
            <w:hideMark/>
          </w:tcPr>
          <w:p w14:paraId="3F622F0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Usability Dimensions</w:t>
            </w:r>
          </w:p>
        </w:tc>
        <w:tc>
          <w:tcPr>
            <w:tcW w:w="922" w:type="dxa"/>
            <w:tcBorders>
              <w:top w:val="nil"/>
              <w:left w:val="nil"/>
              <w:bottom w:val="single" w:sz="4" w:space="0" w:color="auto"/>
              <w:right w:val="single" w:sz="4" w:space="0" w:color="auto"/>
            </w:tcBorders>
            <w:noWrap/>
            <w:vAlign w:val="bottom"/>
            <w:hideMark/>
          </w:tcPr>
          <w:p w14:paraId="34B3316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Mobile banking usability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97C1589" w14:textId="5BB63985"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Focus on technology acceptance only; lacks </w:t>
            </w:r>
            <w:r w:rsidR="00B72961" w:rsidRPr="00F70CB0">
              <w:rPr>
                <w:color w:val="000000"/>
                <w:sz w:val="24"/>
                <w:szCs w:val="24"/>
                <w:lang w:val="en-GB" w:eastAsia="en-GB"/>
              </w:rPr>
              <w:t xml:space="preserve">a </w:t>
            </w:r>
            <w:r w:rsidRPr="00F70CB0">
              <w:rPr>
                <w:color w:val="000000"/>
                <w:sz w:val="24"/>
                <w:szCs w:val="24"/>
                <w:lang w:val="en-GB" w:eastAsia="en-GB"/>
              </w:rPr>
              <w:t>customer experience perspective</w:t>
            </w:r>
          </w:p>
        </w:tc>
      </w:tr>
      <w:tr w:rsidR="000D15B2" w:rsidRPr="00F70CB0" w14:paraId="593C75BF"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741022E"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95</w:t>
            </w:r>
          </w:p>
        </w:tc>
        <w:tc>
          <w:tcPr>
            <w:tcW w:w="1134" w:type="dxa"/>
            <w:tcBorders>
              <w:top w:val="nil"/>
              <w:left w:val="nil"/>
              <w:bottom w:val="single" w:sz="4" w:space="0" w:color="auto"/>
              <w:right w:val="single" w:sz="4" w:space="0" w:color="auto"/>
            </w:tcBorders>
            <w:noWrap/>
            <w:vAlign w:val="bottom"/>
            <w:hideMark/>
          </w:tcPr>
          <w:p w14:paraId="13FD9DB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Harb et al. (2022)</w:t>
            </w:r>
          </w:p>
        </w:tc>
        <w:tc>
          <w:tcPr>
            <w:tcW w:w="678" w:type="dxa"/>
            <w:tcBorders>
              <w:top w:val="nil"/>
              <w:left w:val="nil"/>
              <w:bottom w:val="single" w:sz="4" w:space="0" w:color="auto"/>
              <w:right w:val="single" w:sz="4" w:space="0" w:color="auto"/>
            </w:tcBorders>
            <w:noWrap/>
            <w:vAlign w:val="bottom"/>
            <w:hideMark/>
          </w:tcPr>
          <w:p w14:paraId="03984AD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Lebanon</w:t>
            </w:r>
          </w:p>
        </w:tc>
        <w:tc>
          <w:tcPr>
            <w:tcW w:w="1196" w:type="dxa"/>
            <w:tcBorders>
              <w:top w:val="nil"/>
              <w:left w:val="nil"/>
              <w:bottom w:val="single" w:sz="4" w:space="0" w:color="auto"/>
              <w:right w:val="single" w:sz="4" w:space="0" w:color="auto"/>
            </w:tcBorders>
            <w:noWrap/>
            <w:vAlign w:val="bottom"/>
            <w:hideMark/>
          </w:tcPr>
          <w:p w14:paraId="047B563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Regression Model</w:t>
            </w:r>
          </w:p>
        </w:tc>
        <w:tc>
          <w:tcPr>
            <w:tcW w:w="711" w:type="dxa"/>
            <w:tcBorders>
              <w:top w:val="nil"/>
              <w:left w:val="nil"/>
              <w:bottom w:val="single" w:sz="4" w:space="0" w:color="auto"/>
              <w:right w:val="single" w:sz="4" w:space="0" w:color="auto"/>
            </w:tcBorders>
            <w:noWrap/>
            <w:vAlign w:val="bottom"/>
            <w:hideMark/>
          </w:tcPr>
          <w:p w14:paraId="0AA78CD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Regression analysis</w:t>
            </w:r>
          </w:p>
        </w:tc>
        <w:tc>
          <w:tcPr>
            <w:tcW w:w="447" w:type="dxa"/>
            <w:tcBorders>
              <w:top w:val="nil"/>
              <w:left w:val="nil"/>
              <w:bottom w:val="single" w:sz="4" w:space="0" w:color="auto"/>
              <w:right w:val="single" w:sz="4" w:space="0" w:color="auto"/>
            </w:tcBorders>
            <w:noWrap/>
            <w:vAlign w:val="bottom"/>
            <w:hideMark/>
          </w:tcPr>
          <w:p w14:paraId="58D20C09"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695" w:type="dxa"/>
            <w:tcBorders>
              <w:top w:val="nil"/>
              <w:left w:val="nil"/>
              <w:bottom w:val="single" w:sz="4" w:space="0" w:color="auto"/>
              <w:right w:val="single" w:sz="4" w:space="0" w:color="auto"/>
            </w:tcBorders>
            <w:noWrap/>
            <w:vAlign w:val="bottom"/>
            <w:hideMark/>
          </w:tcPr>
          <w:p w14:paraId="0D249482"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Satisfaction</w:t>
            </w:r>
          </w:p>
        </w:tc>
        <w:tc>
          <w:tcPr>
            <w:tcW w:w="922" w:type="dxa"/>
            <w:tcBorders>
              <w:top w:val="nil"/>
              <w:left w:val="nil"/>
              <w:bottom w:val="single" w:sz="4" w:space="0" w:color="auto"/>
              <w:right w:val="single" w:sz="4" w:space="0" w:color="auto"/>
            </w:tcBorders>
            <w:noWrap/>
            <w:vAlign w:val="bottom"/>
            <w:hideMark/>
          </w:tcPr>
          <w:p w14:paraId="4F61ED8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channels</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7AE25DFC" w14:textId="53B9B8BA"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to </w:t>
            </w:r>
            <w:r w:rsidR="00B72961" w:rsidRPr="00F70CB0">
              <w:rPr>
                <w:color w:val="000000"/>
                <w:sz w:val="24"/>
                <w:szCs w:val="24"/>
                <w:lang w:val="en-GB" w:eastAsia="en-GB"/>
              </w:rPr>
              <w:t xml:space="preserve">a </w:t>
            </w:r>
            <w:r w:rsidRPr="00F70CB0">
              <w:rPr>
                <w:color w:val="000000"/>
                <w:sz w:val="24"/>
                <w:szCs w:val="24"/>
                <w:lang w:val="en-GB" w:eastAsia="en-GB"/>
              </w:rPr>
              <w:t>specific context; lacks global applicability</w:t>
            </w:r>
          </w:p>
        </w:tc>
      </w:tr>
      <w:tr w:rsidR="000D15B2" w:rsidRPr="00F70CB0" w14:paraId="666B685C"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7F7DFB1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96</w:t>
            </w:r>
          </w:p>
        </w:tc>
        <w:tc>
          <w:tcPr>
            <w:tcW w:w="1134" w:type="dxa"/>
            <w:tcBorders>
              <w:top w:val="single" w:sz="4" w:space="0" w:color="auto"/>
              <w:left w:val="nil"/>
              <w:bottom w:val="single" w:sz="4" w:space="0" w:color="auto"/>
              <w:right w:val="single" w:sz="4" w:space="0" w:color="auto"/>
            </w:tcBorders>
            <w:noWrap/>
            <w:vAlign w:val="bottom"/>
            <w:hideMark/>
          </w:tcPr>
          <w:p w14:paraId="1F17D33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Adapa &amp; Cooksey (2013)</w:t>
            </w:r>
          </w:p>
        </w:tc>
        <w:tc>
          <w:tcPr>
            <w:tcW w:w="678" w:type="dxa"/>
            <w:tcBorders>
              <w:top w:val="single" w:sz="4" w:space="0" w:color="auto"/>
              <w:left w:val="nil"/>
              <w:bottom w:val="single" w:sz="4" w:space="0" w:color="auto"/>
              <w:right w:val="single" w:sz="4" w:space="0" w:color="auto"/>
            </w:tcBorders>
            <w:noWrap/>
            <w:vAlign w:val="bottom"/>
            <w:hideMark/>
          </w:tcPr>
          <w:p w14:paraId="700DCD4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Australia</w:t>
            </w:r>
          </w:p>
        </w:tc>
        <w:tc>
          <w:tcPr>
            <w:tcW w:w="1196" w:type="dxa"/>
            <w:tcBorders>
              <w:top w:val="single" w:sz="4" w:space="0" w:color="auto"/>
              <w:left w:val="nil"/>
              <w:bottom w:val="single" w:sz="4" w:space="0" w:color="auto"/>
              <w:right w:val="single" w:sz="4" w:space="0" w:color="auto"/>
            </w:tcBorders>
            <w:noWrap/>
            <w:vAlign w:val="bottom"/>
            <w:hideMark/>
          </w:tcPr>
          <w:p w14:paraId="5C87F0E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Integrated Model</w:t>
            </w:r>
          </w:p>
        </w:tc>
        <w:tc>
          <w:tcPr>
            <w:tcW w:w="711" w:type="dxa"/>
            <w:tcBorders>
              <w:top w:val="single" w:sz="4" w:space="0" w:color="auto"/>
              <w:left w:val="nil"/>
              <w:bottom w:val="single" w:sz="4" w:space="0" w:color="auto"/>
              <w:right w:val="single" w:sz="4" w:space="0" w:color="auto"/>
            </w:tcBorders>
            <w:noWrap/>
            <w:vAlign w:val="bottom"/>
            <w:hideMark/>
          </w:tcPr>
          <w:p w14:paraId="6631DA6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Survey</w:t>
            </w:r>
          </w:p>
        </w:tc>
        <w:tc>
          <w:tcPr>
            <w:tcW w:w="447" w:type="dxa"/>
            <w:tcBorders>
              <w:top w:val="single" w:sz="4" w:space="0" w:color="auto"/>
              <w:left w:val="nil"/>
              <w:bottom w:val="single" w:sz="4" w:space="0" w:color="auto"/>
              <w:right w:val="single" w:sz="4" w:space="0" w:color="auto"/>
            </w:tcBorders>
            <w:noWrap/>
            <w:vAlign w:val="bottom"/>
            <w:hideMark/>
          </w:tcPr>
          <w:p w14:paraId="2194B7BA"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372</w:t>
            </w:r>
          </w:p>
        </w:tc>
        <w:tc>
          <w:tcPr>
            <w:tcW w:w="1695" w:type="dxa"/>
            <w:tcBorders>
              <w:top w:val="single" w:sz="4" w:space="0" w:color="auto"/>
              <w:left w:val="nil"/>
              <w:bottom w:val="single" w:sz="4" w:space="0" w:color="auto"/>
              <w:right w:val="single" w:sz="4" w:space="0" w:color="auto"/>
            </w:tcBorders>
            <w:noWrap/>
            <w:vAlign w:val="bottom"/>
            <w:hideMark/>
          </w:tcPr>
          <w:p w14:paraId="61591C4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Value, Technology, Continuance</w:t>
            </w:r>
          </w:p>
        </w:tc>
        <w:tc>
          <w:tcPr>
            <w:tcW w:w="922" w:type="dxa"/>
            <w:tcBorders>
              <w:top w:val="single" w:sz="4" w:space="0" w:color="auto"/>
              <w:left w:val="nil"/>
              <w:bottom w:val="single" w:sz="4" w:space="0" w:color="auto"/>
              <w:right w:val="single" w:sz="4" w:space="0" w:color="auto"/>
            </w:tcBorders>
            <w:noWrap/>
            <w:vAlign w:val="bottom"/>
            <w:hideMark/>
          </w:tcPr>
          <w:p w14:paraId="329EDB7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Internet banking continuance</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13560786"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adoption behaviour; lacks retention and loyalty analysis</w:t>
            </w:r>
          </w:p>
        </w:tc>
      </w:tr>
      <w:tr w:rsidR="000D15B2" w:rsidRPr="00F70CB0" w14:paraId="12BB9A5A"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18F729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97</w:t>
            </w:r>
          </w:p>
        </w:tc>
        <w:tc>
          <w:tcPr>
            <w:tcW w:w="1134" w:type="dxa"/>
            <w:tcBorders>
              <w:top w:val="nil"/>
              <w:left w:val="nil"/>
              <w:bottom w:val="single" w:sz="4" w:space="0" w:color="auto"/>
              <w:right w:val="single" w:sz="4" w:space="0" w:color="auto"/>
            </w:tcBorders>
            <w:noWrap/>
            <w:vAlign w:val="bottom"/>
            <w:hideMark/>
          </w:tcPr>
          <w:p w14:paraId="372C6E57"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Lotko</w:t>
            </w:r>
            <w:proofErr w:type="spellEnd"/>
            <w:r w:rsidRPr="00F70CB0">
              <w:rPr>
                <w:color w:val="000000"/>
                <w:sz w:val="24"/>
                <w:szCs w:val="24"/>
                <w:lang w:val="en-GB" w:eastAsia="en-GB"/>
              </w:rPr>
              <w:t xml:space="preserve"> (2022)</w:t>
            </w:r>
          </w:p>
        </w:tc>
        <w:tc>
          <w:tcPr>
            <w:tcW w:w="678" w:type="dxa"/>
            <w:tcBorders>
              <w:top w:val="nil"/>
              <w:left w:val="nil"/>
              <w:bottom w:val="single" w:sz="4" w:space="0" w:color="auto"/>
              <w:right w:val="single" w:sz="4" w:space="0" w:color="auto"/>
            </w:tcBorders>
            <w:noWrap/>
            <w:vAlign w:val="bottom"/>
            <w:hideMark/>
          </w:tcPr>
          <w:p w14:paraId="3E91C4C4"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Poland</w:t>
            </w:r>
          </w:p>
        </w:tc>
        <w:tc>
          <w:tcPr>
            <w:tcW w:w="1196" w:type="dxa"/>
            <w:tcBorders>
              <w:top w:val="nil"/>
              <w:left w:val="nil"/>
              <w:bottom w:val="single" w:sz="4" w:space="0" w:color="auto"/>
              <w:right w:val="single" w:sz="4" w:space="0" w:color="auto"/>
            </w:tcBorders>
            <w:noWrap/>
            <w:vAlign w:val="bottom"/>
            <w:hideMark/>
          </w:tcPr>
          <w:p w14:paraId="79365FC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Model</w:t>
            </w:r>
          </w:p>
        </w:tc>
        <w:tc>
          <w:tcPr>
            <w:tcW w:w="711" w:type="dxa"/>
            <w:tcBorders>
              <w:top w:val="nil"/>
              <w:left w:val="nil"/>
              <w:bottom w:val="single" w:sz="4" w:space="0" w:color="auto"/>
              <w:right w:val="single" w:sz="4" w:space="0" w:color="auto"/>
            </w:tcBorders>
            <w:noWrap/>
            <w:vAlign w:val="bottom"/>
            <w:hideMark/>
          </w:tcPr>
          <w:p w14:paraId="3605478F"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SEM</w:t>
            </w:r>
          </w:p>
        </w:tc>
        <w:tc>
          <w:tcPr>
            <w:tcW w:w="447" w:type="dxa"/>
            <w:tcBorders>
              <w:top w:val="nil"/>
              <w:left w:val="nil"/>
              <w:bottom w:val="single" w:sz="4" w:space="0" w:color="auto"/>
              <w:right w:val="single" w:sz="4" w:space="0" w:color="auto"/>
            </w:tcBorders>
            <w:noWrap/>
            <w:vAlign w:val="bottom"/>
            <w:hideMark/>
          </w:tcPr>
          <w:p w14:paraId="039712F1"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384</w:t>
            </w:r>
          </w:p>
        </w:tc>
        <w:tc>
          <w:tcPr>
            <w:tcW w:w="1695" w:type="dxa"/>
            <w:tcBorders>
              <w:top w:val="nil"/>
              <w:left w:val="nil"/>
              <w:bottom w:val="single" w:sz="4" w:space="0" w:color="auto"/>
              <w:right w:val="single" w:sz="4" w:space="0" w:color="auto"/>
            </w:tcBorders>
            <w:noWrap/>
            <w:vAlign w:val="bottom"/>
            <w:hideMark/>
          </w:tcPr>
          <w:p w14:paraId="55BE60CC"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Service Quality, Loyalty</w:t>
            </w:r>
          </w:p>
        </w:tc>
        <w:tc>
          <w:tcPr>
            <w:tcW w:w="922" w:type="dxa"/>
            <w:tcBorders>
              <w:top w:val="nil"/>
              <w:left w:val="nil"/>
              <w:bottom w:val="single" w:sz="4" w:space="0" w:color="auto"/>
              <w:right w:val="single" w:sz="4" w:space="0" w:color="auto"/>
            </w:tcBorders>
            <w:noWrap/>
            <w:vAlign w:val="bottom"/>
            <w:hideMark/>
          </w:tcPr>
          <w:p w14:paraId="0394434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Internet banking loyalty</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69E509F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 xml:space="preserve">Limited empirical evidence; lacks </w:t>
            </w:r>
            <w:r w:rsidRPr="00F70CB0">
              <w:rPr>
                <w:color w:val="000000"/>
                <w:sz w:val="24"/>
                <w:szCs w:val="24"/>
                <w:lang w:val="en-GB" w:eastAsia="en-GB"/>
              </w:rPr>
              <w:lastRenderedPageBreak/>
              <w:t>robust statistical validation</w:t>
            </w:r>
          </w:p>
        </w:tc>
      </w:tr>
      <w:tr w:rsidR="000D15B2" w:rsidRPr="00F70CB0" w14:paraId="18D179DE" w14:textId="77777777" w:rsidTr="00BD6404">
        <w:trPr>
          <w:trHeight w:val="288"/>
        </w:trPr>
        <w:tc>
          <w:tcPr>
            <w:tcW w:w="422" w:type="dxa"/>
            <w:tcBorders>
              <w:top w:val="single" w:sz="4" w:space="0" w:color="auto"/>
              <w:left w:val="single" w:sz="4" w:space="0" w:color="auto"/>
              <w:bottom w:val="single" w:sz="4" w:space="0" w:color="auto"/>
              <w:right w:val="single" w:sz="4" w:space="0" w:color="auto"/>
            </w:tcBorders>
            <w:noWrap/>
            <w:vAlign w:val="bottom"/>
            <w:hideMark/>
          </w:tcPr>
          <w:p w14:paraId="421D37D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lastRenderedPageBreak/>
              <w:t>98</w:t>
            </w:r>
          </w:p>
        </w:tc>
        <w:tc>
          <w:tcPr>
            <w:tcW w:w="1134" w:type="dxa"/>
            <w:tcBorders>
              <w:top w:val="single" w:sz="4" w:space="0" w:color="auto"/>
              <w:left w:val="single" w:sz="4" w:space="0" w:color="auto"/>
              <w:bottom w:val="single" w:sz="4" w:space="0" w:color="auto"/>
              <w:right w:val="single" w:sz="4" w:space="0" w:color="auto"/>
            </w:tcBorders>
            <w:noWrap/>
            <w:vAlign w:val="bottom"/>
            <w:hideMark/>
          </w:tcPr>
          <w:p w14:paraId="75F37E47" w14:textId="77777777" w:rsidR="000D15B2" w:rsidRPr="00F70CB0" w:rsidRDefault="000D15B2" w:rsidP="00073A87">
            <w:pPr>
              <w:spacing w:before="0" w:after="0"/>
              <w:jc w:val="both"/>
              <w:rPr>
                <w:color w:val="000000"/>
                <w:sz w:val="24"/>
                <w:szCs w:val="24"/>
                <w:lang w:val="en-GB" w:eastAsia="en-GB"/>
              </w:rPr>
            </w:pPr>
            <w:proofErr w:type="spellStart"/>
            <w:r w:rsidRPr="00F70CB0">
              <w:rPr>
                <w:color w:val="000000"/>
                <w:sz w:val="24"/>
                <w:szCs w:val="24"/>
                <w:lang w:val="en-GB" w:eastAsia="en-GB"/>
              </w:rPr>
              <w:t>Musyaffi</w:t>
            </w:r>
            <w:proofErr w:type="spellEnd"/>
            <w:r w:rsidRPr="00F70CB0">
              <w:rPr>
                <w:color w:val="000000"/>
                <w:sz w:val="24"/>
                <w:szCs w:val="24"/>
                <w:lang w:val="en-GB" w:eastAsia="en-GB"/>
              </w:rPr>
              <w:t xml:space="preserve"> et al. (2024)</w:t>
            </w:r>
          </w:p>
        </w:tc>
        <w:tc>
          <w:tcPr>
            <w:tcW w:w="678" w:type="dxa"/>
            <w:tcBorders>
              <w:top w:val="single" w:sz="4" w:space="0" w:color="auto"/>
              <w:left w:val="single" w:sz="4" w:space="0" w:color="auto"/>
              <w:bottom w:val="single" w:sz="4" w:space="0" w:color="auto"/>
              <w:right w:val="single" w:sz="4" w:space="0" w:color="auto"/>
            </w:tcBorders>
            <w:noWrap/>
            <w:vAlign w:val="bottom"/>
            <w:hideMark/>
          </w:tcPr>
          <w:p w14:paraId="194067D3"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w:t>
            </w:r>
          </w:p>
        </w:tc>
        <w:tc>
          <w:tcPr>
            <w:tcW w:w="1196" w:type="dxa"/>
            <w:tcBorders>
              <w:top w:val="single" w:sz="4" w:space="0" w:color="auto"/>
              <w:left w:val="single" w:sz="4" w:space="0" w:color="auto"/>
              <w:bottom w:val="single" w:sz="4" w:space="0" w:color="auto"/>
              <w:right w:val="single" w:sz="4" w:space="0" w:color="auto"/>
            </w:tcBorders>
            <w:noWrap/>
            <w:vAlign w:val="bottom"/>
            <w:hideMark/>
          </w:tcPr>
          <w:p w14:paraId="56DBD135"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TAM Extension</w:t>
            </w:r>
          </w:p>
        </w:tc>
        <w:tc>
          <w:tcPr>
            <w:tcW w:w="711" w:type="dxa"/>
            <w:tcBorders>
              <w:top w:val="single" w:sz="4" w:space="0" w:color="auto"/>
              <w:left w:val="single" w:sz="4" w:space="0" w:color="auto"/>
              <w:bottom w:val="single" w:sz="4" w:space="0" w:color="auto"/>
              <w:right w:val="single" w:sz="4" w:space="0" w:color="auto"/>
            </w:tcBorders>
            <w:noWrap/>
            <w:vAlign w:val="bottom"/>
            <w:hideMark/>
          </w:tcPr>
          <w:p w14:paraId="49F5CA00"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PLS-SEM</w:t>
            </w:r>
          </w:p>
        </w:tc>
        <w:tc>
          <w:tcPr>
            <w:tcW w:w="447" w:type="dxa"/>
            <w:tcBorders>
              <w:top w:val="single" w:sz="4" w:space="0" w:color="auto"/>
              <w:left w:val="single" w:sz="4" w:space="0" w:color="auto"/>
              <w:bottom w:val="single" w:sz="4" w:space="0" w:color="auto"/>
              <w:right w:val="single" w:sz="4" w:space="0" w:color="auto"/>
            </w:tcBorders>
            <w:noWrap/>
            <w:vAlign w:val="bottom"/>
            <w:hideMark/>
          </w:tcPr>
          <w:p w14:paraId="7553437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598</w:t>
            </w:r>
          </w:p>
        </w:tc>
        <w:tc>
          <w:tcPr>
            <w:tcW w:w="1695" w:type="dxa"/>
            <w:tcBorders>
              <w:top w:val="single" w:sz="4" w:space="0" w:color="auto"/>
              <w:left w:val="single" w:sz="4" w:space="0" w:color="auto"/>
              <w:bottom w:val="single" w:sz="4" w:space="0" w:color="auto"/>
              <w:right w:val="single" w:sz="4" w:space="0" w:color="auto"/>
            </w:tcBorders>
            <w:noWrap/>
            <w:vAlign w:val="bottom"/>
            <w:hideMark/>
          </w:tcPr>
          <w:p w14:paraId="1650AB97"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Trust, Security, Innovativeness</w:t>
            </w:r>
          </w:p>
        </w:tc>
        <w:tc>
          <w:tcPr>
            <w:tcW w:w="922" w:type="dxa"/>
            <w:tcBorders>
              <w:top w:val="single" w:sz="4" w:space="0" w:color="auto"/>
              <w:left w:val="single" w:sz="4" w:space="0" w:color="auto"/>
              <w:bottom w:val="single" w:sz="4" w:space="0" w:color="auto"/>
              <w:right w:val="single" w:sz="4" w:space="0" w:color="auto"/>
            </w:tcBorders>
            <w:noWrap/>
            <w:vAlign w:val="bottom"/>
            <w:hideMark/>
          </w:tcPr>
          <w:p w14:paraId="2FD37488"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Digital banking adoption</w:t>
            </w:r>
          </w:p>
        </w:tc>
        <w:tc>
          <w:tcPr>
            <w:tcW w:w="2145" w:type="dxa"/>
            <w:tcBorders>
              <w:top w:val="single" w:sz="4" w:space="0" w:color="auto"/>
              <w:left w:val="single" w:sz="4" w:space="0" w:color="auto"/>
              <w:bottom w:val="single" w:sz="4" w:space="0" w:color="auto"/>
              <w:right w:val="single" w:sz="4" w:space="0" w:color="auto"/>
            </w:tcBorders>
            <w:noWrap/>
            <w:vAlign w:val="bottom"/>
            <w:hideMark/>
          </w:tcPr>
          <w:p w14:paraId="5E2A537B" w14:textId="77777777" w:rsidR="000D15B2" w:rsidRPr="00F70CB0" w:rsidRDefault="000D15B2" w:rsidP="00073A87">
            <w:pPr>
              <w:spacing w:before="0" w:after="0"/>
              <w:jc w:val="both"/>
              <w:rPr>
                <w:color w:val="000000"/>
                <w:sz w:val="24"/>
                <w:szCs w:val="24"/>
                <w:lang w:val="en-GB" w:eastAsia="en-GB"/>
              </w:rPr>
            </w:pPr>
            <w:r w:rsidRPr="00F70CB0">
              <w:rPr>
                <w:color w:val="000000"/>
                <w:sz w:val="24"/>
                <w:szCs w:val="24"/>
                <w:lang w:val="en-GB" w:eastAsia="en-GB"/>
              </w:rPr>
              <w:t>Focus on digital tools; lacks broader banking ecosystem analysis</w:t>
            </w:r>
          </w:p>
        </w:tc>
      </w:tr>
    </w:tbl>
    <w:p w14:paraId="373CE781" w14:textId="77777777" w:rsidR="000D15B2" w:rsidRPr="00F70CB0" w:rsidRDefault="000D15B2" w:rsidP="00073A87">
      <w:pPr>
        <w:tabs>
          <w:tab w:val="left" w:pos="2532"/>
        </w:tabs>
        <w:jc w:val="both"/>
        <w:rPr>
          <w:b/>
          <w:bCs/>
          <w:sz w:val="24"/>
          <w:szCs w:val="24"/>
          <w:lang w:val="en-GB"/>
        </w:rPr>
      </w:pPr>
    </w:p>
    <w:p w14:paraId="6BFA5532" w14:textId="77777777" w:rsidR="00917CBF" w:rsidRPr="00F70CB0" w:rsidRDefault="00917CBF" w:rsidP="00073A87">
      <w:pPr>
        <w:jc w:val="both"/>
        <w:rPr>
          <w:sz w:val="24"/>
          <w:szCs w:val="24"/>
          <w:lang w:val="en-GB"/>
        </w:rPr>
      </w:pPr>
    </w:p>
    <w:p w14:paraId="7F5AAD38" w14:textId="77777777" w:rsidR="000D15B2" w:rsidRPr="00F70CB0" w:rsidRDefault="000D15B2" w:rsidP="00F46854">
      <w:pPr>
        <w:jc w:val="both"/>
        <w:rPr>
          <w:sz w:val="24"/>
          <w:szCs w:val="24"/>
          <w:lang w:val="en-GB"/>
        </w:rPr>
      </w:pPr>
    </w:p>
    <w:p w14:paraId="22452EA0" w14:textId="72FD1DDF" w:rsidR="000D15B2" w:rsidRPr="00F70CB0" w:rsidRDefault="000D15B2" w:rsidP="00F46854">
      <w:pPr>
        <w:jc w:val="both"/>
        <w:rPr>
          <w:sz w:val="24"/>
          <w:szCs w:val="24"/>
          <w:lang w:val="en-GB"/>
        </w:rPr>
      </w:pPr>
    </w:p>
    <w:p w14:paraId="388B242D" w14:textId="77777777" w:rsidR="000D15B2" w:rsidRPr="00F70CB0" w:rsidRDefault="000D15B2" w:rsidP="00F46854">
      <w:pPr>
        <w:jc w:val="both"/>
        <w:rPr>
          <w:sz w:val="24"/>
          <w:szCs w:val="24"/>
          <w:lang w:val="en-GB"/>
        </w:rPr>
      </w:pPr>
    </w:p>
    <w:p w14:paraId="52C6B3EE" w14:textId="77777777" w:rsidR="000D15B2" w:rsidRPr="00F70CB0" w:rsidRDefault="000D15B2" w:rsidP="00F46854">
      <w:pPr>
        <w:jc w:val="both"/>
        <w:rPr>
          <w:sz w:val="24"/>
          <w:szCs w:val="24"/>
          <w:lang w:val="en-GB"/>
        </w:rPr>
      </w:pPr>
    </w:p>
    <w:p w14:paraId="6E1AA7E4" w14:textId="77777777" w:rsidR="000D15B2" w:rsidRPr="00F70CB0" w:rsidRDefault="000D15B2" w:rsidP="00F46854">
      <w:pPr>
        <w:jc w:val="both"/>
        <w:rPr>
          <w:sz w:val="24"/>
          <w:szCs w:val="24"/>
          <w:lang w:val="en-GB"/>
        </w:rPr>
      </w:pPr>
    </w:p>
    <w:p w14:paraId="316989A8" w14:textId="77777777" w:rsidR="000D15B2" w:rsidRPr="00F70CB0" w:rsidRDefault="000D15B2" w:rsidP="00F46854">
      <w:pPr>
        <w:jc w:val="both"/>
        <w:rPr>
          <w:sz w:val="24"/>
          <w:szCs w:val="24"/>
          <w:lang w:val="en-GB"/>
        </w:rPr>
      </w:pPr>
    </w:p>
    <w:p w14:paraId="75AA3E8F" w14:textId="77777777" w:rsidR="00FE003D" w:rsidRPr="00F70CB0" w:rsidRDefault="00FE003D" w:rsidP="000D15B2">
      <w:pPr>
        <w:tabs>
          <w:tab w:val="left" w:pos="2532"/>
        </w:tabs>
        <w:rPr>
          <w:b/>
          <w:bCs/>
          <w:sz w:val="24"/>
          <w:szCs w:val="24"/>
          <w:lang w:val="en-GB"/>
        </w:rPr>
      </w:pPr>
    </w:p>
    <w:sectPr w:rsidR="00FE003D" w:rsidRPr="00F70CB0" w:rsidSect="00F46854">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14D3D" w14:textId="77777777" w:rsidR="00B42C0C" w:rsidRDefault="00B42C0C" w:rsidP="006F424D">
      <w:pPr>
        <w:spacing w:before="0" w:after="0"/>
      </w:pPr>
      <w:r>
        <w:separator/>
      </w:r>
    </w:p>
  </w:endnote>
  <w:endnote w:type="continuationSeparator" w:id="0">
    <w:p w14:paraId="276E5D28" w14:textId="77777777" w:rsidR="00B42C0C" w:rsidRDefault="00B42C0C" w:rsidP="006F424D">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6043796"/>
      <w:docPartObj>
        <w:docPartGallery w:val="Page Numbers (Bottom of Page)"/>
        <w:docPartUnique/>
      </w:docPartObj>
    </w:sdtPr>
    <w:sdtContent>
      <w:p w14:paraId="3EBFCB98" w14:textId="77777777" w:rsidR="00483BD7" w:rsidRDefault="00483BD7">
        <w:pPr>
          <w:pStyle w:val="Footer"/>
          <w:jc w:val="right"/>
        </w:pPr>
        <w:r>
          <w:fldChar w:fldCharType="begin"/>
        </w:r>
        <w:r>
          <w:instrText>PAGE   \* MERGEFORMAT</w:instrText>
        </w:r>
        <w:r>
          <w:fldChar w:fldCharType="separate"/>
        </w:r>
        <w:r>
          <w:rPr>
            <w:lang w:val="en-GB"/>
          </w:rPr>
          <w:t>2</w:t>
        </w:r>
        <w:r>
          <w:fldChar w:fldCharType="end"/>
        </w:r>
      </w:p>
    </w:sdtContent>
  </w:sdt>
  <w:p w14:paraId="14F09FD2" w14:textId="77777777" w:rsidR="00483BD7" w:rsidRDefault="00483B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25EEF" w14:textId="77777777" w:rsidR="00B42C0C" w:rsidRDefault="00B42C0C" w:rsidP="006F424D">
      <w:pPr>
        <w:spacing w:before="0" w:after="0"/>
      </w:pPr>
      <w:r>
        <w:separator/>
      </w:r>
    </w:p>
  </w:footnote>
  <w:footnote w:type="continuationSeparator" w:id="0">
    <w:p w14:paraId="3D00A883" w14:textId="77777777" w:rsidR="00B42C0C" w:rsidRDefault="00B42C0C" w:rsidP="006F424D">
      <w:pPr>
        <w:spacing w:before="0" w:after="0"/>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KrU0aT0" int2:invalidationBookmarkName="" int2:hashCode="xvSi94p+PM5M26" int2:id="Kc3g282G">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E652B"/>
    <w:multiLevelType w:val="hybridMultilevel"/>
    <w:tmpl w:val="B82E5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2271B"/>
    <w:multiLevelType w:val="hybridMultilevel"/>
    <w:tmpl w:val="C2E09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F5134"/>
    <w:multiLevelType w:val="hybridMultilevel"/>
    <w:tmpl w:val="0944C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A66F6D"/>
    <w:multiLevelType w:val="hybridMultilevel"/>
    <w:tmpl w:val="FDBEF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B16627"/>
    <w:multiLevelType w:val="hybridMultilevel"/>
    <w:tmpl w:val="70E21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D64F5B"/>
    <w:multiLevelType w:val="hybridMultilevel"/>
    <w:tmpl w:val="3418E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1833B7"/>
    <w:multiLevelType w:val="hybridMultilevel"/>
    <w:tmpl w:val="54B6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100233"/>
    <w:multiLevelType w:val="hybridMultilevel"/>
    <w:tmpl w:val="3DC2C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091B34"/>
    <w:multiLevelType w:val="hybridMultilevel"/>
    <w:tmpl w:val="9598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894CC0"/>
    <w:multiLevelType w:val="hybridMultilevel"/>
    <w:tmpl w:val="2C9A7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610865"/>
    <w:multiLevelType w:val="hybridMultilevel"/>
    <w:tmpl w:val="75781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B257D9"/>
    <w:multiLevelType w:val="hybridMultilevel"/>
    <w:tmpl w:val="B64E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D874F7"/>
    <w:multiLevelType w:val="multilevel"/>
    <w:tmpl w:val="F3C8E20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3181966"/>
    <w:multiLevelType w:val="hybridMultilevel"/>
    <w:tmpl w:val="0B029C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DB03F4"/>
    <w:multiLevelType w:val="hybridMultilevel"/>
    <w:tmpl w:val="C0C26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1E03D8"/>
    <w:multiLevelType w:val="hybridMultilevel"/>
    <w:tmpl w:val="2F0E8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9F662E"/>
    <w:multiLevelType w:val="hybridMultilevel"/>
    <w:tmpl w:val="88CC8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126F14"/>
    <w:multiLevelType w:val="hybridMultilevel"/>
    <w:tmpl w:val="3C82C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417E54"/>
    <w:multiLevelType w:val="hybridMultilevel"/>
    <w:tmpl w:val="3DFEB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5855EB"/>
    <w:multiLevelType w:val="hybridMultilevel"/>
    <w:tmpl w:val="646E6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7736CC"/>
    <w:multiLevelType w:val="hybridMultilevel"/>
    <w:tmpl w:val="CFFEF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F3652E"/>
    <w:multiLevelType w:val="hybridMultilevel"/>
    <w:tmpl w:val="D7AC8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441EFC"/>
    <w:multiLevelType w:val="hybridMultilevel"/>
    <w:tmpl w:val="D9F08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A9578C"/>
    <w:multiLevelType w:val="hybridMultilevel"/>
    <w:tmpl w:val="B03ED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546176"/>
    <w:multiLevelType w:val="hybridMultilevel"/>
    <w:tmpl w:val="505C4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F7367F"/>
    <w:multiLevelType w:val="hybridMultilevel"/>
    <w:tmpl w:val="AC327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043A2B"/>
    <w:multiLevelType w:val="hybridMultilevel"/>
    <w:tmpl w:val="9ADA2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421134"/>
    <w:multiLevelType w:val="hybridMultilevel"/>
    <w:tmpl w:val="52A4C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77699B"/>
    <w:multiLevelType w:val="hybridMultilevel"/>
    <w:tmpl w:val="342A9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966A44"/>
    <w:multiLevelType w:val="hybridMultilevel"/>
    <w:tmpl w:val="EF3A4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D83E16"/>
    <w:multiLevelType w:val="hybridMultilevel"/>
    <w:tmpl w:val="1A8CD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492F39"/>
    <w:multiLevelType w:val="hybridMultilevel"/>
    <w:tmpl w:val="CD0E4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AE21F5"/>
    <w:multiLevelType w:val="hybridMultilevel"/>
    <w:tmpl w:val="F0B2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AD1A15"/>
    <w:multiLevelType w:val="hybridMultilevel"/>
    <w:tmpl w:val="83B0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4F60B2F"/>
    <w:multiLevelType w:val="hybridMultilevel"/>
    <w:tmpl w:val="8ED02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2437B4"/>
    <w:multiLevelType w:val="hybridMultilevel"/>
    <w:tmpl w:val="4F526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437541"/>
    <w:multiLevelType w:val="hybridMultilevel"/>
    <w:tmpl w:val="5810E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746606"/>
    <w:multiLevelType w:val="hybridMultilevel"/>
    <w:tmpl w:val="8468E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F72D75"/>
    <w:multiLevelType w:val="hybridMultilevel"/>
    <w:tmpl w:val="53EC0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6732505">
    <w:abstractNumId w:val="19"/>
  </w:num>
  <w:num w:numId="2" w16cid:durableId="2057848488">
    <w:abstractNumId w:val="36"/>
  </w:num>
  <w:num w:numId="3" w16cid:durableId="1125922908">
    <w:abstractNumId w:val="29"/>
  </w:num>
  <w:num w:numId="4" w16cid:durableId="980378645">
    <w:abstractNumId w:val="20"/>
  </w:num>
  <w:num w:numId="5" w16cid:durableId="811211754">
    <w:abstractNumId w:val="9"/>
  </w:num>
  <w:num w:numId="6" w16cid:durableId="70276101">
    <w:abstractNumId w:val="4"/>
  </w:num>
  <w:num w:numId="7" w16cid:durableId="338657149">
    <w:abstractNumId w:val="22"/>
  </w:num>
  <w:num w:numId="8" w16cid:durableId="559750729">
    <w:abstractNumId w:val="3"/>
  </w:num>
  <w:num w:numId="9" w16cid:durableId="1018854529">
    <w:abstractNumId w:val="24"/>
  </w:num>
  <w:num w:numId="10" w16cid:durableId="855463582">
    <w:abstractNumId w:val="23"/>
  </w:num>
  <w:num w:numId="11" w16cid:durableId="479157621">
    <w:abstractNumId w:val="11"/>
  </w:num>
  <w:num w:numId="12" w16cid:durableId="2041585793">
    <w:abstractNumId w:val="21"/>
  </w:num>
  <w:num w:numId="13" w16cid:durableId="757140727">
    <w:abstractNumId w:val="5"/>
  </w:num>
  <w:num w:numId="14" w16cid:durableId="1805275534">
    <w:abstractNumId w:val="38"/>
  </w:num>
  <w:num w:numId="15" w16cid:durableId="2098817389">
    <w:abstractNumId w:val="25"/>
  </w:num>
  <w:num w:numId="16" w16cid:durableId="586502642">
    <w:abstractNumId w:val="0"/>
  </w:num>
  <w:num w:numId="17" w16cid:durableId="1942181106">
    <w:abstractNumId w:val="8"/>
  </w:num>
  <w:num w:numId="18" w16cid:durableId="1165823740">
    <w:abstractNumId w:val="1"/>
  </w:num>
  <w:num w:numId="19" w16cid:durableId="1408530693">
    <w:abstractNumId w:val="6"/>
  </w:num>
  <w:num w:numId="20" w16cid:durableId="800732932">
    <w:abstractNumId w:val="26"/>
  </w:num>
  <w:num w:numId="21" w16cid:durableId="290018830">
    <w:abstractNumId w:val="7"/>
  </w:num>
  <w:num w:numId="22" w16cid:durableId="793330878">
    <w:abstractNumId w:val="35"/>
  </w:num>
  <w:num w:numId="23" w16cid:durableId="1860122018">
    <w:abstractNumId w:val="27"/>
  </w:num>
  <w:num w:numId="24" w16cid:durableId="1932273316">
    <w:abstractNumId w:val="14"/>
  </w:num>
  <w:num w:numId="25" w16cid:durableId="1697152797">
    <w:abstractNumId w:val="28"/>
  </w:num>
  <w:num w:numId="26" w16cid:durableId="606817932">
    <w:abstractNumId w:val="2"/>
  </w:num>
  <w:num w:numId="27" w16cid:durableId="207422396">
    <w:abstractNumId w:val="37"/>
  </w:num>
  <w:num w:numId="28" w16cid:durableId="617948654">
    <w:abstractNumId w:val="31"/>
  </w:num>
  <w:num w:numId="29" w16cid:durableId="1690527172">
    <w:abstractNumId w:val="30"/>
  </w:num>
  <w:num w:numId="30" w16cid:durableId="907034203">
    <w:abstractNumId w:val="32"/>
  </w:num>
  <w:num w:numId="31" w16cid:durableId="1508255780">
    <w:abstractNumId w:val="15"/>
  </w:num>
  <w:num w:numId="32" w16cid:durableId="1874540455">
    <w:abstractNumId w:val="17"/>
  </w:num>
  <w:num w:numId="33" w16cid:durableId="1671903785">
    <w:abstractNumId w:val="34"/>
  </w:num>
  <w:num w:numId="34" w16cid:durableId="394473128">
    <w:abstractNumId w:val="16"/>
  </w:num>
  <w:num w:numId="35" w16cid:durableId="1341547912">
    <w:abstractNumId w:val="33"/>
  </w:num>
  <w:num w:numId="36" w16cid:durableId="1445147448">
    <w:abstractNumId w:val="18"/>
  </w:num>
  <w:num w:numId="37" w16cid:durableId="52117865">
    <w:abstractNumId w:val="12"/>
  </w:num>
  <w:num w:numId="38" w16cid:durableId="1989161547">
    <w:abstractNumId w:val="10"/>
  </w:num>
  <w:num w:numId="39" w16cid:durableId="1885634505">
    <w:abstractNumId w:val="13"/>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1C4"/>
    <w:rsid w:val="00002560"/>
    <w:rsid w:val="00003056"/>
    <w:rsid w:val="00003EB0"/>
    <w:rsid w:val="00004D2A"/>
    <w:rsid w:val="00007A4E"/>
    <w:rsid w:val="00012581"/>
    <w:rsid w:val="00012BEB"/>
    <w:rsid w:val="000159D2"/>
    <w:rsid w:val="00016C75"/>
    <w:rsid w:val="00020208"/>
    <w:rsid w:val="00022F74"/>
    <w:rsid w:val="00043BE7"/>
    <w:rsid w:val="00045A36"/>
    <w:rsid w:val="00045ADA"/>
    <w:rsid w:val="00047F6A"/>
    <w:rsid w:val="00050330"/>
    <w:rsid w:val="00051F89"/>
    <w:rsid w:val="0005200C"/>
    <w:rsid w:val="00052AC5"/>
    <w:rsid w:val="00053EEE"/>
    <w:rsid w:val="00054361"/>
    <w:rsid w:val="00054865"/>
    <w:rsid w:val="00057E24"/>
    <w:rsid w:val="00060648"/>
    <w:rsid w:val="00061551"/>
    <w:rsid w:val="00065EBB"/>
    <w:rsid w:val="0007254D"/>
    <w:rsid w:val="00073A87"/>
    <w:rsid w:val="000757A9"/>
    <w:rsid w:val="000760B5"/>
    <w:rsid w:val="00085FFA"/>
    <w:rsid w:val="0009251D"/>
    <w:rsid w:val="00093A3A"/>
    <w:rsid w:val="000A2E61"/>
    <w:rsid w:val="000B1580"/>
    <w:rsid w:val="000B39B9"/>
    <w:rsid w:val="000D09AA"/>
    <w:rsid w:val="000D15B2"/>
    <w:rsid w:val="000E09D7"/>
    <w:rsid w:val="000E5476"/>
    <w:rsid w:val="000F17C2"/>
    <w:rsid w:val="000F4663"/>
    <w:rsid w:val="000F46FF"/>
    <w:rsid w:val="000F4BB0"/>
    <w:rsid w:val="000F7B23"/>
    <w:rsid w:val="001007D1"/>
    <w:rsid w:val="00101D47"/>
    <w:rsid w:val="00107E25"/>
    <w:rsid w:val="001120B8"/>
    <w:rsid w:val="00112D03"/>
    <w:rsid w:val="00117EFE"/>
    <w:rsid w:val="00123562"/>
    <w:rsid w:val="001251C4"/>
    <w:rsid w:val="00132886"/>
    <w:rsid w:val="00136209"/>
    <w:rsid w:val="00141E45"/>
    <w:rsid w:val="00143411"/>
    <w:rsid w:val="001438FB"/>
    <w:rsid w:val="00144976"/>
    <w:rsid w:val="00145557"/>
    <w:rsid w:val="00147E15"/>
    <w:rsid w:val="001562BC"/>
    <w:rsid w:val="001566C7"/>
    <w:rsid w:val="0016056C"/>
    <w:rsid w:val="00163791"/>
    <w:rsid w:val="00176F2D"/>
    <w:rsid w:val="00184A16"/>
    <w:rsid w:val="00187190"/>
    <w:rsid w:val="00187B27"/>
    <w:rsid w:val="001A362A"/>
    <w:rsid w:val="001A55A5"/>
    <w:rsid w:val="001A5B88"/>
    <w:rsid w:val="001A66DE"/>
    <w:rsid w:val="001A7C3A"/>
    <w:rsid w:val="001B63E0"/>
    <w:rsid w:val="001C020B"/>
    <w:rsid w:val="001C0E23"/>
    <w:rsid w:val="001C6222"/>
    <w:rsid w:val="001D0D81"/>
    <w:rsid w:val="001E27AB"/>
    <w:rsid w:val="001E6E85"/>
    <w:rsid w:val="001F1894"/>
    <w:rsid w:val="001F3442"/>
    <w:rsid w:val="00201448"/>
    <w:rsid w:val="00220BC1"/>
    <w:rsid w:val="0022193B"/>
    <w:rsid w:val="0022300A"/>
    <w:rsid w:val="00231548"/>
    <w:rsid w:val="00235225"/>
    <w:rsid w:val="002405B0"/>
    <w:rsid w:val="00244A15"/>
    <w:rsid w:val="002519C9"/>
    <w:rsid w:val="00252E8A"/>
    <w:rsid w:val="00254691"/>
    <w:rsid w:val="00257503"/>
    <w:rsid w:val="00263A91"/>
    <w:rsid w:val="00265205"/>
    <w:rsid w:val="00271928"/>
    <w:rsid w:val="00273794"/>
    <w:rsid w:val="002747D1"/>
    <w:rsid w:val="0027615D"/>
    <w:rsid w:val="00295174"/>
    <w:rsid w:val="00296C3D"/>
    <w:rsid w:val="00297F7F"/>
    <w:rsid w:val="002A0DDA"/>
    <w:rsid w:val="002A3E38"/>
    <w:rsid w:val="002C184E"/>
    <w:rsid w:val="002C31E2"/>
    <w:rsid w:val="002C4718"/>
    <w:rsid w:val="002C7409"/>
    <w:rsid w:val="002C7661"/>
    <w:rsid w:val="002C799D"/>
    <w:rsid w:val="002D5321"/>
    <w:rsid w:val="002D53C6"/>
    <w:rsid w:val="002E6A58"/>
    <w:rsid w:val="0030417D"/>
    <w:rsid w:val="00305DAC"/>
    <w:rsid w:val="003140E9"/>
    <w:rsid w:val="003148FC"/>
    <w:rsid w:val="0031505F"/>
    <w:rsid w:val="00316858"/>
    <w:rsid w:val="00316F0F"/>
    <w:rsid w:val="00326C32"/>
    <w:rsid w:val="0032772E"/>
    <w:rsid w:val="00330372"/>
    <w:rsid w:val="003309EE"/>
    <w:rsid w:val="003404F9"/>
    <w:rsid w:val="00354253"/>
    <w:rsid w:val="003552AC"/>
    <w:rsid w:val="0036012E"/>
    <w:rsid w:val="00363F16"/>
    <w:rsid w:val="00365597"/>
    <w:rsid w:val="00366B6D"/>
    <w:rsid w:val="00370BB0"/>
    <w:rsid w:val="00373FAF"/>
    <w:rsid w:val="00375418"/>
    <w:rsid w:val="00375F57"/>
    <w:rsid w:val="00376DA5"/>
    <w:rsid w:val="00377C5A"/>
    <w:rsid w:val="003829AB"/>
    <w:rsid w:val="00382DB2"/>
    <w:rsid w:val="003904BA"/>
    <w:rsid w:val="003910DB"/>
    <w:rsid w:val="0039181A"/>
    <w:rsid w:val="00392E90"/>
    <w:rsid w:val="003A15E3"/>
    <w:rsid w:val="003A1BBD"/>
    <w:rsid w:val="003C0739"/>
    <w:rsid w:val="003C3D90"/>
    <w:rsid w:val="003E0184"/>
    <w:rsid w:val="003E5338"/>
    <w:rsid w:val="003F2F26"/>
    <w:rsid w:val="00405660"/>
    <w:rsid w:val="00405FD8"/>
    <w:rsid w:val="004062C8"/>
    <w:rsid w:val="004244F5"/>
    <w:rsid w:val="00427AF9"/>
    <w:rsid w:val="00446AAB"/>
    <w:rsid w:val="00447E92"/>
    <w:rsid w:val="0045181B"/>
    <w:rsid w:val="004534F2"/>
    <w:rsid w:val="0045485F"/>
    <w:rsid w:val="00461BD2"/>
    <w:rsid w:val="004669F9"/>
    <w:rsid w:val="00474E4C"/>
    <w:rsid w:val="00483BD7"/>
    <w:rsid w:val="00484B83"/>
    <w:rsid w:val="0048724A"/>
    <w:rsid w:val="004878D1"/>
    <w:rsid w:val="0049116F"/>
    <w:rsid w:val="00491559"/>
    <w:rsid w:val="00494972"/>
    <w:rsid w:val="004A0AC5"/>
    <w:rsid w:val="004A215A"/>
    <w:rsid w:val="004A5719"/>
    <w:rsid w:val="004A5A9F"/>
    <w:rsid w:val="004C03C5"/>
    <w:rsid w:val="004C11A0"/>
    <w:rsid w:val="004C1944"/>
    <w:rsid w:val="004C2821"/>
    <w:rsid w:val="004D26E2"/>
    <w:rsid w:val="004D31FA"/>
    <w:rsid w:val="004D7FAD"/>
    <w:rsid w:val="004E014D"/>
    <w:rsid w:val="004E3A3F"/>
    <w:rsid w:val="004E6ACD"/>
    <w:rsid w:val="004F032E"/>
    <w:rsid w:val="004F39BE"/>
    <w:rsid w:val="004F40BE"/>
    <w:rsid w:val="004F7E38"/>
    <w:rsid w:val="00503486"/>
    <w:rsid w:val="005141DD"/>
    <w:rsid w:val="00515456"/>
    <w:rsid w:val="00516525"/>
    <w:rsid w:val="0054161B"/>
    <w:rsid w:val="0056109B"/>
    <w:rsid w:val="00565C73"/>
    <w:rsid w:val="00575301"/>
    <w:rsid w:val="005766D9"/>
    <w:rsid w:val="005A1200"/>
    <w:rsid w:val="005A2B5B"/>
    <w:rsid w:val="005A58F0"/>
    <w:rsid w:val="005A6999"/>
    <w:rsid w:val="005B332C"/>
    <w:rsid w:val="005B383A"/>
    <w:rsid w:val="005B43A3"/>
    <w:rsid w:val="005B488D"/>
    <w:rsid w:val="005C06E0"/>
    <w:rsid w:val="005C0AB3"/>
    <w:rsid w:val="005C4F44"/>
    <w:rsid w:val="005D13D0"/>
    <w:rsid w:val="005D1478"/>
    <w:rsid w:val="005D6D55"/>
    <w:rsid w:val="005E0246"/>
    <w:rsid w:val="005F1F06"/>
    <w:rsid w:val="005F2D3D"/>
    <w:rsid w:val="005F6423"/>
    <w:rsid w:val="00605F17"/>
    <w:rsid w:val="00607D53"/>
    <w:rsid w:val="00613897"/>
    <w:rsid w:val="00616241"/>
    <w:rsid w:val="00626438"/>
    <w:rsid w:val="00626EA7"/>
    <w:rsid w:val="00626FD9"/>
    <w:rsid w:val="00640215"/>
    <w:rsid w:val="00663FED"/>
    <w:rsid w:val="00665FCA"/>
    <w:rsid w:val="00667342"/>
    <w:rsid w:val="00667AB7"/>
    <w:rsid w:val="00674866"/>
    <w:rsid w:val="00677E3B"/>
    <w:rsid w:val="006864C4"/>
    <w:rsid w:val="0068657B"/>
    <w:rsid w:val="0069125B"/>
    <w:rsid w:val="006927CB"/>
    <w:rsid w:val="00695D5C"/>
    <w:rsid w:val="006A0FAC"/>
    <w:rsid w:val="006A17D0"/>
    <w:rsid w:val="006A3AAE"/>
    <w:rsid w:val="006A7A94"/>
    <w:rsid w:val="006B0131"/>
    <w:rsid w:val="006B0824"/>
    <w:rsid w:val="006B2794"/>
    <w:rsid w:val="006B63D7"/>
    <w:rsid w:val="006B6CC8"/>
    <w:rsid w:val="006C0B7C"/>
    <w:rsid w:val="006F1AA0"/>
    <w:rsid w:val="006F4004"/>
    <w:rsid w:val="006F424D"/>
    <w:rsid w:val="006F43FB"/>
    <w:rsid w:val="00702DEE"/>
    <w:rsid w:val="0070432A"/>
    <w:rsid w:val="007051F7"/>
    <w:rsid w:val="007143CA"/>
    <w:rsid w:val="0071772B"/>
    <w:rsid w:val="007178E7"/>
    <w:rsid w:val="00725985"/>
    <w:rsid w:val="00732B0B"/>
    <w:rsid w:val="00734556"/>
    <w:rsid w:val="007412E5"/>
    <w:rsid w:val="00744310"/>
    <w:rsid w:val="007465A8"/>
    <w:rsid w:val="007471BA"/>
    <w:rsid w:val="00751EEA"/>
    <w:rsid w:val="0075260D"/>
    <w:rsid w:val="0076178A"/>
    <w:rsid w:val="00767EC5"/>
    <w:rsid w:val="007772D9"/>
    <w:rsid w:val="00785D90"/>
    <w:rsid w:val="007865B4"/>
    <w:rsid w:val="00795153"/>
    <w:rsid w:val="007A27DD"/>
    <w:rsid w:val="007B21B8"/>
    <w:rsid w:val="007C1684"/>
    <w:rsid w:val="007C437F"/>
    <w:rsid w:val="007C5B8C"/>
    <w:rsid w:val="007C5F8C"/>
    <w:rsid w:val="007C6B92"/>
    <w:rsid w:val="007D5935"/>
    <w:rsid w:val="007D6710"/>
    <w:rsid w:val="007D7679"/>
    <w:rsid w:val="00805DD2"/>
    <w:rsid w:val="0080645D"/>
    <w:rsid w:val="00811CB8"/>
    <w:rsid w:val="00812112"/>
    <w:rsid w:val="0083450D"/>
    <w:rsid w:val="00834D16"/>
    <w:rsid w:val="008401C1"/>
    <w:rsid w:val="00850EB4"/>
    <w:rsid w:val="008511A6"/>
    <w:rsid w:val="008529CF"/>
    <w:rsid w:val="008549CE"/>
    <w:rsid w:val="00865B5A"/>
    <w:rsid w:val="00875323"/>
    <w:rsid w:val="0087548A"/>
    <w:rsid w:val="00875BF0"/>
    <w:rsid w:val="0087652E"/>
    <w:rsid w:val="00877D2A"/>
    <w:rsid w:val="00882F32"/>
    <w:rsid w:val="0088651F"/>
    <w:rsid w:val="00894708"/>
    <w:rsid w:val="00895E57"/>
    <w:rsid w:val="00896124"/>
    <w:rsid w:val="00897943"/>
    <w:rsid w:val="008A1094"/>
    <w:rsid w:val="008A4D0D"/>
    <w:rsid w:val="008A5D84"/>
    <w:rsid w:val="008B0FB9"/>
    <w:rsid w:val="008B77BB"/>
    <w:rsid w:val="008C007E"/>
    <w:rsid w:val="008C57EC"/>
    <w:rsid w:val="008D0DC7"/>
    <w:rsid w:val="008D3AA2"/>
    <w:rsid w:val="008D5725"/>
    <w:rsid w:val="008E4EA0"/>
    <w:rsid w:val="008E55E9"/>
    <w:rsid w:val="008F0660"/>
    <w:rsid w:val="008F3C52"/>
    <w:rsid w:val="00904081"/>
    <w:rsid w:val="00905BB2"/>
    <w:rsid w:val="009118E9"/>
    <w:rsid w:val="00913472"/>
    <w:rsid w:val="0091352C"/>
    <w:rsid w:val="0091552F"/>
    <w:rsid w:val="00917CBF"/>
    <w:rsid w:val="00921CF2"/>
    <w:rsid w:val="00922624"/>
    <w:rsid w:val="00924793"/>
    <w:rsid w:val="0092643A"/>
    <w:rsid w:val="00934371"/>
    <w:rsid w:val="00935657"/>
    <w:rsid w:val="00940DE6"/>
    <w:rsid w:val="009411D0"/>
    <w:rsid w:val="00944DE6"/>
    <w:rsid w:val="009506B9"/>
    <w:rsid w:val="00951105"/>
    <w:rsid w:val="009530F1"/>
    <w:rsid w:val="00977E8B"/>
    <w:rsid w:val="00982808"/>
    <w:rsid w:val="00985742"/>
    <w:rsid w:val="009864D6"/>
    <w:rsid w:val="00986C56"/>
    <w:rsid w:val="00995793"/>
    <w:rsid w:val="009A0784"/>
    <w:rsid w:val="009A48AE"/>
    <w:rsid w:val="009B00F8"/>
    <w:rsid w:val="009B2C27"/>
    <w:rsid w:val="009C50F6"/>
    <w:rsid w:val="009D78F3"/>
    <w:rsid w:val="009E61AD"/>
    <w:rsid w:val="009F1DF3"/>
    <w:rsid w:val="009F2058"/>
    <w:rsid w:val="009F569D"/>
    <w:rsid w:val="00A00F8A"/>
    <w:rsid w:val="00A01E11"/>
    <w:rsid w:val="00A130EF"/>
    <w:rsid w:val="00A136F5"/>
    <w:rsid w:val="00A17895"/>
    <w:rsid w:val="00A27391"/>
    <w:rsid w:val="00A31654"/>
    <w:rsid w:val="00A44821"/>
    <w:rsid w:val="00A454E4"/>
    <w:rsid w:val="00A52595"/>
    <w:rsid w:val="00A56E74"/>
    <w:rsid w:val="00A61413"/>
    <w:rsid w:val="00A640DD"/>
    <w:rsid w:val="00A6413B"/>
    <w:rsid w:val="00A703D4"/>
    <w:rsid w:val="00A75E7A"/>
    <w:rsid w:val="00A81EEE"/>
    <w:rsid w:val="00A82DEE"/>
    <w:rsid w:val="00A93BC1"/>
    <w:rsid w:val="00AA13F8"/>
    <w:rsid w:val="00AB062D"/>
    <w:rsid w:val="00AB09D6"/>
    <w:rsid w:val="00AB3D02"/>
    <w:rsid w:val="00AC5664"/>
    <w:rsid w:val="00AD455E"/>
    <w:rsid w:val="00AD571C"/>
    <w:rsid w:val="00AE314C"/>
    <w:rsid w:val="00AE4752"/>
    <w:rsid w:val="00AE70C0"/>
    <w:rsid w:val="00AE7408"/>
    <w:rsid w:val="00AF3AFA"/>
    <w:rsid w:val="00B01CCB"/>
    <w:rsid w:val="00B05FF1"/>
    <w:rsid w:val="00B06F5A"/>
    <w:rsid w:val="00B07267"/>
    <w:rsid w:val="00B130B4"/>
    <w:rsid w:val="00B1496C"/>
    <w:rsid w:val="00B1560A"/>
    <w:rsid w:val="00B22531"/>
    <w:rsid w:val="00B3085B"/>
    <w:rsid w:val="00B4215F"/>
    <w:rsid w:val="00B42C0C"/>
    <w:rsid w:val="00B436F0"/>
    <w:rsid w:val="00B5216B"/>
    <w:rsid w:val="00B543ED"/>
    <w:rsid w:val="00B72961"/>
    <w:rsid w:val="00B72A91"/>
    <w:rsid w:val="00B816AB"/>
    <w:rsid w:val="00B83C9C"/>
    <w:rsid w:val="00B90745"/>
    <w:rsid w:val="00B93708"/>
    <w:rsid w:val="00BA233B"/>
    <w:rsid w:val="00BB41D7"/>
    <w:rsid w:val="00BB5F7F"/>
    <w:rsid w:val="00BC366A"/>
    <w:rsid w:val="00BC4DCA"/>
    <w:rsid w:val="00BC50AC"/>
    <w:rsid w:val="00BC5460"/>
    <w:rsid w:val="00BC576A"/>
    <w:rsid w:val="00BD16A3"/>
    <w:rsid w:val="00BD57E7"/>
    <w:rsid w:val="00BE2B93"/>
    <w:rsid w:val="00BE38E6"/>
    <w:rsid w:val="00BE499A"/>
    <w:rsid w:val="00BE4A9D"/>
    <w:rsid w:val="00BE7C6A"/>
    <w:rsid w:val="00BF1365"/>
    <w:rsid w:val="00BF1B41"/>
    <w:rsid w:val="00BF461C"/>
    <w:rsid w:val="00BF59BC"/>
    <w:rsid w:val="00BF6B33"/>
    <w:rsid w:val="00C04CBA"/>
    <w:rsid w:val="00C07311"/>
    <w:rsid w:val="00C10067"/>
    <w:rsid w:val="00C10F13"/>
    <w:rsid w:val="00C1137B"/>
    <w:rsid w:val="00C11978"/>
    <w:rsid w:val="00C12F99"/>
    <w:rsid w:val="00C2021B"/>
    <w:rsid w:val="00C25B93"/>
    <w:rsid w:val="00C2719E"/>
    <w:rsid w:val="00C272AD"/>
    <w:rsid w:val="00C31FDA"/>
    <w:rsid w:val="00C323AE"/>
    <w:rsid w:val="00C326E9"/>
    <w:rsid w:val="00C32B1A"/>
    <w:rsid w:val="00C32B42"/>
    <w:rsid w:val="00C33473"/>
    <w:rsid w:val="00C34C31"/>
    <w:rsid w:val="00C439AB"/>
    <w:rsid w:val="00C44E1B"/>
    <w:rsid w:val="00C474F9"/>
    <w:rsid w:val="00C53B8A"/>
    <w:rsid w:val="00C54825"/>
    <w:rsid w:val="00C55147"/>
    <w:rsid w:val="00C672FE"/>
    <w:rsid w:val="00C701F2"/>
    <w:rsid w:val="00C80567"/>
    <w:rsid w:val="00C8138F"/>
    <w:rsid w:val="00C820A8"/>
    <w:rsid w:val="00C82E42"/>
    <w:rsid w:val="00C84641"/>
    <w:rsid w:val="00C922C5"/>
    <w:rsid w:val="00C92931"/>
    <w:rsid w:val="00CA2150"/>
    <w:rsid w:val="00CB0B43"/>
    <w:rsid w:val="00CB7209"/>
    <w:rsid w:val="00CD0739"/>
    <w:rsid w:val="00CE62AB"/>
    <w:rsid w:val="00CF43A9"/>
    <w:rsid w:val="00CF64EB"/>
    <w:rsid w:val="00D02336"/>
    <w:rsid w:val="00D037A2"/>
    <w:rsid w:val="00D10572"/>
    <w:rsid w:val="00D16A04"/>
    <w:rsid w:val="00D228C6"/>
    <w:rsid w:val="00D267ED"/>
    <w:rsid w:val="00D304F0"/>
    <w:rsid w:val="00D32E0E"/>
    <w:rsid w:val="00D33DA1"/>
    <w:rsid w:val="00D35BA4"/>
    <w:rsid w:val="00D36F6A"/>
    <w:rsid w:val="00D40C9B"/>
    <w:rsid w:val="00D41049"/>
    <w:rsid w:val="00D411BA"/>
    <w:rsid w:val="00D435DD"/>
    <w:rsid w:val="00D50353"/>
    <w:rsid w:val="00D52197"/>
    <w:rsid w:val="00D563DD"/>
    <w:rsid w:val="00D57489"/>
    <w:rsid w:val="00D61447"/>
    <w:rsid w:val="00D61C7A"/>
    <w:rsid w:val="00D6447C"/>
    <w:rsid w:val="00D6568A"/>
    <w:rsid w:val="00D67CC2"/>
    <w:rsid w:val="00D74FDF"/>
    <w:rsid w:val="00D75E07"/>
    <w:rsid w:val="00D80826"/>
    <w:rsid w:val="00D811B2"/>
    <w:rsid w:val="00D9277D"/>
    <w:rsid w:val="00DA0E68"/>
    <w:rsid w:val="00DA31DD"/>
    <w:rsid w:val="00DA3458"/>
    <w:rsid w:val="00DB2E41"/>
    <w:rsid w:val="00DB7C7A"/>
    <w:rsid w:val="00DC53B8"/>
    <w:rsid w:val="00DC576E"/>
    <w:rsid w:val="00DD1759"/>
    <w:rsid w:val="00DD5C92"/>
    <w:rsid w:val="00DE56C5"/>
    <w:rsid w:val="00DF231A"/>
    <w:rsid w:val="00DF285F"/>
    <w:rsid w:val="00DF3741"/>
    <w:rsid w:val="00E1211C"/>
    <w:rsid w:val="00E137D8"/>
    <w:rsid w:val="00E21D8B"/>
    <w:rsid w:val="00E257D6"/>
    <w:rsid w:val="00E3044E"/>
    <w:rsid w:val="00E340E1"/>
    <w:rsid w:val="00E353EC"/>
    <w:rsid w:val="00E4261B"/>
    <w:rsid w:val="00E43A7C"/>
    <w:rsid w:val="00E50EC3"/>
    <w:rsid w:val="00E6343C"/>
    <w:rsid w:val="00E65777"/>
    <w:rsid w:val="00E8327C"/>
    <w:rsid w:val="00E848A2"/>
    <w:rsid w:val="00E949DD"/>
    <w:rsid w:val="00E9614F"/>
    <w:rsid w:val="00EA5936"/>
    <w:rsid w:val="00EB050F"/>
    <w:rsid w:val="00EB2476"/>
    <w:rsid w:val="00EB53E2"/>
    <w:rsid w:val="00EC13B7"/>
    <w:rsid w:val="00EC4B1F"/>
    <w:rsid w:val="00EC767B"/>
    <w:rsid w:val="00ED421A"/>
    <w:rsid w:val="00F00B55"/>
    <w:rsid w:val="00F00D04"/>
    <w:rsid w:val="00F00FD2"/>
    <w:rsid w:val="00F107B3"/>
    <w:rsid w:val="00F13B1E"/>
    <w:rsid w:val="00F2352B"/>
    <w:rsid w:val="00F23741"/>
    <w:rsid w:val="00F30726"/>
    <w:rsid w:val="00F343C0"/>
    <w:rsid w:val="00F41255"/>
    <w:rsid w:val="00F45CDB"/>
    <w:rsid w:val="00F46854"/>
    <w:rsid w:val="00F51C93"/>
    <w:rsid w:val="00F51DCD"/>
    <w:rsid w:val="00F555D3"/>
    <w:rsid w:val="00F57DF7"/>
    <w:rsid w:val="00F61AF1"/>
    <w:rsid w:val="00F641D4"/>
    <w:rsid w:val="00F642FC"/>
    <w:rsid w:val="00F67637"/>
    <w:rsid w:val="00F67E79"/>
    <w:rsid w:val="00F70CB0"/>
    <w:rsid w:val="00F713D5"/>
    <w:rsid w:val="00F73394"/>
    <w:rsid w:val="00F74253"/>
    <w:rsid w:val="00F747AD"/>
    <w:rsid w:val="00F754DF"/>
    <w:rsid w:val="00F76543"/>
    <w:rsid w:val="00F76D54"/>
    <w:rsid w:val="00F841FF"/>
    <w:rsid w:val="00F9357A"/>
    <w:rsid w:val="00F955DF"/>
    <w:rsid w:val="00FA1AB5"/>
    <w:rsid w:val="00FB3FEE"/>
    <w:rsid w:val="00FC50F8"/>
    <w:rsid w:val="00FD0D99"/>
    <w:rsid w:val="00FD424D"/>
    <w:rsid w:val="00FD6173"/>
    <w:rsid w:val="00FE003D"/>
    <w:rsid w:val="00FF2999"/>
    <w:rsid w:val="00FF2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27D762"/>
  <w15:chartTrackingRefBased/>
  <w15:docId w15:val="{A00E42B8-9EC1-4A1F-A74C-99010D9A4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D2A"/>
    <w:pPr>
      <w:spacing w:before="144" w:after="72" w:line="240" w:lineRule="auto"/>
    </w:pPr>
    <w:rPr>
      <w:rFonts w:ascii="Times New Roman" w:eastAsia="Times New Roman" w:hAnsi="Times New Roman" w:cs="Times New Roman"/>
      <w:sz w:val="20"/>
      <w:szCs w:val="20"/>
      <w:lang w:val="en-AU" w:eastAsia="en-AU"/>
    </w:rPr>
  </w:style>
  <w:style w:type="paragraph" w:styleId="Heading1">
    <w:name w:val="heading 1"/>
    <w:basedOn w:val="Normal"/>
    <w:next w:val="Normal"/>
    <w:link w:val="Heading1Char"/>
    <w:uiPriority w:val="9"/>
    <w:qFormat/>
    <w:rsid w:val="001251C4"/>
    <w:pPr>
      <w:keepNext/>
      <w:keepLines/>
      <w:spacing w:before="360" w:after="80" w:line="259" w:lineRule="auto"/>
      <w:outlineLvl w:val="0"/>
    </w:pPr>
    <w:rPr>
      <w:rFonts w:asciiTheme="majorHAnsi" w:eastAsiaTheme="majorEastAsia" w:hAnsiTheme="majorHAnsi" w:cstheme="majorBidi"/>
      <w:color w:val="2E74B5" w:themeColor="accent1" w:themeShade="BF"/>
      <w:sz w:val="40"/>
      <w:szCs w:val="40"/>
      <w:lang w:val="en-GB" w:eastAsia="en-US"/>
    </w:rPr>
  </w:style>
  <w:style w:type="paragraph" w:styleId="Heading2">
    <w:name w:val="heading 2"/>
    <w:basedOn w:val="Normal"/>
    <w:next w:val="Normal"/>
    <w:link w:val="Heading2Char"/>
    <w:uiPriority w:val="9"/>
    <w:semiHidden/>
    <w:unhideWhenUsed/>
    <w:qFormat/>
    <w:rsid w:val="001251C4"/>
    <w:pPr>
      <w:keepNext/>
      <w:keepLines/>
      <w:spacing w:before="160" w:after="80" w:line="259" w:lineRule="auto"/>
      <w:outlineLvl w:val="1"/>
    </w:pPr>
    <w:rPr>
      <w:rFonts w:asciiTheme="majorHAnsi" w:eastAsiaTheme="majorEastAsia" w:hAnsiTheme="majorHAnsi" w:cstheme="majorBidi"/>
      <w:color w:val="2E74B5" w:themeColor="accent1" w:themeShade="BF"/>
      <w:sz w:val="32"/>
      <w:szCs w:val="32"/>
      <w:lang w:val="en-GB" w:eastAsia="en-US"/>
    </w:rPr>
  </w:style>
  <w:style w:type="paragraph" w:styleId="Heading3">
    <w:name w:val="heading 3"/>
    <w:basedOn w:val="Normal"/>
    <w:next w:val="Normal"/>
    <w:link w:val="Heading3Char"/>
    <w:uiPriority w:val="9"/>
    <w:unhideWhenUsed/>
    <w:qFormat/>
    <w:rsid w:val="001251C4"/>
    <w:pPr>
      <w:keepNext/>
      <w:keepLines/>
      <w:spacing w:before="160" w:after="80" w:line="259" w:lineRule="auto"/>
      <w:outlineLvl w:val="2"/>
    </w:pPr>
    <w:rPr>
      <w:rFonts w:asciiTheme="minorHAnsi" w:eastAsiaTheme="majorEastAsia" w:hAnsiTheme="minorHAnsi" w:cstheme="majorBidi"/>
      <w:color w:val="2E74B5" w:themeColor="accent1" w:themeShade="BF"/>
      <w:sz w:val="28"/>
      <w:szCs w:val="28"/>
      <w:lang w:val="en-GB" w:eastAsia="en-US"/>
    </w:rPr>
  </w:style>
  <w:style w:type="paragraph" w:styleId="Heading4">
    <w:name w:val="heading 4"/>
    <w:basedOn w:val="Normal"/>
    <w:next w:val="Normal"/>
    <w:link w:val="Heading4Char"/>
    <w:uiPriority w:val="9"/>
    <w:semiHidden/>
    <w:unhideWhenUsed/>
    <w:qFormat/>
    <w:rsid w:val="001251C4"/>
    <w:pPr>
      <w:keepNext/>
      <w:keepLines/>
      <w:spacing w:before="80" w:after="40" w:line="259" w:lineRule="auto"/>
      <w:outlineLvl w:val="3"/>
    </w:pPr>
    <w:rPr>
      <w:rFonts w:asciiTheme="minorHAnsi" w:eastAsiaTheme="majorEastAsia" w:hAnsiTheme="minorHAnsi" w:cstheme="majorBidi"/>
      <w:i/>
      <w:iCs/>
      <w:color w:val="2E74B5" w:themeColor="accent1" w:themeShade="BF"/>
      <w:sz w:val="22"/>
      <w:szCs w:val="22"/>
      <w:lang w:val="en-GB" w:eastAsia="en-US"/>
    </w:rPr>
  </w:style>
  <w:style w:type="paragraph" w:styleId="Heading5">
    <w:name w:val="heading 5"/>
    <w:basedOn w:val="Normal"/>
    <w:next w:val="Normal"/>
    <w:link w:val="Heading5Char"/>
    <w:uiPriority w:val="9"/>
    <w:semiHidden/>
    <w:unhideWhenUsed/>
    <w:qFormat/>
    <w:rsid w:val="001251C4"/>
    <w:pPr>
      <w:keepNext/>
      <w:keepLines/>
      <w:spacing w:before="80" w:after="40" w:line="259" w:lineRule="auto"/>
      <w:outlineLvl w:val="4"/>
    </w:pPr>
    <w:rPr>
      <w:rFonts w:asciiTheme="minorHAnsi" w:eastAsiaTheme="majorEastAsia" w:hAnsiTheme="minorHAnsi" w:cstheme="majorBidi"/>
      <w:color w:val="2E74B5" w:themeColor="accent1" w:themeShade="BF"/>
      <w:sz w:val="22"/>
      <w:szCs w:val="22"/>
      <w:lang w:val="en-GB" w:eastAsia="en-US"/>
    </w:rPr>
  </w:style>
  <w:style w:type="paragraph" w:styleId="Heading6">
    <w:name w:val="heading 6"/>
    <w:basedOn w:val="Normal"/>
    <w:next w:val="Normal"/>
    <w:link w:val="Heading6Char"/>
    <w:uiPriority w:val="9"/>
    <w:semiHidden/>
    <w:unhideWhenUsed/>
    <w:qFormat/>
    <w:rsid w:val="001251C4"/>
    <w:pPr>
      <w:keepNext/>
      <w:keepLines/>
      <w:spacing w:before="40" w:after="0" w:line="259" w:lineRule="auto"/>
      <w:outlineLvl w:val="5"/>
    </w:pPr>
    <w:rPr>
      <w:rFonts w:asciiTheme="minorHAnsi" w:eastAsiaTheme="majorEastAsia" w:hAnsiTheme="minorHAnsi" w:cstheme="majorBidi"/>
      <w:i/>
      <w:iCs/>
      <w:color w:val="595959" w:themeColor="text1" w:themeTint="A6"/>
      <w:sz w:val="22"/>
      <w:szCs w:val="22"/>
      <w:lang w:val="en-GB" w:eastAsia="en-US"/>
    </w:rPr>
  </w:style>
  <w:style w:type="paragraph" w:styleId="Heading7">
    <w:name w:val="heading 7"/>
    <w:basedOn w:val="Normal"/>
    <w:next w:val="Normal"/>
    <w:link w:val="Heading7Char"/>
    <w:uiPriority w:val="9"/>
    <w:semiHidden/>
    <w:unhideWhenUsed/>
    <w:qFormat/>
    <w:rsid w:val="001251C4"/>
    <w:pPr>
      <w:keepNext/>
      <w:keepLines/>
      <w:spacing w:before="40" w:after="0" w:line="259" w:lineRule="auto"/>
      <w:outlineLvl w:val="6"/>
    </w:pPr>
    <w:rPr>
      <w:rFonts w:asciiTheme="minorHAnsi" w:eastAsiaTheme="majorEastAsia" w:hAnsiTheme="minorHAnsi" w:cstheme="majorBidi"/>
      <w:color w:val="595959" w:themeColor="text1" w:themeTint="A6"/>
      <w:sz w:val="22"/>
      <w:szCs w:val="22"/>
      <w:lang w:val="en-GB" w:eastAsia="en-US"/>
    </w:rPr>
  </w:style>
  <w:style w:type="paragraph" w:styleId="Heading8">
    <w:name w:val="heading 8"/>
    <w:basedOn w:val="Normal"/>
    <w:next w:val="Normal"/>
    <w:link w:val="Heading8Char"/>
    <w:uiPriority w:val="9"/>
    <w:semiHidden/>
    <w:unhideWhenUsed/>
    <w:qFormat/>
    <w:rsid w:val="001251C4"/>
    <w:pPr>
      <w:keepNext/>
      <w:keepLines/>
      <w:spacing w:before="0" w:after="0" w:line="259" w:lineRule="auto"/>
      <w:outlineLvl w:val="7"/>
    </w:pPr>
    <w:rPr>
      <w:rFonts w:asciiTheme="minorHAnsi" w:eastAsiaTheme="majorEastAsia" w:hAnsiTheme="minorHAnsi" w:cstheme="majorBidi"/>
      <w:i/>
      <w:iCs/>
      <w:color w:val="272727" w:themeColor="text1" w:themeTint="D8"/>
      <w:sz w:val="22"/>
      <w:szCs w:val="22"/>
      <w:lang w:val="en-GB" w:eastAsia="en-US"/>
    </w:rPr>
  </w:style>
  <w:style w:type="paragraph" w:styleId="Heading9">
    <w:name w:val="heading 9"/>
    <w:basedOn w:val="Normal"/>
    <w:next w:val="Normal"/>
    <w:link w:val="Heading9Char"/>
    <w:uiPriority w:val="9"/>
    <w:semiHidden/>
    <w:unhideWhenUsed/>
    <w:qFormat/>
    <w:rsid w:val="001251C4"/>
    <w:pPr>
      <w:keepNext/>
      <w:keepLines/>
      <w:spacing w:before="0" w:after="0" w:line="259" w:lineRule="auto"/>
      <w:outlineLvl w:val="8"/>
    </w:pPr>
    <w:rPr>
      <w:rFonts w:asciiTheme="minorHAnsi" w:eastAsiaTheme="majorEastAsia" w:hAnsiTheme="minorHAnsi" w:cstheme="majorBidi"/>
      <w:color w:val="272727" w:themeColor="text1" w:themeTint="D8"/>
      <w:sz w:val="22"/>
      <w:szCs w:val="22"/>
      <w:lang w:val="en-GB"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1C4"/>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1251C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251C4"/>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251C4"/>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251C4"/>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25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1C4"/>
    <w:rPr>
      <w:rFonts w:eastAsiaTheme="majorEastAsia" w:cstheme="majorBidi"/>
      <w:color w:val="272727" w:themeColor="text1" w:themeTint="D8"/>
    </w:rPr>
  </w:style>
  <w:style w:type="paragraph" w:styleId="Title">
    <w:name w:val="Title"/>
    <w:basedOn w:val="Normal"/>
    <w:next w:val="Normal"/>
    <w:link w:val="TitleChar"/>
    <w:uiPriority w:val="10"/>
    <w:qFormat/>
    <w:rsid w:val="001251C4"/>
    <w:pPr>
      <w:spacing w:before="0" w:after="80"/>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125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1C4"/>
    <w:pPr>
      <w:numPr>
        <w:ilvl w:val="1"/>
      </w:numPr>
      <w:spacing w:before="0" w:after="160" w:line="259" w:lineRule="auto"/>
    </w:pPr>
    <w:rPr>
      <w:rFonts w:asciiTheme="minorHAnsi" w:eastAsiaTheme="majorEastAsia" w:hAnsiTheme="minorHAnsi" w:cstheme="majorBidi"/>
      <w:color w:val="595959" w:themeColor="text1" w:themeTint="A6"/>
      <w:spacing w:val="15"/>
      <w:sz w:val="28"/>
      <w:szCs w:val="28"/>
      <w:lang w:val="en-GB" w:eastAsia="en-US"/>
    </w:rPr>
  </w:style>
  <w:style w:type="character" w:customStyle="1" w:styleId="SubtitleChar">
    <w:name w:val="Subtitle Char"/>
    <w:basedOn w:val="DefaultParagraphFont"/>
    <w:link w:val="Subtitle"/>
    <w:uiPriority w:val="11"/>
    <w:rsid w:val="00125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1C4"/>
    <w:pPr>
      <w:spacing w:before="160" w:after="160" w:line="259" w:lineRule="auto"/>
      <w:jc w:val="center"/>
    </w:pPr>
    <w:rPr>
      <w:rFonts w:asciiTheme="minorHAnsi" w:eastAsiaTheme="minorHAnsi" w:hAnsiTheme="minorHAnsi" w:cstheme="minorBidi"/>
      <w:i/>
      <w:iCs/>
      <w:color w:val="404040" w:themeColor="text1" w:themeTint="BF"/>
      <w:sz w:val="22"/>
      <w:szCs w:val="22"/>
      <w:lang w:val="en-GB" w:eastAsia="en-US"/>
    </w:rPr>
  </w:style>
  <w:style w:type="character" w:customStyle="1" w:styleId="QuoteChar">
    <w:name w:val="Quote Char"/>
    <w:basedOn w:val="DefaultParagraphFont"/>
    <w:link w:val="Quote"/>
    <w:uiPriority w:val="29"/>
    <w:rsid w:val="001251C4"/>
    <w:rPr>
      <w:i/>
      <w:iCs/>
      <w:color w:val="404040" w:themeColor="text1" w:themeTint="BF"/>
    </w:rPr>
  </w:style>
  <w:style w:type="paragraph" w:styleId="ListParagraph">
    <w:name w:val="List Paragraph"/>
    <w:basedOn w:val="Normal"/>
    <w:uiPriority w:val="34"/>
    <w:qFormat/>
    <w:rsid w:val="001251C4"/>
    <w:pPr>
      <w:spacing w:before="0" w:after="160" w:line="259" w:lineRule="auto"/>
      <w:ind w:left="720"/>
      <w:contextualSpacing/>
    </w:pPr>
    <w:rPr>
      <w:rFonts w:asciiTheme="minorHAnsi" w:eastAsiaTheme="minorHAnsi" w:hAnsiTheme="minorHAnsi" w:cstheme="minorBidi"/>
      <w:sz w:val="22"/>
      <w:szCs w:val="22"/>
      <w:lang w:val="en-GB" w:eastAsia="en-US"/>
    </w:rPr>
  </w:style>
  <w:style w:type="character" w:styleId="IntenseEmphasis">
    <w:name w:val="Intense Emphasis"/>
    <w:basedOn w:val="DefaultParagraphFont"/>
    <w:uiPriority w:val="21"/>
    <w:qFormat/>
    <w:rsid w:val="001251C4"/>
    <w:rPr>
      <w:i/>
      <w:iCs/>
      <w:color w:val="2E74B5" w:themeColor="accent1" w:themeShade="BF"/>
    </w:rPr>
  </w:style>
  <w:style w:type="paragraph" w:styleId="IntenseQuote">
    <w:name w:val="Intense Quote"/>
    <w:basedOn w:val="Normal"/>
    <w:next w:val="Normal"/>
    <w:link w:val="IntenseQuoteChar"/>
    <w:uiPriority w:val="30"/>
    <w:qFormat/>
    <w:rsid w:val="001251C4"/>
    <w:pPr>
      <w:pBdr>
        <w:top w:val="single" w:sz="4" w:space="10" w:color="2E74B5" w:themeColor="accent1" w:themeShade="BF"/>
        <w:bottom w:val="single" w:sz="4" w:space="10" w:color="2E74B5" w:themeColor="accent1" w:themeShade="BF"/>
      </w:pBdr>
      <w:spacing w:before="360" w:after="360" w:line="259" w:lineRule="auto"/>
      <w:ind w:left="864" w:right="864"/>
      <w:jc w:val="center"/>
    </w:pPr>
    <w:rPr>
      <w:rFonts w:asciiTheme="minorHAnsi" w:eastAsiaTheme="minorHAnsi" w:hAnsiTheme="minorHAnsi" w:cstheme="minorBidi"/>
      <w:i/>
      <w:iCs/>
      <w:color w:val="2E74B5" w:themeColor="accent1" w:themeShade="BF"/>
      <w:sz w:val="22"/>
      <w:szCs w:val="22"/>
      <w:lang w:val="en-GB" w:eastAsia="en-US"/>
    </w:rPr>
  </w:style>
  <w:style w:type="character" w:customStyle="1" w:styleId="IntenseQuoteChar">
    <w:name w:val="Intense Quote Char"/>
    <w:basedOn w:val="DefaultParagraphFont"/>
    <w:link w:val="IntenseQuote"/>
    <w:uiPriority w:val="30"/>
    <w:rsid w:val="001251C4"/>
    <w:rPr>
      <w:i/>
      <w:iCs/>
      <w:color w:val="2E74B5" w:themeColor="accent1" w:themeShade="BF"/>
    </w:rPr>
  </w:style>
  <w:style w:type="character" w:styleId="IntenseReference">
    <w:name w:val="Intense Reference"/>
    <w:basedOn w:val="DefaultParagraphFont"/>
    <w:uiPriority w:val="32"/>
    <w:qFormat/>
    <w:rsid w:val="001251C4"/>
    <w:rPr>
      <w:b/>
      <w:bCs/>
      <w:smallCaps/>
      <w:color w:val="2E74B5" w:themeColor="accent1" w:themeShade="BF"/>
      <w:spacing w:val="5"/>
    </w:rPr>
  </w:style>
  <w:style w:type="paragraph" w:styleId="Header">
    <w:name w:val="header"/>
    <w:basedOn w:val="Normal"/>
    <w:link w:val="HeaderChar"/>
    <w:uiPriority w:val="99"/>
    <w:unhideWhenUsed/>
    <w:rsid w:val="006F424D"/>
    <w:pPr>
      <w:tabs>
        <w:tab w:val="center" w:pos="4513"/>
        <w:tab w:val="right" w:pos="9026"/>
      </w:tabs>
      <w:spacing w:before="0" w:after="0"/>
    </w:pPr>
  </w:style>
  <w:style w:type="character" w:customStyle="1" w:styleId="HeaderChar">
    <w:name w:val="Header Char"/>
    <w:basedOn w:val="DefaultParagraphFont"/>
    <w:link w:val="Header"/>
    <w:uiPriority w:val="99"/>
    <w:rsid w:val="006F424D"/>
    <w:rPr>
      <w:rFonts w:ascii="Times New Roman" w:eastAsia="Times New Roman" w:hAnsi="Times New Roman" w:cs="Times New Roman"/>
      <w:sz w:val="20"/>
      <w:szCs w:val="20"/>
      <w:lang w:val="en-AU" w:eastAsia="en-AU"/>
    </w:rPr>
  </w:style>
  <w:style w:type="paragraph" w:styleId="Footer">
    <w:name w:val="footer"/>
    <w:basedOn w:val="Normal"/>
    <w:link w:val="FooterChar"/>
    <w:uiPriority w:val="99"/>
    <w:unhideWhenUsed/>
    <w:rsid w:val="006F424D"/>
    <w:pPr>
      <w:tabs>
        <w:tab w:val="center" w:pos="4513"/>
        <w:tab w:val="right" w:pos="9026"/>
      </w:tabs>
      <w:spacing w:before="0" w:after="0"/>
    </w:pPr>
  </w:style>
  <w:style w:type="character" w:customStyle="1" w:styleId="FooterChar">
    <w:name w:val="Footer Char"/>
    <w:basedOn w:val="DefaultParagraphFont"/>
    <w:link w:val="Footer"/>
    <w:uiPriority w:val="99"/>
    <w:rsid w:val="006F424D"/>
    <w:rPr>
      <w:rFonts w:ascii="Times New Roman" w:eastAsia="Times New Roman" w:hAnsi="Times New Roman" w:cs="Times New Roman"/>
      <w:sz w:val="20"/>
      <w:szCs w:val="20"/>
      <w:lang w:val="en-AU" w:eastAsia="en-AU"/>
    </w:rPr>
  </w:style>
  <w:style w:type="paragraph" w:styleId="NormalWeb">
    <w:name w:val="Normal (Web)"/>
    <w:basedOn w:val="Normal"/>
    <w:uiPriority w:val="99"/>
    <w:unhideWhenUsed/>
    <w:rsid w:val="009A48AE"/>
    <w:pPr>
      <w:spacing w:before="100" w:beforeAutospacing="1" w:after="100" w:afterAutospacing="1"/>
    </w:pPr>
    <w:rPr>
      <w:sz w:val="24"/>
      <w:szCs w:val="24"/>
      <w:lang w:val="en-GB" w:eastAsia="en-GB"/>
    </w:rPr>
  </w:style>
  <w:style w:type="character" w:styleId="Hyperlink">
    <w:name w:val="Hyperlink"/>
    <w:basedOn w:val="DefaultParagraphFont"/>
    <w:uiPriority w:val="99"/>
    <w:unhideWhenUsed/>
    <w:rsid w:val="006F1AA0"/>
    <w:rPr>
      <w:color w:val="467886"/>
      <w:u w:val="single"/>
    </w:rPr>
  </w:style>
  <w:style w:type="character" w:styleId="FollowedHyperlink">
    <w:name w:val="FollowedHyperlink"/>
    <w:basedOn w:val="DefaultParagraphFont"/>
    <w:uiPriority w:val="99"/>
    <w:semiHidden/>
    <w:unhideWhenUsed/>
    <w:rsid w:val="006F1AA0"/>
    <w:rPr>
      <w:color w:val="96607D"/>
      <w:u w:val="single"/>
    </w:rPr>
  </w:style>
  <w:style w:type="paragraph" w:customStyle="1" w:styleId="msonormal0">
    <w:name w:val="msonormal"/>
    <w:basedOn w:val="Normal"/>
    <w:rsid w:val="006F1AA0"/>
    <w:pPr>
      <w:spacing w:before="100" w:beforeAutospacing="1" w:after="100" w:afterAutospacing="1"/>
    </w:pPr>
    <w:rPr>
      <w:sz w:val="24"/>
      <w:szCs w:val="24"/>
      <w:lang w:val="en-GB" w:eastAsia="en-GB"/>
    </w:rPr>
  </w:style>
  <w:style w:type="paragraph" w:customStyle="1" w:styleId="xl65">
    <w:name w:val="xl65"/>
    <w:basedOn w:val="Normal"/>
    <w:rsid w:val="006F1AA0"/>
    <w:pPr>
      <w:spacing w:before="100" w:beforeAutospacing="1" w:after="100" w:afterAutospacing="1"/>
    </w:pPr>
    <w:rPr>
      <w:b/>
      <w:bCs/>
      <w:sz w:val="24"/>
      <w:szCs w:val="24"/>
      <w:lang w:val="en-GB" w:eastAsia="en-GB"/>
    </w:rPr>
  </w:style>
  <w:style w:type="paragraph" w:customStyle="1" w:styleId="xl66">
    <w:name w:val="xl66"/>
    <w:basedOn w:val="Normal"/>
    <w:rsid w:val="006F1AA0"/>
    <w:pPr>
      <w:spacing w:before="100" w:beforeAutospacing="1" w:after="100" w:afterAutospacing="1"/>
      <w:ind w:firstLineChars="100" w:firstLine="100"/>
      <w:textAlignment w:val="center"/>
    </w:pPr>
    <w:rPr>
      <w:sz w:val="24"/>
      <w:szCs w:val="24"/>
      <w:lang w:val="en-GB" w:eastAsia="en-GB"/>
    </w:rPr>
  </w:style>
  <w:style w:type="paragraph" w:customStyle="1" w:styleId="xl67">
    <w:name w:val="xl67"/>
    <w:basedOn w:val="Normal"/>
    <w:rsid w:val="006F1AA0"/>
    <w:pPr>
      <w:spacing w:before="100" w:beforeAutospacing="1" w:after="100" w:afterAutospacing="1"/>
      <w:textAlignment w:val="center"/>
    </w:pPr>
    <w:rPr>
      <w:sz w:val="24"/>
      <w:szCs w:val="24"/>
      <w:lang w:val="en-GB" w:eastAsia="en-GB"/>
    </w:rPr>
  </w:style>
  <w:style w:type="table" w:styleId="MediumList2-Accent1">
    <w:name w:val="Medium List 2 Accent 1"/>
    <w:basedOn w:val="TableNormal"/>
    <w:uiPriority w:val="66"/>
    <w:rsid w:val="005C06E0"/>
    <w:pPr>
      <w:spacing w:after="0" w:line="240" w:lineRule="auto"/>
    </w:pPr>
    <w:rPr>
      <w:rFonts w:asciiTheme="majorHAnsi" w:eastAsiaTheme="majorEastAsia" w:hAnsiTheme="majorHAnsi" w:cstheme="majorBidi"/>
      <w:color w:val="000000" w:themeColor="text1"/>
      <w:lang w:eastAsia="en-GB"/>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single" w:sz="8" w:space="0" w:color="5B9BD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customStyle="1" w:styleId="xl68">
    <w:name w:val="xl68"/>
    <w:basedOn w:val="Normal"/>
    <w:rsid w:val="00FE003D"/>
    <w:pPr>
      <w:pBdr>
        <w:top w:val="single" w:sz="4" w:space="0" w:color="auto"/>
        <w:bottom w:val="single" w:sz="4" w:space="0" w:color="auto"/>
        <w:right w:val="single" w:sz="4" w:space="0" w:color="auto"/>
      </w:pBdr>
      <w:spacing w:before="100" w:beforeAutospacing="1" w:after="100" w:afterAutospacing="1"/>
    </w:pPr>
    <w:rPr>
      <w:sz w:val="24"/>
      <w:szCs w:val="24"/>
      <w:lang w:val="en-GB" w:eastAsia="en-GB"/>
    </w:rPr>
  </w:style>
  <w:style w:type="paragraph" w:customStyle="1" w:styleId="xl69">
    <w:name w:val="xl69"/>
    <w:basedOn w:val="Normal"/>
    <w:rsid w:val="00FE003D"/>
    <w:pPr>
      <w:pBdr>
        <w:top w:val="single" w:sz="4" w:space="0" w:color="auto"/>
        <w:left w:val="single" w:sz="4" w:space="0" w:color="auto"/>
        <w:bottom w:val="single" w:sz="4" w:space="0" w:color="auto"/>
        <w:right w:val="single" w:sz="4" w:space="0" w:color="auto"/>
      </w:pBdr>
      <w:spacing w:before="100" w:beforeAutospacing="1" w:after="100" w:afterAutospacing="1"/>
    </w:pPr>
    <w:rPr>
      <w:sz w:val="24"/>
      <w:szCs w:val="24"/>
      <w:lang w:val="en-GB" w:eastAsia="en-GB"/>
    </w:rPr>
  </w:style>
  <w:style w:type="paragraph" w:customStyle="1" w:styleId="xl70">
    <w:name w:val="xl70"/>
    <w:basedOn w:val="Normal"/>
    <w:rsid w:val="00FE003D"/>
    <w:pPr>
      <w:pBdr>
        <w:top w:val="single" w:sz="4" w:space="0" w:color="auto"/>
        <w:left w:val="single" w:sz="4" w:space="0" w:color="auto"/>
        <w:bottom w:val="single" w:sz="4" w:space="0" w:color="auto"/>
      </w:pBdr>
      <w:spacing w:before="100" w:beforeAutospacing="1" w:after="100" w:afterAutospacing="1"/>
      <w:textAlignment w:val="center"/>
    </w:pPr>
    <w:rPr>
      <w:sz w:val="24"/>
      <w:szCs w:val="24"/>
      <w:lang w:val="en-GB" w:eastAsia="en-GB"/>
    </w:rPr>
  </w:style>
  <w:style w:type="paragraph" w:customStyle="1" w:styleId="xl71">
    <w:name w:val="xl71"/>
    <w:basedOn w:val="Normal"/>
    <w:rsid w:val="00FE003D"/>
    <w:pPr>
      <w:pBdr>
        <w:top w:val="single" w:sz="4" w:space="0" w:color="auto"/>
        <w:left w:val="single" w:sz="4" w:space="7" w:color="auto"/>
        <w:bottom w:val="single" w:sz="4" w:space="0" w:color="auto"/>
      </w:pBdr>
      <w:spacing w:before="100" w:beforeAutospacing="1" w:after="100" w:afterAutospacing="1"/>
      <w:ind w:firstLineChars="100" w:firstLine="100"/>
      <w:textAlignment w:val="center"/>
    </w:pPr>
    <w:rPr>
      <w:sz w:val="24"/>
      <w:szCs w:val="24"/>
      <w:lang w:val="en-GB" w:eastAsia="en-GB"/>
    </w:rPr>
  </w:style>
  <w:style w:type="paragraph" w:customStyle="1" w:styleId="xl72">
    <w:name w:val="xl72"/>
    <w:basedOn w:val="Normal"/>
    <w:rsid w:val="00FE003D"/>
    <w:pPr>
      <w:pBdr>
        <w:top w:val="single" w:sz="4" w:space="0" w:color="auto"/>
        <w:left w:val="single" w:sz="4" w:space="0" w:color="auto"/>
        <w:bottom w:val="single" w:sz="4" w:space="0" w:color="auto"/>
      </w:pBdr>
      <w:spacing w:before="100" w:beforeAutospacing="1" w:after="100" w:afterAutospacing="1"/>
    </w:pPr>
    <w:rPr>
      <w:sz w:val="24"/>
      <w:szCs w:val="24"/>
      <w:lang w:val="en-GB" w:eastAsia="en-GB"/>
    </w:rPr>
  </w:style>
  <w:style w:type="paragraph" w:customStyle="1" w:styleId="xl73">
    <w:name w:val="xl73"/>
    <w:basedOn w:val="Normal"/>
    <w:rsid w:val="00FE003D"/>
    <w:pPr>
      <w:pBdr>
        <w:top w:val="single" w:sz="4" w:space="0" w:color="auto"/>
        <w:right w:val="single" w:sz="4" w:space="0" w:color="auto"/>
      </w:pBdr>
      <w:spacing w:before="100" w:beforeAutospacing="1" w:after="100" w:afterAutospacing="1"/>
    </w:pPr>
    <w:rPr>
      <w:sz w:val="24"/>
      <w:szCs w:val="24"/>
      <w:lang w:val="en-GB" w:eastAsia="en-GB"/>
    </w:rPr>
  </w:style>
  <w:style w:type="paragraph" w:customStyle="1" w:styleId="xl74">
    <w:name w:val="xl74"/>
    <w:basedOn w:val="Normal"/>
    <w:rsid w:val="00FE003D"/>
    <w:pPr>
      <w:pBdr>
        <w:top w:val="single" w:sz="4" w:space="0" w:color="auto"/>
        <w:left w:val="single" w:sz="4" w:space="0" w:color="auto"/>
        <w:right w:val="single" w:sz="4" w:space="0" w:color="auto"/>
      </w:pBdr>
      <w:spacing w:before="100" w:beforeAutospacing="1" w:after="100" w:afterAutospacing="1"/>
    </w:pPr>
    <w:rPr>
      <w:sz w:val="24"/>
      <w:szCs w:val="24"/>
      <w:lang w:val="en-GB" w:eastAsia="en-GB"/>
    </w:rPr>
  </w:style>
  <w:style w:type="paragraph" w:customStyle="1" w:styleId="xl75">
    <w:name w:val="xl75"/>
    <w:basedOn w:val="Normal"/>
    <w:rsid w:val="00FE003D"/>
    <w:pPr>
      <w:pBdr>
        <w:top w:val="single" w:sz="4" w:space="0" w:color="auto"/>
        <w:left w:val="single" w:sz="4" w:space="0" w:color="auto"/>
      </w:pBdr>
      <w:spacing w:before="100" w:beforeAutospacing="1" w:after="100" w:afterAutospacing="1"/>
    </w:pPr>
    <w:rPr>
      <w:sz w:val="24"/>
      <w:szCs w:val="24"/>
      <w:lang w:val="en-GB" w:eastAsia="en-GB"/>
    </w:rPr>
  </w:style>
  <w:style w:type="paragraph" w:styleId="TOCHeading">
    <w:name w:val="TOC Heading"/>
    <w:basedOn w:val="Heading1"/>
    <w:next w:val="Normal"/>
    <w:uiPriority w:val="39"/>
    <w:unhideWhenUsed/>
    <w:qFormat/>
    <w:rsid w:val="00483BD7"/>
    <w:pPr>
      <w:spacing w:before="240" w:after="0"/>
      <w:outlineLvl w:val="9"/>
    </w:pPr>
    <w:rPr>
      <w:sz w:val="32"/>
      <w:szCs w:val="32"/>
      <w:lang w:eastAsia="en-GB"/>
    </w:rPr>
  </w:style>
  <w:style w:type="paragraph" w:styleId="TOC1">
    <w:name w:val="toc 1"/>
    <w:basedOn w:val="Normal"/>
    <w:next w:val="Normal"/>
    <w:autoRedefine/>
    <w:uiPriority w:val="39"/>
    <w:unhideWhenUsed/>
    <w:rsid w:val="00483BD7"/>
    <w:pPr>
      <w:spacing w:after="100"/>
    </w:pPr>
  </w:style>
  <w:style w:type="paragraph" w:styleId="NoSpacing">
    <w:name w:val="No Spacing"/>
    <w:uiPriority w:val="1"/>
    <w:qFormat/>
    <w:rsid w:val="00220BC1"/>
    <w:pPr>
      <w:spacing w:after="0" w:line="240" w:lineRule="auto"/>
    </w:pPr>
    <w:rPr>
      <w:rFonts w:ascii="Times New Roman" w:eastAsia="Times New Roman" w:hAnsi="Times New Roman" w:cs="Times New Roman"/>
      <w:sz w:val="20"/>
      <w:szCs w:val="20"/>
      <w:lang w:val="en-AU" w:eastAsia="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5T10:59:13.541"/>
    </inkml:context>
    <inkml:brush xml:id="br0">
      <inkml:brushProperty name="width" value="0.35" units="cm"/>
      <inkml:brushProperty name="height" value="0.35" units="cm"/>
      <inkml:brushProperty name="color" value="#FFFFFF"/>
    </inkml:brush>
  </inkml:definitions>
  <inkml:trace contextRef="#ctx0" brushRef="#br0">1462 367 24575,'674'0'0,"-671"0"0,4 0 0,0-1 0,0 2 0,0-1 0,0 1 0,-1 0 0,1 0 0,0 1 0,-1 0 0,8 3 0,-62 2 0,-557-22 0,235-32 0,8-30 0,157 32 0,101 23 0,1-4 0,-177-70 0,270 93 0,0 0 0,-1 0 0,-12-1 0,17 3 0,0 0 0,0 0 0,0 0 0,0-1 0,0 1 0,0-1 0,1-1 0,-1 1 0,1-1 0,-1 0 0,1-1 0,-8-5 0,13 9 0,0 0 0,0 0 0,0 0 0,0 0 0,0-1 0,0 1 0,-1 0 0,1 0 0,0 0 0,0 0 0,0 0 0,0-1 0,0 1 0,0 0 0,0 0 0,0 0 0,0 0 0,0 0 0,0-1 0,0 1 0,0 0 0,0 0 0,0 0 0,0 0 0,0-1 0,0 1 0,0 0 0,0 0 0,0 0 0,0 0 0,1 0 0,-1-1 0,0 1 0,0 0 0,0 0 0,0 0 0,0 0 0,0 0 0,0 0 0,0-1 0,1 1 0,-1 0 0,0 0 0,0 0 0,0 0 0,0 0 0,0 0 0,1 0 0,-1 0 0,14-4 0,13 3 0,217 25 0,-158-14 0,482 94 0,-309-35 0,12 2 0,-217-60 0,0-2 0,1-3 0,62-1 0,5-4 0,-47 1 0,0-3 0,95-14 0,20-30 0,-136 36 0,60-3 0,-82 9 0,1-2 0,-1-1 0,-1-2 0,1-1 0,45-19 0,-33 5 0,-37 18 0,0 1 0,0 1 0,0-1 0,0 1 0,1 0 0,-1 1 0,1 0 0,-1 0 0,16-2 0,289 4 0,-217 10 0,39 0 0,-83-12 0,-33 0 0,1 2 0,0 0 0,0 1 0,28 5 0,-45-6 0,-1 0 0,0 0 0,1 0 0,-1 1 0,1-1 0,-1 1 0,0-1 0,1 1 0,-1 0 0,0-1 0,1 1 0,-1 0 0,0 0 0,0 0 0,0 0 0,0 0 0,0 0 0,0 0 0,0 0 0,0 1 0,-1-1 0,1 0 0,1 2 0,-2-1 0,0 0 0,0-1 0,0 1 0,0 0 0,-1 0 0,1-1 0,0 1 0,-1 0 0,1-1 0,-1 1 0,1 0 0,-1-1 0,0 1 0,0-1 0,0 1 0,-2 1 0,-6 9 0,-1-1 0,0-1 0,-21 17 0,21-19 0,-56 56 0,48-45 0,1-2 0,-2 0 0,-1 0 0,-39 24 0,35-29 0,0-1 0,-1-1 0,-1-2 0,-34 9 0,-109 10 0,116-23 0,0-1 0,-90-8 0,141 5 0,0 0 0,1 0 0,-1 0 0,1 0 0,-1-1 0,1 1 0,-1 0 0,1-1 0,-1 1 0,1-1 0,-1 0 0,1 0 0,-1 1 0,1-1 0,0 0 0,0 0 0,-1 0 0,1 0 0,0 0 0,0-1 0,0 1 0,0 0 0,0 0 0,0-2 0,0 0 0,0 1 0,1 0 0,0 0 0,0-1 0,-1 1 0,1 0 0,1 0 0,-1-1 0,0 1 0,0 0 0,1-1 0,0 1 0,-1 0 0,3-4 0,0-1 0,0 1 0,1-1 0,0 1 0,0 0 0,0 0 0,1 0 0,0 0 0,0 1 0,8-7 0,7-2 0,42-22 0,-53 33 0,0-1 0,0 1 0,0 1 0,0 0 0,1 0 0,-1 0 0,20 1 0,2 1-1365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82E6A-52EB-4052-821D-845005C73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4608</TotalTime>
  <Pages>49</Pages>
  <Words>16170</Words>
  <Characters>92173</Characters>
  <Application>Microsoft Office Word</Application>
  <DocSecurity>0</DocSecurity>
  <Lines>768</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panchalpooja7897@gmail.com</dc:creator>
  <cp:keywords/>
  <dc:description/>
  <cp:lastModifiedBy>panchalpooja7897@gmail.com</cp:lastModifiedBy>
  <cp:revision>806</cp:revision>
  <dcterms:created xsi:type="dcterms:W3CDTF">2026-02-21T14:56:00Z</dcterms:created>
  <dcterms:modified xsi:type="dcterms:W3CDTF">2026-04-17T20:25:00Z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6c1ba7f4-ae88-477b-872f-aa594bb02b0f</vt:lpwstr>
  </property>
</Properties>
</file>