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637DD229" w14:textId="77777777" w:rsidR="00F3751F" w:rsidRDefault="00F3751F">
      <w:pPr>
        <w:jc w:val="center"/>
        <w:rPr>
          <w:b/>
          <w:bCs/>
          <w:sz w:val="34"/>
          <w:szCs w:val="34"/>
        </w:rPr>
      </w:pPr>
    </w:p>
    <w:p w14:paraId="0C78EB05" w14:textId="77777777" w:rsidR="000C29BD" w:rsidRDefault="000C29BD">
      <w:pPr>
        <w:jc w:val="center"/>
        <w:rPr>
          <w:b/>
          <w:bCs/>
          <w:sz w:val="34"/>
          <w:szCs w:val="34"/>
        </w:rPr>
      </w:pPr>
    </w:p>
    <w:p w14:paraId="548D6CA2" w14:textId="77777777" w:rsidR="000C29BD" w:rsidRDefault="000C29BD">
      <w:pPr>
        <w:jc w:val="center"/>
        <w:rPr>
          <w:b/>
          <w:bCs/>
          <w:sz w:val="34"/>
          <w:szCs w:val="34"/>
        </w:rPr>
      </w:pPr>
    </w:p>
    <w:p w14:paraId="58EAB254" w14:textId="77777777" w:rsidR="000C29BD" w:rsidRDefault="000C29BD">
      <w:pPr>
        <w:jc w:val="center"/>
        <w:rPr>
          <w:b/>
          <w:bCs/>
          <w:sz w:val="34"/>
          <w:szCs w:val="34"/>
        </w:rPr>
      </w:pPr>
    </w:p>
    <w:p w14:paraId="637DD22A" w14:textId="77777777" w:rsidR="00F3751F" w:rsidRDefault="00C77840">
      <w:pPr>
        <w:jc w:val="center"/>
        <w:rPr>
          <w:b/>
          <w:bCs/>
          <w:sz w:val="34"/>
          <w:szCs w:val="34"/>
        </w:rPr>
      </w:pPr>
      <w:r>
        <w:rPr>
          <w:b/>
          <w:bCs/>
          <w:noProof/>
          <w:sz w:val="34"/>
          <w:szCs w:val="34"/>
        </w:rPr>
        <w:drawing>
          <wp:inline distT="114300" distB="114300" distL="114300" distR="114300" wp14:anchorId="637DD5CA" wp14:editId="637DD5CB">
            <wp:extent cx="1895475" cy="74295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6"/>
                    <a:srcRect/>
                    <a:stretch>
                      <a:fillRect/>
                    </a:stretch>
                  </pic:blipFill>
                  <pic:spPr>
                    <a:xfrm>
                      <a:off x="0" y="0"/>
                      <a:ext cx="1895475" cy="742950"/>
                    </a:xfrm>
                    <a:prstGeom prst="rect">
                      <a:avLst/>
                    </a:prstGeom>
                    <a:ln/>
                  </pic:spPr>
                </pic:pic>
              </a:graphicData>
            </a:graphic>
          </wp:inline>
        </w:drawing>
      </w:r>
    </w:p>
    <w:p w14:paraId="44A8A39C" w14:textId="77777777" w:rsidR="00563B31" w:rsidRDefault="00563B31">
      <w:pPr>
        <w:jc w:val="center"/>
        <w:rPr>
          <w:b/>
          <w:bCs/>
          <w:sz w:val="34"/>
          <w:szCs w:val="34"/>
        </w:rPr>
      </w:pPr>
    </w:p>
    <w:p w14:paraId="5B31DC74" w14:textId="29EA1CB2" w:rsidR="00563B31" w:rsidRDefault="00563B31">
      <w:pPr>
        <w:jc w:val="center"/>
        <w:rPr>
          <w:b/>
          <w:bCs/>
          <w:sz w:val="34"/>
          <w:szCs w:val="34"/>
        </w:rPr>
      </w:pPr>
      <w:r>
        <w:rPr>
          <w:b/>
          <w:bCs/>
          <w:sz w:val="34"/>
          <w:szCs w:val="34"/>
        </w:rPr>
        <w:t>Student Name: Shivang Narshibhai Kalsariya</w:t>
      </w:r>
    </w:p>
    <w:p w14:paraId="7871A0D4" w14:textId="6BCE6C5F" w:rsidR="00563B31" w:rsidRDefault="00563B31">
      <w:pPr>
        <w:jc w:val="center"/>
        <w:rPr>
          <w:b/>
          <w:bCs/>
          <w:sz w:val="34"/>
          <w:szCs w:val="34"/>
        </w:rPr>
      </w:pPr>
      <w:r>
        <w:rPr>
          <w:b/>
          <w:bCs/>
          <w:sz w:val="34"/>
          <w:szCs w:val="34"/>
        </w:rPr>
        <w:t>Student ID: 2532573</w:t>
      </w:r>
    </w:p>
    <w:p w14:paraId="637DD22B" w14:textId="39400A6B" w:rsidR="00F3751F" w:rsidRDefault="00C77840">
      <w:pPr>
        <w:jc w:val="center"/>
        <w:rPr>
          <w:b/>
          <w:bCs/>
          <w:sz w:val="34"/>
          <w:szCs w:val="34"/>
        </w:rPr>
      </w:pPr>
      <w:r>
        <w:rPr>
          <w:b/>
          <w:bCs/>
          <w:sz w:val="34"/>
          <w:szCs w:val="34"/>
        </w:rPr>
        <w:t>Programme</w:t>
      </w:r>
      <w:r w:rsidR="00563B31">
        <w:rPr>
          <w:b/>
          <w:bCs/>
          <w:sz w:val="34"/>
          <w:szCs w:val="34"/>
        </w:rPr>
        <w:t xml:space="preserve"> </w:t>
      </w:r>
      <w:r>
        <w:rPr>
          <w:b/>
          <w:bCs/>
          <w:sz w:val="34"/>
          <w:szCs w:val="34"/>
        </w:rPr>
        <w:t>: Master of Business Administration</w:t>
      </w:r>
    </w:p>
    <w:p w14:paraId="2C9DA2F9" w14:textId="237609D5" w:rsidR="00563B31" w:rsidRDefault="00563B31">
      <w:pPr>
        <w:jc w:val="center"/>
        <w:rPr>
          <w:b/>
          <w:bCs/>
          <w:sz w:val="34"/>
          <w:szCs w:val="34"/>
        </w:rPr>
      </w:pPr>
      <w:r>
        <w:rPr>
          <w:b/>
          <w:bCs/>
          <w:sz w:val="34"/>
          <w:szCs w:val="34"/>
        </w:rPr>
        <w:t xml:space="preserve">Assignment component : Hayat  </w:t>
      </w:r>
    </w:p>
    <w:p w14:paraId="637DD22C" w14:textId="77777777" w:rsidR="00F3751F" w:rsidRDefault="00C77840">
      <w:pPr>
        <w:jc w:val="center"/>
        <w:rPr>
          <w:b/>
          <w:bCs/>
          <w:sz w:val="34"/>
          <w:szCs w:val="34"/>
        </w:rPr>
      </w:pPr>
      <w:r>
        <w:rPr>
          <w:b/>
          <w:bCs/>
          <w:sz w:val="34"/>
          <w:szCs w:val="34"/>
        </w:rPr>
        <w:t>Module Title: Financial Management</w:t>
      </w:r>
    </w:p>
    <w:p w14:paraId="637DD22D" w14:textId="77777777" w:rsidR="00F3751F" w:rsidRDefault="00C77840">
      <w:pPr>
        <w:jc w:val="center"/>
        <w:rPr>
          <w:b/>
          <w:bCs/>
          <w:sz w:val="34"/>
          <w:szCs w:val="34"/>
        </w:rPr>
      </w:pPr>
      <w:r>
        <w:rPr>
          <w:b/>
          <w:bCs/>
          <w:sz w:val="34"/>
          <w:szCs w:val="34"/>
        </w:rPr>
        <w:t>Module Code: LCMB7002</w:t>
      </w:r>
    </w:p>
    <w:p w14:paraId="637DD22E" w14:textId="7359ADA4" w:rsidR="00F3751F" w:rsidRDefault="00563B31">
      <w:pPr>
        <w:jc w:val="center"/>
        <w:rPr>
          <w:b/>
          <w:bCs/>
          <w:sz w:val="34"/>
          <w:szCs w:val="34"/>
        </w:rPr>
      </w:pPr>
      <w:r>
        <w:rPr>
          <w:b/>
          <w:bCs/>
          <w:sz w:val="34"/>
          <w:szCs w:val="34"/>
        </w:rPr>
        <w:t xml:space="preserve">Lecturer’s name   : </w:t>
      </w:r>
      <w:r w:rsidR="00ED3F76">
        <w:rPr>
          <w:b/>
          <w:bCs/>
          <w:sz w:val="34"/>
          <w:szCs w:val="34"/>
        </w:rPr>
        <w:t>md kalam</w:t>
      </w:r>
    </w:p>
    <w:p w14:paraId="14149912" w14:textId="7BE70643" w:rsidR="00563B31" w:rsidRDefault="00563B31">
      <w:pPr>
        <w:jc w:val="center"/>
        <w:rPr>
          <w:b/>
          <w:bCs/>
          <w:sz w:val="34"/>
          <w:szCs w:val="34"/>
        </w:rPr>
      </w:pPr>
      <w:r>
        <w:rPr>
          <w:b/>
          <w:bCs/>
          <w:sz w:val="34"/>
          <w:szCs w:val="34"/>
        </w:rPr>
        <w:t>Word count: 5000</w:t>
      </w:r>
    </w:p>
    <w:p w14:paraId="16798347" w14:textId="77777777" w:rsidR="00563B31" w:rsidRDefault="00563B31">
      <w:pPr>
        <w:jc w:val="center"/>
        <w:rPr>
          <w:b/>
          <w:bCs/>
          <w:sz w:val="34"/>
          <w:szCs w:val="34"/>
        </w:rPr>
      </w:pPr>
    </w:p>
    <w:p w14:paraId="637DD22F" w14:textId="77777777" w:rsidR="00F3751F" w:rsidRDefault="00F3751F">
      <w:pPr>
        <w:jc w:val="center"/>
        <w:rPr>
          <w:b/>
          <w:bCs/>
          <w:sz w:val="34"/>
          <w:szCs w:val="34"/>
        </w:rPr>
      </w:pPr>
    </w:p>
    <w:p w14:paraId="637DD230" w14:textId="77777777" w:rsidR="00F3751F" w:rsidRDefault="00F3751F">
      <w:pPr>
        <w:jc w:val="center"/>
        <w:rPr>
          <w:b/>
          <w:bCs/>
          <w:sz w:val="34"/>
          <w:szCs w:val="34"/>
        </w:rPr>
      </w:pPr>
    </w:p>
    <w:p w14:paraId="637DD231" w14:textId="77777777" w:rsidR="00F3751F" w:rsidRDefault="00F3751F">
      <w:pPr>
        <w:jc w:val="center"/>
        <w:rPr>
          <w:b/>
          <w:bCs/>
          <w:sz w:val="34"/>
          <w:szCs w:val="34"/>
        </w:rPr>
      </w:pPr>
    </w:p>
    <w:p w14:paraId="637DD233" w14:textId="35D2EF48" w:rsidR="00F3751F" w:rsidRDefault="00C77840" w:rsidP="00563B31">
      <w:pPr>
        <w:jc w:val="center"/>
        <w:rPr>
          <w:b/>
          <w:bCs/>
          <w:sz w:val="28"/>
          <w:szCs w:val="28"/>
        </w:rPr>
      </w:pPr>
      <w:r>
        <w:br w:type="page"/>
      </w:r>
    </w:p>
    <w:p w14:paraId="637DD234" w14:textId="77777777" w:rsidR="00F3751F" w:rsidRDefault="00C77840">
      <w:pPr>
        <w:jc w:val="center"/>
        <w:rPr>
          <w:b/>
          <w:bCs/>
          <w:sz w:val="28"/>
          <w:szCs w:val="28"/>
        </w:rPr>
      </w:pPr>
      <w:r>
        <w:rPr>
          <w:b/>
          <w:bCs/>
          <w:sz w:val="28"/>
          <w:szCs w:val="28"/>
        </w:rPr>
        <w:lastRenderedPageBreak/>
        <w:t xml:space="preserve">Table of content </w:t>
      </w:r>
    </w:p>
    <w:sdt>
      <w:sdtPr>
        <w:id w:val="266652301"/>
        <w:docPartObj>
          <w:docPartGallery w:val="Table of Contents"/>
          <w:docPartUnique/>
        </w:docPartObj>
      </w:sdtPr>
      <w:sdtEndPr/>
      <w:sdtContent>
        <w:p w14:paraId="6FE34DE7" w14:textId="0AC2B40D" w:rsidR="00170E55" w:rsidRDefault="00C77840">
          <w:pPr>
            <w:pStyle w:val="TOC1"/>
            <w:tabs>
              <w:tab w:val="right" w:pos="9350"/>
            </w:tabs>
            <w:rPr>
              <w:rFonts w:asciiTheme="minorHAnsi" w:eastAsiaTheme="minorEastAsia" w:hAnsiTheme="minorHAnsi" w:cstheme="minorBidi"/>
              <w:noProof/>
              <w:sz w:val="22"/>
              <w:szCs w:val="22"/>
              <w:lang w:val="en-IN"/>
            </w:rPr>
          </w:pPr>
          <w:r>
            <w:fldChar w:fldCharType="begin"/>
          </w:r>
          <w:r>
            <w:instrText xml:space="preserve"> TOC \h \u \z \t "Heading 1,1,Heading 2,2,Heading 3,3,Heading 4,4,Heading 5,5,Heading 6,6,"</w:instrText>
          </w:r>
          <w:r>
            <w:fldChar w:fldCharType="separate"/>
          </w:r>
          <w:hyperlink w:anchor="_Toc235293111" w:history="1">
            <w:r w:rsidR="00170E55" w:rsidRPr="00917FC7">
              <w:rPr>
                <w:rStyle w:val="Hyperlink"/>
                <w:noProof/>
              </w:rPr>
              <w:t>1. Financial Health Check</w:t>
            </w:r>
            <w:r w:rsidR="00170E55">
              <w:rPr>
                <w:noProof/>
                <w:webHidden/>
              </w:rPr>
              <w:tab/>
            </w:r>
            <w:r w:rsidR="00170E55">
              <w:rPr>
                <w:noProof/>
                <w:webHidden/>
              </w:rPr>
              <w:fldChar w:fldCharType="begin"/>
            </w:r>
            <w:r w:rsidR="00170E55">
              <w:rPr>
                <w:noProof/>
                <w:webHidden/>
              </w:rPr>
              <w:instrText xml:space="preserve"> PAGEREF _Toc235293111 \h </w:instrText>
            </w:r>
            <w:r w:rsidR="00170E55">
              <w:rPr>
                <w:noProof/>
                <w:webHidden/>
              </w:rPr>
            </w:r>
            <w:r w:rsidR="00170E55">
              <w:rPr>
                <w:noProof/>
                <w:webHidden/>
              </w:rPr>
              <w:fldChar w:fldCharType="separate"/>
            </w:r>
            <w:r w:rsidR="00170E55">
              <w:rPr>
                <w:noProof/>
                <w:webHidden/>
              </w:rPr>
              <w:t>4</w:t>
            </w:r>
            <w:r w:rsidR="00170E55">
              <w:rPr>
                <w:noProof/>
                <w:webHidden/>
              </w:rPr>
              <w:fldChar w:fldCharType="end"/>
            </w:r>
          </w:hyperlink>
        </w:p>
        <w:p w14:paraId="7E3078FF" w14:textId="371FCA5A" w:rsidR="00170E55" w:rsidRDefault="00170E55">
          <w:pPr>
            <w:pStyle w:val="TOC2"/>
            <w:tabs>
              <w:tab w:val="right" w:pos="9350"/>
            </w:tabs>
            <w:rPr>
              <w:rFonts w:asciiTheme="minorHAnsi" w:eastAsiaTheme="minorEastAsia" w:hAnsiTheme="minorHAnsi" w:cstheme="minorBidi"/>
              <w:noProof/>
              <w:sz w:val="22"/>
              <w:szCs w:val="22"/>
              <w:lang w:val="en-IN"/>
            </w:rPr>
          </w:pPr>
          <w:hyperlink w:anchor="_Toc235293112" w:history="1">
            <w:r w:rsidRPr="00917FC7">
              <w:rPr>
                <w:rStyle w:val="Hyperlink"/>
                <w:noProof/>
              </w:rPr>
              <w:t>1.1 Five-Year Financial Statement Analysis</w:t>
            </w:r>
            <w:r>
              <w:rPr>
                <w:noProof/>
                <w:webHidden/>
              </w:rPr>
              <w:tab/>
            </w:r>
            <w:r>
              <w:rPr>
                <w:noProof/>
                <w:webHidden/>
              </w:rPr>
              <w:fldChar w:fldCharType="begin"/>
            </w:r>
            <w:r>
              <w:rPr>
                <w:noProof/>
                <w:webHidden/>
              </w:rPr>
              <w:instrText xml:space="preserve"> PAGEREF _Toc235293112 \h </w:instrText>
            </w:r>
            <w:r>
              <w:rPr>
                <w:noProof/>
                <w:webHidden/>
              </w:rPr>
            </w:r>
            <w:r>
              <w:rPr>
                <w:noProof/>
                <w:webHidden/>
              </w:rPr>
              <w:fldChar w:fldCharType="separate"/>
            </w:r>
            <w:r>
              <w:rPr>
                <w:noProof/>
                <w:webHidden/>
              </w:rPr>
              <w:t>4</w:t>
            </w:r>
            <w:r>
              <w:rPr>
                <w:noProof/>
                <w:webHidden/>
              </w:rPr>
              <w:fldChar w:fldCharType="end"/>
            </w:r>
          </w:hyperlink>
        </w:p>
        <w:p w14:paraId="249EC600" w14:textId="6DDC0993"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13" w:history="1">
            <w:r w:rsidRPr="00917FC7">
              <w:rPr>
                <w:rStyle w:val="Hyperlink"/>
                <w:noProof/>
              </w:rPr>
              <w:t>1.1.1 Income Statement Analysis</w:t>
            </w:r>
            <w:r>
              <w:rPr>
                <w:noProof/>
                <w:webHidden/>
              </w:rPr>
              <w:tab/>
            </w:r>
            <w:r>
              <w:rPr>
                <w:noProof/>
                <w:webHidden/>
              </w:rPr>
              <w:fldChar w:fldCharType="begin"/>
            </w:r>
            <w:r>
              <w:rPr>
                <w:noProof/>
                <w:webHidden/>
              </w:rPr>
              <w:instrText xml:space="preserve"> PAGEREF _Toc235293113 \h </w:instrText>
            </w:r>
            <w:r>
              <w:rPr>
                <w:noProof/>
                <w:webHidden/>
              </w:rPr>
            </w:r>
            <w:r>
              <w:rPr>
                <w:noProof/>
                <w:webHidden/>
              </w:rPr>
              <w:fldChar w:fldCharType="separate"/>
            </w:r>
            <w:r>
              <w:rPr>
                <w:noProof/>
                <w:webHidden/>
              </w:rPr>
              <w:t>4</w:t>
            </w:r>
            <w:r>
              <w:rPr>
                <w:noProof/>
                <w:webHidden/>
              </w:rPr>
              <w:fldChar w:fldCharType="end"/>
            </w:r>
          </w:hyperlink>
        </w:p>
        <w:p w14:paraId="7A1EAF1C" w14:textId="65039EDF"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14" w:history="1">
            <w:r w:rsidRPr="00917FC7">
              <w:rPr>
                <w:rStyle w:val="Hyperlink"/>
                <w:noProof/>
              </w:rPr>
              <w:t>1.1.2 Statement of Financial Position Analysis (Balance Sheet)</w:t>
            </w:r>
            <w:r>
              <w:rPr>
                <w:noProof/>
                <w:webHidden/>
              </w:rPr>
              <w:tab/>
            </w:r>
            <w:r>
              <w:rPr>
                <w:noProof/>
                <w:webHidden/>
              </w:rPr>
              <w:fldChar w:fldCharType="begin"/>
            </w:r>
            <w:r>
              <w:rPr>
                <w:noProof/>
                <w:webHidden/>
              </w:rPr>
              <w:instrText xml:space="preserve"> PAGEREF _Toc235293114 \h </w:instrText>
            </w:r>
            <w:r>
              <w:rPr>
                <w:noProof/>
                <w:webHidden/>
              </w:rPr>
            </w:r>
            <w:r>
              <w:rPr>
                <w:noProof/>
                <w:webHidden/>
              </w:rPr>
              <w:fldChar w:fldCharType="separate"/>
            </w:r>
            <w:r>
              <w:rPr>
                <w:noProof/>
                <w:webHidden/>
              </w:rPr>
              <w:t>5</w:t>
            </w:r>
            <w:r>
              <w:rPr>
                <w:noProof/>
                <w:webHidden/>
              </w:rPr>
              <w:fldChar w:fldCharType="end"/>
            </w:r>
          </w:hyperlink>
        </w:p>
        <w:p w14:paraId="0630BF75" w14:textId="501B3FDD" w:rsidR="00170E55" w:rsidRDefault="00170E55">
          <w:pPr>
            <w:pStyle w:val="TOC2"/>
            <w:tabs>
              <w:tab w:val="right" w:pos="9350"/>
            </w:tabs>
            <w:rPr>
              <w:rFonts w:asciiTheme="minorHAnsi" w:eastAsiaTheme="minorEastAsia" w:hAnsiTheme="minorHAnsi" w:cstheme="minorBidi"/>
              <w:noProof/>
              <w:sz w:val="22"/>
              <w:szCs w:val="22"/>
              <w:lang w:val="en-IN"/>
            </w:rPr>
          </w:pPr>
          <w:hyperlink w:anchor="_Toc235293115" w:history="1">
            <w:r w:rsidRPr="00917FC7">
              <w:rPr>
                <w:rStyle w:val="Hyperlink"/>
                <w:noProof/>
              </w:rPr>
              <w:t>1.2 Financial Ratio Interpretation</w:t>
            </w:r>
            <w:r>
              <w:rPr>
                <w:noProof/>
                <w:webHidden/>
              </w:rPr>
              <w:tab/>
            </w:r>
            <w:r>
              <w:rPr>
                <w:noProof/>
                <w:webHidden/>
              </w:rPr>
              <w:fldChar w:fldCharType="begin"/>
            </w:r>
            <w:r>
              <w:rPr>
                <w:noProof/>
                <w:webHidden/>
              </w:rPr>
              <w:instrText xml:space="preserve"> PAGEREF _Toc235293115 \h </w:instrText>
            </w:r>
            <w:r>
              <w:rPr>
                <w:noProof/>
                <w:webHidden/>
              </w:rPr>
            </w:r>
            <w:r>
              <w:rPr>
                <w:noProof/>
                <w:webHidden/>
              </w:rPr>
              <w:fldChar w:fldCharType="separate"/>
            </w:r>
            <w:r>
              <w:rPr>
                <w:noProof/>
                <w:webHidden/>
              </w:rPr>
              <w:t>6</w:t>
            </w:r>
            <w:r>
              <w:rPr>
                <w:noProof/>
                <w:webHidden/>
              </w:rPr>
              <w:fldChar w:fldCharType="end"/>
            </w:r>
          </w:hyperlink>
        </w:p>
        <w:p w14:paraId="172DAFC4" w14:textId="0590B9EC"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16" w:history="1">
            <w:r w:rsidRPr="00917FC7">
              <w:rPr>
                <w:rStyle w:val="Hyperlink"/>
                <w:noProof/>
              </w:rPr>
              <w:t>1.2.1 Gearing Ratios</w:t>
            </w:r>
            <w:r>
              <w:rPr>
                <w:noProof/>
                <w:webHidden/>
              </w:rPr>
              <w:tab/>
            </w:r>
            <w:r>
              <w:rPr>
                <w:noProof/>
                <w:webHidden/>
              </w:rPr>
              <w:fldChar w:fldCharType="begin"/>
            </w:r>
            <w:r>
              <w:rPr>
                <w:noProof/>
                <w:webHidden/>
              </w:rPr>
              <w:instrText xml:space="preserve"> PAGEREF _Toc235293116 \h </w:instrText>
            </w:r>
            <w:r>
              <w:rPr>
                <w:noProof/>
                <w:webHidden/>
              </w:rPr>
            </w:r>
            <w:r>
              <w:rPr>
                <w:noProof/>
                <w:webHidden/>
              </w:rPr>
              <w:fldChar w:fldCharType="separate"/>
            </w:r>
            <w:r>
              <w:rPr>
                <w:noProof/>
                <w:webHidden/>
              </w:rPr>
              <w:t>6</w:t>
            </w:r>
            <w:r>
              <w:rPr>
                <w:noProof/>
                <w:webHidden/>
              </w:rPr>
              <w:fldChar w:fldCharType="end"/>
            </w:r>
          </w:hyperlink>
        </w:p>
        <w:p w14:paraId="4EBCB7E3" w14:textId="29B5935F"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17" w:history="1">
            <w:r w:rsidRPr="00917FC7">
              <w:rPr>
                <w:rStyle w:val="Hyperlink"/>
                <w:noProof/>
              </w:rPr>
              <w:t>1.2.2 Profitability Ratios</w:t>
            </w:r>
            <w:r>
              <w:rPr>
                <w:noProof/>
                <w:webHidden/>
              </w:rPr>
              <w:tab/>
            </w:r>
            <w:r>
              <w:rPr>
                <w:noProof/>
                <w:webHidden/>
              </w:rPr>
              <w:fldChar w:fldCharType="begin"/>
            </w:r>
            <w:r>
              <w:rPr>
                <w:noProof/>
                <w:webHidden/>
              </w:rPr>
              <w:instrText xml:space="preserve"> PAGEREF _Toc235293117 \h </w:instrText>
            </w:r>
            <w:r>
              <w:rPr>
                <w:noProof/>
                <w:webHidden/>
              </w:rPr>
            </w:r>
            <w:r>
              <w:rPr>
                <w:noProof/>
                <w:webHidden/>
              </w:rPr>
              <w:fldChar w:fldCharType="separate"/>
            </w:r>
            <w:r>
              <w:rPr>
                <w:noProof/>
                <w:webHidden/>
              </w:rPr>
              <w:t>7</w:t>
            </w:r>
            <w:r>
              <w:rPr>
                <w:noProof/>
                <w:webHidden/>
              </w:rPr>
              <w:fldChar w:fldCharType="end"/>
            </w:r>
          </w:hyperlink>
        </w:p>
        <w:p w14:paraId="38E75675" w14:textId="617E0C4E"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18" w:history="1">
            <w:r w:rsidRPr="00917FC7">
              <w:rPr>
                <w:rStyle w:val="Hyperlink"/>
                <w:noProof/>
              </w:rPr>
              <w:t>1.2.3 Efficiency Ratios</w:t>
            </w:r>
            <w:r>
              <w:rPr>
                <w:noProof/>
                <w:webHidden/>
              </w:rPr>
              <w:tab/>
            </w:r>
            <w:r>
              <w:rPr>
                <w:noProof/>
                <w:webHidden/>
              </w:rPr>
              <w:fldChar w:fldCharType="begin"/>
            </w:r>
            <w:r>
              <w:rPr>
                <w:noProof/>
                <w:webHidden/>
              </w:rPr>
              <w:instrText xml:space="preserve"> PAGEREF _Toc235293118 \h </w:instrText>
            </w:r>
            <w:r>
              <w:rPr>
                <w:noProof/>
                <w:webHidden/>
              </w:rPr>
            </w:r>
            <w:r>
              <w:rPr>
                <w:noProof/>
                <w:webHidden/>
              </w:rPr>
              <w:fldChar w:fldCharType="separate"/>
            </w:r>
            <w:r>
              <w:rPr>
                <w:noProof/>
                <w:webHidden/>
              </w:rPr>
              <w:t>8</w:t>
            </w:r>
            <w:r>
              <w:rPr>
                <w:noProof/>
                <w:webHidden/>
              </w:rPr>
              <w:fldChar w:fldCharType="end"/>
            </w:r>
          </w:hyperlink>
        </w:p>
        <w:p w14:paraId="1DEC9BED" w14:textId="345B20D4"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19" w:history="1">
            <w:r w:rsidRPr="00917FC7">
              <w:rPr>
                <w:rStyle w:val="Hyperlink"/>
                <w:noProof/>
              </w:rPr>
              <w:t>1.2.4 Liquidity Ratios</w:t>
            </w:r>
            <w:r>
              <w:rPr>
                <w:noProof/>
                <w:webHidden/>
              </w:rPr>
              <w:tab/>
            </w:r>
            <w:r>
              <w:rPr>
                <w:noProof/>
                <w:webHidden/>
              </w:rPr>
              <w:fldChar w:fldCharType="begin"/>
            </w:r>
            <w:r>
              <w:rPr>
                <w:noProof/>
                <w:webHidden/>
              </w:rPr>
              <w:instrText xml:space="preserve"> PAGEREF _Toc235293119 \h </w:instrText>
            </w:r>
            <w:r>
              <w:rPr>
                <w:noProof/>
                <w:webHidden/>
              </w:rPr>
            </w:r>
            <w:r>
              <w:rPr>
                <w:noProof/>
                <w:webHidden/>
              </w:rPr>
              <w:fldChar w:fldCharType="separate"/>
            </w:r>
            <w:r>
              <w:rPr>
                <w:noProof/>
                <w:webHidden/>
              </w:rPr>
              <w:t>10</w:t>
            </w:r>
            <w:r>
              <w:rPr>
                <w:noProof/>
                <w:webHidden/>
              </w:rPr>
              <w:fldChar w:fldCharType="end"/>
            </w:r>
          </w:hyperlink>
        </w:p>
        <w:p w14:paraId="19268946" w14:textId="3634C37C"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20" w:history="1">
            <w:r w:rsidRPr="00917FC7">
              <w:rPr>
                <w:rStyle w:val="Hyperlink"/>
                <w:noProof/>
              </w:rPr>
              <w:t>1.2.5 Investment Ratios</w:t>
            </w:r>
            <w:r>
              <w:rPr>
                <w:noProof/>
                <w:webHidden/>
              </w:rPr>
              <w:tab/>
            </w:r>
            <w:r>
              <w:rPr>
                <w:noProof/>
                <w:webHidden/>
              </w:rPr>
              <w:fldChar w:fldCharType="begin"/>
            </w:r>
            <w:r>
              <w:rPr>
                <w:noProof/>
                <w:webHidden/>
              </w:rPr>
              <w:instrText xml:space="preserve"> PAGEREF _Toc235293120 \h </w:instrText>
            </w:r>
            <w:r>
              <w:rPr>
                <w:noProof/>
                <w:webHidden/>
              </w:rPr>
            </w:r>
            <w:r>
              <w:rPr>
                <w:noProof/>
                <w:webHidden/>
              </w:rPr>
              <w:fldChar w:fldCharType="separate"/>
            </w:r>
            <w:r>
              <w:rPr>
                <w:noProof/>
                <w:webHidden/>
              </w:rPr>
              <w:t>11</w:t>
            </w:r>
            <w:r>
              <w:rPr>
                <w:noProof/>
                <w:webHidden/>
              </w:rPr>
              <w:fldChar w:fldCharType="end"/>
            </w:r>
          </w:hyperlink>
        </w:p>
        <w:p w14:paraId="766D026A" w14:textId="05A56BBF"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21" w:history="1">
            <w:r w:rsidRPr="00917FC7">
              <w:rPr>
                <w:rStyle w:val="Hyperlink"/>
                <w:noProof/>
              </w:rPr>
              <w:t>1.2.6 Cash Flow Ratios</w:t>
            </w:r>
            <w:r>
              <w:rPr>
                <w:noProof/>
                <w:webHidden/>
              </w:rPr>
              <w:tab/>
            </w:r>
            <w:r>
              <w:rPr>
                <w:noProof/>
                <w:webHidden/>
              </w:rPr>
              <w:fldChar w:fldCharType="begin"/>
            </w:r>
            <w:r>
              <w:rPr>
                <w:noProof/>
                <w:webHidden/>
              </w:rPr>
              <w:instrText xml:space="preserve"> PAGEREF _Toc235293121 \h </w:instrText>
            </w:r>
            <w:r>
              <w:rPr>
                <w:noProof/>
                <w:webHidden/>
              </w:rPr>
            </w:r>
            <w:r>
              <w:rPr>
                <w:noProof/>
                <w:webHidden/>
              </w:rPr>
              <w:fldChar w:fldCharType="separate"/>
            </w:r>
            <w:r>
              <w:rPr>
                <w:noProof/>
                <w:webHidden/>
              </w:rPr>
              <w:t>12</w:t>
            </w:r>
            <w:r>
              <w:rPr>
                <w:noProof/>
                <w:webHidden/>
              </w:rPr>
              <w:fldChar w:fldCharType="end"/>
            </w:r>
          </w:hyperlink>
        </w:p>
        <w:p w14:paraId="4F02A15B" w14:textId="2778E683" w:rsidR="00170E55" w:rsidRDefault="00170E55">
          <w:pPr>
            <w:pStyle w:val="TOC2"/>
            <w:tabs>
              <w:tab w:val="right" w:pos="9350"/>
            </w:tabs>
            <w:rPr>
              <w:rFonts w:asciiTheme="minorHAnsi" w:eastAsiaTheme="minorEastAsia" w:hAnsiTheme="minorHAnsi" w:cstheme="minorBidi"/>
              <w:noProof/>
              <w:sz w:val="22"/>
              <w:szCs w:val="22"/>
              <w:lang w:val="en-IN"/>
            </w:rPr>
          </w:pPr>
          <w:hyperlink w:anchor="_Toc235293122" w:history="1">
            <w:r w:rsidRPr="00917FC7">
              <w:rPr>
                <w:rStyle w:val="Hyperlink"/>
                <w:noProof/>
              </w:rPr>
              <w:t>1.3 Industry Benchmark Comparison based on the liquidity ratio</w:t>
            </w:r>
            <w:r>
              <w:rPr>
                <w:noProof/>
                <w:webHidden/>
              </w:rPr>
              <w:tab/>
            </w:r>
            <w:r>
              <w:rPr>
                <w:noProof/>
                <w:webHidden/>
              </w:rPr>
              <w:fldChar w:fldCharType="begin"/>
            </w:r>
            <w:r>
              <w:rPr>
                <w:noProof/>
                <w:webHidden/>
              </w:rPr>
              <w:instrText xml:space="preserve"> PAGEREF _Toc235293122 \h </w:instrText>
            </w:r>
            <w:r>
              <w:rPr>
                <w:noProof/>
                <w:webHidden/>
              </w:rPr>
            </w:r>
            <w:r>
              <w:rPr>
                <w:noProof/>
                <w:webHidden/>
              </w:rPr>
              <w:fldChar w:fldCharType="separate"/>
            </w:r>
            <w:r>
              <w:rPr>
                <w:noProof/>
                <w:webHidden/>
              </w:rPr>
              <w:t>13</w:t>
            </w:r>
            <w:r>
              <w:rPr>
                <w:noProof/>
                <w:webHidden/>
              </w:rPr>
              <w:fldChar w:fldCharType="end"/>
            </w:r>
          </w:hyperlink>
        </w:p>
        <w:p w14:paraId="32F4FBD9" w14:textId="6793368C"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23" w:history="1">
            <w:r w:rsidRPr="00917FC7">
              <w:rPr>
                <w:rStyle w:val="Hyperlink"/>
                <w:noProof/>
              </w:rPr>
              <w:t>1.3.1 Compare the liquidity ratio of the company and the sector</w:t>
            </w:r>
            <w:r>
              <w:rPr>
                <w:noProof/>
                <w:webHidden/>
              </w:rPr>
              <w:tab/>
            </w:r>
            <w:r>
              <w:rPr>
                <w:noProof/>
                <w:webHidden/>
              </w:rPr>
              <w:fldChar w:fldCharType="begin"/>
            </w:r>
            <w:r>
              <w:rPr>
                <w:noProof/>
                <w:webHidden/>
              </w:rPr>
              <w:instrText xml:space="preserve"> PAGEREF _Toc235293123 \h </w:instrText>
            </w:r>
            <w:r>
              <w:rPr>
                <w:noProof/>
                <w:webHidden/>
              </w:rPr>
            </w:r>
            <w:r>
              <w:rPr>
                <w:noProof/>
                <w:webHidden/>
              </w:rPr>
              <w:fldChar w:fldCharType="separate"/>
            </w:r>
            <w:r>
              <w:rPr>
                <w:noProof/>
                <w:webHidden/>
              </w:rPr>
              <w:t>13</w:t>
            </w:r>
            <w:r>
              <w:rPr>
                <w:noProof/>
                <w:webHidden/>
              </w:rPr>
              <w:fldChar w:fldCharType="end"/>
            </w:r>
          </w:hyperlink>
        </w:p>
        <w:p w14:paraId="7B6E7ADC" w14:textId="46F97EAE"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24" w:history="1">
            <w:r w:rsidRPr="00917FC7">
              <w:rPr>
                <w:rStyle w:val="Hyperlink"/>
                <w:noProof/>
              </w:rPr>
              <w:t>1.3.2 Impact of liquidity ratio on firm performance</w:t>
            </w:r>
            <w:r>
              <w:rPr>
                <w:noProof/>
                <w:webHidden/>
              </w:rPr>
              <w:tab/>
            </w:r>
            <w:r>
              <w:rPr>
                <w:noProof/>
                <w:webHidden/>
              </w:rPr>
              <w:fldChar w:fldCharType="begin"/>
            </w:r>
            <w:r>
              <w:rPr>
                <w:noProof/>
                <w:webHidden/>
              </w:rPr>
              <w:instrText xml:space="preserve"> PAGEREF _Toc235293124 \h </w:instrText>
            </w:r>
            <w:r>
              <w:rPr>
                <w:noProof/>
                <w:webHidden/>
              </w:rPr>
            </w:r>
            <w:r>
              <w:rPr>
                <w:noProof/>
                <w:webHidden/>
              </w:rPr>
              <w:fldChar w:fldCharType="separate"/>
            </w:r>
            <w:r>
              <w:rPr>
                <w:noProof/>
                <w:webHidden/>
              </w:rPr>
              <w:t>13</w:t>
            </w:r>
            <w:r>
              <w:rPr>
                <w:noProof/>
                <w:webHidden/>
              </w:rPr>
              <w:fldChar w:fldCharType="end"/>
            </w:r>
          </w:hyperlink>
        </w:p>
        <w:p w14:paraId="586C519E" w14:textId="29DF27C2" w:rsidR="00170E55" w:rsidRDefault="00170E55">
          <w:pPr>
            <w:pStyle w:val="TOC1"/>
            <w:tabs>
              <w:tab w:val="right" w:pos="9350"/>
            </w:tabs>
            <w:rPr>
              <w:rFonts w:asciiTheme="minorHAnsi" w:eastAsiaTheme="minorEastAsia" w:hAnsiTheme="minorHAnsi" w:cstheme="minorBidi"/>
              <w:noProof/>
              <w:sz w:val="22"/>
              <w:szCs w:val="22"/>
              <w:lang w:val="en-IN"/>
            </w:rPr>
          </w:pPr>
          <w:hyperlink w:anchor="_Toc235293125" w:history="1">
            <w:r w:rsidRPr="00917FC7">
              <w:rPr>
                <w:rStyle w:val="Hyperlink"/>
                <w:noProof/>
              </w:rPr>
              <w:t>2. Working Capital Management Analysis</w:t>
            </w:r>
            <w:r>
              <w:rPr>
                <w:noProof/>
                <w:webHidden/>
              </w:rPr>
              <w:tab/>
            </w:r>
            <w:r>
              <w:rPr>
                <w:noProof/>
                <w:webHidden/>
              </w:rPr>
              <w:fldChar w:fldCharType="begin"/>
            </w:r>
            <w:r>
              <w:rPr>
                <w:noProof/>
                <w:webHidden/>
              </w:rPr>
              <w:instrText xml:space="preserve"> PAGEREF _Toc235293125 \h </w:instrText>
            </w:r>
            <w:r>
              <w:rPr>
                <w:noProof/>
                <w:webHidden/>
              </w:rPr>
            </w:r>
            <w:r>
              <w:rPr>
                <w:noProof/>
                <w:webHidden/>
              </w:rPr>
              <w:fldChar w:fldCharType="separate"/>
            </w:r>
            <w:r>
              <w:rPr>
                <w:noProof/>
                <w:webHidden/>
              </w:rPr>
              <w:t>14</w:t>
            </w:r>
            <w:r>
              <w:rPr>
                <w:noProof/>
                <w:webHidden/>
              </w:rPr>
              <w:fldChar w:fldCharType="end"/>
            </w:r>
          </w:hyperlink>
        </w:p>
        <w:p w14:paraId="4E83F270" w14:textId="2C4E4FF4" w:rsidR="00170E55" w:rsidRDefault="00170E55">
          <w:pPr>
            <w:pStyle w:val="TOC2"/>
            <w:tabs>
              <w:tab w:val="right" w:pos="9350"/>
            </w:tabs>
            <w:rPr>
              <w:rFonts w:asciiTheme="minorHAnsi" w:eastAsiaTheme="minorEastAsia" w:hAnsiTheme="minorHAnsi" w:cstheme="minorBidi"/>
              <w:noProof/>
              <w:sz w:val="22"/>
              <w:szCs w:val="22"/>
              <w:lang w:val="en-IN"/>
            </w:rPr>
          </w:pPr>
          <w:hyperlink w:anchor="_Toc235293126" w:history="1">
            <w:r w:rsidRPr="00917FC7">
              <w:rPr>
                <w:rStyle w:val="Hyperlink"/>
                <w:noProof/>
              </w:rPr>
              <w:t>2.1 Cash Operating Cycle</w:t>
            </w:r>
            <w:r>
              <w:rPr>
                <w:noProof/>
                <w:webHidden/>
              </w:rPr>
              <w:tab/>
            </w:r>
            <w:r>
              <w:rPr>
                <w:noProof/>
                <w:webHidden/>
              </w:rPr>
              <w:fldChar w:fldCharType="begin"/>
            </w:r>
            <w:r>
              <w:rPr>
                <w:noProof/>
                <w:webHidden/>
              </w:rPr>
              <w:instrText xml:space="preserve"> PAGEREF _Toc235293126 \h </w:instrText>
            </w:r>
            <w:r>
              <w:rPr>
                <w:noProof/>
                <w:webHidden/>
              </w:rPr>
            </w:r>
            <w:r>
              <w:rPr>
                <w:noProof/>
                <w:webHidden/>
              </w:rPr>
              <w:fldChar w:fldCharType="separate"/>
            </w:r>
            <w:r>
              <w:rPr>
                <w:noProof/>
                <w:webHidden/>
              </w:rPr>
              <w:t>14</w:t>
            </w:r>
            <w:r>
              <w:rPr>
                <w:noProof/>
                <w:webHidden/>
              </w:rPr>
              <w:fldChar w:fldCharType="end"/>
            </w:r>
          </w:hyperlink>
        </w:p>
        <w:p w14:paraId="36F89CF0" w14:textId="1F7A3E95"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27" w:history="1">
            <w:r w:rsidRPr="00917FC7">
              <w:rPr>
                <w:rStyle w:val="Hyperlink"/>
                <w:noProof/>
              </w:rPr>
              <w:t>2.1.1 Receivables Collection Period</w:t>
            </w:r>
            <w:r>
              <w:rPr>
                <w:noProof/>
                <w:webHidden/>
              </w:rPr>
              <w:tab/>
            </w:r>
            <w:r>
              <w:rPr>
                <w:noProof/>
                <w:webHidden/>
              </w:rPr>
              <w:fldChar w:fldCharType="begin"/>
            </w:r>
            <w:r>
              <w:rPr>
                <w:noProof/>
                <w:webHidden/>
              </w:rPr>
              <w:instrText xml:space="preserve"> PAGEREF _Toc235293127 \h </w:instrText>
            </w:r>
            <w:r>
              <w:rPr>
                <w:noProof/>
                <w:webHidden/>
              </w:rPr>
            </w:r>
            <w:r>
              <w:rPr>
                <w:noProof/>
                <w:webHidden/>
              </w:rPr>
              <w:fldChar w:fldCharType="separate"/>
            </w:r>
            <w:r>
              <w:rPr>
                <w:noProof/>
                <w:webHidden/>
              </w:rPr>
              <w:t>14</w:t>
            </w:r>
            <w:r>
              <w:rPr>
                <w:noProof/>
                <w:webHidden/>
              </w:rPr>
              <w:fldChar w:fldCharType="end"/>
            </w:r>
          </w:hyperlink>
        </w:p>
        <w:p w14:paraId="7AA96C64" w14:textId="6E3BC69A"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28" w:history="1">
            <w:r w:rsidRPr="00917FC7">
              <w:rPr>
                <w:rStyle w:val="Hyperlink"/>
                <w:noProof/>
              </w:rPr>
              <w:t>2.1.2 Inventory Holding Period</w:t>
            </w:r>
            <w:r>
              <w:rPr>
                <w:noProof/>
                <w:webHidden/>
              </w:rPr>
              <w:tab/>
            </w:r>
            <w:r>
              <w:rPr>
                <w:noProof/>
                <w:webHidden/>
              </w:rPr>
              <w:fldChar w:fldCharType="begin"/>
            </w:r>
            <w:r>
              <w:rPr>
                <w:noProof/>
                <w:webHidden/>
              </w:rPr>
              <w:instrText xml:space="preserve"> PAGEREF _Toc235293128 \h </w:instrText>
            </w:r>
            <w:r>
              <w:rPr>
                <w:noProof/>
                <w:webHidden/>
              </w:rPr>
            </w:r>
            <w:r>
              <w:rPr>
                <w:noProof/>
                <w:webHidden/>
              </w:rPr>
              <w:fldChar w:fldCharType="separate"/>
            </w:r>
            <w:r>
              <w:rPr>
                <w:noProof/>
                <w:webHidden/>
              </w:rPr>
              <w:t>14</w:t>
            </w:r>
            <w:r>
              <w:rPr>
                <w:noProof/>
                <w:webHidden/>
              </w:rPr>
              <w:fldChar w:fldCharType="end"/>
            </w:r>
          </w:hyperlink>
        </w:p>
        <w:p w14:paraId="50B023ED" w14:textId="6F39022D"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29" w:history="1">
            <w:r w:rsidRPr="00917FC7">
              <w:rPr>
                <w:rStyle w:val="Hyperlink"/>
                <w:noProof/>
              </w:rPr>
              <w:t>2.1.3 Payables Payment Period</w:t>
            </w:r>
            <w:r>
              <w:rPr>
                <w:noProof/>
                <w:webHidden/>
              </w:rPr>
              <w:tab/>
            </w:r>
            <w:r>
              <w:rPr>
                <w:noProof/>
                <w:webHidden/>
              </w:rPr>
              <w:fldChar w:fldCharType="begin"/>
            </w:r>
            <w:r>
              <w:rPr>
                <w:noProof/>
                <w:webHidden/>
              </w:rPr>
              <w:instrText xml:space="preserve"> PAGEREF _Toc235293129 \h </w:instrText>
            </w:r>
            <w:r>
              <w:rPr>
                <w:noProof/>
                <w:webHidden/>
              </w:rPr>
            </w:r>
            <w:r>
              <w:rPr>
                <w:noProof/>
                <w:webHidden/>
              </w:rPr>
              <w:fldChar w:fldCharType="separate"/>
            </w:r>
            <w:r>
              <w:rPr>
                <w:noProof/>
                <w:webHidden/>
              </w:rPr>
              <w:t>15</w:t>
            </w:r>
            <w:r>
              <w:rPr>
                <w:noProof/>
                <w:webHidden/>
              </w:rPr>
              <w:fldChar w:fldCharType="end"/>
            </w:r>
          </w:hyperlink>
        </w:p>
        <w:p w14:paraId="105F0EA5" w14:textId="7185564D"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30" w:history="1">
            <w:r w:rsidRPr="00917FC7">
              <w:rPr>
                <w:rStyle w:val="Hyperlink"/>
                <w:noProof/>
              </w:rPr>
              <w:t>2.1.4 Cash Conversion Cycle Assessment</w:t>
            </w:r>
            <w:r>
              <w:rPr>
                <w:noProof/>
                <w:webHidden/>
              </w:rPr>
              <w:tab/>
            </w:r>
            <w:r>
              <w:rPr>
                <w:noProof/>
                <w:webHidden/>
              </w:rPr>
              <w:fldChar w:fldCharType="begin"/>
            </w:r>
            <w:r>
              <w:rPr>
                <w:noProof/>
                <w:webHidden/>
              </w:rPr>
              <w:instrText xml:space="preserve"> PAGEREF _Toc235293130 \h </w:instrText>
            </w:r>
            <w:r>
              <w:rPr>
                <w:noProof/>
                <w:webHidden/>
              </w:rPr>
            </w:r>
            <w:r>
              <w:rPr>
                <w:noProof/>
                <w:webHidden/>
              </w:rPr>
              <w:fldChar w:fldCharType="separate"/>
            </w:r>
            <w:r>
              <w:rPr>
                <w:noProof/>
                <w:webHidden/>
              </w:rPr>
              <w:t>15</w:t>
            </w:r>
            <w:r>
              <w:rPr>
                <w:noProof/>
                <w:webHidden/>
              </w:rPr>
              <w:fldChar w:fldCharType="end"/>
            </w:r>
          </w:hyperlink>
        </w:p>
        <w:p w14:paraId="29C197B9" w14:textId="2A191604" w:rsidR="00170E55" w:rsidRDefault="00170E55">
          <w:pPr>
            <w:pStyle w:val="TOC2"/>
            <w:tabs>
              <w:tab w:val="right" w:pos="9350"/>
            </w:tabs>
            <w:rPr>
              <w:rFonts w:asciiTheme="minorHAnsi" w:eastAsiaTheme="minorEastAsia" w:hAnsiTheme="minorHAnsi" w:cstheme="minorBidi"/>
              <w:noProof/>
              <w:sz w:val="22"/>
              <w:szCs w:val="22"/>
              <w:lang w:val="en-IN"/>
            </w:rPr>
          </w:pPr>
          <w:hyperlink w:anchor="_Toc235293131" w:history="1">
            <w:r w:rsidRPr="00917FC7">
              <w:rPr>
                <w:rStyle w:val="Hyperlink"/>
                <w:noProof/>
              </w:rPr>
              <w:t>2.2 Challenges faced in managing the working capital of the company</w:t>
            </w:r>
            <w:r>
              <w:rPr>
                <w:noProof/>
                <w:webHidden/>
              </w:rPr>
              <w:tab/>
            </w:r>
            <w:r>
              <w:rPr>
                <w:noProof/>
                <w:webHidden/>
              </w:rPr>
              <w:fldChar w:fldCharType="begin"/>
            </w:r>
            <w:r>
              <w:rPr>
                <w:noProof/>
                <w:webHidden/>
              </w:rPr>
              <w:instrText xml:space="preserve"> PAGEREF _Toc235293131 \h </w:instrText>
            </w:r>
            <w:r>
              <w:rPr>
                <w:noProof/>
                <w:webHidden/>
              </w:rPr>
            </w:r>
            <w:r>
              <w:rPr>
                <w:noProof/>
                <w:webHidden/>
              </w:rPr>
              <w:fldChar w:fldCharType="separate"/>
            </w:r>
            <w:r>
              <w:rPr>
                <w:noProof/>
                <w:webHidden/>
              </w:rPr>
              <w:t>16</w:t>
            </w:r>
            <w:r>
              <w:rPr>
                <w:noProof/>
                <w:webHidden/>
              </w:rPr>
              <w:fldChar w:fldCharType="end"/>
            </w:r>
          </w:hyperlink>
        </w:p>
        <w:p w14:paraId="02E66E80" w14:textId="5A0BA82C" w:rsidR="00170E55" w:rsidRDefault="00170E55">
          <w:pPr>
            <w:pStyle w:val="TOC2"/>
            <w:tabs>
              <w:tab w:val="right" w:pos="9350"/>
            </w:tabs>
            <w:rPr>
              <w:rFonts w:asciiTheme="minorHAnsi" w:eastAsiaTheme="minorEastAsia" w:hAnsiTheme="minorHAnsi" w:cstheme="minorBidi"/>
              <w:noProof/>
              <w:sz w:val="22"/>
              <w:szCs w:val="22"/>
              <w:lang w:val="en-IN"/>
            </w:rPr>
          </w:pPr>
          <w:hyperlink w:anchor="_Toc235293132" w:history="1">
            <w:r w:rsidRPr="00917FC7">
              <w:rPr>
                <w:rStyle w:val="Hyperlink"/>
                <w:noProof/>
              </w:rPr>
              <w:t>2.3 Strategies to enhance Liquidity Performance</w:t>
            </w:r>
            <w:r>
              <w:rPr>
                <w:noProof/>
                <w:webHidden/>
              </w:rPr>
              <w:tab/>
            </w:r>
            <w:r>
              <w:rPr>
                <w:noProof/>
                <w:webHidden/>
              </w:rPr>
              <w:fldChar w:fldCharType="begin"/>
            </w:r>
            <w:r>
              <w:rPr>
                <w:noProof/>
                <w:webHidden/>
              </w:rPr>
              <w:instrText xml:space="preserve"> PAGEREF _Toc235293132 \h </w:instrText>
            </w:r>
            <w:r>
              <w:rPr>
                <w:noProof/>
                <w:webHidden/>
              </w:rPr>
            </w:r>
            <w:r>
              <w:rPr>
                <w:noProof/>
                <w:webHidden/>
              </w:rPr>
              <w:fldChar w:fldCharType="separate"/>
            </w:r>
            <w:r>
              <w:rPr>
                <w:noProof/>
                <w:webHidden/>
              </w:rPr>
              <w:t>17</w:t>
            </w:r>
            <w:r>
              <w:rPr>
                <w:noProof/>
                <w:webHidden/>
              </w:rPr>
              <w:fldChar w:fldCharType="end"/>
            </w:r>
          </w:hyperlink>
        </w:p>
        <w:p w14:paraId="5D29D341" w14:textId="45522359"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33" w:history="1">
            <w:r w:rsidRPr="00917FC7">
              <w:rPr>
                <w:rStyle w:val="Hyperlink"/>
                <w:noProof/>
              </w:rPr>
              <w:t>2.3.1 Expansion of Business Investment</w:t>
            </w:r>
            <w:r>
              <w:rPr>
                <w:noProof/>
                <w:webHidden/>
              </w:rPr>
              <w:tab/>
            </w:r>
            <w:r>
              <w:rPr>
                <w:noProof/>
                <w:webHidden/>
              </w:rPr>
              <w:fldChar w:fldCharType="begin"/>
            </w:r>
            <w:r>
              <w:rPr>
                <w:noProof/>
                <w:webHidden/>
              </w:rPr>
              <w:instrText xml:space="preserve"> PAGEREF _Toc235293133 \h </w:instrText>
            </w:r>
            <w:r>
              <w:rPr>
                <w:noProof/>
                <w:webHidden/>
              </w:rPr>
            </w:r>
            <w:r>
              <w:rPr>
                <w:noProof/>
                <w:webHidden/>
              </w:rPr>
              <w:fldChar w:fldCharType="separate"/>
            </w:r>
            <w:r>
              <w:rPr>
                <w:noProof/>
                <w:webHidden/>
              </w:rPr>
              <w:t>17</w:t>
            </w:r>
            <w:r>
              <w:rPr>
                <w:noProof/>
                <w:webHidden/>
              </w:rPr>
              <w:fldChar w:fldCharType="end"/>
            </w:r>
          </w:hyperlink>
        </w:p>
        <w:p w14:paraId="289A4BA5" w14:textId="295E6E2F"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34" w:history="1">
            <w:r w:rsidRPr="00917FC7">
              <w:rPr>
                <w:rStyle w:val="Hyperlink"/>
                <w:noProof/>
              </w:rPr>
              <w:t>2.3.2 Strengthening Asset Monitoring Activities</w:t>
            </w:r>
            <w:r>
              <w:rPr>
                <w:noProof/>
                <w:webHidden/>
              </w:rPr>
              <w:tab/>
            </w:r>
            <w:r>
              <w:rPr>
                <w:noProof/>
                <w:webHidden/>
              </w:rPr>
              <w:fldChar w:fldCharType="begin"/>
            </w:r>
            <w:r>
              <w:rPr>
                <w:noProof/>
                <w:webHidden/>
              </w:rPr>
              <w:instrText xml:space="preserve"> PAGEREF _Toc235293134 \h </w:instrText>
            </w:r>
            <w:r>
              <w:rPr>
                <w:noProof/>
                <w:webHidden/>
              </w:rPr>
            </w:r>
            <w:r>
              <w:rPr>
                <w:noProof/>
                <w:webHidden/>
              </w:rPr>
              <w:fldChar w:fldCharType="separate"/>
            </w:r>
            <w:r>
              <w:rPr>
                <w:noProof/>
                <w:webHidden/>
              </w:rPr>
              <w:t>17</w:t>
            </w:r>
            <w:r>
              <w:rPr>
                <w:noProof/>
                <w:webHidden/>
              </w:rPr>
              <w:fldChar w:fldCharType="end"/>
            </w:r>
          </w:hyperlink>
        </w:p>
        <w:p w14:paraId="4254BA0E" w14:textId="6CC571CC" w:rsidR="00170E55" w:rsidRDefault="00170E55">
          <w:pPr>
            <w:pStyle w:val="TOC2"/>
            <w:tabs>
              <w:tab w:val="right" w:pos="9350"/>
            </w:tabs>
            <w:rPr>
              <w:rFonts w:asciiTheme="minorHAnsi" w:eastAsiaTheme="minorEastAsia" w:hAnsiTheme="minorHAnsi" w:cstheme="minorBidi"/>
              <w:noProof/>
              <w:sz w:val="22"/>
              <w:szCs w:val="22"/>
              <w:lang w:val="en-IN"/>
            </w:rPr>
          </w:pPr>
          <w:hyperlink w:anchor="_Toc235293135" w:history="1">
            <w:r w:rsidRPr="00917FC7">
              <w:rPr>
                <w:rStyle w:val="Hyperlink"/>
                <w:noProof/>
              </w:rPr>
              <w:t>2.4 Different Financial Options</w:t>
            </w:r>
            <w:r>
              <w:rPr>
                <w:noProof/>
                <w:webHidden/>
              </w:rPr>
              <w:tab/>
            </w:r>
            <w:r>
              <w:rPr>
                <w:noProof/>
                <w:webHidden/>
              </w:rPr>
              <w:fldChar w:fldCharType="begin"/>
            </w:r>
            <w:r>
              <w:rPr>
                <w:noProof/>
                <w:webHidden/>
              </w:rPr>
              <w:instrText xml:space="preserve"> PAGEREF _Toc235293135 \h </w:instrText>
            </w:r>
            <w:r>
              <w:rPr>
                <w:noProof/>
                <w:webHidden/>
              </w:rPr>
            </w:r>
            <w:r>
              <w:rPr>
                <w:noProof/>
                <w:webHidden/>
              </w:rPr>
              <w:fldChar w:fldCharType="separate"/>
            </w:r>
            <w:r>
              <w:rPr>
                <w:noProof/>
                <w:webHidden/>
              </w:rPr>
              <w:t>17</w:t>
            </w:r>
            <w:r>
              <w:rPr>
                <w:noProof/>
                <w:webHidden/>
              </w:rPr>
              <w:fldChar w:fldCharType="end"/>
            </w:r>
          </w:hyperlink>
        </w:p>
        <w:p w14:paraId="47727F01" w14:textId="4A16879F"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36" w:history="1">
            <w:r w:rsidRPr="00917FC7">
              <w:rPr>
                <w:rStyle w:val="Hyperlink"/>
                <w:noProof/>
              </w:rPr>
              <w:t>2.4.1 Short-Term Financing</w:t>
            </w:r>
            <w:r>
              <w:rPr>
                <w:noProof/>
                <w:webHidden/>
              </w:rPr>
              <w:tab/>
            </w:r>
            <w:r>
              <w:rPr>
                <w:noProof/>
                <w:webHidden/>
              </w:rPr>
              <w:fldChar w:fldCharType="begin"/>
            </w:r>
            <w:r>
              <w:rPr>
                <w:noProof/>
                <w:webHidden/>
              </w:rPr>
              <w:instrText xml:space="preserve"> PAGEREF _Toc235293136 \h </w:instrText>
            </w:r>
            <w:r>
              <w:rPr>
                <w:noProof/>
                <w:webHidden/>
              </w:rPr>
            </w:r>
            <w:r>
              <w:rPr>
                <w:noProof/>
                <w:webHidden/>
              </w:rPr>
              <w:fldChar w:fldCharType="separate"/>
            </w:r>
            <w:r>
              <w:rPr>
                <w:noProof/>
                <w:webHidden/>
              </w:rPr>
              <w:t>17</w:t>
            </w:r>
            <w:r>
              <w:rPr>
                <w:noProof/>
                <w:webHidden/>
              </w:rPr>
              <w:fldChar w:fldCharType="end"/>
            </w:r>
          </w:hyperlink>
        </w:p>
        <w:p w14:paraId="0E7F33FD" w14:textId="215F4D7A"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37" w:history="1">
            <w:r w:rsidRPr="00917FC7">
              <w:rPr>
                <w:rStyle w:val="Hyperlink"/>
                <w:noProof/>
              </w:rPr>
              <w:t>2.4.2 Long-Term Financing</w:t>
            </w:r>
            <w:r>
              <w:rPr>
                <w:noProof/>
                <w:webHidden/>
              </w:rPr>
              <w:tab/>
            </w:r>
            <w:r>
              <w:rPr>
                <w:noProof/>
                <w:webHidden/>
              </w:rPr>
              <w:fldChar w:fldCharType="begin"/>
            </w:r>
            <w:r>
              <w:rPr>
                <w:noProof/>
                <w:webHidden/>
              </w:rPr>
              <w:instrText xml:space="preserve"> PAGEREF _Toc235293137 \h </w:instrText>
            </w:r>
            <w:r>
              <w:rPr>
                <w:noProof/>
                <w:webHidden/>
              </w:rPr>
            </w:r>
            <w:r>
              <w:rPr>
                <w:noProof/>
                <w:webHidden/>
              </w:rPr>
              <w:fldChar w:fldCharType="separate"/>
            </w:r>
            <w:r>
              <w:rPr>
                <w:noProof/>
                <w:webHidden/>
              </w:rPr>
              <w:t>18</w:t>
            </w:r>
            <w:r>
              <w:rPr>
                <w:noProof/>
                <w:webHidden/>
              </w:rPr>
              <w:fldChar w:fldCharType="end"/>
            </w:r>
          </w:hyperlink>
        </w:p>
        <w:p w14:paraId="40FA3698" w14:textId="147D671D"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38" w:history="1">
            <w:r w:rsidRPr="00917FC7">
              <w:rPr>
                <w:rStyle w:val="Hyperlink"/>
                <w:noProof/>
              </w:rPr>
              <w:t>2.4.3 Comparative Evaluation</w:t>
            </w:r>
            <w:r>
              <w:rPr>
                <w:noProof/>
                <w:webHidden/>
              </w:rPr>
              <w:tab/>
            </w:r>
            <w:r>
              <w:rPr>
                <w:noProof/>
                <w:webHidden/>
              </w:rPr>
              <w:fldChar w:fldCharType="begin"/>
            </w:r>
            <w:r>
              <w:rPr>
                <w:noProof/>
                <w:webHidden/>
              </w:rPr>
              <w:instrText xml:space="preserve"> PAGEREF _Toc235293138 \h </w:instrText>
            </w:r>
            <w:r>
              <w:rPr>
                <w:noProof/>
                <w:webHidden/>
              </w:rPr>
            </w:r>
            <w:r>
              <w:rPr>
                <w:noProof/>
                <w:webHidden/>
              </w:rPr>
              <w:fldChar w:fldCharType="separate"/>
            </w:r>
            <w:r>
              <w:rPr>
                <w:noProof/>
                <w:webHidden/>
              </w:rPr>
              <w:t>18</w:t>
            </w:r>
            <w:r>
              <w:rPr>
                <w:noProof/>
                <w:webHidden/>
              </w:rPr>
              <w:fldChar w:fldCharType="end"/>
            </w:r>
          </w:hyperlink>
        </w:p>
        <w:p w14:paraId="5A0D3C36" w14:textId="48EE80CE" w:rsidR="00170E55" w:rsidRDefault="00170E55">
          <w:pPr>
            <w:pStyle w:val="TOC1"/>
            <w:tabs>
              <w:tab w:val="right" w:pos="9350"/>
            </w:tabs>
            <w:rPr>
              <w:rFonts w:asciiTheme="minorHAnsi" w:eastAsiaTheme="minorEastAsia" w:hAnsiTheme="minorHAnsi" w:cstheme="minorBidi"/>
              <w:noProof/>
              <w:sz w:val="22"/>
              <w:szCs w:val="22"/>
              <w:lang w:val="en-IN"/>
            </w:rPr>
          </w:pPr>
          <w:hyperlink w:anchor="_Toc235293139" w:history="1">
            <w:r w:rsidRPr="00917FC7">
              <w:rPr>
                <w:rStyle w:val="Hyperlink"/>
                <w:noProof/>
              </w:rPr>
              <w:t>3. Financial Restructuring Plan</w:t>
            </w:r>
            <w:r>
              <w:rPr>
                <w:noProof/>
                <w:webHidden/>
              </w:rPr>
              <w:tab/>
            </w:r>
            <w:r>
              <w:rPr>
                <w:noProof/>
                <w:webHidden/>
              </w:rPr>
              <w:fldChar w:fldCharType="begin"/>
            </w:r>
            <w:r>
              <w:rPr>
                <w:noProof/>
                <w:webHidden/>
              </w:rPr>
              <w:instrText xml:space="preserve"> PAGEREF _Toc235293139 \h </w:instrText>
            </w:r>
            <w:r>
              <w:rPr>
                <w:noProof/>
                <w:webHidden/>
              </w:rPr>
            </w:r>
            <w:r>
              <w:rPr>
                <w:noProof/>
                <w:webHidden/>
              </w:rPr>
              <w:fldChar w:fldCharType="separate"/>
            </w:r>
            <w:r>
              <w:rPr>
                <w:noProof/>
                <w:webHidden/>
              </w:rPr>
              <w:t>20</w:t>
            </w:r>
            <w:r>
              <w:rPr>
                <w:noProof/>
                <w:webHidden/>
              </w:rPr>
              <w:fldChar w:fldCharType="end"/>
            </w:r>
          </w:hyperlink>
        </w:p>
        <w:p w14:paraId="48CBB909" w14:textId="73CDFAA7" w:rsidR="00170E55" w:rsidRDefault="00170E55">
          <w:pPr>
            <w:pStyle w:val="TOC2"/>
            <w:tabs>
              <w:tab w:val="right" w:pos="9350"/>
            </w:tabs>
            <w:rPr>
              <w:rFonts w:asciiTheme="minorHAnsi" w:eastAsiaTheme="minorEastAsia" w:hAnsiTheme="minorHAnsi" w:cstheme="minorBidi"/>
              <w:noProof/>
              <w:sz w:val="22"/>
              <w:szCs w:val="22"/>
              <w:lang w:val="en-IN"/>
            </w:rPr>
          </w:pPr>
          <w:hyperlink w:anchor="_Toc235293140" w:history="1">
            <w:r w:rsidRPr="00917FC7">
              <w:rPr>
                <w:rStyle w:val="Hyperlink"/>
                <w:noProof/>
              </w:rPr>
              <w:t>3.1 Recommended financial restructuring</w:t>
            </w:r>
            <w:r>
              <w:rPr>
                <w:noProof/>
                <w:webHidden/>
              </w:rPr>
              <w:tab/>
            </w:r>
            <w:r>
              <w:rPr>
                <w:noProof/>
                <w:webHidden/>
              </w:rPr>
              <w:fldChar w:fldCharType="begin"/>
            </w:r>
            <w:r>
              <w:rPr>
                <w:noProof/>
                <w:webHidden/>
              </w:rPr>
              <w:instrText xml:space="preserve"> PAGEREF _Toc235293140 \h </w:instrText>
            </w:r>
            <w:r>
              <w:rPr>
                <w:noProof/>
                <w:webHidden/>
              </w:rPr>
            </w:r>
            <w:r>
              <w:rPr>
                <w:noProof/>
                <w:webHidden/>
              </w:rPr>
              <w:fldChar w:fldCharType="separate"/>
            </w:r>
            <w:r>
              <w:rPr>
                <w:noProof/>
                <w:webHidden/>
              </w:rPr>
              <w:t>20</w:t>
            </w:r>
            <w:r>
              <w:rPr>
                <w:noProof/>
                <w:webHidden/>
              </w:rPr>
              <w:fldChar w:fldCharType="end"/>
            </w:r>
          </w:hyperlink>
        </w:p>
        <w:p w14:paraId="4A866ACE" w14:textId="18243D16"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41" w:history="1">
            <w:r w:rsidRPr="00917FC7">
              <w:rPr>
                <w:rStyle w:val="Hyperlink"/>
                <w:noProof/>
              </w:rPr>
              <w:t>3.1.1 Asset Divestiture</w:t>
            </w:r>
            <w:r>
              <w:rPr>
                <w:noProof/>
                <w:webHidden/>
              </w:rPr>
              <w:tab/>
            </w:r>
            <w:r>
              <w:rPr>
                <w:noProof/>
                <w:webHidden/>
              </w:rPr>
              <w:fldChar w:fldCharType="begin"/>
            </w:r>
            <w:r>
              <w:rPr>
                <w:noProof/>
                <w:webHidden/>
              </w:rPr>
              <w:instrText xml:space="preserve"> PAGEREF _Toc235293141 \h </w:instrText>
            </w:r>
            <w:r>
              <w:rPr>
                <w:noProof/>
                <w:webHidden/>
              </w:rPr>
            </w:r>
            <w:r>
              <w:rPr>
                <w:noProof/>
                <w:webHidden/>
              </w:rPr>
              <w:fldChar w:fldCharType="separate"/>
            </w:r>
            <w:r>
              <w:rPr>
                <w:noProof/>
                <w:webHidden/>
              </w:rPr>
              <w:t>20</w:t>
            </w:r>
            <w:r>
              <w:rPr>
                <w:noProof/>
                <w:webHidden/>
              </w:rPr>
              <w:fldChar w:fldCharType="end"/>
            </w:r>
          </w:hyperlink>
        </w:p>
        <w:p w14:paraId="21BC4731" w14:textId="07C5B0A0"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42" w:history="1">
            <w:r w:rsidRPr="00917FC7">
              <w:rPr>
                <w:rStyle w:val="Hyperlink"/>
                <w:noProof/>
              </w:rPr>
              <w:t>3.1.2 Equity Injection</w:t>
            </w:r>
            <w:r>
              <w:rPr>
                <w:noProof/>
                <w:webHidden/>
              </w:rPr>
              <w:tab/>
            </w:r>
            <w:r>
              <w:rPr>
                <w:noProof/>
                <w:webHidden/>
              </w:rPr>
              <w:fldChar w:fldCharType="begin"/>
            </w:r>
            <w:r>
              <w:rPr>
                <w:noProof/>
                <w:webHidden/>
              </w:rPr>
              <w:instrText xml:space="preserve"> PAGEREF _Toc235293142 \h </w:instrText>
            </w:r>
            <w:r>
              <w:rPr>
                <w:noProof/>
                <w:webHidden/>
              </w:rPr>
            </w:r>
            <w:r>
              <w:rPr>
                <w:noProof/>
                <w:webHidden/>
              </w:rPr>
              <w:fldChar w:fldCharType="separate"/>
            </w:r>
            <w:r>
              <w:rPr>
                <w:noProof/>
                <w:webHidden/>
              </w:rPr>
              <w:t>20</w:t>
            </w:r>
            <w:r>
              <w:rPr>
                <w:noProof/>
                <w:webHidden/>
              </w:rPr>
              <w:fldChar w:fldCharType="end"/>
            </w:r>
          </w:hyperlink>
        </w:p>
        <w:p w14:paraId="4F03DAEC" w14:textId="16E97A83"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43" w:history="1">
            <w:r w:rsidRPr="00917FC7">
              <w:rPr>
                <w:rStyle w:val="Hyperlink"/>
                <w:noProof/>
              </w:rPr>
              <w:t>3.1.3 Strategic Merger or Acquisition</w:t>
            </w:r>
            <w:r>
              <w:rPr>
                <w:noProof/>
                <w:webHidden/>
              </w:rPr>
              <w:tab/>
            </w:r>
            <w:r>
              <w:rPr>
                <w:noProof/>
                <w:webHidden/>
              </w:rPr>
              <w:fldChar w:fldCharType="begin"/>
            </w:r>
            <w:r>
              <w:rPr>
                <w:noProof/>
                <w:webHidden/>
              </w:rPr>
              <w:instrText xml:space="preserve"> PAGEREF _Toc235293143 \h </w:instrText>
            </w:r>
            <w:r>
              <w:rPr>
                <w:noProof/>
                <w:webHidden/>
              </w:rPr>
            </w:r>
            <w:r>
              <w:rPr>
                <w:noProof/>
                <w:webHidden/>
              </w:rPr>
              <w:fldChar w:fldCharType="separate"/>
            </w:r>
            <w:r>
              <w:rPr>
                <w:noProof/>
                <w:webHidden/>
              </w:rPr>
              <w:t>20</w:t>
            </w:r>
            <w:r>
              <w:rPr>
                <w:noProof/>
                <w:webHidden/>
              </w:rPr>
              <w:fldChar w:fldCharType="end"/>
            </w:r>
          </w:hyperlink>
        </w:p>
        <w:p w14:paraId="61F26B72" w14:textId="0DFE3925" w:rsidR="00170E55" w:rsidRDefault="00170E55">
          <w:pPr>
            <w:pStyle w:val="TOC2"/>
            <w:tabs>
              <w:tab w:val="right" w:pos="9350"/>
            </w:tabs>
            <w:rPr>
              <w:rFonts w:asciiTheme="minorHAnsi" w:eastAsiaTheme="minorEastAsia" w:hAnsiTheme="minorHAnsi" w:cstheme="minorBidi"/>
              <w:noProof/>
              <w:sz w:val="22"/>
              <w:szCs w:val="22"/>
              <w:lang w:val="en-IN"/>
            </w:rPr>
          </w:pPr>
          <w:hyperlink w:anchor="_Toc235293144" w:history="1">
            <w:r w:rsidRPr="00917FC7">
              <w:rPr>
                <w:rStyle w:val="Hyperlink"/>
                <w:noProof/>
              </w:rPr>
              <w:t>3.2 Impact on Financial Performance</w:t>
            </w:r>
            <w:r>
              <w:rPr>
                <w:noProof/>
                <w:webHidden/>
              </w:rPr>
              <w:tab/>
            </w:r>
            <w:r>
              <w:rPr>
                <w:noProof/>
                <w:webHidden/>
              </w:rPr>
              <w:fldChar w:fldCharType="begin"/>
            </w:r>
            <w:r>
              <w:rPr>
                <w:noProof/>
                <w:webHidden/>
              </w:rPr>
              <w:instrText xml:space="preserve"> PAGEREF _Toc235293144 \h </w:instrText>
            </w:r>
            <w:r>
              <w:rPr>
                <w:noProof/>
                <w:webHidden/>
              </w:rPr>
            </w:r>
            <w:r>
              <w:rPr>
                <w:noProof/>
                <w:webHidden/>
              </w:rPr>
              <w:fldChar w:fldCharType="separate"/>
            </w:r>
            <w:r>
              <w:rPr>
                <w:noProof/>
                <w:webHidden/>
              </w:rPr>
              <w:t>21</w:t>
            </w:r>
            <w:r>
              <w:rPr>
                <w:noProof/>
                <w:webHidden/>
              </w:rPr>
              <w:fldChar w:fldCharType="end"/>
            </w:r>
          </w:hyperlink>
        </w:p>
        <w:p w14:paraId="2C10DAD8" w14:textId="7CC2F3C5"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45" w:history="1">
            <w:r w:rsidRPr="00917FC7">
              <w:rPr>
                <w:rStyle w:val="Hyperlink"/>
                <w:noProof/>
              </w:rPr>
              <w:t>3.2.1 Shareholder Value</w:t>
            </w:r>
            <w:r>
              <w:rPr>
                <w:noProof/>
                <w:webHidden/>
              </w:rPr>
              <w:tab/>
            </w:r>
            <w:r>
              <w:rPr>
                <w:noProof/>
                <w:webHidden/>
              </w:rPr>
              <w:fldChar w:fldCharType="begin"/>
            </w:r>
            <w:r>
              <w:rPr>
                <w:noProof/>
                <w:webHidden/>
              </w:rPr>
              <w:instrText xml:space="preserve"> PAGEREF _Toc235293145 \h </w:instrText>
            </w:r>
            <w:r>
              <w:rPr>
                <w:noProof/>
                <w:webHidden/>
              </w:rPr>
            </w:r>
            <w:r>
              <w:rPr>
                <w:noProof/>
                <w:webHidden/>
              </w:rPr>
              <w:fldChar w:fldCharType="separate"/>
            </w:r>
            <w:r>
              <w:rPr>
                <w:noProof/>
                <w:webHidden/>
              </w:rPr>
              <w:t>21</w:t>
            </w:r>
            <w:r>
              <w:rPr>
                <w:noProof/>
                <w:webHidden/>
              </w:rPr>
              <w:fldChar w:fldCharType="end"/>
            </w:r>
          </w:hyperlink>
        </w:p>
        <w:p w14:paraId="1DA84F90" w14:textId="0B81D5A5"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46" w:history="1">
            <w:r w:rsidRPr="00917FC7">
              <w:rPr>
                <w:rStyle w:val="Hyperlink"/>
                <w:noProof/>
              </w:rPr>
              <w:t>3.2.2 Debt Profile</w:t>
            </w:r>
            <w:r>
              <w:rPr>
                <w:noProof/>
                <w:webHidden/>
              </w:rPr>
              <w:tab/>
            </w:r>
            <w:r>
              <w:rPr>
                <w:noProof/>
                <w:webHidden/>
              </w:rPr>
              <w:fldChar w:fldCharType="begin"/>
            </w:r>
            <w:r>
              <w:rPr>
                <w:noProof/>
                <w:webHidden/>
              </w:rPr>
              <w:instrText xml:space="preserve"> PAGEREF _Toc235293146 \h </w:instrText>
            </w:r>
            <w:r>
              <w:rPr>
                <w:noProof/>
                <w:webHidden/>
              </w:rPr>
            </w:r>
            <w:r>
              <w:rPr>
                <w:noProof/>
                <w:webHidden/>
              </w:rPr>
              <w:fldChar w:fldCharType="separate"/>
            </w:r>
            <w:r>
              <w:rPr>
                <w:noProof/>
                <w:webHidden/>
              </w:rPr>
              <w:t>21</w:t>
            </w:r>
            <w:r>
              <w:rPr>
                <w:noProof/>
                <w:webHidden/>
              </w:rPr>
              <w:fldChar w:fldCharType="end"/>
            </w:r>
          </w:hyperlink>
        </w:p>
        <w:p w14:paraId="5D00F88A" w14:textId="1E77D459"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47" w:history="1">
            <w:r w:rsidRPr="00917FC7">
              <w:rPr>
                <w:rStyle w:val="Hyperlink"/>
                <w:noProof/>
              </w:rPr>
              <w:t>3.2.3 Operational Flexibility</w:t>
            </w:r>
            <w:r>
              <w:rPr>
                <w:noProof/>
                <w:webHidden/>
              </w:rPr>
              <w:tab/>
            </w:r>
            <w:r>
              <w:rPr>
                <w:noProof/>
                <w:webHidden/>
              </w:rPr>
              <w:fldChar w:fldCharType="begin"/>
            </w:r>
            <w:r>
              <w:rPr>
                <w:noProof/>
                <w:webHidden/>
              </w:rPr>
              <w:instrText xml:space="preserve"> PAGEREF _Toc235293147 \h </w:instrText>
            </w:r>
            <w:r>
              <w:rPr>
                <w:noProof/>
                <w:webHidden/>
              </w:rPr>
            </w:r>
            <w:r>
              <w:rPr>
                <w:noProof/>
                <w:webHidden/>
              </w:rPr>
              <w:fldChar w:fldCharType="separate"/>
            </w:r>
            <w:r>
              <w:rPr>
                <w:noProof/>
                <w:webHidden/>
              </w:rPr>
              <w:t>22</w:t>
            </w:r>
            <w:r>
              <w:rPr>
                <w:noProof/>
                <w:webHidden/>
              </w:rPr>
              <w:fldChar w:fldCharType="end"/>
            </w:r>
          </w:hyperlink>
        </w:p>
        <w:p w14:paraId="094BACF0" w14:textId="1D95A210" w:rsidR="00170E55" w:rsidRDefault="00170E55">
          <w:pPr>
            <w:pStyle w:val="TOC2"/>
            <w:tabs>
              <w:tab w:val="right" w:pos="9350"/>
            </w:tabs>
            <w:rPr>
              <w:rFonts w:asciiTheme="minorHAnsi" w:eastAsiaTheme="minorEastAsia" w:hAnsiTheme="minorHAnsi" w:cstheme="minorBidi"/>
              <w:noProof/>
              <w:sz w:val="22"/>
              <w:szCs w:val="22"/>
              <w:lang w:val="en-IN"/>
            </w:rPr>
          </w:pPr>
          <w:hyperlink w:anchor="_Toc235293148" w:history="1">
            <w:r w:rsidRPr="00917FC7">
              <w:rPr>
                <w:rStyle w:val="Hyperlink"/>
                <w:noProof/>
              </w:rPr>
              <w:t>3.3 International Considerations</w:t>
            </w:r>
            <w:r>
              <w:rPr>
                <w:noProof/>
                <w:webHidden/>
              </w:rPr>
              <w:tab/>
            </w:r>
            <w:r>
              <w:rPr>
                <w:noProof/>
                <w:webHidden/>
              </w:rPr>
              <w:fldChar w:fldCharType="begin"/>
            </w:r>
            <w:r>
              <w:rPr>
                <w:noProof/>
                <w:webHidden/>
              </w:rPr>
              <w:instrText xml:space="preserve"> PAGEREF _Toc235293148 \h </w:instrText>
            </w:r>
            <w:r>
              <w:rPr>
                <w:noProof/>
                <w:webHidden/>
              </w:rPr>
            </w:r>
            <w:r>
              <w:rPr>
                <w:noProof/>
                <w:webHidden/>
              </w:rPr>
              <w:fldChar w:fldCharType="separate"/>
            </w:r>
            <w:r>
              <w:rPr>
                <w:noProof/>
                <w:webHidden/>
              </w:rPr>
              <w:t>22</w:t>
            </w:r>
            <w:r>
              <w:rPr>
                <w:noProof/>
                <w:webHidden/>
              </w:rPr>
              <w:fldChar w:fldCharType="end"/>
            </w:r>
          </w:hyperlink>
        </w:p>
        <w:p w14:paraId="37362EC2" w14:textId="2B5B4E6A"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49" w:history="1">
            <w:r w:rsidRPr="00917FC7">
              <w:rPr>
                <w:rStyle w:val="Hyperlink"/>
                <w:noProof/>
              </w:rPr>
              <w:t>3.3.1 Taxation Issues</w:t>
            </w:r>
            <w:r>
              <w:rPr>
                <w:noProof/>
                <w:webHidden/>
              </w:rPr>
              <w:tab/>
            </w:r>
            <w:r>
              <w:rPr>
                <w:noProof/>
                <w:webHidden/>
              </w:rPr>
              <w:fldChar w:fldCharType="begin"/>
            </w:r>
            <w:r>
              <w:rPr>
                <w:noProof/>
                <w:webHidden/>
              </w:rPr>
              <w:instrText xml:space="preserve"> PAGEREF _Toc235293149 \h </w:instrText>
            </w:r>
            <w:r>
              <w:rPr>
                <w:noProof/>
                <w:webHidden/>
              </w:rPr>
            </w:r>
            <w:r>
              <w:rPr>
                <w:noProof/>
                <w:webHidden/>
              </w:rPr>
              <w:fldChar w:fldCharType="separate"/>
            </w:r>
            <w:r>
              <w:rPr>
                <w:noProof/>
                <w:webHidden/>
              </w:rPr>
              <w:t>22</w:t>
            </w:r>
            <w:r>
              <w:rPr>
                <w:noProof/>
                <w:webHidden/>
              </w:rPr>
              <w:fldChar w:fldCharType="end"/>
            </w:r>
          </w:hyperlink>
        </w:p>
        <w:p w14:paraId="34AC8B77" w14:textId="2E6EE606"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50" w:history="1">
            <w:r w:rsidRPr="00917FC7">
              <w:rPr>
                <w:rStyle w:val="Hyperlink"/>
                <w:noProof/>
              </w:rPr>
              <w:t>3.3.2 Foreign Exchange Risk</w:t>
            </w:r>
            <w:r>
              <w:rPr>
                <w:noProof/>
                <w:webHidden/>
              </w:rPr>
              <w:tab/>
            </w:r>
            <w:r>
              <w:rPr>
                <w:noProof/>
                <w:webHidden/>
              </w:rPr>
              <w:fldChar w:fldCharType="begin"/>
            </w:r>
            <w:r>
              <w:rPr>
                <w:noProof/>
                <w:webHidden/>
              </w:rPr>
              <w:instrText xml:space="preserve"> PAGEREF _Toc235293150 \h </w:instrText>
            </w:r>
            <w:r>
              <w:rPr>
                <w:noProof/>
                <w:webHidden/>
              </w:rPr>
            </w:r>
            <w:r>
              <w:rPr>
                <w:noProof/>
                <w:webHidden/>
              </w:rPr>
              <w:fldChar w:fldCharType="separate"/>
            </w:r>
            <w:r>
              <w:rPr>
                <w:noProof/>
                <w:webHidden/>
              </w:rPr>
              <w:t>22</w:t>
            </w:r>
            <w:r>
              <w:rPr>
                <w:noProof/>
                <w:webHidden/>
              </w:rPr>
              <w:fldChar w:fldCharType="end"/>
            </w:r>
          </w:hyperlink>
        </w:p>
        <w:p w14:paraId="5A6F168A" w14:textId="2184E264"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51" w:history="1">
            <w:r w:rsidRPr="00917FC7">
              <w:rPr>
                <w:rStyle w:val="Hyperlink"/>
                <w:noProof/>
              </w:rPr>
              <w:t>3.3.3 Inflation Risk</w:t>
            </w:r>
            <w:r>
              <w:rPr>
                <w:noProof/>
                <w:webHidden/>
              </w:rPr>
              <w:tab/>
            </w:r>
            <w:r>
              <w:rPr>
                <w:noProof/>
                <w:webHidden/>
              </w:rPr>
              <w:fldChar w:fldCharType="begin"/>
            </w:r>
            <w:r>
              <w:rPr>
                <w:noProof/>
                <w:webHidden/>
              </w:rPr>
              <w:instrText xml:space="preserve"> PAGEREF _Toc235293151 \h </w:instrText>
            </w:r>
            <w:r>
              <w:rPr>
                <w:noProof/>
                <w:webHidden/>
              </w:rPr>
            </w:r>
            <w:r>
              <w:rPr>
                <w:noProof/>
                <w:webHidden/>
              </w:rPr>
              <w:fldChar w:fldCharType="separate"/>
            </w:r>
            <w:r>
              <w:rPr>
                <w:noProof/>
                <w:webHidden/>
              </w:rPr>
              <w:t>23</w:t>
            </w:r>
            <w:r>
              <w:rPr>
                <w:noProof/>
                <w:webHidden/>
              </w:rPr>
              <w:fldChar w:fldCharType="end"/>
            </w:r>
          </w:hyperlink>
        </w:p>
        <w:p w14:paraId="72C0A2D1" w14:textId="30A63157" w:rsidR="00170E55" w:rsidRDefault="00170E55">
          <w:pPr>
            <w:pStyle w:val="TOC2"/>
            <w:tabs>
              <w:tab w:val="right" w:pos="9350"/>
            </w:tabs>
            <w:rPr>
              <w:rFonts w:asciiTheme="minorHAnsi" w:eastAsiaTheme="minorEastAsia" w:hAnsiTheme="minorHAnsi" w:cstheme="minorBidi"/>
              <w:noProof/>
              <w:sz w:val="22"/>
              <w:szCs w:val="22"/>
              <w:lang w:val="en-IN"/>
            </w:rPr>
          </w:pPr>
          <w:hyperlink w:anchor="_Toc235293152" w:history="1">
            <w:r w:rsidRPr="00917FC7">
              <w:rPr>
                <w:rStyle w:val="Hyperlink"/>
                <w:noProof/>
              </w:rPr>
              <w:t>3.4 Ethical Considerations</w:t>
            </w:r>
            <w:r>
              <w:rPr>
                <w:noProof/>
                <w:webHidden/>
              </w:rPr>
              <w:tab/>
            </w:r>
            <w:r>
              <w:rPr>
                <w:noProof/>
                <w:webHidden/>
              </w:rPr>
              <w:fldChar w:fldCharType="begin"/>
            </w:r>
            <w:r>
              <w:rPr>
                <w:noProof/>
                <w:webHidden/>
              </w:rPr>
              <w:instrText xml:space="preserve"> PAGEREF _Toc235293152 \h </w:instrText>
            </w:r>
            <w:r>
              <w:rPr>
                <w:noProof/>
                <w:webHidden/>
              </w:rPr>
            </w:r>
            <w:r>
              <w:rPr>
                <w:noProof/>
                <w:webHidden/>
              </w:rPr>
              <w:fldChar w:fldCharType="separate"/>
            </w:r>
            <w:r>
              <w:rPr>
                <w:noProof/>
                <w:webHidden/>
              </w:rPr>
              <w:t>23</w:t>
            </w:r>
            <w:r>
              <w:rPr>
                <w:noProof/>
                <w:webHidden/>
              </w:rPr>
              <w:fldChar w:fldCharType="end"/>
            </w:r>
          </w:hyperlink>
        </w:p>
        <w:p w14:paraId="63332156" w14:textId="1FDAA01F"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53" w:history="1">
            <w:r w:rsidRPr="00917FC7">
              <w:rPr>
                <w:rStyle w:val="Hyperlink"/>
                <w:noProof/>
              </w:rPr>
              <w:t>3.4.1 Corporate Social Responsibility</w:t>
            </w:r>
            <w:r>
              <w:rPr>
                <w:noProof/>
                <w:webHidden/>
              </w:rPr>
              <w:tab/>
            </w:r>
            <w:r>
              <w:rPr>
                <w:noProof/>
                <w:webHidden/>
              </w:rPr>
              <w:fldChar w:fldCharType="begin"/>
            </w:r>
            <w:r>
              <w:rPr>
                <w:noProof/>
                <w:webHidden/>
              </w:rPr>
              <w:instrText xml:space="preserve"> PAGEREF _Toc235293153 \h </w:instrText>
            </w:r>
            <w:r>
              <w:rPr>
                <w:noProof/>
                <w:webHidden/>
              </w:rPr>
            </w:r>
            <w:r>
              <w:rPr>
                <w:noProof/>
                <w:webHidden/>
              </w:rPr>
              <w:fldChar w:fldCharType="separate"/>
            </w:r>
            <w:r>
              <w:rPr>
                <w:noProof/>
                <w:webHidden/>
              </w:rPr>
              <w:t>23</w:t>
            </w:r>
            <w:r>
              <w:rPr>
                <w:noProof/>
                <w:webHidden/>
              </w:rPr>
              <w:fldChar w:fldCharType="end"/>
            </w:r>
          </w:hyperlink>
        </w:p>
        <w:p w14:paraId="3B92D25C" w14:textId="7ED2086A"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54" w:history="1">
            <w:r w:rsidRPr="00917FC7">
              <w:rPr>
                <w:rStyle w:val="Hyperlink"/>
                <w:noProof/>
              </w:rPr>
              <w:t>3.4.2 Environmental Sustainability</w:t>
            </w:r>
            <w:r>
              <w:rPr>
                <w:noProof/>
                <w:webHidden/>
              </w:rPr>
              <w:tab/>
            </w:r>
            <w:r>
              <w:rPr>
                <w:noProof/>
                <w:webHidden/>
              </w:rPr>
              <w:fldChar w:fldCharType="begin"/>
            </w:r>
            <w:r>
              <w:rPr>
                <w:noProof/>
                <w:webHidden/>
              </w:rPr>
              <w:instrText xml:space="preserve"> PAGEREF _Toc235293154 \h </w:instrText>
            </w:r>
            <w:r>
              <w:rPr>
                <w:noProof/>
                <w:webHidden/>
              </w:rPr>
            </w:r>
            <w:r>
              <w:rPr>
                <w:noProof/>
                <w:webHidden/>
              </w:rPr>
              <w:fldChar w:fldCharType="separate"/>
            </w:r>
            <w:r>
              <w:rPr>
                <w:noProof/>
                <w:webHidden/>
              </w:rPr>
              <w:t>24</w:t>
            </w:r>
            <w:r>
              <w:rPr>
                <w:noProof/>
                <w:webHidden/>
              </w:rPr>
              <w:fldChar w:fldCharType="end"/>
            </w:r>
          </w:hyperlink>
        </w:p>
        <w:p w14:paraId="0A9CDF67" w14:textId="43FB39D6"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55" w:history="1">
            <w:r w:rsidRPr="00917FC7">
              <w:rPr>
                <w:rStyle w:val="Hyperlink"/>
                <w:noProof/>
              </w:rPr>
              <w:t>3.4.3 ESG protocols</w:t>
            </w:r>
            <w:r>
              <w:rPr>
                <w:noProof/>
                <w:webHidden/>
              </w:rPr>
              <w:tab/>
            </w:r>
            <w:r>
              <w:rPr>
                <w:noProof/>
                <w:webHidden/>
              </w:rPr>
              <w:fldChar w:fldCharType="begin"/>
            </w:r>
            <w:r>
              <w:rPr>
                <w:noProof/>
                <w:webHidden/>
              </w:rPr>
              <w:instrText xml:space="preserve"> PAGEREF _Toc235293155 \h </w:instrText>
            </w:r>
            <w:r>
              <w:rPr>
                <w:noProof/>
                <w:webHidden/>
              </w:rPr>
            </w:r>
            <w:r>
              <w:rPr>
                <w:noProof/>
                <w:webHidden/>
              </w:rPr>
              <w:fldChar w:fldCharType="separate"/>
            </w:r>
            <w:r>
              <w:rPr>
                <w:noProof/>
                <w:webHidden/>
              </w:rPr>
              <w:t>24</w:t>
            </w:r>
            <w:r>
              <w:rPr>
                <w:noProof/>
                <w:webHidden/>
              </w:rPr>
              <w:fldChar w:fldCharType="end"/>
            </w:r>
          </w:hyperlink>
        </w:p>
        <w:p w14:paraId="3F332CF0" w14:textId="73CF42E9" w:rsidR="00170E55" w:rsidRDefault="00170E55">
          <w:pPr>
            <w:pStyle w:val="TOC1"/>
            <w:tabs>
              <w:tab w:val="right" w:pos="9350"/>
            </w:tabs>
            <w:rPr>
              <w:rFonts w:asciiTheme="minorHAnsi" w:eastAsiaTheme="minorEastAsia" w:hAnsiTheme="minorHAnsi" w:cstheme="minorBidi"/>
              <w:noProof/>
              <w:sz w:val="22"/>
              <w:szCs w:val="22"/>
              <w:lang w:val="en-IN"/>
            </w:rPr>
          </w:pPr>
          <w:hyperlink w:anchor="_Toc235293156" w:history="1">
            <w:r w:rsidRPr="00917FC7">
              <w:rPr>
                <w:rStyle w:val="Hyperlink"/>
                <w:noProof/>
              </w:rPr>
              <w:t>4. Investment Appraisal and Capital Budgeting</w:t>
            </w:r>
            <w:r>
              <w:rPr>
                <w:noProof/>
                <w:webHidden/>
              </w:rPr>
              <w:tab/>
            </w:r>
            <w:r>
              <w:rPr>
                <w:noProof/>
                <w:webHidden/>
              </w:rPr>
              <w:fldChar w:fldCharType="begin"/>
            </w:r>
            <w:r>
              <w:rPr>
                <w:noProof/>
                <w:webHidden/>
              </w:rPr>
              <w:instrText xml:space="preserve"> PAGEREF _Toc235293156 \h </w:instrText>
            </w:r>
            <w:r>
              <w:rPr>
                <w:noProof/>
                <w:webHidden/>
              </w:rPr>
            </w:r>
            <w:r>
              <w:rPr>
                <w:noProof/>
                <w:webHidden/>
              </w:rPr>
              <w:fldChar w:fldCharType="separate"/>
            </w:r>
            <w:r>
              <w:rPr>
                <w:noProof/>
                <w:webHidden/>
              </w:rPr>
              <w:t>25</w:t>
            </w:r>
            <w:r>
              <w:rPr>
                <w:noProof/>
                <w:webHidden/>
              </w:rPr>
              <w:fldChar w:fldCharType="end"/>
            </w:r>
          </w:hyperlink>
        </w:p>
        <w:p w14:paraId="294FC7B5" w14:textId="12CBAA06" w:rsidR="00170E55" w:rsidRDefault="00170E55">
          <w:pPr>
            <w:pStyle w:val="TOC2"/>
            <w:tabs>
              <w:tab w:val="right" w:pos="9350"/>
            </w:tabs>
            <w:rPr>
              <w:rFonts w:asciiTheme="minorHAnsi" w:eastAsiaTheme="minorEastAsia" w:hAnsiTheme="minorHAnsi" w:cstheme="minorBidi"/>
              <w:noProof/>
              <w:sz w:val="22"/>
              <w:szCs w:val="22"/>
              <w:lang w:val="en-IN"/>
            </w:rPr>
          </w:pPr>
          <w:hyperlink w:anchor="_Toc235293157" w:history="1">
            <w:r w:rsidRPr="00917FC7">
              <w:rPr>
                <w:rStyle w:val="Hyperlink"/>
                <w:noProof/>
              </w:rPr>
              <w:t>4.1 Highlight project details</w:t>
            </w:r>
            <w:r>
              <w:rPr>
                <w:noProof/>
                <w:webHidden/>
              </w:rPr>
              <w:tab/>
            </w:r>
            <w:r>
              <w:rPr>
                <w:noProof/>
                <w:webHidden/>
              </w:rPr>
              <w:fldChar w:fldCharType="begin"/>
            </w:r>
            <w:r>
              <w:rPr>
                <w:noProof/>
                <w:webHidden/>
              </w:rPr>
              <w:instrText xml:space="preserve"> PAGEREF _Toc235293157 \h </w:instrText>
            </w:r>
            <w:r>
              <w:rPr>
                <w:noProof/>
                <w:webHidden/>
              </w:rPr>
            </w:r>
            <w:r>
              <w:rPr>
                <w:noProof/>
                <w:webHidden/>
              </w:rPr>
              <w:fldChar w:fldCharType="separate"/>
            </w:r>
            <w:r>
              <w:rPr>
                <w:noProof/>
                <w:webHidden/>
              </w:rPr>
              <w:t>25</w:t>
            </w:r>
            <w:r>
              <w:rPr>
                <w:noProof/>
                <w:webHidden/>
              </w:rPr>
              <w:fldChar w:fldCharType="end"/>
            </w:r>
          </w:hyperlink>
        </w:p>
        <w:p w14:paraId="74AD4065" w14:textId="6064BB98" w:rsidR="00170E55" w:rsidRDefault="00170E55">
          <w:pPr>
            <w:pStyle w:val="TOC2"/>
            <w:tabs>
              <w:tab w:val="right" w:pos="9350"/>
            </w:tabs>
            <w:rPr>
              <w:rFonts w:asciiTheme="minorHAnsi" w:eastAsiaTheme="minorEastAsia" w:hAnsiTheme="minorHAnsi" w:cstheme="minorBidi"/>
              <w:noProof/>
              <w:sz w:val="22"/>
              <w:szCs w:val="22"/>
              <w:lang w:val="en-IN"/>
            </w:rPr>
          </w:pPr>
          <w:hyperlink w:anchor="_Toc235293158" w:history="1">
            <w:r w:rsidRPr="00917FC7">
              <w:rPr>
                <w:rStyle w:val="Hyperlink"/>
                <w:noProof/>
              </w:rPr>
              <w:t>4.2 Investment Appraisal</w:t>
            </w:r>
            <w:r>
              <w:rPr>
                <w:noProof/>
                <w:webHidden/>
              </w:rPr>
              <w:tab/>
            </w:r>
            <w:r>
              <w:rPr>
                <w:noProof/>
                <w:webHidden/>
              </w:rPr>
              <w:fldChar w:fldCharType="begin"/>
            </w:r>
            <w:r>
              <w:rPr>
                <w:noProof/>
                <w:webHidden/>
              </w:rPr>
              <w:instrText xml:space="preserve"> PAGEREF _Toc235293158 \h </w:instrText>
            </w:r>
            <w:r>
              <w:rPr>
                <w:noProof/>
                <w:webHidden/>
              </w:rPr>
            </w:r>
            <w:r>
              <w:rPr>
                <w:noProof/>
                <w:webHidden/>
              </w:rPr>
              <w:fldChar w:fldCharType="separate"/>
            </w:r>
            <w:r>
              <w:rPr>
                <w:noProof/>
                <w:webHidden/>
              </w:rPr>
              <w:t>25</w:t>
            </w:r>
            <w:r>
              <w:rPr>
                <w:noProof/>
                <w:webHidden/>
              </w:rPr>
              <w:fldChar w:fldCharType="end"/>
            </w:r>
          </w:hyperlink>
        </w:p>
        <w:p w14:paraId="358C5422" w14:textId="2862CB90"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59" w:history="1">
            <w:r w:rsidRPr="00917FC7">
              <w:rPr>
                <w:rStyle w:val="Hyperlink"/>
                <w:noProof/>
              </w:rPr>
              <w:t>4.2.1 Project A</w:t>
            </w:r>
            <w:r>
              <w:rPr>
                <w:noProof/>
                <w:webHidden/>
              </w:rPr>
              <w:tab/>
            </w:r>
            <w:r>
              <w:rPr>
                <w:noProof/>
                <w:webHidden/>
              </w:rPr>
              <w:fldChar w:fldCharType="begin"/>
            </w:r>
            <w:r>
              <w:rPr>
                <w:noProof/>
                <w:webHidden/>
              </w:rPr>
              <w:instrText xml:space="preserve"> PAGEREF _Toc235293159 \h </w:instrText>
            </w:r>
            <w:r>
              <w:rPr>
                <w:noProof/>
                <w:webHidden/>
              </w:rPr>
            </w:r>
            <w:r>
              <w:rPr>
                <w:noProof/>
                <w:webHidden/>
              </w:rPr>
              <w:fldChar w:fldCharType="separate"/>
            </w:r>
            <w:r>
              <w:rPr>
                <w:noProof/>
                <w:webHidden/>
              </w:rPr>
              <w:t>25</w:t>
            </w:r>
            <w:r>
              <w:rPr>
                <w:noProof/>
                <w:webHidden/>
              </w:rPr>
              <w:fldChar w:fldCharType="end"/>
            </w:r>
          </w:hyperlink>
        </w:p>
        <w:p w14:paraId="6384767D" w14:textId="38151C51"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60" w:history="1">
            <w:r w:rsidRPr="00917FC7">
              <w:rPr>
                <w:rStyle w:val="Hyperlink"/>
                <w:noProof/>
              </w:rPr>
              <w:t>4.2.2 Project B</w:t>
            </w:r>
            <w:r>
              <w:rPr>
                <w:noProof/>
                <w:webHidden/>
              </w:rPr>
              <w:tab/>
            </w:r>
            <w:r>
              <w:rPr>
                <w:noProof/>
                <w:webHidden/>
              </w:rPr>
              <w:fldChar w:fldCharType="begin"/>
            </w:r>
            <w:r>
              <w:rPr>
                <w:noProof/>
                <w:webHidden/>
              </w:rPr>
              <w:instrText xml:space="preserve"> PAGEREF _Toc235293160 \h </w:instrText>
            </w:r>
            <w:r>
              <w:rPr>
                <w:noProof/>
                <w:webHidden/>
              </w:rPr>
            </w:r>
            <w:r>
              <w:rPr>
                <w:noProof/>
                <w:webHidden/>
              </w:rPr>
              <w:fldChar w:fldCharType="separate"/>
            </w:r>
            <w:r>
              <w:rPr>
                <w:noProof/>
                <w:webHidden/>
              </w:rPr>
              <w:t>28</w:t>
            </w:r>
            <w:r>
              <w:rPr>
                <w:noProof/>
                <w:webHidden/>
              </w:rPr>
              <w:fldChar w:fldCharType="end"/>
            </w:r>
          </w:hyperlink>
        </w:p>
        <w:p w14:paraId="6BC286F4" w14:textId="42D8166A" w:rsidR="00170E55" w:rsidRDefault="00170E55">
          <w:pPr>
            <w:pStyle w:val="TOC3"/>
            <w:tabs>
              <w:tab w:val="right" w:pos="9350"/>
            </w:tabs>
            <w:rPr>
              <w:rFonts w:asciiTheme="minorHAnsi" w:eastAsiaTheme="minorEastAsia" w:hAnsiTheme="minorHAnsi" w:cstheme="minorBidi"/>
              <w:noProof/>
              <w:sz w:val="22"/>
              <w:szCs w:val="22"/>
              <w:lang w:val="en-IN"/>
            </w:rPr>
          </w:pPr>
          <w:hyperlink w:anchor="_Toc235293161" w:history="1">
            <w:r w:rsidRPr="00917FC7">
              <w:rPr>
                <w:rStyle w:val="Hyperlink"/>
                <w:noProof/>
              </w:rPr>
              <w:t>4.2.3 Project C</w:t>
            </w:r>
            <w:r>
              <w:rPr>
                <w:noProof/>
                <w:webHidden/>
              </w:rPr>
              <w:tab/>
            </w:r>
            <w:r>
              <w:rPr>
                <w:noProof/>
                <w:webHidden/>
              </w:rPr>
              <w:fldChar w:fldCharType="begin"/>
            </w:r>
            <w:r>
              <w:rPr>
                <w:noProof/>
                <w:webHidden/>
              </w:rPr>
              <w:instrText xml:space="preserve"> PAGEREF _Toc235293161 \h </w:instrText>
            </w:r>
            <w:r>
              <w:rPr>
                <w:noProof/>
                <w:webHidden/>
              </w:rPr>
            </w:r>
            <w:r>
              <w:rPr>
                <w:noProof/>
                <w:webHidden/>
              </w:rPr>
              <w:fldChar w:fldCharType="separate"/>
            </w:r>
            <w:r>
              <w:rPr>
                <w:noProof/>
                <w:webHidden/>
              </w:rPr>
              <w:t>31</w:t>
            </w:r>
            <w:r>
              <w:rPr>
                <w:noProof/>
                <w:webHidden/>
              </w:rPr>
              <w:fldChar w:fldCharType="end"/>
            </w:r>
          </w:hyperlink>
        </w:p>
        <w:p w14:paraId="20C02DE9" w14:textId="54D090C8" w:rsidR="00170E55" w:rsidRDefault="00170E55">
          <w:pPr>
            <w:pStyle w:val="TOC2"/>
            <w:tabs>
              <w:tab w:val="right" w:pos="9350"/>
            </w:tabs>
            <w:rPr>
              <w:rFonts w:asciiTheme="minorHAnsi" w:eastAsiaTheme="minorEastAsia" w:hAnsiTheme="minorHAnsi" w:cstheme="minorBidi"/>
              <w:noProof/>
              <w:sz w:val="22"/>
              <w:szCs w:val="22"/>
              <w:lang w:val="en-IN"/>
            </w:rPr>
          </w:pPr>
          <w:hyperlink w:anchor="_Toc235293162" w:history="1">
            <w:r w:rsidRPr="00917FC7">
              <w:rPr>
                <w:rStyle w:val="Hyperlink"/>
                <w:noProof/>
              </w:rPr>
              <w:t>4.3 Selected project</w:t>
            </w:r>
            <w:r>
              <w:rPr>
                <w:noProof/>
                <w:webHidden/>
              </w:rPr>
              <w:tab/>
            </w:r>
            <w:r>
              <w:rPr>
                <w:noProof/>
                <w:webHidden/>
              </w:rPr>
              <w:fldChar w:fldCharType="begin"/>
            </w:r>
            <w:r>
              <w:rPr>
                <w:noProof/>
                <w:webHidden/>
              </w:rPr>
              <w:instrText xml:space="preserve"> PAGEREF _Toc235293162 \h </w:instrText>
            </w:r>
            <w:r>
              <w:rPr>
                <w:noProof/>
                <w:webHidden/>
              </w:rPr>
            </w:r>
            <w:r>
              <w:rPr>
                <w:noProof/>
                <w:webHidden/>
              </w:rPr>
              <w:fldChar w:fldCharType="separate"/>
            </w:r>
            <w:r>
              <w:rPr>
                <w:noProof/>
                <w:webHidden/>
              </w:rPr>
              <w:t>34</w:t>
            </w:r>
            <w:r>
              <w:rPr>
                <w:noProof/>
                <w:webHidden/>
              </w:rPr>
              <w:fldChar w:fldCharType="end"/>
            </w:r>
          </w:hyperlink>
        </w:p>
        <w:p w14:paraId="07AE1372" w14:textId="3AC8CF44" w:rsidR="00170E55" w:rsidRDefault="00170E55">
          <w:pPr>
            <w:pStyle w:val="TOC2"/>
            <w:tabs>
              <w:tab w:val="right" w:pos="9350"/>
            </w:tabs>
            <w:rPr>
              <w:rFonts w:asciiTheme="minorHAnsi" w:eastAsiaTheme="minorEastAsia" w:hAnsiTheme="minorHAnsi" w:cstheme="minorBidi"/>
              <w:noProof/>
              <w:sz w:val="22"/>
              <w:szCs w:val="22"/>
              <w:lang w:val="en-IN"/>
            </w:rPr>
          </w:pPr>
          <w:hyperlink w:anchor="_Toc235293163" w:history="1">
            <w:r w:rsidRPr="00917FC7">
              <w:rPr>
                <w:rStyle w:val="Hyperlink"/>
                <w:noProof/>
              </w:rPr>
              <w:t>4.4 Recommendation based on the financial performance of the company</w:t>
            </w:r>
            <w:r>
              <w:rPr>
                <w:noProof/>
                <w:webHidden/>
              </w:rPr>
              <w:tab/>
            </w:r>
            <w:r>
              <w:rPr>
                <w:noProof/>
                <w:webHidden/>
              </w:rPr>
              <w:fldChar w:fldCharType="begin"/>
            </w:r>
            <w:r>
              <w:rPr>
                <w:noProof/>
                <w:webHidden/>
              </w:rPr>
              <w:instrText xml:space="preserve"> PAGEREF _Toc235293163 \h </w:instrText>
            </w:r>
            <w:r>
              <w:rPr>
                <w:noProof/>
                <w:webHidden/>
              </w:rPr>
            </w:r>
            <w:r>
              <w:rPr>
                <w:noProof/>
                <w:webHidden/>
              </w:rPr>
              <w:fldChar w:fldCharType="separate"/>
            </w:r>
            <w:r>
              <w:rPr>
                <w:noProof/>
                <w:webHidden/>
              </w:rPr>
              <w:t>34</w:t>
            </w:r>
            <w:r>
              <w:rPr>
                <w:noProof/>
                <w:webHidden/>
              </w:rPr>
              <w:fldChar w:fldCharType="end"/>
            </w:r>
          </w:hyperlink>
        </w:p>
        <w:p w14:paraId="3C2CC10D" w14:textId="4860C3C9" w:rsidR="00170E55" w:rsidRDefault="00170E55">
          <w:pPr>
            <w:pStyle w:val="TOC2"/>
            <w:tabs>
              <w:tab w:val="right" w:pos="9350"/>
            </w:tabs>
            <w:rPr>
              <w:rFonts w:asciiTheme="minorHAnsi" w:eastAsiaTheme="minorEastAsia" w:hAnsiTheme="minorHAnsi" w:cstheme="minorBidi"/>
              <w:noProof/>
              <w:sz w:val="22"/>
              <w:szCs w:val="22"/>
              <w:lang w:val="en-IN"/>
            </w:rPr>
          </w:pPr>
          <w:hyperlink w:anchor="_Toc235293164" w:history="1">
            <w:r w:rsidRPr="00917FC7">
              <w:rPr>
                <w:rStyle w:val="Hyperlink"/>
                <w:noProof/>
              </w:rPr>
              <w:t>4.5 Non-Financial Risk</w:t>
            </w:r>
            <w:r>
              <w:rPr>
                <w:noProof/>
                <w:webHidden/>
              </w:rPr>
              <w:tab/>
            </w:r>
            <w:r>
              <w:rPr>
                <w:noProof/>
                <w:webHidden/>
              </w:rPr>
              <w:fldChar w:fldCharType="begin"/>
            </w:r>
            <w:r>
              <w:rPr>
                <w:noProof/>
                <w:webHidden/>
              </w:rPr>
              <w:instrText xml:space="preserve"> PAGEREF _Toc235293164 \h </w:instrText>
            </w:r>
            <w:r>
              <w:rPr>
                <w:noProof/>
                <w:webHidden/>
              </w:rPr>
            </w:r>
            <w:r>
              <w:rPr>
                <w:noProof/>
                <w:webHidden/>
              </w:rPr>
              <w:fldChar w:fldCharType="separate"/>
            </w:r>
            <w:r>
              <w:rPr>
                <w:noProof/>
                <w:webHidden/>
              </w:rPr>
              <w:t>35</w:t>
            </w:r>
            <w:r>
              <w:rPr>
                <w:noProof/>
                <w:webHidden/>
              </w:rPr>
              <w:fldChar w:fldCharType="end"/>
            </w:r>
          </w:hyperlink>
        </w:p>
        <w:p w14:paraId="1BF6D1E3" w14:textId="219E6DC5" w:rsidR="00170E55" w:rsidRDefault="00170E55">
          <w:pPr>
            <w:pStyle w:val="TOC2"/>
            <w:tabs>
              <w:tab w:val="right" w:pos="9350"/>
            </w:tabs>
            <w:rPr>
              <w:rFonts w:asciiTheme="minorHAnsi" w:eastAsiaTheme="minorEastAsia" w:hAnsiTheme="minorHAnsi" w:cstheme="minorBidi"/>
              <w:noProof/>
              <w:sz w:val="22"/>
              <w:szCs w:val="22"/>
              <w:lang w:val="en-IN"/>
            </w:rPr>
          </w:pPr>
          <w:hyperlink w:anchor="_Toc235293165" w:history="1">
            <w:r w:rsidRPr="00917FC7">
              <w:rPr>
                <w:rStyle w:val="Hyperlink"/>
                <w:noProof/>
              </w:rPr>
              <w:t>4.6 Capital Rationing based on a combination of projects</w:t>
            </w:r>
            <w:r>
              <w:rPr>
                <w:noProof/>
                <w:webHidden/>
              </w:rPr>
              <w:tab/>
            </w:r>
            <w:r>
              <w:rPr>
                <w:noProof/>
                <w:webHidden/>
              </w:rPr>
              <w:fldChar w:fldCharType="begin"/>
            </w:r>
            <w:r>
              <w:rPr>
                <w:noProof/>
                <w:webHidden/>
              </w:rPr>
              <w:instrText xml:space="preserve"> PAGEREF _Toc235293165 \h </w:instrText>
            </w:r>
            <w:r>
              <w:rPr>
                <w:noProof/>
                <w:webHidden/>
              </w:rPr>
            </w:r>
            <w:r>
              <w:rPr>
                <w:noProof/>
                <w:webHidden/>
              </w:rPr>
              <w:fldChar w:fldCharType="separate"/>
            </w:r>
            <w:r>
              <w:rPr>
                <w:noProof/>
                <w:webHidden/>
              </w:rPr>
              <w:t>35</w:t>
            </w:r>
            <w:r>
              <w:rPr>
                <w:noProof/>
                <w:webHidden/>
              </w:rPr>
              <w:fldChar w:fldCharType="end"/>
            </w:r>
          </w:hyperlink>
        </w:p>
        <w:p w14:paraId="66DEB3D9" w14:textId="761F34CC" w:rsidR="00170E55" w:rsidRDefault="00170E55">
          <w:pPr>
            <w:pStyle w:val="TOC1"/>
            <w:tabs>
              <w:tab w:val="right" w:pos="9350"/>
            </w:tabs>
            <w:rPr>
              <w:rFonts w:asciiTheme="minorHAnsi" w:eastAsiaTheme="minorEastAsia" w:hAnsiTheme="minorHAnsi" w:cstheme="minorBidi"/>
              <w:noProof/>
              <w:sz w:val="22"/>
              <w:szCs w:val="22"/>
              <w:lang w:val="en-IN"/>
            </w:rPr>
          </w:pPr>
          <w:hyperlink w:anchor="_Toc235293166" w:history="1">
            <w:r w:rsidRPr="00917FC7">
              <w:rPr>
                <w:rStyle w:val="Hyperlink"/>
                <w:noProof/>
              </w:rPr>
              <w:t>5. Critical Reflection on using AI</w:t>
            </w:r>
            <w:r>
              <w:rPr>
                <w:noProof/>
                <w:webHidden/>
              </w:rPr>
              <w:tab/>
            </w:r>
            <w:r>
              <w:rPr>
                <w:noProof/>
                <w:webHidden/>
              </w:rPr>
              <w:fldChar w:fldCharType="begin"/>
            </w:r>
            <w:r>
              <w:rPr>
                <w:noProof/>
                <w:webHidden/>
              </w:rPr>
              <w:instrText xml:space="preserve"> PAGEREF _Toc235293166 \h </w:instrText>
            </w:r>
            <w:r>
              <w:rPr>
                <w:noProof/>
                <w:webHidden/>
              </w:rPr>
            </w:r>
            <w:r>
              <w:rPr>
                <w:noProof/>
                <w:webHidden/>
              </w:rPr>
              <w:fldChar w:fldCharType="separate"/>
            </w:r>
            <w:r>
              <w:rPr>
                <w:noProof/>
                <w:webHidden/>
              </w:rPr>
              <w:t>37</w:t>
            </w:r>
            <w:r>
              <w:rPr>
                <w:noProof/>
                <w:webHidden/>
              </w:rPr>
              <w:fldChar w:fldCharType="end"/>
            </w:r>
          </w:hyperlink>
        </w:p>
        <w:p w14:paraId="08A6897E" w14:textId="2E246B26" w:rsidR="00170E55" w:rsidRDefault="00170E55">
          <w:pPr>
            <w:pStyle w:val="TOC2"/>
            <w:tabs>
              <w:tab w:val="right" w:pos="9350"/>
            </w:tabs>
            <w:rPr>
              <w:rFonts w:asciiTheme="minorHAnsi" w:eastAsiaTheme="minorEastAsia" w:hAnsiTheme="minorHAnsi" w:cstheme="minorBidi"/>
              <w:noProof/>
              <w:sz w:val="22"/>
              <w:szCs w:val="22"/>
              <w:lang w:val="en-IN"/>
            </w:rPr>
          </w:pPr>
          <w:hyperlink w:anchor="_Toc235293167" w:history="1">
            <w:r w:rsidRPr="00917FC7">
              <w:rPr>
                <w:rStyle w:val="Hyperlink"/>
                <w:noProof/>
              </w:rPr>
              <w:t>5.1 Tool Disclosure in the Executing Report</w:t>
            </w:r>
            <w:r>
              <w:rPr>
                <w:noProof/>
                <w:webHidden/>
              </w:rPr>
              <w:tab/>
            </w:r>
            <w:r>
              <w:rPr>
                <w:noProof/>
                <w:webHidden/>
              </w:rPr>
              <w:fldChar w:fldCharType="begin"/>
            </w:r>
            <w:r>
              <w:rPr>
                <w:noProof/>
                <w:webHidden/>
              </w:rPr>
              <w:instrText xml:space="preserve"> PAGEREF _Toc235293167 \h </w:instrText>
            </w:r>
            <w:r>
              <w:rPr>
                <w:noProof/>
                <w:webHidden/>
              </w:rPr>
            </w:r>
            <w:r>
              <w:rPr>
                <w:noProof/>
                <w:webHidden/>
              </w:rPr>
              <w:fldChar w:fldCharType="separate"/>
            </w:r>
            <w:r>
              <w:rPr>
                <w:noProof/>
                <w:webHidden/>
              </w:rPr>
              <w:t>37</w:t>
            </w:r>
            <w:r>
              <w:rPr>
                <w:noProof/>
                <w:webHidden/>
              </w:rPr>
              <w:fldChar w:fldCharType="end"/>
            </w:r>
          </w:hyperlink>
        </w:p>
        <w:p w14:paraId="77F54B56" w14:textId="7D958870" w:rsidR="00170E55" w:rsidRDefault="00170E55">
          <w:pPr>
            <w:pStyle w:val="TOC2"/>
            <w:tabs>
              <w:tab w:val="right" w:pos="9350"/>
            </w:tabs>
            <w:rPr>
              <w:rFonts w:asciiTheme="minorHAnsi" w:eastAsiaTheme="minorEastAsia" w:hAnsiTheme="minorHAnsi" w:cstheme="minorBidi"/>
              <w:noProof/>
              <w:sz w:val="22"/>
              <w:szCs w:val="22"/>
              <w:lang w:val="en-IN"/>
            </w:rPr>
          </w:pPr>
          <w:hyperlink w:anchor="_Toc235293168" w:history="1">
            <w:r w:rsidRPr="00917FC7">
              <w:rPr>
                <w:rStyle w:val="Hyperlink"/>
                <w:noProof/>
              </w:rPr>
              <w:t>5.2 Encounter evaluation of AI-generated output</w:t>
            </w:r>
            <w:r>
              <w:rPr>
                <w:noProof/>
                <w:webHidden/>
              </w:rPr>
              <w:tab/>
            </w:r>
            <w:r>
              <w:rPr>
                <w:noProof/>
                <w:webHidden/>
              </w:rPr>
              <w:fldChar w:fldCharType="begin"/>
            </w:r>
            <w:r>
              <w:rPr>
                <w:noProof/>
                <w:webHidden/>
              </w:rPr>
              <w:instrText xml:space="preserve"> PAGEREF _Toc235293168 \h </w:instrText>
            </w:r>
            <w:r>
              <w:rPr>
                <w:noProof/>
                <w:webHidden/>
              </w:rPr>
            </w:r>
            <w:r>
              <w:rPr>
                <w:noProof/>
                <w:webHidden/>
              </w:rPr>
              <w:fldChar w:fldCharType="separate"/>
            </w:r>
            <w:r>
              <w:rPr>
                <w:noProof/>
                <w:webHidden/>
              </w:rPr>
              <w:t>37</w:t>
            </w:r>
            <w:r>
              <w:rPr>
                <w:noProof/>
                <w:webHidden/>
              </w:rPr>
              <w:fldChar w:fldCharType="end"/>
            </w:r>
          </w:hyperlink>
        </w:p>
        <w:p w14:paraId="185814A9" w14:textId="3EB06E9D" w:rsidR="00170E55" w:rsidRDefault="00170E55">
          <w:pPr>
            <w:pStyle w:val="TOC2"/>
            <w:tabs>
              <w:tab w:val="right" w:pos="9350"/>
            </w:tabs>
            <w:rPr>
              <w:rFonts w:asciiTheme="minorHAnsi" w:eastAsiaTheme="minorEastAsia" w:hAnsiTheme="minorHAnsi" w:cstheme="minorBidi"/>
              <w:noProof/>
              <w:sz w:val="22"/>
              <w:szCs w:val="22"/>
              <w:lang w:val="en-IN"/>
            </w:rPr>
          </w:pPr>
          <w:hyperlink w:anchor="_Toc235293169" w:history="1">
            <w:r w:rsidRPr="00917FC7">
              <w:rPr>
                <w:rStyle w:val="Hyperlink"/>
                <w:noProof/>
              </w:rPr>
              <w:t>5.3 Contribution Analysis</w:t>
            </w:r>
            <w:r>
              <w:rPr>
                <w:noProof/>
                <w:webHidden/>
              </w:rPr>
              <w:tab/>
            </w:r>
            <w:r>
              <w:rPr>
                <w:noProof/>
                <w:webHidden/>
              </w:rPr>
              <w:fldChar w:fldCharType="begin"/>
            </w:r>
            <w:r>
              <w:rPr>
                <w:noProof/>
                <w:webHidden/>
              </w:rPr>
              <w:instrText xml:space="preserve"> PAGEREF _Toc235293169 \h </w:instrText>
            </w:r>
            <w:r>
              <w:rPr>
                <w:noProof/>
                <w:webHidden/>
              </w:rPr>
            </w:r>
            <w:r>
              <w:rPr>
                <w:noProof/>
                <w:webHidden/>
              </w:rPr>
              <w:fldChar w:fldCharType="separate"/>
            </w:r>
            <w:r>
              <w:rPr>
                <w:noProof/>
                <w:webHidden/>
              </w:rPr>
              <w:t>38</w:t>
            </w:r>
            <w:r>
              <w:rPr>
                <w:noProof/>
                <w:webHidden/>
              </w:rPr>
              <w:fldChar w:fldCharType="end"/>
            </w:r>
          </w:hyperlink>
        </w:p>
        <w:p w14:paraId="061D58F6" w14:textId="306A5359" w:rsidR="00170E55" w:rsidRDefault="00170E55">
          <w:pPr>
            <w:pStyle w:val="TOC2"/>
            <w:tabs>
              <w:tab w:val="right" w:pos="9350"/>
            </w:tabs>
            <w:rPr>
              <w:rFonts w:asciiTheme="minorHAnsi" w:eastAsiaTheme="minorEastAsia" w:hAnsiTheme="minorHAnsi" w:cstheme="minorBidi"/>
              <w:noProof/>
              <w:sz w:val="22"/>
              <w:szCs w:val="22"/>
              <w:lang w:val="en-IN"/>
            </w:rPr>
          </w:pPr>
          <w:hyperlink w:anchor="_Toc235293170" w:history="1">
            <w:r w:rsidRPr="00917FC7">
              <w:rPr>
                <w:rStyle w:val="Hyperlink"/>
                <w:noProof/>
              </w:rPr>
              <w:t>5.4 Ethical and Professional Reflection</w:t>
            </w:r>
            <w:r>
              <w:rPr>
                <w:noProof/>
                <w:webHidden/>
              </w:rPr>
              <w:tab/>
            </w:r>
            <w:r>
              <w:rPr>
                <w:noProof/>
                <w:webHidden/>
              </w:rPr>
              <w:fldChar w:fldCharType="begin"/>
            </w:r>
            <w:r>
              <w:rPr>
                <w:noProof/>
                <w:webHidden/>
              </w:rPr>
              <w:instrText xml:space="preserve"> PAGEREF _Toc235293170 \h </w:instrText>
            </w:r>
            <w:r>
              <w:rPr>
                <w:noProof/>
                <w:webHidden/>
              </w:rPr>
            </w:r>
            <w:r>
              <w:rPr>
                <w:noProof/>
                <w:webHidden/>
              </w:rPr>
              <w:fldChar w:fldCharType="separate"/>
            </w:r>
            <w:r>
              <w:rPr>
                <w:noProof/>
                <w:webHidden/>
              </w:rPr>
              <w:t>38</w:t>
            </w:r>
            <w:r>
              <w:rPr>
                <w:noProof/>
                <w:webHidden/>
              </w:rPr>
              <w:fldChar w:fldCharType="end"/>
            </w:r>
          </w:hyperlink>
        </w:p>
        <w:p w14:paraId="2EEA865F" w14:textId="3856C82B" w:rsidR="00170E55" w:rsidRDefault="00170E55">
          <w:pPr>
            <w:pStyle w:val="TOC1"/>
            <w:tabs>
              <w:tab w:val="right" w:pos="9350"/>
            </w:tabs>
            <w:rPr>
              <w:rFonts w:asciiTheme="minorHAnsi" w:eastAsiaTheme="minorEastAsia" w:hAnsiTheme="minorHAnsi" w:cstheme="minorBidi"/>
              <w:noProof/>
              <w:sz w:val="22"/>
              <w:szCs w:val="22"/>
              <w:lang w:val="en-IN"/>
            </w:rPr>
          </w:pPr>
          <w:hyperlink w:anchor="_Toc235293171" w:history="1">
            <w:r w:rsidRPr="00917FC7">
              <w:rPr>
                <w:rStyle w:val="Hyperlink"/>
                <w:noProof/>
              </w:rPr>
              <w:t>References</w:t>
            </w:r>
            <w:r>
              <w:rPr>
                <w:noProof/>
                <w:webHidden/>
              </w:rPr>
              <w:tab/>
            </w:r>
            <w:r>
              <w:rPr>
                <w:noProof/>
                <w:webHidden/>
              </w:rPr>
              <w:fldChar w:fldCharType="begin"/>
            </w:r>
            <w:r>
              <w:rPr>
                <w:noProof/>
                <w:webHidden/>
              </w:rPr>
              <w:instrText xml:space="preserve"> PAGEREF _Toc235293171 \h </w:instrText>
            </w:r>
            <w:r>
              <w:rPr>
                <w:noProof/>
                <w:webHidden/>
              </w:rPr>
            </w:r>
            <w:r>
              <w:rPr>
                <w:noProof/>
                <w:webHidden/>
              </w:rPr>
              <w:fldChar w:fldCharType="separate"/>
            </w:r>
            <w:r>
              <w:rPr>
                <w:noProof/>
                <w:webHidden/>
              </w:rPr>
              <w:t>39</w:t>
            </w:r>
            <w:r>
              <w:rPr>
                <w:noProof/>
                <w:webHidden/>
              </w:rPr>
              <w:fldChar w:fldCharType="end"/>
            </w:r>
          </w:hyperlink>
        </w:p>
        <w:p w14:paraId="7631BC68" w14:textId="37429737" w:rsidR="00170E55" w:rsidRDefault="00170E55">
          <w:pPr>
            <w:pStyle w:val="TOC1"/>
            <w:tabs>
              <w:tab w:val="right" w:pos="9350"/>
            </w:tabs>
            <w:rPr>
              <w:rFonts w:asciiTheme="minorHAnsi" w:eastAsiaTheme="minorEastAsia" w:hAnsiTheme="minorHAnsi" w:cstheme="minorBidi"/>
              <w:noProof/>
              <w:sz w:val="22"/>
              <w:szCs w:val="22"/>
              <w:lang w:val="en-IN"/>
            </w:rPr>
          </w:pPr>
          <w:hyperlink w:anchor="_Toc235293172" w:history="1">
            <w:r w:rsidRPr="00917FC7">
              <w:rPr>
                <w:rStyle w:val="Hyperlink"/>
                <w:noProof/>
              </w:rPr>
              <w:t>Appendices</w:t>
            </w:r>
            <w:r>
              <w:rPr>
                <w:noProof/>
                <w:webHidden/>
              </w:rPr>
              <w:tab/>
            </w:r>
            <w:r>
              <w:rPr>
                <w:noProof/>
                <w:webHidden/>
              </w:rPr>
              <w:fldChar w:fldCharType="begin"/>
            </w:r>
            <w:r>
              <w:rPr>
                <w:noProof/>
                <w:webHidden/>
              </w:rPr>
              <w:instrText xml:space="preserve"> PAGEREF _Toc235293172 \h </w:instrText>
            </w:r>
            <w:r>
              <w:rPr>
                <w:noProof/>
                <w:webHidden/>
              </w:rPr>
            </w:r>
            <w:r>
              <w:rPr>
                <w:noProof/>
                <w:webHidden/>
              </w:rPr>
              <w:fldChar w:fldCharType="separate"/>
            </w:r>
            <w:r>
              <w:rPr>
                <w:noProof/>
                <w:webHidden/>
              </w:rPr>
              <w:t>45</w:t>
            </w:r>
            <w:r>
              <w:rPr>
                <w:noProof/>
                <w:webHidden/>
              </w:rPr>
              <w:fldChar w:fldCharType="end"/>
            </w:r>
          </w:hyperlink>
        </w:p>
        <w:p w14:paraId="6D15D013" w14:textId="5626FDEE" w:rsidR="00170E55" w:rsidRDefault="00170E55">
          <w:pPr>
            <w:pStyle w:val="TOC2"/>
            <w:tabs>
              <w:tab w:val="right" w:pos="9350"/>
            </w:tabs>
            <w:rPr>
              <w:rFonts w:asciiTheme="minorHAnsi" w:eastAsiaTheme="minorEastAsia" w:hAnsiTheme="minorHAnsi" w:cstheme="minorBidi"/>
              <w:noProof/>
              <w:sz w:val="22"/>
              <w:szCs w:val="22"/>
              <w:lang w:val="en-IN"/>
            </w:rPr>
          </w:pPr>
          <w:hyperlink w:anchor="_Toc235293173" w:history="1">
            <w:r w:rsidRPr="00917FC7">
              <w:rPr>
                <w:rStyle w:val="Hyperlink"/>
                <w:noProof/>
              </w:rPr>
              <w:t>Appendix 1: Ratio analysis</w:t>
            </w:r>
            <w:r>
              <w:rPr>
                <w:noProof/>
                <w:webHidden/>
              </w:rPr>
              <w:tab/>
            </w:r>
            <w:r>
              <w:rPr>
                <w:noProof/>
                <w:webHidden/>
              </w:rPr>
              <w:fldChar w:fldCharType="begin"/>
            </w:r>
            <w:r>
              <w:rPr>
                <w:noProof/>
                <w:webHidden/>
              </w:rPr>
              <w:instrText xml:space="preserve"> PAGEREF _Toc235293173 \h </w:instrText>
            </w:r>
            <w:r>
              <w:rPr>
                <w:noProof/>
                <w:webHidden/>
              </w:rPr>
            </w:r>
            <w:r>
              <w:rPr>
                <w:noProof/>
                <w:webHidden/>
              </w:rPr>
              <w:fldChar w:fldCharType="separate"/>
            </w:r>
            <w:r>
              <w:rPr>
                <w:noProof/>
                <w:webHidden/>
              </w:rPr>
              <w:t>45</w:t>
            </w:r>
            <w:r>
              <w:rPr>
                <w:noProof/>
                <w:webHidden/>
              </w:rPr>
              <w:fldChar w:fldCharType="end"/>
            </w:r>
          </w:hyperlink>
        </w:p>
        <w:p w14:paraId="78DC5120" w14:textId="4393CA5D" w:rsidR="00170E55" w:rsidRDefault="00170E55">
          <w:pPr>
            <w:pStyle w:val="TOC2"/>
            <w:tabs>
              <w:tab w:val="right" w:pos="9350"/>
            </w:tabs>
            <w:rPr>
              <w:rFonts w:asciiTheme="minorHAnsi" w:eastAsiaTheme="minorEastAsia" w:hAnsiTheme="minorHAnsi" w:cstheme="minorBidi"/>
              <w:noProof/>
              <w:sz w:val="22"/>
              <w:szCs w:val="22"/>
              <w:lang w:val="en-IN"/>
            </w:rPr>
          </w:pPr>
          <w:hyperlink w:anchor="_Toc235293174" w:history="1">
            <w:r w:rsidRPr="00917FC7">
              <w:rPr>
                <w:rStyle w:val="Hyperlink"/>
                <w:noProof/>
              </w:rPr>
              <w:t>Appendix 2: Capital rationing</w:t>
            </w:r>
            <w:r>
              <w:rPr>
                <w:noProof/>
                <w:webHidden/>
              </w:rPr>
              <w:tab/>
            </w:r>
            <w:r>
              <w:rPr>
                <w:noProof/>
                <w:webHidden/>
              </w:rPr>
              <w:fldChar w:fldCharType="begin"/>
            </w:r>
            <w:r>
              <w:rPr>
                <w:noProof/>
                <w:webHidden/>
              </w:rPr>
              <w:instrText xml:space="preserve"> PAGEREF _Toc235293174 \h </w:instrText>
            </w:r>
            <w:r>
              <w:rPr>
                <w:noProof/>
                <w:webHidden/>
              </w:rPr>
            </w:r>
            <w:r>
              <w:rPr>
                <w:noProof/>
                <w:webHidden/>
              </w:rPr>
              <w:fldChar w:fldCharType="separate"/>
            </w:r>
            <w:r>
              <w:rPr>
                <w:noProof/>
                <w:webHidden/>
              </w:rPr>
              <w:t>49</w:t>
            </w:r>
            <w:r>
              <w:rPr>
                <w:noProof/>
                <w:webHidden/>
              </w:rPr>
              <w:fldChar w:fldCharType="end"/>
            </w:r>
          </w:hyperlink>
        </w:p>
        <w:p w14:paraId="37212BF1" w14:textId="6F9AB584" w:rsidR="00170E55" w:rsidRDefault="00170E55">
          <w:pPr>
            <w:pStyle w:val="TOC2"/>
            <w:tabs>
              <w:tab w:val="right" w:pos="9350"/>
            </w:tabs>
            <w:rPr>
              <w:rFonts w:asciiTheme="minorHAnsi" w:eastAsiaTheme="minorEastAsia" w:hAnsiTheme="minorHAnsi" w:cstheme="minorBidi"/>
              <w:noProof/>
              <w:sz w:val="22"/>
              <w:szCs w:val="22"/>
              <w:lang w:val="en-IN"/>
            </w:rPr>
          </w:pPr>
          <w:hyperlink w:anchor="_Toc235293175" w:history="1">
            <w:r w:rsidRPr="00917FC7">
              <w:rPr>
                <w:rStyle w:val="Hyperlink"/>
                <w:noProof/>
              </w:rPr>
              <w:t>Appendix 3: Income Statement of 2021, 2022 and 2023</w:t>
            </w:r>
            <w:r>
              <w:rPr>
                <w:noProof/>
                <w:webHidden/>
              </w:rPr>
              <w:tab/>
            </w:r>
            <w:r>
              <w:rPr>
                <w:noProof/>
                <w:webHidden/>
              </w:rPr>
              <w:fldChar w:fldCharType="begin"/>
            </w:r>
            <w:r>
              <w:rPr>
                <w:noProof/>
                <w:webHidden/>
              </w:rPr>
              <w:instrText xml:space="preserve"> PAGEREF _Toc235293175 \h </w:instrText>
            </w:r>
            <w:r>
              <w:rPr>
                <w:noProof/>
                <w:webHidden/>
              </w:rPr>
            </w:r>
            <w:r>
              <w:rPr>
                <w:noProof/>
                <w:webHidden/>
              </w:rPr>
              <w:fldChar w:fldCharType="separate"/>
            </w:r>
            <w:r>
              <w:rPr>
                <w:noProof/>
                <w:webHidden/>
              </w:rPr>
              <w:t>50</w:t>
            </w:r>
            <w:r>
              <w:rPr>
                <w:noProof/>
                <w:webHidden/>
              </w:rPr>
              <w:fldChar w:fldCharType="end"/>
            </w:r>
          </w:hyperlink>
        </w:p>
        <w:p w14:paraId="0E9F8503" w14:textId="0B259B10" w:rsidR="00170E55" w:rsidRDefault="00170E55">
          <w:pPr>
            <w:pStyle w:val="TOC2"/>
            <w:tabs>
              <w:tab w:val="right" w:pos="9350"/>
            </w:tabs>
            <w:rPr>
              <w:rFonts w:asciiTheme="minorHAnsi" w:eastAsiaTheme="minorEastAsia" w:hAnsiTheme="minorHAnsi" w:cstheme="minorBidi"/>
              <w:noProof/>
              <w:sz w:val="22"/>
              <w:szCs w:val="22"/>
              <w:lang w:val="en-IN"/>
            </w:rPr>
          </w:pPr>
          <w:hyperlink w:anchor="_Toc235293176" w:history="1">
            <w:r w:rsidRPr="00917FC7">
              <w:rPr>
                <w:rStyle w:val="Hyperlink"/>
                <w:noProof/>
              </w:rPr>
              <w:t>Appendix 4: Income Statement of 2024 and 2025</w:t>
            </w:r>
            <w:r>
              <w:rPr>
                <w:noProof/>
                <w:webHidden/>
              </w:rPr>
              <w:tab/>
            </w:r>
            <w:r>
              <w:rPr>
                <w:noProof/>
                <w:webHidden/>
              </w:rPr>
              <w:fldChar w:fldCharType="begin"/>
            </w:r>
            <w:r>
              <w:rPr>
                <w:noProof/>
                <w:webHidden/>
              </w:rPr>
              <w:instrText xml:space="preserve"> PAGEREF _Toc235293176 \h </w:instrText>
            </w:r>
            <w:r>
              <w:rPr>
                <w:noProof/>
                <w:webHidden/>
              </w:rPr>
            </w:r>
            <w:r>
              <w:rPr>
                <w:noProof/>
                <w:webHidden/>
              </w:rPr>
              <w:fldChar w:fldCharType="separate"/>
            </w:r>
            <w:r>
              <w:rPr>
                <w:noProof/>
                <w:webHidden/>
              </w:rPr>
              <w:t>51</w:t>
            </w:r>
            <w:r>
              <w:rPr>
                <w:noProof/>
                <w:webHidden/>
              </w:rPr>
              <w:fldChar w:fldCharType="end"/>
            </w:r>
          </w:hyperlink>
        </w:p>
        <w:p w14:paraId="637DD277" w14:textId="18BE6A02" w:rsidR="00F3751F" w:rsidRDefault="00C77840">
          <w:pPr>
            <w:widowControl w:val="0"/>
            <w:tabs>
              <w:tab w:val="right" w:pos="9360"/>
            </w:tabs>
            <w:spacing w:before="60" w:line="240" w:lineRule="auto"/>
            <w:ind w:left="360"/>
            <w:jc w:val="left"/>
            <w:rPr>
              <w:color w:val="000000"/>
            </w:rPr>
          </w:pPr>
          <w:r>
            <w:fldChar w:fldCharType="end"/>
          </w:r>
        </w:p>
      </w:sdtContent>
    </w:sdt>
    <w:p w14:paraId="637DD278" w14:textId="77777777" w:rsidR="00F3751F" w:rsidRDefault="00F3751F"/>
    <w:p w14:paraId="637DD279" w14:textId="77777777" w:rsidR="00F3751F" w:rsidRDefault="00C77840">
      <w:r>
        <w:br w:type="page"/>
      </w:r>
    </w:p>
    <w:p w14:paraId="637DD27A" w14:textId="77777777" w:rsidR="00F3751F" w:rsidRDefault="00C77840">
      <w:pPr>
        <w:pStyle w:val="Heading1"/>
      </w:pPr>
      <w:bookmarkStart w:id="0" w:name="_Toc235293111"/>
      <w:r>
        <w:lastRenderedPageBreak/>
        <w:t>1. Financial Health Check</w:t>
      </w:r>
      <w:bookmarkEnd w:id="0"/>
      <w:r>
        <w:t xml:space="preserve"> </w:t>
      </w:r>
    </w:p>
    <w:p w14:paraId="637DD27B" w14:textId="77777777" w:rsidR="00F3751F" w:rsidRDefault="00C77840">
      <w:pPr>
        <w:pStyle w:val="Heading2"/>
      </w:pPr>
      <w:bookmarkStart w:id="1" w:name="_Toc235293112"/>
      <w:r>
        <w:t>1.1 Five-Year Financial Statement Analysis</w:t>
      </w:r>
      <w:bookmarkEnd w:id="1"/>
      <w:r>
        <w:t xml:space="preserve"> </w:t>
      </w:r>
    </w:p>
    <w:p w14:paraId="637DD27C" w14:textId="77777777" w:rsidR="00F3751F" w:rsidRDefault="00C77840">
      <w:pPr>
        <w:pStyle w:val="Heading3"/>
      </w:pPr>
      <w:bookmarkStart w:id="2" w:name="_Toc235293113"/>
      <w:r>
        <w:t>1.1.1 Income Statement Analysis</w:t>
      </w:r>
      <w:bookmarkEnd w:id="2"/>
      <w:r>
        <w:tab/>
      </w:r>
    </w:p>
    <w:p w14:paraId="637DD27D" w14:textId="77777777" w:rsidR="00F3751F" w:rsidRDefault="00C77840">
      <w:r>
        <w:rPr>
          <w:noProof/>
        </w:rPr>
        <w:drawing>
          <wp:inline distT="114300" distB="114300" distL="114300" distR="114300" wp14:anchorId="637DD5CC" wp14:editId="637DD5CD">
            <wp:extent cx="5915025" cy="971550"/>
            <wp:effectExtent l="0" t="0" r="0" b="0"/>
            <wp:docPr id="28"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7"/>
                    <a:srcRect/>
                    <a:stretch>
                      <a:fillRect/>
                    </a:stretch>
                  </pic:blipFill>
                  <pic:spPr>
                    <a:xfrm>
                      <a:off x="0" y="0"/>
                      <a:ext cx="5915025" cy="971550"/>
                    </a:xfrm>
                    <a:prstGeom prst="rect">
                      <a:avLst/>
                    </a:prstGeom>
                    <a:ln/>
                  </pic:spPr>
                </pic:pic>
              </a:graphicData>
            </a:graphic>
          </wp:inline>
        </w:drawing>
      </w:r>
    </w:p>
    <w:p w14:paraId="637DD27E" w14:textId="77777777" w:rsidR="00F3751F" w:rsidRDefault="00C77840">
      <w:pPr>
        <w:jc w:val="center"/>
      </w:pPr>
      <w:r>
        <w:rPr>
          <w:noProof/>
        </w:rPr>
        <w:drawing>
          <wp:inline distT="114300" distB="114300" distL="114300" distR="114300" wp14:anchorId="637DD5CE" wp14:editId="637DD5CF">
            <wp:extent cx="4567238" cy="2744734"/>
            <wp:effectExtent l="0" t="0" r="0" b="0"/>
            <wp:docPr id="45"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8"/>
                    <a:srcRect/>
                    <a:stretch>
                      <a:fillRect/>
                    </a:stretch>
                  </pic:blipFill>
                  <pic:spPr>
                    <a:xfrm>
                      <a:off x="0" y="0"/>
                      <a:ext cx="4567238" cy="2744734"/>
                    </a:xfrm>
                    <a:prstGeom prst="rect">
                      <a:avLst/>
                    </a:prstGeom>
                    <a:ln/>
                  </pic:spPr>
                </pic:pic>
              </a:graphicData>
            </a:graphic>
          </wp:inline>
        </w:drawing>
      </w:r>
    </w:p>
    <w:p w14:paraId="637DD27F" w14:textId="77777777" w:rsidR="00F3751F" w:rsidRDefault="00C77840">
      <w:pPr>
        <w:jc w:val="center"/>
        <w:rPr>
          <w:b/>
          <w:bCs/>
        </w:rPr>
      </w:pPr>
      <w:r>
        <w:rPr>
          <w:b/>
          <w:bCs/>
        </w:rPr>
        <w:t>Figure 1: Income statement analysis</w:t>
      </w:r>
    </w:p>
    <w:p w14:paraId="637DD280" w14:textId="77777777" w:rsidR="00F3751F" w:rsidRDefault="00C77840">
      <w:pPr>
        <w:jc w:val="center"/>
      </w:pPr>
      <w:r>
        <w:t>(Source: Hyatt Corporations, 2021; Hyatt Corporations, 2023; Hyatt Corporations, 2025)</w:t>
      </w:r>
    </w:p>
    <w:p w14:paraId="637DD281" w14:textId="77777777" w:rsidR="00F3751F" w:rsidRDefault="00C77840">
      <w:r>
        <w:t xml:space="preserve">The income statement also represents increasing performance of revenue between 2021-2025 of Hyatt Hotels Corporation. The cumulative growth is defined in recognising revenue enhancement of 135.6% from $3.03 billion in 2021 to $7.10 billion in 2025. For instance, due to effective management with improved franchise and “owned-and-leased hotel” efficiency in business. Apart from revenue, net profit declined from $49 million net loss in 2025 due to higher transaction cost increasing interest expenses $317 million (Hyatt Corporations, 2025). Overall, maintenance of finance is most necessary to control operational expenses with positive influence on net profitability in business. </w:t>
      </w:r>
    </w:p>
    <w:p w14:paraId="637DD282" w14:textId="77777777" w:rsidR="00F3751F" w:rsidRDefault="00C77840">
      <w:pPr>
        <w:pStyle w:val="Heading3"/>
      </w:pPr>
      <w:bookmarkStart w:id="3" w:name="_Toc235293114"/>
      <w:r>
        <w:lastRenderedPageBreak/>
        <w:t>1.1.2 Statement of Financial Position Analysis (Balance Sheet)</w:t>
      </w:r>
      <w:bookmarkEnd w:id="3"/>
    </w:p>
    <w:p w14:paraId="637DD283" w14:textId="77777777" w:rsidR="00F3751F" w:rsidRDefault="00C77840">
      <w:r>
        <w:rPr>
          <w:noProof/>
        </w:rPr>
        <w:drawing>
          <wp:inline distT="114300" distB="114300" distL="114300" distR="114300" wp14:anchorId="637DD5D0" wp14:editId="637DD5D1">
            <wp:extent cx="5943600" cy="927100"/>
            <wp:effectExtent l="0" t="0" r="0" b="0"/>
            <wp:docPr id="39" name="image44.png"/>
            <wp:cNvGraphicFramePr/>
            <a:graphic xmlns:a="http://schemas.openxmlformats.org/drawingml/2006/main">
              <a:graphicData uri="http://schemas.openxmlformats.org/drawingml/2006/picture">
                <pic:pic xmlns:pic="http://schemas.openxmlformats.org/drawingml/2006/picture">
                  <pic:nvPicPr>
                    <pic:cNvPr id="0" name="image44.png"/>
                    <pic:cNvPicPr preferRelativeResize="0"/>
                  </pic:nvPicPr>
                  <pic:blipFill>
                    <a:blip r:embed="rId9"/>
                    <a:srcRect/>
                    <a:stretch>
                      <a:fillRect/>
                    </a:stretch>
                  </pic:blipFill>
                  <pic:spPr>
                    <a:xfrm>
                      <a:off x="0" y="0"/>
                      <a:ext cx="5943600" cy="927100"/>
                    </a:xfrm>
                    <a:prstGeom prst="rect">
                      <a:avLst/>
                    </a:prstGeom>
                    <a:ln/>
                  </pic:spPr>
                </pic:pic>
              </a:graphicData>
            </a:graphic>
          </wp:inline>
        </w:drawing>
      </w:r>
    </w:p>
    <w:p w14:paraId="637DD284" w14:textId="77777777" w:rsidR="00F3751F" w:rsidRDefault="00C77840">
      <w:pPr>
        <w:jc w:val="center"/>
      </w:pPr>
      <w:r>
        <w:rPr>
          <w:noProof/>
        </w:rPr>
        <w:drawing>
          <wp:inline distT="114300" distB="114300" distL="114300" distR="114300" wp14:anchorId="637DD5D2" wp14:editId="637DD5D3">
            <wp:extent cx="4538663" cy="2727562"/>
            <wp:effectExtent l="0" t="0" r="0" b="0"/>
            <wp:docPr id="43"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10"/>
                    <a:srcRect/>
                    <a:stretch>
                      <a:fillRect/>
                    </a:stretch>
                  </pic:blipFill>
                  <pic:spPr>
                    <a:xfrm>
                      <a:off x="0" y="0"/>
                      <a:ext cx="4538663" cy="2727562"/>
                    </a:xfrm>
                    <a:prstGeom prst="rect">
                      <a:avLst/>
                    </a:prstGeom>
                    <a:ln/>
                  </pic:spPr>
                </pic:pic>
              </a:graphicData>
            </a:graphic>
          </wp:inline>
        </w:drawing>
      </w:r>
    </w:p>
    <w:p w14:paraId="637DD285" w14:textId="77777777" w:rsidR="00F3751F" w:rsidRDefault="00C77840">
      <w:pPr>
        <w:jc w:val="center"/>
        <w:rPr>
          <w:b/>
          <w:bCs/>
        </w:rPr>
      </w:pPr>
      <w:r>
        <w:rPr>
          <w:b/>
          <w:bCs/>
        </w:rPr>
        <w:t>Figure 2: Balance sheet recognition</w:t>
      </w:r>
    </w:p>
    <w:p w14:paraId="637DD286" w14:textId="77777777" w:rsidR="00F3751F" w:rsidRDefault="00C77840">
      <w:pPr>
        <w:jc w:val="center"/>
      </w:pPr>
      <w:r>
        <w:t xml:space="preserve">(Source: Hyatt Corporations, 2021; Hyatt Corporations, 2023; Hyatt Corporations, 2025) </w:t>
      </w:r>
    </w:p>
    <w:p w14:paraId="637DD287" w14:textId="77777777" w:rsidR="00F3751F" w:rsidRDefault="00C77840">
      <w:r>
        <w:t xml:space="preserve">The balance sheet describes key progress of management's current assets and liabilities position towards managing cash flow from operational activity in an effective manner. Thus, the analysis balance sheet also indicated strong asset growth formulation with reducing management capability of the short-term liquidity position in 2025. Hence, total asset value increased by 5.3% in 2025 with $14.04 billion due to rising goodwill from $2.54 billion to $3.45 billion (Hyatt Corporations, 2025). On the other hand, current assets decreased $2.18 billion that were abruptly influenced by -22.2% cash equivalent reduction due to reliance on external financing in the last five years. </w:t>
      </w:r>
    </w:p>
    <w:p w14:paraId="637DD288" w14:textId="77777777" w:rsidR="00F3751F" w:rsidRDefault="00C77840">
      <w:pPr>
        <w:pStyle w:val="Heading2"/>
      </w:pPr>
      <w:bookmarkStart w:id="4" w:name="_Toc235293115"/>
      <w:r>
        <w:t>1.2 Financial Ratio Interpretation</w:t>
      </w:r>
      <w:bookmarkEnd w:id="4"/>
      <w:r>
        <w:t xml:space="preserve"> </w:t>
      </w:r>
    </w:p>
    <w:p w14:paraId="637DD289" w14:textId="77777777" w:rsidR="00F3751F" w:rsidRDefault="00C77840">
      <w:pPr>
        <w:pStyle w:val="Heading3"/>
      </w:pPr>
      <w:bookmarkStart w:id="5" w:name="_Toc235293116"/>
      <w:r>
        <w:t>1.2.1 Gearing Ratios</w:t>
      </w:r>
      <w:bookmarkEnd w:id="5"/>
    </w:p>
    <w:p w14:paraId="637DD28A" w14:textId="77777777" w:rsidR="00F3751F" w:rsidRDefault="00C77840">
      <w:r>
        <w:rPr>
          <w:noProof/>
        </w:rPr>
        <w:drawing>
          <wp:inline distT="114300" distB="114300" distL="114300" distR="114300" wp14:anchorId="637DD5D4" wp14:editId="637DD5D5">
            <wp:extent cx="5943600" cy="1422400"/>
            <wp:effectExtent l="0" t="0" r="0" b="0"/>
            <wp:docPr id="37"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11"/>
                    <a:srcRect/>
                    <a:stretch>
                      <a:fillRect/>
                    </a:stretch>
                  </pic:blipFill>
                  <pic:spPr>
                    <a:xfrm>
                      <a:off x="0" y="0"/>
                      <a:ext cx="5943600" cy="1422400"/>
                    </a:xfrm>
                    <a:prstGeom prst="rect">
                      <a:avLst/>
                    </a:prstGeom>
                    <a:ln/>
                  </pic:spPr>
                </pic:pic>
              </a:graphicData>
            </a:graphic>
          </wp:inline>
        </w:drawing>
      </w:r>
    </w:p>
    <w:p w14:paraId="637DD28B" w14:textId="77777777" w:rsidR="00F3751F" w:rsidRDefault="00C77840">
      <w:pPr>
        <w:jc w:val="center"/>
      </w:pPr>
      <w:r>
        <w:rPr>
          <w:noProof/>
        </w:rPr>
        <w:drawing>
          <wp:inline distT="114300" distB="114300" distL="114300" distR="114300" wp14:anchorId="637DD5D6" wp14:editId="637DD5D7">
            <wp:extent cx="4494708" cy="2701147"/>
            <wp:effectExtent l="0" t="0" r="0" b="0"/>
            <wp:docPr id="36"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12"/>
                    <a:srcRect/>
                    <a:stretch>
                      <a:fillRect/>
                    </a:stretch>
                  </pic:blipFill>
                  <pic:spPr>
                    <a:xfrm>
                      <a:off x="0" y="0"/>
                      <a:ext cx="4494708" cy="2701147"/>
                    </a:xfrm>
                    <a:prstGeom prst="rect">
                      <a:avLst/>
                    </a:prstGeom>
                    <a:ln/>
                  </pic:spPr>
                </pic:pic>
              </a:graphicData>
            </a:graphic>
          </wp:inline>
        </w:drawing>
      </w:r>
    </w:p>
    <w:p w14:paraId="637DD28C" w14:textId="77777777" w:rsidR="00F3751F" w:rsidRDefault="00C77840">
      <w:pPr>
        <w:jc w:val="center"/>
        <w:rPr>
          <w:b/>
          <w:bCs/>
        </w:rPr>
      </w:pPr>
      <w:r>
        <w:rPr>
          <w:b/>
          <w:bCs/>
        </w:rPr>
        <w:t>Figure 3: Gearing Ratios</w:t>
      </w:r>
    </w:p>
    <w:p w14:paraId="637DD28D" w14:textId="77777777" w:rsidR="00F3751F" w:rsidRDefault="00C77840">
      <w:pPr>
        <w:jc w:val="center"/>
      </w:pPr>
      <w:r>
        <w:t>(Source: Hyatt Corporations, 2021; Hyatt Corporations, 2023; Hyatt Corporations, 2025)</w:t>
      </w:r>
    </w:p>
    <w:p w14:paraId="637DD28E" w14:textId="77777777" w:rsidR="00F3751F" w:rsidRDefault="00C77840">
      <w:pPr>
        <w:rPr>
          <w:b/>
          <w:bCs/>
        </w:rPr>
      </w:pPr>
      <w:r>
        <w:rPr>
          <w:b/>
          <w:bCs/>
        </w:rPr>
        <w:t>Trend analysis</w:t>
      </w:r>
    </w:p>
    <w:p w14:paraId="637DD28F" w14:textId="77777777" w:rsidR="00F3751F" w:rsidRDefault="00C77840">
      <w:r>
        <w:t>The use of “Debt-to-Equity Ratio (Total Liabilities ÷ Total Equity)” also illustrates the extent of organization managing assets with balanced debt and shareholders equity. Thus, its ratio to 3.1 in 025 indicated rising liabilities of $10.38 billion with greater financial risk associated with financial management. Also, “Interest Coverage Ratio (Operating Profit ÷ Interest Expense)” is generally measured about diluting interest obligations capability from proper utilization of operational earnings. In this case, a sharp decline was also observed in the coverage ratio from 24.05 to 0.99 in 2025 due to volatile operational profit of about $81 million (Hyatt Corporations, 2025).</w:t>
      </w:r>
    </w:p>
    <w:p w14:paraId="637DD290" w14:textId="77777777" w:rsidR="00F3751F" w:rsidRDefault="00C77840">
      <w:r>
        <w:t>“Debt-to-Capital Ratio [Total Debt ÷ (Total Debt + Shareholders' Equity)]” is also the most significant ratio indicating utilization of debt funds for managing capital finance in business. Thus, rising debt value also raises this ratio 0.56 in 2025 making dependency on borrowed funds.</w:t>
      </w:r>
    </w:p>
    <w:p w14:paraId="637DD291" w14:textId="77777777" w:rsidR="00F3751F" w:rsidRDefault="00C77840">
      <w:pPr>
        <w:rPr>
          <w:b/>
          <w:bCs/>
        </w:rPr>
      </w:pPr>
      <w:r>
        <w:rPr>
          <w:b/>
          <w:bCs/>
        </w:rPr>
        <w:t>Strength</w:t>
      </w:r>
    </w:p>
    <w:p w14:paraId="637DD292" w14:textId="77777777" w:rsidR="00F3751F" w:rsidRDefault="00C77840">
      <w:r>
        <w:t>The proper debt management capability till 2024 makes a strong interest coverage position that slightly needs to be reduced in 2025 indicated in a higher manner.</w:t>
      </w:r>
    </w:p>
    <w:p w14:paraId="637DD293" w14:textId="77777777" w:rsidR="00F3751F" w:rsidRDefault="00C77840">
      <w:pPr>
        <w:rPr>
          <w:b/>
          <w:bCs/>
        </w:rPr>
      </w:pPr>
      <w:r>
        <w:rPr>
          <w:b/>
          <w:bCs/>
        </w:rPr>
        <w:t>Threats</w:t>
      </w:r>
    </w:p>
    <w:p w14:paraId="637DD294" w14:textId="77777777" w:rsidR="00F3751F" w:rsidRDefault="00C77840">
      <w:r>
        <w:t>The rise of leverage value including weakening interest coverage increases refinancing risk and reduces long-term financial stability of Hyatt.</w:t>
      </w:r>
    </w:p>
    <w:p w14:paraId="3EA4706E" w14:textId="77777777" w:rsidR="000C29BD" w:rsidRDefault="00C77840">
      <w:pPr>
        <w:pStyle w:val="Heading3"/>
      </w:pPr>
      <w:bookmarkStart w:id="6" w:name="_Toc235293117"/>
      <w:r>
        <w:t>1.2.2 Profitability Ratios</w:t>
      </w:r>
      <w:bookmarkEnd w:id="6"/>
    </w:p>
    <w:p w14:paraId="637DD295" w14:textId="4579FBE9" w:rsidR="00F3751F" w:rsidRDefault="00C77840" w:rsidP="000C29BD">
      <w:r>
        <w:rPr>
          <w:noProof/>
        </w:rPr>
        <w:drawing>
          <wp:inline distT="114300" distB="114300" distL="114300" distR="114300" wp14:anchorId="637DD5D8" wp14:editId="637DD5D9">
            <wp:extent cx="5943600" cy="1308100"/>
            <wp:effectExtent l="0" t="0" r="0" b="0"/>
            <wp:docPr id="1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3"/>
                    <a:srcRect/>
                    <a:stretch>
                      <a:fillRect/>
                    </a:stretch>
                  </pic:blipFill>
                  <pic:spPr>
                    <a:xfrm>
                      <a:off x="0" y="0"/>
                      <a:ext cx="5943600" cy="1308100"/>
                    </a:xfrm>
                    <a:prstGeom prst="rect">
                      <a:avLst/>
                    </a:prstGeom>
                    <a:ln/>
                  </pic:spPr>
                </pic:pic>
              </a:graphicData>
            </a:graphic>
          </wp:inline>
        </w:drawing>
      </w:r>
    </w:p>
    <w:p w14:paraId="637DD296" w14:textId="77777777" w:rsidR="00F3751F" w:rsidRDefault="00C77840">
      <w:pPr>
        <w:jc w:val="center"/>
      </w:pPr>
      <w:r>
        <w:rPr>
          <w:noProof/>
        </w:rPr>
        <w:drawing>
          <wp:inline distT="114300" distB="114300" distL="114300" distR="114300" wp14:anchorId="637DD5DA" wp14:editId="637DD5DB">
            <wp:extent cx="4643438" cy="2708672"/>
            <wp:effectExtent l="0" t="0" r="0" b="0"/>
            <wp:docPr id="3"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14"/>
                    <a:srcRect/>
                    <a:stretch>
                      <a:fillRect/>
                    </a:stretch>
                  </pic:blipFill>
                  <pic:spPr>
                    <a:xfrm>
                      <a:off x="0" y="0"/>
                      <a:ext cx="4643438" cy="2708672"/>
                    </a:xfrm>
                    <a:prstGeom prst="rect">
                      <a:avLst/>
                    </a:prstGeom>
                    <a:ln/>
                  </pic:spPr>
                </pic:pic>
              </a:graphicData>
            </a:graphic>
          </wp:inline>
        </w:drawing>
      </w:r>
    </w:p>
    <w:p w14:paraId="637DD297" w14:textId="77777777" w:rsidR="00F3751F" w:rsidRDefault="00C77840">
      <w:pPr>
        <w:jc w:val="center"/>
        <w:rPr>
          <w:b/>
          <w:bCs/>
        </w:rPr>
      </w:pPr>
      <w:r>
        <w:rPr>
          <w:b/>
          <w:bCs/>
        </w:rPr>
        <w:t>Figure 4: Profitability ratios</w:t>
      </w:r>
    </w:p>
    <w:p w14:paraId="637DD298" w14:textId="77777777" w:rsidR="00F3751F" w:rsidRDefault="00C77840">
      <w:pPr>
        <w:jc w:val="center"/>
      </w:pPr>
      <w:r>
        <w:t>(Source: Hyatt Corporations, 2021; Hyatt Corporations, 2023; Hyatt Corporations, 2025)</w:t>
      </w:r>
    </w:p>
    <w:p w14:paraId="637DD299" w14:textId="77777777" w:rsidR="00F3751F" w:rsidRDefault="00C77840">
      <w:pPr>
        <w:rPr>
          <w:b/>
          <w:bCs/>
        </w:rPr>
      </w:pPr>
      <w:r>
        <w:rPr>
          <w:b/>
          <w:bCs/>
        </w:rPr>
        <w:t>Trend analysis</w:t>
      </w:r>
    </w:p>
    <w:p w14:paraId="637DD29A" w14:textId="77777777" w:rsidR="00F3751F" w:rsidRDefault="00C77840">
      <w:r>
        <w:rPr>
          <w:rFonts w:ascii="Arial Unicode MS" w:eastAsia="Arial Unicode MS" w:hAnsi="Arial Unicode MS" w:cs="Arial Unicode MS"/>
        </w:rPr>
        <w:t>The “Net Profit Margin (Net Profit ÷ Revenue × 100)” is generally illustrated about stable potentiality towards converted revenue in net earning. Hence, mixed performance rose its peak value in 2024 to 19.49% while it decreased by -0.69% in 2025 (Hyatt Corporations, 2025). Overall, $49 million net loss directly weakened the key profitability position of Hyatt. Also, use of “ROCE (Operating Profit ÷ (Total Assets − Current Liabilities) × 100)” indicated operational profit capability for generating long term capital efficiency in business. Thus, it is prioritising increased 15.55% in 2024 with major downfall in 2025 by 0.73%. It indicated redundancy of operational profit from $1.563 billion to $81 million inefficiency for management of capital (Yahoo Finance, 2025).</w:t>
      </w:r>
    </w:p>
    <w:p w14:paraId="637DD29B" w14:textId="77777777" w:rsidR="00F3751F" w:rsidRDefault="00C77840">
      <w:r>
        <w:t xml:space="preserve">“ROE (Net Profit ÷ Shareholders' Equity × 100)” also illustrates return generation capability through shareholders investment. Thus, declining ROE about -1.47% due to equity position retain $3.334 billion reducing shareholder confidence for long term investment. </w:t>
      </w:r>
    </w:p>
    <w:p w14:paraId="637DD29C" w14:textId="77777777" w:rsidR="00F3751F" w:rsidRDefault="00C77840">
      <w:pPr>
        <w:rPr>
          <w:b/>
          <w:bCs/>
        </w:rPr>
      </w:pPr>
      <w:r>
        <w:rPr>
          <w:b/>
          <w:bCs/>
        </w:rPr>
        <w:t>Strength</w:t>
      </w:r>
    </w:p>
    <w:p w14:paraId="637DD29D" w14:textId="77777777" w:rsidR="00F3751F" w:rsidRDefault="00C77840">
      <w:r>
        <w:t>Strong revenue growth and improved capital efficiency demonstrate Hyatt's resilient business model and expanding global hospitality operations.</w:t>
      </w:r>
    </w:p>
    <w:p w14:paraId="637DD29E" w14:textId="77777777" w:rsidR="00F3751F" w:rsidRDefault="00C77840">
      <w:pPr>
        <w:rPr>
          <w:b/>
          <w:bCs/>
        </w:rPr>
      </w:pPr>
      <w:r>
        <w:rPr>
          <w:b/>
          <w:bCs/>
        </w:rPr>
        <w:t>Threats</w:t>
      </w:r>
    </w:p>
    <w:p w14:paraId="637DD29F" w14:textId="77777777" w:rsidR="00F3751F" w:rsidRDefault="00C77840">
      <w:r>
        <w:t>The declinations of profitability position and higher debt weaken operating cash flows, increase financial risk and reduce future flexibility.</w:t>
      </w:r>
    </w:p>
    <w:p w14:paraId="637DD2A0" w14:textId="77777777" w:rsidR="00F3751F" w:rsidRDefault="00C77840">
      <w:pPr>
        <w:pStyle w:val="Heading3"/>
      </w:pPr>
      <w:bookmarkStart w:id="7" w:name="_Toc235293118"/>
      <w:r>
        <w:t>1.2.3 Efficiency Ratios</w:t>
      </w:r>
      <w:bookmarkEnd w:id="7"/>
    </w:p>
    <w:p w14:paraId="637DD2A1" w14:textId="77777777" w:rsidR="00F3751F" w:rsidRDefault="00C77840">
      <w:r>
        <w:rPr>
          <w:noProof/>
        </w:rPr>
        <w:drawing>
          <wp:inline distT="114300" distB="114300" distL="114300" distR="114300" wp14:anchorId="637DD5DC" wp14:editId="637DD5DD">
            <wp:extent cx="5943600" cy="20320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943600" cy="2032000"/>
                    </a:xfrm>
                    <a:prstGeom prst="rect">
                      <a:avLst/>
                    </a:prstGeom>
                    <a:ln/>
                  </pic:spPr>
                </pic:pic>
              </a:graphicData>
            </a:graphic>
          </wp:inline>
        </w:drawing>
      </w:r>
    </w:p>
    <w:p w14:paraId="637DD2A2" w14:textId="77777777" w:rsidR="00F3751F" w:rsidRDefault="00C77840">
      <w:pPr>
        <w:jc w:val="center"/>
      </w:pPr>
      <w:r>
        <w:rPr>
          <w:noProof/>
        </w:rPr>
        <w:drawing>
          <wp:inline distT="114300" distB="114300" distL="114300" distR="114300" wp14:anchorId="637DD5DE" wp14:editId="637DD5DF">
            <wp:extent cx="4557713" cy="2739010"/>
            <wp:effectExtent l="0" t="0" r="0" b="0"/>
            <wp:docPr id="2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4557713" cy="2739010"/>
                    </a:xfrm>
                    <a:prstGeom prst="rect">
                      <a:avLst/>
                    </a:prstGeom>
                    <a:ln/>
                  </pic:spPr>
                </pic:pic>
              </a:graphicData>
            </a:graphic>
          </wp:inline>
        </w:drawing>
      </w:r>
    </w:p>
    <w:p w14:paraId="637DD2A3" w14:textId="77777777" w:rsidR="00F3751F" w:rsidRDefault="00C77840">
      <w:pPr>
        <w:jc w:val="center"/>
        <w:rPr>
          <w:b/>
          <w:bCs/>
        </w:rPr>
      </w:pPr>
      <w:r>
        <w:rPr>
          <w:b/>
          <w:bCs/>
        </w:rPr>
        <w:t>Figure 5: Efficiency Ratios</w:t>
      </w:r>
    </w:p>
    <w:p w14:paraId="637DD2A4" w14:textId="77777777" w:rsidR="00F3751F" w:rsidRDefault="00C77840">
      <w:pPr>
        <w:jc w:val="center"/>
      </w:pPr>
      <w:r>
        <w:t>(Source: Hyatt Corporations, 2021; Hyatt Corporations, 2023; Hyatt Corporations, 2025)</w:t>
      </w:r>
    </w:p>
    <w:p w14:paraId="637DD2A5" w14:textId="77777777" w:rsidR="00F3751F" w:rsidRDefault="00C77840">
      <w:pPr>
        <w:rPr>
          <w:b/>
          <w:bCs/>
        </w:rPr>
      </w:pPr>
      <w:r>
        <w:rPr>
          <w:b/>
          <w:bCs/>
        </w:rPr>
        <w:t>Trend Analysis</w:t>
      </w:r>
    </w:p>
    <w:p w14:paraId="637DD2A6" w14:textId="77777777" w:rsidR="00F3751F" w:rsidRDefault="00C77840">
      <w:r>
        <w:t xml:space="preserve">As per the above evaluation, the inventory turnover days “(Average Inventory ÷ Cost of Sales × 365)” of Hyatt has achieved stability to 0 days, illustrating frequent replacement of old stocks in 2025. The company has also focused on improving its supply chain operations with an intent to increase its productivity. Hyatt has developed the “Digital Guest Compendium” platform that has monitored the raw material requirements of its catering and lodging operations (Uniguest, 2025). In addition, the payable turnover days of the company "(Average Trade Payables ÷ Cost of Sales × 365)" has reduced by 28.57% from 35 days in 2021. This has also helped Hyatt in improving its loyalty level among the creditors and suppliers. On the other hand, the company has increased its receivable days value by 7.5% due to an increase in bad debts in 2025 (Hyatt Corporations, 2025). </w:t>
      </w:r>
    </w:p>
    <w:p w14:paraId="637DD2A7" w14:textId="77777777" w:rsidR="00F3751F" w:rsidRDefault="00C77840">
      <w:pPr>
        <w:rPr>
          <w:b/>
          <w:bCs/>
        </w:rPr>
      </w:pPr>
      <w:r>
        <w:rPr>
          <w:b/>
          <w:bCs/>
        </w:rPr>
        <w:t>Strength</w:t>
      </w:r>
    </w:p>
    <w:p w14:paraId="637DD2A8" w14:textId="77777777" w:rsidR="00F3751F" w:rsidRDefault="00C77840">
      <w:r>
        <w:t>The inclusion of digitalisation in the inventory operations has assisted Hyatt in reducing waste in its business operations.</w:t>
      </w:r>
    </w:p>
    <w:p w14:paraId="637DD2A9" w14:textId="77777777" w:rsidR="00F3751F" w:rsidRDefault="00C77840">
      <w:pPr>
        <w:rPr>
          <w:b/>
          <w:bCs/>
        </w:rPr>
      </w:pPr>
      <w:r>
        <w:rPr>
          <w:b/>
          <w:bCs/>
        </w:rPr>
        <w:t>Threat</w:t>
      </w:r>
    </w:p>
    <w:p w14:paraId="637DD2AA" w14:textId="77777777" w:rsidR="00F3751F" w:rsidRDefault="00C77840">
      <w:r>
        <w:t>The delay in the recovery of dues from the guests has lowered the credibility of Hyatt within its investors.</w:t>
      </w:r>
    </w:p>
    <w:p w14:paraId="637DD2AB" w14:textId="77777777" w:rsidR="00F3751F" w:rsidRDefault="00C77840">
      <w:pPr>
        <w:pStyle w:val="Heading3"/>
      </w:pPr>
      <w:bookmarkStart w:id="8" w:name="_Toc235293119"/>
      <w:r>
        <w:t>1.2.4 Liquidity Ratios</w:t>
      </w:r>
      <w:bookmarkEnd w:id="8"/>
    </w:p>
    <w:p w14:paraId="637DD2AC" w14:textId="77777777" w:rsidR="00F3751F" w:rsidRDefault="00C77840">
      <w:r>
        <w:rPr>
          <w:noProof/>
        </w:rPr>
        <w:drawing>
          <wp:inline distT="114300" distB="114300" distL="114300" distR="114300" wp14:anchorId="637DD5E0" wp14:editId="637DD5E1">
            <wp:extent cx="5943600" cy="1054100"/>
            <wp:effectExtent l="0" t="0" r="0" b="0"/>
            <wp:docPr id="22"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7"/>
                    <a:srcRect/>
                    <a:stretch>
                      <a:fillRect/>
                    </a:stretch>
                  </pic:blipFill>
                  <pic:spPr>
                    <a:xfrm>
                      <a:off x="0" y="0"/>
                      <a:ext cx="5943600" cy="1054100"/>
                    </a:xfrm>
                    <a:prstGeom prst="rect">
                      <a:avLst/>
                    </a:prstGeom>
                    <a:ln/>
                  </pic:spPr>
                </pic:pic>
              </a:graphicData>
            </a:graphic>
          </wp:inline>
        </w:drawing>
      </w:r>
    </w:p>
    <w:p w14:paraId="637DD2AD" w14:textId="77777777" w:rsidR="00F3751F" w:rsidRDefault="00C77840">
      <w:pPr>
        <w:jc w:val="center"/>
      </w:pPr>
      <w:r>
        <w:rPr>
          <w:noProof/>
        </w:rPr>
        <w:drawing>
          <wp:inline distT="114300" distB="114300" distL="114300" distR="114300" wp14:anchorId="637DD5E2" wp14:editId="637DD5E3">
            <wp:extent cx="4567238" cy="2744734"/>
            <wp:effectExtent l="0" t="0" r="0" b="0"/>
            <wp:docPr id="10"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8"/>
                    <a:srcRect/>
                    <a:stretch>
                      <a:fillRect/>
                    </a:stretch>
                  </pic:blipFill>
                  <pic:spPr>
                    <a:xfrm>
                      <a:off x="0" y="0"/>
                      <a:ext cx="4567238" cy="2744734"/>
                    </a:xfrm>
                    <a:prstGeom prst="rect">
                      <a:avLst/>
                    </a:prstGeom>
                    <a:ln/>
                  </pic:spPr>
                </pic:pic>
              </a:graphicData>
            </a:graphic>
          </wp:inline>
        </w:drawing>
      </w:r>
    </w:p>
    <w:p w14:paraId="637DD2AE" w14:textId="77777777" w:rsidR="00F3751F" w:rsidRDefault="00C77840">
      <w:pPr>
        <w:jc w:val="center"/>
        <w:rPr>
          <w:b/>
          <w:bCs/>
        </w:rPr>
      </w:pPr>
      <w:r>
        <w:rPr>
          <w:b/>
          <w:bCs/>
        </w:rPr>
        <w:t>Figure 6: Liquidity ratio</w:t>
      </w:r>
    </w:p>
    <w:p w14:paraId="637DD2AF" w14:textId="77777777" w:rsidR="00F3751F" w:rsidRDefault="00C77840">
      <w:pPr>
        <w:jc w:val="center"/>
      </w:pPr>
      <w:r>
        <w:t>(Source: Hyatt Corporations, 2021; Hyatt Corporations, 2023; Hyatt Corporations, 2025)</w:t>
      </w:r>
    </w:p>
    <w:p w14:paraId="637DD2B0" w14:textId="77777777" w:rsidR="00F3751F" w:rsidRDefault="00C77840">
      <w:pPr>
        <w:jc w:val="left"/>
        <w:rPr>
          <w:b/>
          <w:bCs/>
        </w:rPr>
      </w:pPr>
      <w:r>
        <w:rPr>
          <w:b/>
          <w:bCs/>
        </w:rPr>
        <w:t>Trend</w:t>
      </w:r>
    </w:p>
    <w:p w14:paraId="637DD2B1" w14:textId="77777777" w:rsidR="00F3751F" w:rsidRDefault="00C77840">
      <w:r>
        <w:t xml:space="preserve">The current ratio of Hyatt is determined by “Current Assets ÷ Current Liability” decreased by 18.48%. Hyatt dropped its capital investment about $1,805 in 2025 due to the repayment of debts, affecting revenue of business (Hyatt, 2025). Quick ratio is determined by “(Current Assets - Inventory) ÷ Current Liabilities” decreased by 18.48%. The company faced dividend pressure due to a high payout of $0.60, highlighting its transition in managing business assets (Macrotrends, 2025). Cash ratio is determined by “(Cash ÷ Current Liability)” decreased by 37.21% through the reduction of cash reserve. </w:t>
      </w:r>
    </w:p>
    <w:p w14:paraId="637DD2B2" w14:textId="77777777" w:rsidR="00F3751F" w:rsidRDefault="00C77840">
      <w:pPr>
        <w:jc w:val="left"/>
        <w:rPr>
          <w:b/>
          <w:bCs/>
        </w:rPr>
      </w:pPr>
      <w:r>
        <w:rPr>
          <w:b/>
          <w:bCs/>
        </w:rPr>
        <w:t>Strength</w:t>
      </w:r>
    </w:p>
    <w:p w14:paraId="637DD2B3" w14:textId="77777777" w:rsidR="00F3751F" w:rsidRDefault="00C77840">
      <w:r>
        <w:t xml:space="preserve">Hyatt manages its cash flow by its ability to meet dividend payout pressure and resolve credit pressure. </w:t>
      </w:r>
    </w:p>
    <w:p w14:paraId="637DD2B4" w14:textId="77777777" w:rsidR="00F3751F" w:rsidRDefault="00C77840">
      <w:pPr>
        <w:jc w:val="left"/>
        <w:rPr>
          <w:b/>
          <w:bCs/>
        </w:rPr>
      </w:pPr>
      <w:r>
        <w:rPr>
          <w:b/>
          <w:bCs/>
        </w:rPr>
        <w:t>Threats</w:t>
      </w:r>
    </w:p>
    <w:p w14:paraId="637DD2B5" w14:textId="77777777" w:rsidR="00F3751F" w:rsidRDefault="00C77840">
      <w:r>
        <w:t xml:space="preserve">Hyatt reduces its investment through increases in borrowing due to high rises in debt payments. </w:t>
      </w:r>
    </w:p>
    <w:p w14:paraId="637DD2B6" w14:textId="77777777" w:rsidR="00F3751F" w:rsidRDefault="00C77840">
      <w:pPr>
        <w:pStyle w:val="Heading3"/>
      </w:pPr>
      <w:bookmarkStart w:id="9" w:name="_Toc235293120"/>
      <w:r>
        <w:t>1.2.5 Investment Ratios</w:t>
      </w:r>
      <w:bookmarkEnd w:id="9"/>
    </w:p>
    <w:p w14:paraId="637DD2B7" w14:textId="77777777" w:rsidR="00F3751F" w:rsidRDefault="00C77840">
      <w:r>
        <w:rPr>
          <w:noProof/>
        </w:rPr>
        <w:drawing>
          <wp:inline distT="114300" distB="114300" distL="114300" distR="114300" wp14:anchorId="637DD5E4" wp14:editId="637DD5E5">
            <wp:extent cx="5943600" cy="558800"/>
            <wp:effectExtent l="0" t="0" r="0" b="0"/>
            <wp:docPr id="2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9"/>
                    <a:srcRect/>
                    <a:stretch>
                      <a:fillRect/>
                    </a:stretch>
                  </pic:blipFill>
                  <pic:spPr>
                    <a:xfrm>
                      <a:off x="0" y="0"/>
                      <a:ext cx="5943600" cy="558800"/>
                    </a:xfrm>
                    <a:prstGeom prst="rect">
                      <a:avLst/>
                    </a:prstGeom>
                    <a:ln/>
                  </pic:spPr>
                </pic:pic>
              </a:graphicData>
            </a:graphic>
          </wp:inline>
        </w:drawing>
      </w:r>
    </w:p>
    <w:p w14:paraId="637DD2B8" w14:textId="77777777" w:rsidR="00F3751F" w:rsidRDefault="00C77840">
      <w:pPr>
        <w:jc w:val="center"/>
      </w:pPr>
      <w:r>
        <w:rPr>
          <w:noProof/>
        </w:rPr>
        <w:drawing>
          <wp:inline distT="114300" distB="114300" distL="114300" distR="114300" wp14:anchorId="637DD5E6" wp14:editId="637DD5E7">
            <wp:extent cx="4519613" cy="2716113"/>
            <wp:effectExtent l="0" t="0" r="0" b="0"/>
            <wp:docPr id="40"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20"/>
                    <a:srcRect/>
                    <a:stretch>
                      <a:fillRect/>
                    </a:stretch>
                  </pic:blipFill>
                  <pic:spPr>
                    <a:xfrm>
                      <a:off x="0" y="0"/>
                      <a:ext cx="4519613" cy="2716113"/>
                    </a:xfrm>
                    <a:prstGeom prst="rect">
                      <a:avLst/>
                    </a:prstGeom>
                    <a:ln/>
                  </pic:spPr>
                </pic:pic>
              </a:graphicData>
            </a:graphic>
          </wp:inline>
        </w:drawing>
      </w:r>
    </w:p>
    <w:p w14:paraId="637DD2B9" w14:textId="77777777" w:rsidR="00F3751F" w:rsidRDefault="00C77840">
      <w:pPr>
        <w:jc w:val="center"/>
        <w:rPr>
          <w:b/>
          <w:bCs/>
        </w:rPr>
      </w:pPr>
      <w:r>
        <w:rPr>
          <w:b/>
          <w:bCs/>
        </w:rPr>
        <w:t>Figure 7: Investment Ratios</w:t>
      </w:r>
    </w:p>
    <w:p w14:paraId="637DD2BA" w14:textId="77777777" w:rsidR="00F3751F" w:rsidRDefault="00C77840">
      <w:pPr>
        <w:jc w:val="center"/>
      </w:pPr>
      <w:r>
        <w:t>(Source: Hyatt Corporations, 2021; Hyatt Corporations, 2023; Hyatt Corporations, 2025)</w:t>
      </w:r>
    </w:p>
    <w:p w14:paraId="637DD2BB" w14:textId="77777777" w:rsidR="00F3751F" w:rsidRDefault="00C77840">
      <w:pPr>
        <w:jc w:val="left"/>
        <w:rPr>
          <w:b/>
          <w:bCs/>
        </w:rPr>
      </w:pPr>
      <w:r>
        <w:rPr>
          <w:b/>
          <w:bCs/>
        </w:rPr>
        <w:t>Trend analysis</w:t>
      </w:r>
    </w:p>
    <w:p w14:paraId="637DD2BC" w14:textId="77777777" w:rsidR="00F3751F" w:rsidRDefault="00C77840">
      <w:r>
        <w:t xml:space="preserve">Earnings per share of Hyatt Hotel are calculated through “(Net Income ÷ Outstanding Shares)” which decreases by 42.16%. The decreases in EPS reduce net income and affect the overall profit margin. “Hyatt Hotels Corporation” encountered a net loss of about $20million quarterly and $52 million in the full year which affected strategic investment (Hyatt, 2026). The EBITDA dropped by about 1.5% in 2024 due to the ownership of “Playa Hotels”. Apart from that, the company addresses the issue in raising new capital, which affects the overall earnings of the business by affecting acquisitions. The company enhances improvements in business operations by the ability to raise 5.4% of “RevPAR” driven by leisure demand of travel (Hyatt, 2026). This leads to enhanced operational success of the business through a strategic shift in brand expansion. </w:t>
      </w:r>
    </w:p>
    <w:p w14:paraId="637DD2BD" w14:textId="77777777" w:rsidR="00F3751F" w:rsidRDefault="00C77840">
      <w:pPr>
        <w:jc w:val="left"/>
        <w:rPr>
          <w:b/>
          <w:bCs/>
        </w:rPr>
      </w:pPr>
      <w:r>
        <w:rPr>
          <w:b/>
          <w:bCs/>
        </w:rPr>
        <w:t>Strength</w:t>
      </w:r>
    </w:p>
    <w:p w14:paraId="637DD2BE" w14:textId="2CFEB59E" w:rsidR="00F3751F" w:rsidRDefault="00C77840">
      <w:r>
        <w:t>Hyatt predicts growth through demand fo</w:t>
      </w:r>
      <w:r w:rsidR="00170E55">
        <w:t xml:space="preserve">r </w:t>
      </w:r>
      <w:r>
        <w:t xml:space="preserve">“RevPAR” and demand of clients towards leisure travel affecting business earnings. </w:t>
      </w:r>
    </w:p>
    <w:p w14:paraId="637DD2BF" w14:textId="77777777" w:rsidR="00F3751F" w:rsidRDefault="00C77840">
      <w:pPr>
        <w:jc w:val="left"/>
        <w:rPr>
          <w:b/>
          <w:bCs/>
        </w:rPr>
      </w:pPr>
      <w:r>
        <w:rPr>
          <w:b/>
          <w:bCs/>
        </w:rPr>
        <w:t>Threats</w:t>
      </w:r>
    </w:p>
    <w:p w14:paraId="637DD2C0" w14:textId="77777777" w:rsidR="00F3751F" w:rsidRDefault="00C77840">
      <w:r>
        <w:t xml:space="preserve">Hyatt addresses net loss effects which affect strategic investment of the business by reducing the shift in clients in China and in India. </w:t>
      </w:r>
    </w:p>
    <w:p w14:paraId="637DD2C1" w14:textId="77777777" w:rsidR="00F3751F" w:rsidRDefault="00C77840">
      <w:pPr>
        <w:pStyle w:val="Heading3"/>
      </w:pPr>
      <w:bookmarkStart w:id="10" w:name="_Toc235293121"/>
      <w:r>
        <w:t>1.2.6 Cash Flow Ratios</w:t>
      </w:r>
      <w:bookmarkEnd w:id="10"/>
      <w:r>
        <w:tab/>
      </w:r>
    </w:p>
    <w:p w14:paraId="637DD2C2" w14:textId="77777777" w:rsidR="00F3751F" w:rsidRDefault="00C77840">
      <w:r>
        <w:rPr>
          <w:noProof/>
        </w:rPr>
        <w:drawing>
          <wp:inline distT="114300" distB="114300" distL="114300" distR="114300" wp14:anchorId="637DD5E8" wp14:editId="637DD5E9">
            <wp:extent cx="5943600" cy="838200"/>
            <wp:effectExtent l="0" t="0" r="0" b="0"/>
            <wp:docPr id="1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1"/>
                    <a:srcRect/>
                    <a:stretch>
                      <a:fillRect/>
                    </a:stretch>
                  </pic:blipFill>
                  <pic:spPr>
                    <a:xfrm>
                      <a:off x="0" y="0"/>
                      <a:ext cx="5943600" cy="838200"/>
                    </a:xfrm>
                    <a:prstGeom prst="rect">
                      <a:avLst/>
                    </a:prstGeom>
                    <a:ln/>
                  </pic:spPr>
                </pic:pic>
              </a:graphicData>
            </a:graphic>
          </wp:inline>
        </w:drawing>
      </w:r>
    </w:p>
    <w:p w14:paraId="637DD2C3" w14:textId="77777777" w:rsidR="00F3751F" w:rsidRDefault="00C77840">
      <w:pPr>
        <w:jc w:val="center"/>
      </w:pPr>
      <w:r>
        <w:rPr>
          <w:noProof/>
        </w:rPr>
        <w:drawing>
          <wp:inline distT="114300" distB="114300" distL="114300" distR="114300" wp14:anchorId="637DD5EA" wp14:editId="637DD5EB">
            <wp:extent cx="4491038" cy="2698941"/>
            <wp:effectExtent l="0" t="0" r="0" b="0"/>
            <wp:docPr id="2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2"/>
                    <a:srcRect/>
                    <a:stretch>
                      <a:fillRect/>
                    </a:stretch>
                  </pic:blipFill>
                  <pic:spPr>
                    <a:xfrm>
                      <a:off x="0" y="0"/>
                      <a:ext cx="4491038" cy="2698941"/>
                    </a:xfrm>
                    <a:prstGeom prst="rect">
                      <a:avLst/>
                    </a:prstGeom>
                    <a:ln/>
                  </pic:spPr>
                </pic:pic>
              </a:graphicData>
            </a:graphic>
          </wp:inline>
        </w:drawing>
      </w:r>
    </w:p>
    <w:p w14:paraId="637DD2C4" w14:textId="77777777" w:rsidR="00F3751F" w:rsidRDefault="00C77840">
      <w:pPr>
        <w:jc w:val="center"/>
        <w:rPr>
          <w:b/>
          <w:bCs/>
        </w:rPr>
      </w:pPr>
      <w:r>
        <w:rPr>
          <w:b/>
          <w:bCs/>
        </w:rPr>
        <w:t>Figure 8: Cash flow ratios</w:t>
      </w:r>
    </w:p>
    <w:p w14:paraId="637DD2C5" w14:textId="77777777" w:rsidR="00F3751F" w:rsidRDefault="00C77840">
      <w:pPr>
        <w:jc w:val="center"/>
      </w:pPr>
      <w:r>
        <w:t>(Source: Hyatt Corporations, 2021; Hyatt Corporations, 2023; Hyatt Corporations, 2025)</w:t>
      </w:r>
    </w:p>
    <w:p w14:paraId="637DD2C6" w14:textId="77777777" w:rsidR="00F3751F" w:rsidRDefault="00C77840">
      <w:pPr>
        <w:jc w:val="left"/>
        <w:rPr>
          <w:b/>
          <w:bCs/>
        </w:rPr>
      </w:pPr>
      <w:r>
        <w:rPr>
          <w:b/>
          <w:bCs/>
        </w:rPr>
        <w:t>Trend analysis</w:t>
      </w:r>
    </w:p>
    <w:p w14:paraId="637DD2C7" w14:textId="77777777" w:rsidR="00F3751F" w:rsidRDefault="00C77840">
      <w:r>
        <w:t xml:space="preserve">Cash flow has a reliable impact in managing financial decisions through paying off debt and reinvestment, addressing reliable brand expansion. The operating cash flow of Hyatt is determined by “Cash Flow from Operations ÷ Current Liabilities” which decreases by 7.14%. </w:t>
      </w:r>
      <w:r>
        <w:rPr>
          <w:highlight w:val="white"/>
        </w:rPr>
        <w:t>This decrease leads to reduced inventory accumulation of about $0m in 2026, a decline of 100% due to the reduction of the “consumer loyalty program” (Macrotrends, 2024).</w:t>
      </w:r>
      <w:r>
        <w:t xml:space="preserve"> Cash return is determined through “Cash Flow from Operations ÷ Total Assets” increases of 50%. The company invested funds of about $1 billion for "repurchasing of shares” with a rise of “repurchase authorization" of about $ 1.5 billion (Hyatt, 2026). This leads to an expected shift in business through "free cash flow" enhancing shareholder returns. </w:t>
      </w:r>
    </w:p>
    <w:p w14:paraId="637DD2C8" w14:textId="77777777" w:rsidR="00F3751F" w:rsidRDefault="00C77840">
      <w:pPr>
        <w:jc w:val="left"/>
        <w:rPr>
          <w:b/>
          <w:bCs/>
        </w:rPr>
      </w:pPr>
      <w:r>
        <w:rPr>
          <w:b/>
          <w:bCs/>
        </w:rPr>
        <w:t>Strength</w:t>
      </w:r>
    </w:p>
    <w:p w14:paraId="637DD2C9" w14:textId="77777777" w:rsidR="00F3751F" w:rsidRDefault="00C77840">
      <w:r>
        <w:t xml:space="preserve">Hyatt manages its cash flow through "repurchasing of shares” to boost overall shareholder value. </w:t>
      </w:r>
    </w:p>
    <w:p w14:paraId="637DD2CA" w14:textId="77777777" w:rsidR="00F3751F" w:rsidRDefault="00C77840">
      <w:pPr>
        <w:jc w:val="left"/>
        <w:rPr>
          <w:b/>
          <w:bCs/>
        </w:rPr>
      </w:pPr>
      <w:r>
        <w:rPr>
          <w:b/>
          <w:bCs/>
        </w:rPr>
        <w:t>Threats</w:t>
      </w:r>
    </w:p>
    <w:p w14:paraId="637DD2CB" w14:textId="77777777" w:rsidR="00F3751F" w:rsidRDefault="00C77840">
      <w:r>
        <w:t xml:space="preserve">Hyatt reduces its inventory accumulation which shifts the expansion of business and hampers operational excellence. </w:t>
      </w:r>
    </w:p>
    <w:p w14:paraId="637DD2CC" w14:textId="77777777" w:rsidR="00F3751F" w:rsidRDefault="00C77840">
      <w:pPr>
        <w:pStyle w:val="Heading2"/>
      </w:pPr>
      <w:bookmarkStart w:id="11" w:name="_Toc235293122"/>
      <w:r>
        <w:t>1.3 Industry Benchmark Comparison based on the liquidity ratio</w:t>
      </w:r>
      <w:bookmarkEnd w:id="11"/>
      <w:r>
        <w:tab/>
        <w:t xml:space="preserve"> </w:t>
      </w:r>
    </w:p>
    <w:p w14:paraId="637DD2CD" w14:textId="77777777" w:rsidR="00F3751F" w:rsidRDefault="00C77840">
      <w:pPr>
        <w:pStyle w:val="Heading3"/>
      </w:pPr>
      <w:bookmarkStart w:id="12" w:name="_Toc235293123"/>
      <w:r>
        <w:t>1.3.1 Compare the liquidity ratio of the company and the sector</w:t>
      </w:r>
      <w:bookmarkEnd w:id="12"/>
      <w:r>
        <w:t xml:space="preserve"> </w:t>
      </w:r>
    </w:p>
    <w:p w14:paraId="637DD2CE" w14:textId="77777777" w:rsidR="00F3751F" w:rsidRDefault="00C77840">
      <w:r>
        <w:t xml:space="preserve">In 2025, Hyatt has a current ratio of about 0.75, which is low due to the reliable payment of debts (MacroTrends, 2025). The liquidity ratio is about $2.2 billion, with its cash equivalent about $671million driven through acquisition with “Playa Hotels” (Hyatt, 2026). Whereas the UK hospitality sector has a current ratio of 0.80 in 2025 due to a reliable shortfall in managing credit and sales of the business. The company holds a strong liquidity position by reflecting a "franchise-driven strategy” in accessing the borrowing capacity of the business. </w:t>
      </w:r>
    </w:p>
    <w:p w14:paraId="637DD2CF" w14:textId="77777777" w:rsidR="00F3751F" w:rsidRDefault="00C77840">
      <w:pPr>
        <w:pStyle w:val="Heading3"/>
      </w:pPr>
      <w:bookmarkStart w:id="13" w:name="_28sumdhzx0c" w:colFirst="0" w:colLast="0"/>
      <w:bookmarkStart w:id="14" w:name="_Toc235293124"/>
      <w:bookmarkEnd w:id="13"/>
      <w:r>
        <w:t>1.3.2 Impact of liquidity ratio on firm performance</w:t>
      </w:r>
      <w:bookmarkEnd w:id="14"/>
      <w:r>
        <w:t xml:space="preserve"> </w:t>
      </w:r>
      <w:r>
        <w:tab/>
      </w:r>
    </w:p>
    <w:p w14:paraId="637DD2D0" w14:textId="77777777" w:rsidR="00F3751F" w:rsidRDefault="00C77840">
      <w:r>
        <w:t xml:space="preserve">The UK hospitality industry and Hyatt Hotels faced cross-pressure due to high rates of inflation that led to a squeezed overall profit of the business. Hyatt improves its borrowing capacity through its ability to invest $1.5 billion, which will mature by 2030, to improve credit facilities (The Globe, 2025). Apart from that, the UK hospitality industry enhances improvement in cash pressure through the seasonal demand of UK travel and rapid changes in bookings, which improve overall profit. </w:t>
      </w:r>
    </w:p>
    <w:p w14:paraId="637DD2D1" w14:textId="77777777" w:rsidR="00F3751F" w:rsidRDefault="00C77840">
      <w:pPr>
        <w:pStyle w:val="Heading1"/>
      </w:pPr>
      <w:r>
        <w:br w:type="page"/>
      </w:r>
      <w:bookmarkStart w:id="15" w:name="_Toc235293125"/>
      <w:r>
        <w:t>2. Working Capital Management Analysis</w:t>
      </w:r>
      <w:bookmarkEnd w:id="15"/>
    </w:p>
    <w:p w14:paraId="637DD2D2" w14:textId="77777777" w:rsidR="00F3751F" w:rsidRDefault="00C77840">
      <w:pPr>
        <w:pStyle w:val="Heading2"/>
      </w:pPr>
      <w:bookmarkStart w:id="16" w:name="_Toc235293126"/>
      <w:r>
        <w:t>2.1 Cash Operating Cycle</w:t>
      </w:r>
      <w:bookmarkEnd w:id="16"/>
      <w:r>
        <w:t xml:space="preserve"> </w:t>
      </w:r>
    </w:p>
    <w:p w14:paraId="637DD2D3" w14:textId="77777777" w:rsidR="00F3751F" w:rsidRDefault="00C77840">
      <w:pPr>
        <w:pStyle w:val="Heading3"/>
      </w:pPr>
      <w:bookmarkStart w:id="17" w:name="_Toc235293127"/>
      <w:r>
        <w:t>2.1.1 Receivables Collection Period</w:t>
      </w:r>
      <w:bookmarkEnd w:id="17"/>
    </w:p>
    <w:p w14:paraId="637DD2D4" w14:textId="77777777" w:rsidR="00F3751F" w:rsidRDefault="00C77840">
      <w:pPr>
        <w:jc w:val="center"/>
      </w:pPr>
      <w:r>
        <w:rPr>
          <w:noProof/>
        </w:rPr>
        <w:drawing>
          <wp:inline distT="114300" distB="114300" distL="114300" distR="114300" wp14:anchorId="637DD5EC" wp14:editId="637DD5ED">
            <wp:extent cx="5791200" cy="1990725"/>
            <wp:effectExtent l="0" t="0" r="0" b="0"/>
            <wp:docPr id="42"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23"/>
                    <a:srcRect/>
                    <a:stretch>
                      <a:fillRect/>
                    </a:stretch>
                  </pic:blipFill>
                  <pic:spPr>
                    <a:xfrm>
                      <a:off x="0" y="0"/>
                      <a:ext cx="5791200" cy="1990725"/>
                    </a:xfrm>
                    <a:prstGeom prst="rect">
                      <a:avLst/>
                    </a:prstGeom>
                    <a:ln/>
                  </pic:spPr>
                </pic:pic>
              </a:graphicData>
            </a:graphic>
          </wp:inline>
        </w:drawing>
      </w:r>
    </w:p>
    <w:p w14:paraId="637DD2D5" w14:textId="77777777" w:rsidR="00F3751F" w:rsidRDefault="00C77840">
      <w:pPr>
        <w:jc w:val="center"/>
        <w:rPr>
          <w:b/>
          <w:bCs/>
        </w:rPr>
      </w:pPr>
      <w:r>
        <w:rPr>
          <w:b/>
          <w:bCs/>
        </w:rPr>
        <w:t>Figure 9: Receivable Collection Period</w:t>
      </w:r>
    </w:p>
    <w:p w14:paraId="637DD2D6" w14:textId="77777777" w:rsidR="00F3751F" w:rsidRDefault="00C77840">
      <w:r>
        <w:t>(Source: Hyatt Corporations, 2021; Hyatt Corporations, 2023; Hyatt Corporations, 2025)</w:t>
      </w:r>
    </w:p>
    <w:p w14:paraId="637DD2D7" w14:textId="77777777" w:rsidR="00F3751F" w:rsidRDefault="00C77840">
      <w:r>
        <w:t xml:space="preserve">Hyatt has observed growth in the “Receivables Turnover Period” to 58 days that has hampered its trust level among its stakeholders. The organisation has increased its “Reserve for Doubtful Debt (RDD)” to $2.9bn in 2025 (Hyatt, 2026). </w:t>
      </w:r>
    </w:p>
    <w:p w14:paraId="637DD2D8" w14:textId="77777777" w:rsidR="00F3751F" w:rsidRDefault="00C77840">
      <w:pPr>
        <w:pStyle w:val="Heading3"/>
      </w:pPr>
      <w:bookmarkStart w:id="18" w:name="_df36d4kdamxl" w:colFirst="0" w:colLast="0"/>
      <w:bookmarkStart w:id="19" w:name="_Toc235293128"/>
      <w:bookmarkEnd w:id="18"/>
      <w:r>
        <w:t>2.1.2 Inventory Holding Period</w:t>
      </w:r>
      <w:bookmarkEnd w:id="19"/>
      <w:r>
        <w:tab/>
      </w:r>
    </w:p>
    <w:p w14:paraId="637DD2D9" w14:textId="77777777" w:rsidR="00F3751F" w:rsidRDefault="00C77840">
      <w:r>
        <w:rPr>
          <w:noProof/>
        </w:rPr>
        <w:drawing>
          <wp:inline distT="114300" distB="114300" distL="114300" distR="114300" wp14:anchorId="637DD5EE" wp14:editId="637DD5EF">
            <wp:extent cx="5781675" cy="2152650"/>
            <wp:effectExtent l="0" t="0" r="0" b="0"/>
            <wp:docPr id="12"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4"/>
                    <a:srcRect/>
                    <a:stretch>
                      <a:fillRect/>
                    </a:stretch>
                  </pic:blipFill>
                  <pic:spPr>
                    <a:xfrm>
                      <a:off x="0" y="0"/>
                      <a:ext cx="5781675" cy="2152650"/>
                    </a:xfrm>
                    <a:prstGeom prst="rect">
                      <a:avLst/>
                    </a:prstGeom>
                    <a:ln/>
                  </pic:spPr>
                </pic:pic>
              </a:graphicData>
            </a:graphic>
          </wp:inline>
        </w:drawing>
      </w:r>
    </w:p>
    <w:p w14:paraId="637DD2DA" w14:textId="77777777" w:rsidR="00F3751F" w:rsidRDefault="00C77840">
      <w:pPr>
        <w:jc w:val="center"/>
        <w:rPr>
          <w:b/>
          <w:bCs/>
        </w:rPr>
      </w:pPr>
      <w:r>
        <w:rPr>
          <w:b/>
          <w:bCs/>
        </w:rPr>
        <w:t>Figure 10: Inventory Holding Period</w:t>
      </w:r>
      <w:r>
        <w:rPr>
          <w:b/>
          <w:bCs/>
        </w:rPr>
        <w:tab/>
      </w:r>
    </w:p>
    <w:p w14:paraId="637DD2DB" w14:textId="77777777" w:rsidR="00F3751F" w:rsidRDefault="00C77840">
      <w:r>
        <w:t>(Source: Hyatt Corporations, 2021; Hyatt Corporations, 2023; Hyatt Corporations, 2025)</w:t>
      </w:r>
    </w:p>
    <w:p w14:paraId="637DD2DC" w14:textId="77777777" w:rsidR="00F3751F" w:rsidRDefault="00C77840">
      <w:r>
        <w:t xml:space="preserve">Hyatt raises its cost of sales by about $3,279m with an inventory period of about 1 day, which rises in 2025 to 0.43 days. The company invests $2 billion for selling of “Playa’s” real-estate and improving room capacity, which affects the liquidity of the business (Hyatt, 2025). Decreases in inventory holding period is due to reliable paying of debt and reinvesting in growth, affecting improvement in business operations. </w:t>
      </w:r>
    </w:p>
    <w:p w14:paraId="637DD2DD" w14:textId="77777777" w:rsidR="00F3751F" w:rsidRDefault="00C77840">
      <w:pPr>
        <w:pStyle w:val="Heading3"/>
      </w:pPr>
      <w:bookmarkStart w:id="20" w:name="_Toc235293129"/>
      <w:r>
        <w:t>2.1.3 Payables Payment Period</w:t>
      </w:r>
      <w:bookmarkEnd w:id="20"/>
      <w:r>
        <w:tab/>
      </w:r>
    </w:p>
    <w:p w14:paraId="637DD2DE" w14:textId="77777777" w:rsidR="00F3751F" w:rsidRDefault="00C77840">
      <w:pPr>
        <w:jc w:val="center"/>
      </w:pPr>
      <w:r>
        <w:rPr>
          <w:noProof/>
        </w:rPr>
        <w:drawing>
          <wp:inline distT="114300" distB="114300" distL="114300" distR="114300" wp14:anchorId="637DD5F0" wp14:editId="637DD5F1">
            <wp:extent cx="5781675" cy="1857375"/>
            <wp:effectExtent l="0" t="0" r="0" b="0"/>
            <wp:docPr id="38"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25"/>
                    <a:srcRect/>
                    <a:stretch>
                      <a:fillRect/>
                    </a:stretch>
                  </pic:blipFill>
                  <pic:spPr>
                    <a:xfrm>
                      <a:off x="0" y="0"/>
                      <a:ext cx="5781675" cy="1857375"/>
                    </a:xfrm>
                    <a:prstGeom prst="rect">
                      <a:avLst/>
                    </a:prstGeom>
                    <a:ln/>
                  </pic:spPr>
                </pic:pic>
              </a:graphicData>
            </a:graphic>
          </wp:inline>
        </w:drawing>
      </w:r>
    </w:p>
    <w:p w14:paraId="637DD2DF" w14:textId="77777777" w:rsidR="00F3751F" w:rsidRDefault="00C77840">
      <w:pPr>
        <w:jc w:val="center"/>
        <w:rPr>
          <w:b/>
          <w:bCs/>
        </w:rPr>
      </w:pPr>
      <w:r>
        <w:rPr>
          <w:b/>
          <w:bCs/>
        </w:rPr>
        <w:t xml:space="preserve">Figure 11: Payable Payment Period </w:t>
      </w:r>
    </w:p>
    <w:p w14:paraId="637DD2E0" w14:textId="77777777" w:rsidR="00F3751F" w:rsidRDefault="00C77840">
      <w:r>
        <w:t>(Source: Hyatt Corporations, 2021; Hyatt Corporations, 2023; Hyatt Corporations, 2025)</w:t>
      </w:r>
    </w:p>
    <w:p w14:paraId="637DD2E1" w14:textId="77777777" w:rsidR="00F3751F" w:rsidRDefault="00C77840">
      <w:r>
        <w:t xml:space="preserve">Hyatt has increased the value of its average payables by 32.61% from $312m in 2021. On the other hand, the company has reduced its payment period to 25 days due to the adoption of creditor monitoring initiatives in 2025 (Hyatt Corporations, 2025). Thus, timely payments to suppliers has increased the goodwill of Hyatt among its stakeholders. </w:t>
      </w:r>
    </w:p>
    <w:p w14:paraId="637DD2E2" w14:textId="77777777" w:rsidR="00F3751F" w:rsidRDefault="00C77840">
      <w:pPr>
        <w:pStyle w:val="Heading3"/>
      </w:pPr>
      <w:bookmarkStart w:id="21" w:name="_Toc235293130"/>
      <w:r>
        <w:t>2.1.4 Cash Conversion Cycle Assessment</w:t>
      </w:r>
      <w:bookmarkEnd w:id="21"/>
    </w:p>
    <w:p w14:paraId="637DD2E3" w14:textId="77777777" w:rsidR="00F3751F" w:rsidRDefault="00C77840" w:rsidP="00170E55">
      <w:bookmarkStart w:id="22" w:name="_saqcne2b1dk8" w:colFirst="0" w:colLast="0"/>
      <w:bookmarkEnd w:id="22"/>
      <w:r>
        <w:rPr>
          <w:noProof/>
        </w:rPr>
        <w:drawing>
          <wp:inline distT="114300" distB="114300" distL="114300" distR="114300" wp14:anchorId="637DD5F2" wp14:editId="637DD5F3">
            <wp:extent cx="5791200" cy="23241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6"/>
                    <a:srcRect/>
                    <a:stretch>
                      <a:fillRect/>
                    </a:stretch>
                  </pic:blipFill>
                  <pic:spPr>
                    <a:xfrm>
                      <a:off x="0" y="0"/>
                      <a:ext cx="5791200" cy="2324100"/>
                    </a:xfrm>
                    <a:prstGeom prst="rect">
                      <a:avLst/>
                    </a:prstGeom>
                    <a:ln/>
                  </pic:spPr>
                </pic:pic>
              </a:graphicData>
            </a:graphic>
          </wp:inline>
        </w:drawing>
      </w:r>
      <w:r>
        <w:tab/>
      </w:r>
    </w:p>
    <w:p w14:paraId="637DD2E4" w14:textId="77777777" w:rsidR="00F3751F" w:rsidRDefault="00C77840">
      <w:pPr>
        <w:jc w:val="center"/>
      </w:pPr>
      <w:r>
        <w:rPr>
          <w:noProof/>
        </w:rPr>
        <w:drawing>
          <wp:inline distT="114300" distB="114300" distL="114300" distR="114300" wp14:anchorId="637DD5F4" wp14:editId="637DD5F5">
            <wp:extent cx="4795838" cy="2882114"/>
            <wp:effectExtent l="0" t="0" r="0" b="0"/>
            <wp:docPr id="32"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7"/>
                    <a:srcRect/>
                    <a:stretch>
                      <a:fillRect/>
                    </a:stretch>
                  </pic:blipFill>
                  <pic:spPr>
                    <a:xfrm>
                      <a:off x="0" y="0"/>
                      <a:ext cx="4795838" cy="2882114"/>
                    </a:xfrm>
                    <a:prstGeom prst="rect">
                      <a:avLst/>
                    </a:prstGeom>
                    <a:ln/>
                  </pic:spPr>
                </pic:pic>
              </a:graphicData>
            </a:graphic>
          </wp:inline>
        </w:drawing>
      </w:r>
    </w:p>
    <w:p w14:paraId="637DD2E5" w14:textId="77777777" w:rsidR="00F3751F" w:rsidRDefault="00C77840">
      <w:pPr>
        <w:jc w:val="center"/>
        <w:rPr>
          <w:b/>
          <w:bCs/>
        </w:rPr>
      </w:pPr>
      <w:r>
        <w:rPr>
          <w:b/>
          <w:bCs/>
        </w:rPr>
        <w:t>Figure 12: Cash Conversion Cycle Assessment</w:t>
      </w:r>
    </w:p>
    <w:p w14:paraId="637DD2E6" w14:textId="77777777" w:rsidR="00F3751F" w:rsidRDefault="00C77840">
      <w:r>
        <w:t>(Source: Hyatt Corporations, 2021; Hyatt Corporations, 2023; Hyatt Corporations, 2025)</w:t>
      </w:r>
    </w:p>
    <w:p w14:paraId="637DD2E8" w14:textId="7AF9EAAC" w:rsidR="00F3751F" w:rsidRDefault="00C77840">
      <w:r>
        <w:t xml:space="preserve">In 2021, the cash conservation cycle is about 20 days, which slowed down in 2022 and tends to rise high about 65% in 2025. Hyatt achieved its early payment through “Exclusive Purchase Rates,” achieved through secured discount rate (Hyatt, 2025). The increase in cash conversion cycle is due to earlier payment and reliable generation of funds accelerate reliable transition in business. </w:t>
      </w:r>
    </w:p>
    <w:p w14:paraId="637DD2E9" w14:textId="77777777" w:rsidR="00F3751F" w:rsidRDefault="00C77840">
      <w:pPr>
        <w:pStyle w:val="Heading2"/>
      </w:pPr>
      <w:bookmarkStart w:id="23" w:name="_Toc235293131"/>
      <w:r>
        <w:t>2.2 Challenges faced in managing the working capital of the company</w:t>
      </w:r>
      <w:bookmarkEnd w:id="23"/>
      <w:r>
        <w:t xml:space="preserve"> </w:t>
      </w:r>
      <w:r>
        <w:tab/>
      </w:r>
    </w:p>
    <w:p w14:paraId="637DD2EA" w14:textId="77777777" w:rsidR="00F3751F" w:rsidRDefault="00C77840">
      <w:r>
        <w:t xml:space="preserve">Hyatt has experienced an enhancement in the receivable turnover period that has caused delays in the completion of its payment recovery process that has lowered its market stability. The organisation has paid a settlement of $1.25m to the US Attorney General for resolving disputes regarding online room booking operations in 2025 (Dabo, 2026). Moreover, the compensation has also hampered the financial stability of the company. Hyatt has increased its operational cost to $6.73bn to recover the losses from the payment disputes in 2025 (Macrotrends, 2026). Thus, the higher expenditure value has lowered the efficiency level of assets of the company. </w:t>
      </w:r>
    </w:p>
    <w:p w14:paraId="637DD2EB" w14:textId="77777777" w:rsidR="00F3751F" w:rsidRDefault="00C77840">
      <w:pPr>
        <w:pStyle w:val="Heading2"/>
      </w:pPr>
      <w:bookmarkStart w:id="24" w:name="_Toc235293132"/>
      <w:r>
        <w:t>2.3 Strategies to enhance Liquidity Performance</w:t>
      </w:r>
      <w:bookmarkEnd w:id="24"/>
      <w:r>
        <w:t xml:space="preserve"> </w:t>
      </w:r>
    </w:p>
    <w:p w14:paraId="637DD2EC" w14:textId="77777777" w:rsidR="00F3751F" w:rsidRDefault="00C77840">
      <w:pPr>
        <w:pStyle w:val="Heading3"/>
      </w:pPr>
      <w:bookmarkStart w:id="25" w:name="_Toc235293133"/>
      <w:r>
        <w:t>2.3.1 Expansion of Business Investment</w:t>
      </w:r>
      <w:bookmarkEnd w:id="25"/>
    </w:p>
    <w:p w14:paraId="637DD2ED" w14:textId="77777777" w:rsidR="00F3751F" w:rsidRDefault="00C77840">
      <w:r>
        <w:t xml:space="preserve">Hyatt has expanded its properties to meet the changes observed in its service demand levels of the customers. As an instance, the organisation has developed “300 Hyatt Studios” that have around 4000 rooms for their guests in 2025 (Hyatt News, 2026). The infrastructural improvement has also increased the service experience of the consumers. On the other hand, the organisation has provided financial grants worth $600m to 17 non-profit organisations through the “Hyatt Hotel Foundation Scheme” that has increased its presence in the USA (Hyatt, 2025). Thus, the inclusion of financial opportunities has assisted Hyatt in ensuring smooth completion of its business operations </w:t>
      </w:r>
    </w:p>
    <w:p w14:paraId="637DD2EE" w14:textId="77777777" w:rsidR="00F3751F" w:rsidRDefault="00C77840">
      <w:pPr>
        <w:pStyle w:val="Heading3"/>
      </w:pPr>
      <w:bookmarkStart w:id="26" w:name="_Toc235293134"/>
      <w:r>
        <w:t>2.3.2 Strengthening Asset Monitoring Activities</w:t>
      </w:r>
      <w:bookmarkEnd w:id="26"/>
    </w:p>
    <w:p w14:paraId="637DD2EF" w14:textId="77777777" w:rsidR="00F3751F" w:rsidRDefault="00C77840">
      <w:r>
        <w:t>Hyatt has stressed upon including digitalisation in its operations for improving its service quality. The organisation has developed the “Hotel Heartbeat” platform for acquiring accurate knowledge regarding the inventory requirements of its business activities in 2025 (Lee, 2026). In addition, the technique has also assisted the organisation in reducing the occurrence wastes by allocating resources as per the requirements of the operational areas. Hence, the improvement in the asset monitoring activities has provided opportunities for the company in enhancing its services for the customers.</w:t>
      </w:r>
    </w:p>
    <w:p w14:paraId="637DD2F0" w14:textId="77777777" w:rsidR="00F3751F" w:rsidRDefault="00C77840">
      <w:pPr>
        <w:pStyle w:val="Heading2"/>
      </w:pPr>
      <w:bookmarkStart w:id="27" w:name="_Toc235293135"/>
      <w:r>
        <w:t>2.4 Different Financial Options</w:t>
      </w:r>
      <w:bookmarkEnd w:id="27"/>
      <w:r>
        <w:t xml:space="preserve"> </w:t>
      </w:r>
    </w:p>
    <w:p w14:paraId="637DD2F1" w14:textId="77777777" w:rsidR="00F3751F" w:rsidRDefault="00C77840">
      <w:pPr>
        <w:pStyle w:val="Heading3"/>
      </w:pPr>
      <w:bookmarkStart w:id="28" w:name="_Toc235293136"/>
      <w:r>
        <w:t>2.4.1 Short-Term Financing</w:t>
      </w:r>
      <w:bookmarkEnd w:id="28"/>
      <w:r>
        <w:tab/>
      </w:r>
    </w:p>
    <w:p w14:paraId="637DD2F2" w14:textId="77777777" w:rsidR="00F3751F" w:rsidRDefault="00C77840">
      <w:pPr>
        <w:rPr>
          <w:b/>
          <w:bCs/>
        </w:rPr>
      </w:pPr>
      <w:r>
        <w:rPr>
          <w:b/>
          <w:bCs/>
        </w:rPr>
        <w:t xml:space="preserve">Short-term loan </w:t>
      </w:r>
    </w:p>
    <w:p w14:paraId="637DD2F3" w14:textId="77777777" w:rsidR="00F3751F" w:rsidRDefault="00C77840">
      <w:r>
        <w:t xml:space="preserve">Hyatt leveraged its loan of about $1.4 billion from “Goldman Sachs” in achieving its “asset-light strategy” and tighter payment (Graf and Amodeo, 2025). The raising of capital has a direct impact in managing business sales, which results in overall cash reserves. Enhancing improvement in business loans through “Hyatt Studios Structured Loan Program” is more reliable for project execution and enhances investor confidence. </w:t>
      </w:r>
    </w:p>
    <w:p w14:paraId="637DD2F4" w14:textId="77777777" w:rsidR="00F3751F" w:rsidRDefault="00C77840">
      <w:pPr>
        <w:rPr>
          <w:b/>
          <w:bCs/>
        </w:rPr>
      </w:pPr>
      <w:r>
        <w:rPr>
          <w:b/>
          <w:bCs/>
        </w:rPr>
        <w:t>Trade Credit</w:t>
      </w:r>
      <w:r>
        <w:rPr>
          <w:b/>
          <w:bCs/>
        </w:rPr>
        <w:tab/>
      </w:r>
    </w:p>
    <w:p w14:paraId="637DD2F5" w14:textId="77777777" w:rsidR="00F3751F" w:rsidRDefault="00C77840">
      <w:r>
        <w:t xml:space="preserve">Hyatt's trade creditors' rate of about $612M in 2026 has a reliable impact on cash flow management (Trading Economics, 2026). The company has the ability to earn $100min by achieving the “Hyatt” anniversary gift by achieving improvement in credit. Managing robust liquidity through enhancing working capital, which holds a strong financial position. </w:t>
      </w:r>
    </w:p>
    <w:p w14:paraId="637DD2F6" w14:textId="77777777" w:rsidR="00F3751F" w:rsidRDefault="00C77840">
      <w:pPr>
        <w:jc w:val="center"/>
      </w:pPr>
      <w:r>
        <w:rPr>
          <w:noProof/>
        </w:rPr>
        <w:drawing>
          <wp:inline distT="114300" distB="114300" distL="114300" distR="114300" wp14:anchorId="637DD5F6" wp14:editId="637DD5F7">
            <wp:extent cx="4486275" cy="3390883"/>
            <wp:effectExtent l="0" t="0" r="0" b="0"/>
            <wp:docPr id="31"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8"/>
                    <a:srcRect/>
                    <a:stretch>
                      <a:fillRect/>
                    </a:stretch>
                  </pic:blipFill>
                  <pic:spPr>
                    <a:xfrm>
                      <a:off x="0" y="0"/>
                      <a:ext cx="4486275" cy="3390883"/>
                    </a:xfrm>
                    <a:prstGeom prst="rect">
                      <a:avLst/>
                    </a:prstGeom>
                    <a:ln/>
                  </pic:spPr>
                </pic:pic>
              </a:graphicData>
            </a:graphic>
          </wp:inline>
        </w:drawing>
      </w:r>
    </w:p>
    <w:p w14:paraId="637DD2F7" w14:textId="77777777" w:rsidR="00F3751F" w:rsidRDefault="00C77840">
      <w:pPr>
        <w:jc w:val="center"/>
        <w:rPr>
          <w:b/>
          <w:bCs/>
        </w:rPr>
      </w:pPr>
      <w:r>
        <w:rPr>
          <w:b/>
          <w:bCs/>
        </w:rPr>
        <w:t xml:space="preserve">Figure 13: Trade credit </w:t>
      </w:r>
    </w:p>
    <w:p w14:paraId="637DD2F8" w14:textId="77777777" w:rsidR="00F3751F" w:rsidRDefault="00C77840">
      <w:pPr>
        <w:jc w:val="center"/>
      </w:pPr>
      <w:r>
        <w:t>(Trading Economics, 2026)</w:t>
      </w:r>
    </w:p>
    <w:p w14:paraId="637DD2F9" w14:textId="77777777" w:rsidR="00F3751F" w:rsidRDefault="00C77840">
      <w:pPr>
        <w:pStyle w:val="Heading3"/>
      </w:pPr>
      <w:bookmarkStart w:id="29" w:name="_Toc235293137"/>
      <w:r>
        <w:t>2.4.2 Long-Term Financing</w:t>
      </w:r>
      <w:bookmarkEnd w:id="29"/>
    </w:p>
    <w:p w14:paraId="637DD2FA" w14:textId="77777777" w:rsidR="00F3751F" w:rsidRDefault="00C77840">
      <w:r>
        <w:rPr>
          <w:b/>
          <w:bCs/>
        </w:rPr>
        <w:t>Equity finance</w:t>
      </w:r>
      <w:r>
        <w:t xml:space="preserve"> </w:t>
      </w:r>
    </w:p>
    <w:p w14:paraId="637DD2FB" w14:textId="77777777" w:rsidR="00F3751F" w:rsidRDefault="00C77840">
      <w:r>
        <w:t xml:space="preserve">Hyatt encounters its cash flow through "buyback of share authorisation” about $293 m, which leads to a boost in overall shareholder return (Hyatt, 2026). Hyatt improved its cash flow through "buying of stock” which had a reliable impact in assessing capital expenditure. Thus, Hyatt enhances its portfolio through demand for amenities in different markets. </w:t>
      </w:r>
    </w:p>
    <w:p w14:paraId="637DD2FC" w14:textId="77777777" w:rsidR="00F3751F" w:rsidRDefault="00C77840">
      <w:pPr>
        <w:rPr>
          <w:b/>
          <w:bCs/>
        </w:rPr>
      </w:pPr>
      <w:r>
        <w:rPr>
          <w:b/>
          <w:bCs/>
        </w:rPr>
        <w:t xml:space="preserve">Debt finance </w:t>
      </w:r>
    </w:p>
    <w:p w14:paraId="637DD2FD" w14:textId="77777777" w:rsidR="00F3751F" w:rsidRDefault="00C77840">
      <w:r>
        <w:t>Hyatt was affected due to decreases in holding period due to a long debt burden and dividend pressure, which led to a slowdown in the reliable transition of assets. The rise in debt at Hyatt is about $6.0 billion in 2025, rising from the previous year (Fitch Rating, 2026).</w:t>
      </w:r>
      <w:r>
        <w:tab/>
        <w:t xml:space="preserve"> Thus, reshaping of the “debt financing” address through improvement in "investment grade" enhances operational excellence of the business.</w:t>
      </w:r>
      <w:r>
        <w:tab/>
      </w:r>
    </w:p>
    <w:p w14:paraId="637DD2FE" w14:textId="77777777" w:rsidR="00F3751F" w:rsidRDefault="00C77840">
      <w:pPr>
        <w:pStyle w:val="Heading3"/>
      </w:pPr>
      <w:bookmarkStart w:id="30" w:name="_Toc235293138"/>
      <w:r>
        <w:t>2.4.3 Comparative Evaluation</w:t>
      </w:r>
      <w:bookmarkEnd w:id="30"/>
      <w:r>
        <w:t xml:space="preserve"> </w:t>
      </w:r>
    </w:p>
    <w:p w14:paraId="637DD2FF" w14:textId="77777777" w:rsidR="00F3751F" w:rsidRDefault="00C77840">
      <w:r>
        <w:t xml:space="preserve">Hyatt manages its debt through short-term investments and improving credit facilities, enhancing high liquidity. Thus, managing debt facilities access through verification of revenue enhances the cash flow of the business. Credit maintenance at Hyatt addresses the reliable asset maintenance to deal with operational improvement in business. </w:t>
      </w:r>
    </w:p>
    <w:p w14:paraId="637DD300" w14:textId="77777777" w:rsidR="00F3751F" w:rsidRDefault="00F3751F"/>
    <w:p w14:paraId="637DD301" w14:textId="77777777" w:rsidR="00F3751F" w:rsidRDefault="00C77840">
      <w:r>
        <w:br w:type="page"/>
      </w:r>
    </w:p>
    <w:p w14:paraId="637DD302" w14:textId="77777777" w:rsidR="00F3751F" w:rsidRDefault="00C77840">
      <w:pPr>
        <w:pStyle w:val="Heading1"/>
      </w:pPr>
      <w:bookmarkStart w:id="31" w:name="_Toc235293139"/>
      <w:r>
        <w:t>3. Financial Restructuring Plan</w:t>
      </w:r>
      <w:bookmarkEnd w:id="31"/>
      <w:r>
        <w:t xml:space="preserve"> </w:t>
      </w:r>
      <w:r>
        <w:tab/>
      </w:r>
    </w:p>
    <w:p w14:paraId="637DD303" w14:textId="77777777" w:rsidR="00F3751F" w:rsidRDefault="00C77840">
      <w:pPr>
        <w:pStyle w:val="Heading2"/>
      </w:pPr>
      <w:bookmarkStart w:id="32" w:name="_Toc235293140"/>
      <w:r>
        <w:t>3.1 Recommended financial restructuring</w:t>
      </w:r>
      <w:bookmarkEnd w:id="32"/>
      <w:r>
        <w:t xml:space="preserve"> </w:t>
      </w:r>
    </w:p>
    <w:p w14:paraId="637DD304" w14:textId="77777777" w:rsidR="00F3751F" w:rsidRDefault="00C77840">
      <w:pPr>
        <w:pStyle w:val="Heading3"/>
      </w:pPr>
      <w:bookmarkStart w:id="33" w:name="_Toc235293141"/>
      <w:r>
        <w:t>3.1.1 Asset Divestiture</w:t>
      </w:r>
      <w:bookmarkEnd w:id="33"/>
    </w:p>
    <w:p w14:paraId="637DD305" w14:textId="77777777" w:rsidR="00F3751F" w:rsidRDefault="00C77840">
      <w:r>
        <w:t xml:space="preserve">The “Asset Divestiture” strategy has improved the focus of Hyatt to adopt techniques in expanding its business tie-ups with other organisations. As an example, the company executed the sale of its “Playa Hotels” for $2bn to Tortuga in 2026 (Hyatt Corporations, 2026). Thus, the sale agreement with the Jamaican company has assisted Hyatt in improving its business operations in the Caribbean Region. </w:t>
      </w:r>
      <w:r>
        <w:tab/>
      </w:r>
    </w:p>
    <w:p w14:paraId="637DD306" w14:textId="77777777" w:rsidR="00F3751F" w:rsidRDefault="00C77840">
      <w:pPr>
        <w:pStyle w:val="Heading3"/>
      </w:pPr>
      <w:bookmarkStart w:id="34" w:name="_Toc235293142"/>
      <w:r>
        <w:t>3.1.2 Equity Injection</w:t>
      </w:r>
      <w:bookmarkEnd w:id="34"/>
    </w:p>
    <w:p w14:paraId="637DD307" w14:textId="77777777" w:rsidR="00F3751F" w:rsidRDefault="00C77840">
      <w:r>
        <w:t>Hyatt has also included the “Equity Injection Strategy” to strengthen the solvency level of its business operations. The organisation has achieved improvements in its EBITA value to $273m due to infrastructure expansion in 2025 (Hyatt Inc, 2025). Hence, the availability of higher retained earnings has increased the internal financing options for the company.</w:t>
      </w:r>
    </w:p>
    <w:p w14:paraId="637DD308" w14:textId="77777777" w:rsidR="00F3751F" w:rsidRDefault="00C77840">
      <w:pPr>
        <w:jc w:val="center"/>
      </w:pPr>
      <w:r>
        <w:rPr>
          <w:noProof/>
        </w:rPr>
        <w:drawing>
          <wp:inline distT="114300" distB="114300" distL="114300" distR="114300" wp14:anchorId="637DD5F8" wp14:editId="637DD5F9">
            <wp:extent cx="4572000" cy="2581275"/>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9"/>
                    <a:srcRect/>
                    <a:stretch>
                      <a:fillRect/>
                    </a:stretch>
                  </pic:blipFill>
                  <pic:spPr>
                    <a:xfrm>
                      <a:off x="0" y="0"/>
                      <a:ext cx="4572000" cy="2581275"/>
                    </a:xfrm>
                    <a:prstGeom prst="rect">
                      <a:avLst/>
                    </a:prstGeom>
                    <a:ln/>
                  </pic:spPr>
                </pic:pic>
              </a:graphicData>
            </a:graphic>
          </wp:inline>
        </w:drawing>
      </w:r>
      <w:r>
        <w:tab/>
      </w:r>
    </w:p>
    <w:p w14:paraId="637DD309" w14:textId="77777777" w:rsidR="00F3751F" w:rsidRDefault="00C77840">
      <w:pPr>
        <w:jc w:val="center"/>
        <w:rPr>
          <w:b/>
          <w:bCs/>
        </w:rPr>
      </w:pPr>
      <w:r>
        <w:rPr>
          <w:b/>
          <w:bCs/>
        </w:rPr>
        <w:t>Figure 14: Financial Performance of Hyatt</w:t>
      </w:r>
    </w:p>
    <w:p w14:paraId="637DD30A" w14:textId="77777777" w:rsidR="00F3751F" w:rsidRDefault="00C77840">
      <w:pPr>
        <w:jc w:val="center"/>
      </w:pPr>
      <w:r>
        <w:t>(Source: Hyatt Inc, 2025)</w:t>
      </w:r>
    </w:p>
    <w:p w14:paraId="637DD30B" w14:textId="77777777" w:rsidR="00F3751F" w:rsidRDefault="00C77840">
      <w:pPr>
        <w:pStyle w:val="Heading3"/>
      </w:pPr>
      <w:bookmarkStart w:id="35" w:name="_Toc235293143"/>
      <w:r>
        <w:t>3.1.3 Strategic Merger or Acquisition</w:t>
      </w:r>
      <w:bookmarkEnd w:id="35"/>
    </w:p>
    <w:p w14:paraId="637DD30C" w14:textId="77777777" w:rsidR="00F3751F" w:rsidRDefault="00C77840">
      <w:r>
        <w:t>Hyatt has acquired Standard International worth $333m for strengthening its brand expansion activities in 2024 (Hyatt News Agency, 2024). The acquisition has also increased the infrastructure of the company by 2000 rooms and improved the service experience of the guests. Hence, the availability of the property acquisition strategy has assisted Hyatt in ensuring growth of its brand loyalty.</w:t>
      </w:r>
    </w:p>
    <w:p w14:paraId="637DD30D" w14:textId="77777777" w:rsidR="00F3751F" w:rsidRDefault="00C77840">
      <w:pPr>
        <w:pStyle w:val="Heading2"/>
      </w:pPr>
      <w:bookmarkStart w:id="36" w:name="_Toc235293144"/>
      <w:r>
        <w:t>3.2 Impact on Financial Performance</w:t>
      </w:r>
      <w:bookmarkEnd w:id="36"/>
      <w:r>
        <w:t xml:space="preserve"> </w:t>
      </w:r>
    </w:p>
    <w:p w14:paraId="637DD30E" w14:textId="77777777" w:rsidR="00F3751F" w:rsidRDefault="00C77840">
      <w:pPr>
        <w:pStyle w:val="Heading3"/>
      </w:pPr>
      <w:bookmarkStart w:id="37" w:name="_Toc235293145"/>
      <w:r>
        <w:t>3.2.1 Shareholder Value</w:t>
      </w:r>
      <w:bookmarkEnd w:id="37"/>
      <w:r>
        <w:tab/>
      </w:r>
    </w:p>
    <w:p w14:paraId="637DD30F" w14:textId="77777777" w:rsidR="00F3751F" w:rsidRDefault="00C77840">
      <w:r>
        <w:t>The acquisition of the new properties has significantly influenced the shareholder sentiments of the organisation. Hyatt has increased its dividend value to $4.8bn from 2017 to 2025 (Investing News, 2026). Hence, the improvement in the share income has provided opportunities to Hyatt to increase the involvement of its investors within the business decisions.</w:t>
      </w:r>
    </w:p>
    <w:p w14:paraId="637DD310" w14:textId="77777777" w:rsidR="00F3751F" w:rsidRDefault="00C77840">
      <w:pPr>
        <w:jc w:val="center"/>
      </w:pPr>
      <w:r>
        <w:rPr>
          <w:noProof/>
        </w:rPr>
        <w:drawing>
          <wp:inline distT="114300" distB="114300" distL="114300" distR="114300" wp14:anchorId="637DD5FA" wp14:editId="637DD5FB">
            <wp:extent cx="5943600" cy="4076700"/>
            <wp:effectExtent l="0" t="0" r="0" b="0"/>
            <wp:docPr id="19"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30"/>
                    <a:srcRect/>
                    <a:stretch>
                      <a:fillRect/>
                    </a:stretch>
                  </pic:blipFill>
                  <pic:spPr>
                    <a:xfrm>
                      <a:off x="0" y="0"/>
                      <a:ext cx="5943600" cy="4076700"/>
                    </a:xfrm>
                    <a:prstGeom prst="rect">
                      <a:avLst/>
                    </a:prstGeom>
                    <a:ln/>
                  </pic:spPr>
                </pic:pic>
              </a:graphicData>
            </a:graphic>
          </wp:inline>
        </w:drawing>
      </w:r>
    </w:p>
    <w:p w14:paraId="637DD311" w14:textId="77777777" w:rsidR="00F3751F" w:rsidRDefault="00C77840">
      <w:pPr>
        <w:jc w:val="center"/>
        <w:rPr>
          <w:b/>
          <w:bCs/>
        </w:rPr>
      </w:pPr>
      <w:r>
        <w:rPr>
          <w:b/>
          <w:bCs/>
        </w:rPr>
        <w:t>Figure 15: Shareholder Value Growth from 2017-2025</w:t>
      </w:r>
    </w:p>
    <w:p w14:paraId="637DD312" w14:textId="77777777" w:rsidR="00F3751F" w:rsidRDefault="00C77840">
      <w:pPr>
        <w:jc w:val="center"/>
      </w:pPr>
      <w:r>
        <w:t>(Source: Investing News, 2026)</w:t>
      </w:r>
    </w:p>
    <w:p w14:paraId="637DD313" w14:textId="77777777" w:rsidR="00F3751F" w:rsidRDefault="00C77840">
      <w:pPr>
        <w:pStyle w:val="Heading3"/>
      </w:pPr>
      <w:bookmarkStart w:id="38" w:name="_Toc235293146"/>
      <w:r>
        <w:t>3.2.2 Debt Profile</w:t>
      </w:r>
      <w:bookmarkEnd w:id="38"/>
    </w:p>
    <w:p w14:paraId="637DD314" w14:textId="77777777" w:rsidR="00F3751F" w:rsidRDefault="00C77840">
      <w:r>
        <w:t>The impact of the equity injection strategy has helped Hyatt strengthen regulation of its business expenses. For instance, the organisation has observed a decline in its debt capital to $4.32bn due to its preference of internal financial sources in 2025 (Trading Economics, 2025). Thus, the lowering of the loan and other instruments has improved the operational efficiency of the organisation.</w:t>
      </w:r>
    </w:p>
    <w:p w14:paraId="637DD315" w14:textId="77777777" w:rsidR="00F3751F" w:rsidRDefault="00C77840">
      <w:pPr>
        <w:pStyle w:val="Heading3"/>
      </w:pPr>
      <w:bookmarkStart w:id="39" w:name="_Toc235293147"/>
      <w:r>
        <w:t>3.2.3 Operational Flexibility</w:t>
      </w:r>
      <w:bookmarkEnd w:id="39"/>
    </w:p>
    <w:p w14:paraId="637DD316" w14:textId="77777777" w:rsidR="00F3751F" w:rsidRDefault="00C77840">
      <w:r>
        <w:t xml:space="preserve">Hyatt has adopted the acquisition strategy with an intent to enhance flexibility in its business operations. The company has developed the “Hyatt Portal” for streamlining and improving the room booking process for the guests in 2025 (World of Hyatt, 2025). Overall, the inclusion of innovation has strengthened the customer relationship of the organisation. </w:t>
      </w:r>
    </w:p>
    <w:p w14:paraId="637DD317" w14:textId="77777777" w:rsidR="00F3751F" w:rsidRDefault="00C77840">
      <w:pPr>
        <w:pStyle w:val="Heading2"/>
      </w:pPr>
      <w:bookmarkStart w:id="40" w:name="_Toc235293148"/>
      <w:r>
        <w:t>3.3 International Considerations</w:t>
      </w:r>
      <w:bookmarkEnd w:id="40"/>
      <w:r>
        <w:tab/>
      </w:r>
    </w:p>
    <w:p w14:paraId="637DD318" w14:textId="77777777" w:rsidR="00F3751F" w:rsidRDefault="00C77840">
      <w:pPr>
        <w:pStyle w:val="Heading3"/>
      </w:pPr>
      <w:bookmarkStart w:id="41" w:name="_Toc235293149"/>
      <w:r>
        <w:t>3.3.1 Taxation Issues</w:t>
      </w:r>
      <w:bookmarkEnd w:id="41"/>
    </w:p>
    <w:p w14:paraId="637DD319" w14:textId="77777777" w:rsidR="00F3751F" w:rsidRDefault="00C77840">
      <w:r>
        <w:t>The expansion through the use acquisition process is also slightly riskier in case of Hyatt due to complex jurisdiction influence provision of income tax effectively. For instance, the net loss is also associated with inclusion higher tax provision about $130 million reflecting cross border tax obligation (Hyatt, 2026). Overall, this issue raises a higher risk factor for Hyatt in accompanying business through merger or acquisition process.</w:t>
      </w:r>
    </w:p>
    <w:p w14:paraId="637DD31A" w14:textId="77777777" w:rsidR="00F3751F" w:rsidRDefault="00C77840">
      <w:pPr>
        <w:pStyle w:val="Heading3"/>
      </w:pPr>
      <w:bookmarkStart w:id="42" w:name="_Toc235293150"/>
      <w:r>
        <w:t>3.3.2 Foreign Exchange Risk</w:t>
      </w:r>
      <w:bookmarkEnd w:id="42"/>
    </w:p>
    <w:p w14:paraId="637DD31B" w14:textId="77777777" w:rsidR="00F3751F" w:rsidRDefault="00C77840">
      <w:r>
        <w:t>The foreign exchange fluctuations also raise issues in managing the international business of Hyatt in more than 82 countries. In addition, the U.S. Dollar Index is highly volatile within range between 97 and 110 and also indicates risk of exposure in complying with the international market. Also, the risk of overseas earnings increased aligned with EUR/USD fluctuation from approximately 1.02 to 1.17 (Macrotrends, 2026).</w:t>
      </w:r>
    </w:p>
    <w:p w14:paraId="637DD31C" w14:textId="77777777" w:rsidR="00F3751F" w:rsidRDefault="00C77840">
      <w:pPr>
        <w:jc w:val="center"/>
      </w:pPr>
      <w:r>
        <w:rPr>
          <w:noProof/>
        </w:rPr>
        <w:drawing>
          <wp:inline distT="114300" distB="114300" distL="114300" distR="114300" wp14:anchorId="637DD5FC" wp14:editId="637DD5FD">
            <wp:extent cx="5186363" cy="3049621"/>
            <wp:effectExtent l="0" t="0" r="0" b="0"/>
            <wp:docPr id="34"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31"/>
                    <a:srcRect/>
                    <a:stretch>
                      <a:fillRect/>
                    </a:stretch>
                  </pic:blipFill>
                  <pic:spPr>
                    <a:xfrm>
                      <a:off x="0" y="0"/>
                      <a:ext cx="5186363" cy="3049621"/>
                    </a:xfrm>
                    <a:prstGeom prst="rect">
                      <a:avLst/>
                    </a:prstGeom>
                    <a:ln/>
                  </pic:spPr>
                </pic:pic>
              </a:graphicData>
            </a:graphic>
          </wp:inline>
        </w:drawing>
      </w:r>
    </w:p>
    <w:p w14:paraId="637DD31D" w14:textId="77777777" w:rsidR="00F3751F" w:rsidRDefault="00C77840">
      <w:pPr>
        <w:jc w:val="center"/>
        <w:rPr>
          <w:b/>
          <w:bCs/>
        </w:rPr>
      </w:pPr>
      <w:r>
        <w:rPr>
          <w:b/>
          <w:bCs/>
        </w:rPr>
        <w:t>Figure 16: Fluctuation of currency rate</w:t>
      </w:r>
    </w:p>
    <w:p w14:paraId="637DD31E" w14:textId="77777777" w:rsidR="00F3751F" w:rsidRDefault="00C77840">
      <w:pPr>
        <w:jc w:val="center"/>
      </w:pPr>
      <w:r>
        <w:t>(Source: Macrotrends, 2026)</w:t>
      </w:r>
    </w:p>
    <w:p w14:paraId="637DD31F" w14:textId="77777777" w:rsidR="00F3751F" w:rsidRDefault="00C77840">
      <w:pPr>
        <w:pStyle w:val="Heading3"/>
      </w:pPr>
      <w:bookmarkStart w:id="43" w:name="_Toc235293151"/>
      <w:r>
        <w:t>3.3.3 Inflation Risk</w:t>
      </w:r>
      <w:bookmarkEnd w:id="43"/>
    </w:p>
    <w:p w14:paraId="637DD320" w14:textId="46A8A76E" w:rsidR="00F3751F" w:rsidRDefault="00C77840">
      <w:r>
        <w:t xml:space="preserve">The rise of hotel operational expenses also makes inflation risk parameters for expansion of business through collaboration techniques. Thus, the CPI value of the US consistently rose from 3.5% year-on-year in 2026, which makes an inefficient dynamic pricing model for room rate tariff and assisted services (Cox, 2026). </w:t>
      </w:r>
      <w:r w:rsidR="00AC5E80">
        <w:t>Overall, this</w:t>
      </w:r>
      <w:r>
        <w:t xml:space="preserve"> expansion makes indicated capital raise with less revenue for short term expansion.</w:t>
      </w:r>
    </w:p>
    <w:p w14:paraId="637DD321" w14:textId="77777777" w:rsidR="00F3751F" w:rsidRDefault="00C77840">
      <w:pPr>
        <w:jc w:val="center"/>
      </w:pPr>
      <w:r>
        <w:rPr>
          <w:noProof/>
        </w:rPr>
        <w:drawing>
          <wp:inline distT="114300" distB="114300" distL="114300" distR="114300" wp14:anchorId="637DD5FE" wp14:editId="637DD5FF">
            <wp:extent cx="3748088" cy="4276664"/>
            <wp:effectExtent l="0" t="0" r="0" b="0"/>
            <wp:docPr id="24"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2"/>
                    <a:srcRect/>
                    <a:stretch>
                      <a:fillRect/>
                    </a:stretch>
                  </pic:blipFill>
                  <pic:spPr>
                    <a:xfrm>
                      <a:off x="0" y="0"/>
                      <a:ext cx="3748088" cy="4276664"/>
                    </a:xfrm>
                    <a:prstGeom prst="rect">
                      <a:avLst/>
                    </a:prstGeom>
                    <a:ln/>
                  </pic:spPr>
                </pic:pic>
              </a:graphicData>
            </a:graphic>
          </wp:inline>
        </w:drawing>
      </w:r>
    </w:p>
    <w:p w14:paraId="637DD322" w14:textId="77777777" w:rsidR="00F3751F" w:rsidRDefault="00C77840">
      <w:pPr>
        <w:jc w:val="center"/>
        <w:rPr>
          <w:b/>
          <w:bCs/>
        </w:rPr>
      </w:pPr>
      <w:r>
        <w:rPr>
          <w:b/>
          <w:bCs/>
        </w:rPr>
        <w:t>Figure 17: CPI inflation</w:t>
      </w:r>
    </w:p>
    <w:p w14:paraId="637DD323" w14:textId="77777777" w:rsidR="00F3751F" w:rsidRDefault="00C77840">
      <w:pPr>
        <w:jc w:val="center"/>
      </w:pPr>
      <w:r>
        <w:t xml:space="preserve">(Source: Cox, 2026) </w:t>
      </w:r>
    </w:p>
    <w:p w14:paraId="637DD324" w14:textId="77777777" w:rsidR="00F3751F" w:rsidRDefault="00C77840">
      <w:pPr>
        <w:pStyle w:val="Heading2"/>
      </w:pPr>
      <w:bookmarkStart w:id="44" w:name="_Toc235293152"/>
      <w:r>
        <w:t>3.4 Ethical Considerations</w:t>
      </w:r>
      <w:bookmarkEnd w:id="44"/>
    </w:p>
    <w:p w14:paraId="637DD325" w14:textId="77777777" w:rsidR="00F3751F" w:rsidRDefault="00C77840">
      <w:pPr>
        <w:pStyle w:val="Heading3"/>
      </w:pPr>
      <w:bookmarkStart w:id="45" w:name="_Toc235293153"/>
      <w:r>
        <w:t>3.4.1 Corporate Social Responsibility</w:t>
      </w:r>
      <w:bookmarkEnd w:id="45"/>
    </w:p>
    <w:p w14:paraId="637DD326" w14:textId="77777777" w:rsidR="00F3751F" w:rsidRDefault="00C77840">
      <w:r>
        <w:t xml:space="preserve">The inclusion of the acquisition process has provided opportunities for Hyatt in developing infrastructure for carrying out its CSR activities. Hyatt has developed initiatives such as “RiseHY” that has provided skill development and employment opportunities to underprivileged society members in 2025 (Hyatt Hotels, 2025). Hence, the provision of education programmes has assisted the organisation in increasing its social presence. </w:t>
      </w:r>
    </w:p>
    <w:p w14:paraId="637DD327" w14:textId="77777777" w:rsidR="00F3751F" w:rsidRDefault="00C77840">
      <w:pPr>
        <w:pStyle w:val="Heading3"/>
      </w:pPr>
      <w:bookmarkStart w:id="46" w:name="_Toc235293154"/>
      <w:r>
        <w:t>3.4.2 Environmental Sustainability</w:t>
      </w:r>
      <w:bookmarkEnd w:id="46"/>
    </w:p>
    <w:p w14:paraId="637DD328" w14:textId="77777777" w:rsidR="00F3751F" w:rsidRDefault="00C77840">
      <w:r>
        <w:t xml:space="preserve">Hyatt has reduced its waste volume to enhance its product quality and regulate its raw material consumption. The organisation has developed initiatives such as “Single-Use Plastic Phase-Out” for lowering the use of plastics in its work environments (Sow, 2025). Thus, the promotion of sustainability has improved the service popularity of Hyatt among customers. </w:t>
      </w:r>
    </w:p>
    <w:p w14:paraId="637DD329" w14:textId="77777777" w:rsidR="00F3751F" w:rsidRDefault="00C77840">
      <w:pPr>
        <w:pStyle w:val="Heading3"/>
      </w:pPr>
      <w:bookmarkStart w:id="47" w:name="_Toc235293155"/>
      <w:r>
        <w:t>3.4.3 ESG protocols</w:t>
      </w:r>
      <w:bookmarkEnd w:id="47"/>
      <w:r>
        <w:t xml:space="preserve"> </w:t>
      </w:r>
      <w:r>
        <w:tab/>
      </w:r>
    </w:p>
    <w:p w14:paraId="637DD32A" w14:textId="77777777" w:rsidR="00F3751F" w:rsidRDefault="00C77840">
      <w:r>
        <w:t>The inclusion of the divestiture strategy has provided opportunities to Hyatt to strengthen its corporate structure. For instance, the company has provided 12000 job opportunities to skilled youth individuals for its supply chain and front desk activities from 2018-2025 (Hyatt Hotels, 2026). Thus, the inclusion of the recruitment strategy has increased the workforce volume of the company.</w:t>
      </w:r>
      <w:r>
        <w:br w:type="page"/>
      </w:r>
    </w:p>
    <w:p w14:paraId="637DD32B" w14:textId="77777777" w:rsidR="00F3751F" w:rsidRDefault="00C77840">
      <w:pPr>
        <w:pStyle w:val="Heading1"/>
      </w:pPr>
      <w:bookmarkStart w:id="48" w:name="_Toc235293156"/>
      <w:r>
        <w:t>4. Investment Appraisal and Capital Budgeting</w:t>
      </w:r>
      <w:bookmarkEnd w:id="48"/>
      <w:r>
        <w:tab/>
        <w:t xml:space="preserve"> </w:t>
      </w:r>
    </w:p>
    <w:p w14:paraId="637DD32C" w14:textId="77777777" w:rsidR="00F3751F" w:rsidRDefault="00C77840">
      <w:pPr>
        <w:pStyle w:val="Heading2"/>
      </w:pPr>
      <w:bookmarkStart w:id="49" w:name="_Toc235293157"/>
      <w:r>
        <w:t>4.1 Highlight project details</w:t>
      </w:r>
      <w:bookmarkEnd w:id="49"/>
      <w:r>
        <w:t xml:space="preserve"> </w:t>
      </w:r>
    </w:p>
    <w:p w14:paraId="637DD32D" w14:textId="4F2C097E" w:rsidR="00F3751F" w:rsidRDefault="00C77840">
      <w:r>
        <w:t>As per the requirements of the report, Hyatt will focus on expanding its financial resources for manufacturing new services and meeting the changing levels of consumer preferences. The company will utilise investment appraisal tools such as “NPV, ARR, IRR , PBP and PI” for assessing the income of three business projects. In addition, the funding value of the business plans have also been around £50m in 5 years.</w:t>
      </w:r>
      <w:r w:rsidR="00AC5E80">
        <w:t xml:space="preserve"> </w:t>
      </w:r>
      <w:r>
        <w:t>According to Chrysafis and Papadopoulos (2020), the inclusion of the investment methods has strengthened the decision-making activities of the organisation through the illustration of the revenue associated with the project. In addition, the techniques also assist organisations in attracting investments in carrying out the investment activities within its business operations. Overall, the acquisition of proper knowledge regarding the financial utility of the projects will help Hyatt in strengthening its operational stability.</w:t>
      </w:r>
    </w:p>
    <w:p w14:paraId="637DD32E" w14:textId="77777777" w:rsidR="00F3751F" w:rsidRDefault="00C77840">
      <w:pPr>
        <w:pStyle w:val="Heading2"/>
      </w:pPr>
      <w:bookmarkStart w:id="50" w:name="_Toc235293158"/>
      <w:r>
        <w:t>4.2 Investment Appraisal</w:t>
      </w:r>
      <w:bookmarkEnd w:id="50"/>
      <w:r>
        <w:t xml:space="preserve"> </w:t>
      </w:r>
    </w:p>
    <w:p w14:paraId="637DD32F" w14:textId="77777777" w:rsidR="00F3751F" w:rsidRDefault="00C77840">
      <w:pPr>
        <w:pStyle w:val="Heading3"/>
      </w:pPr>
      <w:bookmarkStart w:id="51" w:name="_Toc235293159"/>
      <w:r>
        <w:t>4.2.1 Project A</w:t>
      </w:r>
      <w:bookmarkEnd w:id="51"/>
    </w:p>
    <w:p w14:paraId="637DD330" w14:textId="77777777" w:rsidR="00F3751F" w:rsidRDefault="00C77840">
      <w:r>
        <w:rPr>
          <w:noProof/>
        </w:rPr>
        <w:drawing>
          <wp:inline distT="114300" distB="114300" distL="114300" distR="114300" wp14:anchorId="637DD600" wp14:editId="637DD601">
            <wp:extent cx="5762625" cy="1847850"/>
            <wp:effectExtent l="0" t="0" r="0" b="0"/>
            <wp:docPr id="35"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33"/>
                    <a:srcRect/>
                    <a:stretch>
                      <a:fillRect/>
                    </a:stretch>
                  </pic:blipFill>
                  <pic:spPr>
                    <a:xfrm>
                      <a:off x="0" y="0"/>
                      <a:ext cx="5762625" cy="1847850"/>
                    </a:xfrm>
                    <a:prstGeom prst="rect">
                      <a:avLst/>
                    </a:prstGeom>
                    <a:ln/>
                  </pic:spPr>
                </pic:pic>
              </a:graphicData>
            </a:graphic>
          </wp:inline>
        </w:drawing>
      </w:r>
    </w:p>
    <w:p w14:paraId="637DD331" w14:textId="77777777" w:rsidR="00F3751F" w:rsidRDefault="00C77840">
      <w:pPr>
        <w:jc w:val="center"/>
        <w:rPr>
          <w:b/>
          <w:bCs/>
        </w:rPr>
      </w:pPr>
      <w:r>
        <w:rPr>
          <w:b/>
          <w:bCs/>
        </w:rPr>
        <w:t>Figure 18: NPV</w:t>
      </w:r>
    </w:p>
    <w:p w14:paraId="637DD332" w14:textId="77777777" w:rsidR="00F3751F" w:rsidRDefault="00C77840">
      <w:pPr>
        <w:jc w:val="center"/>
      </w:pPr>
      <w:r>
        <w:t>(Source: Self-developed)</w:t>
      </w:r>
    </w:p>
    <w:p w14:paraId="637DD333" w14:textId="77777777" w:rsidR="00F3751F" w:rsidRDefault="00C77840">
      <w:r>
        <w:t>The NPV analysis is most significant for illustrating future cashflow potential associated with a project for ensuring maximum return with adhering risk (Shou, 2022). Thus, project A investment of Hyatt also be made against initial invested capital £50 million that generate undiscounted cash value £54 million. Focus on 8% discounting rate for this project assured future cash flow value £43.46 million indicates negative NPV value £6.54 million.</w:t>
      </w:r>
    </w:p>
    <w:p w14:paraId="637DD334" w14:textId="77777777" w:rsidR="00F3751F" w:rsidRDefault="00C77840">
      <w:r>
        <w:rPr>
          <w:noProof/>
        </w:rPr>
        <w:drawing>
          <wp:inline distT="114300" distB="114300" distL="114300" distR="114300" wp14:anchorId="637DD602" wp14:editId="637DD603">
            <wp:extent cx="5791200" cy="2409825"/>
            <wp:effectExtent l="0" t="0" r="0" b="0"/>
            <wp:docPr id="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4"/>
                    <a:srcRect/>
                    <a:stretch>
                      <a:fillRect/>
                    </a:stretch>
                  </pic:blipFill>
                  <pic:spPr>
                    <a:xfrm>
                      <a:off x="0" y="0"/>
                      <a:ext cx="5791200" cy="2409825"/>
                    </a:xfrm>
                    <a:prstGeom prst="rect">
                      <a:avLst/>
                    </a:prstGeom>
                    <a:ln/>
                  </pic:spPr>
                </pic:pic>
              </a:graphicData>
            </a:graphic>
          </wp:inline>
        </w:drawing>
      </w:r>
    </w:p>
    <w:p w14:paraId="637DD335" w14:textId="77777777" w:rsidR="00F3751F" w:rsidRDefault="00C77840">
      <w:pPr>
        <w:jc w:val="center"/>
        <w:rPr>
          <w:b/>
          <w:bCs/>
        </w:rPr>
      </w:pPr>
      <w:r>
        <w:rPr>
          <w:b/>
          <w:bCs/>
        </w:rPr>
        <w:t>Figure 19: PBP</w:t>
      </w:r>
    </w:p>
    <w:p w14:paraId="637DD336" w14:textId="77777777" w:rsidR="00F3751F" w:rsidRDefault="00C77840">
      <w:pPr>
        <w:jc w:val="center"/>
      </w:pPr>
      <w:r>
        <w:t>(Source: Self-developed)</w:t>
      </w:r>
    </w:p>
    <w:p w14:paraId="637DD337" w14:textId="77777777" w:rsidR="00F3751F" w:rsidRDefault="00C77840">
      <w:r>
        <w:t>The PBP analysis is most crucial for investors to rectifying of generating initial investment recovery time period to get maximum return (Kagan, 2026). In this case PBP also be 4.50 years ensure longer as it same invested capital of project A make higher risk factor for Hyatt.</w:t>
      </w:r>
    </w:p>
    <w:p w14:paraId="637DD338" w14:textId="77777777" w:rsidR="00F3751F" w:rsidRDefault="00C77840">
      <w:r>
        <w:rPr>
          <w:noProof/>
        </w:rPr>
        <w:drawing>
          <wp:inline distT="114300" distB="114300" distL="114300" distR="114300" wp14:anchorId="637DD604" wp14:editId="637DD605">
            <wp:extent cx="5772150" cy="1428750"/>
            <wp:effectExtent l="0" t="0" r="0" b="0"/>
            <wp:docPr id="33"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35"/>
                    <a:srcRect/>
                    <a:stretch>
                      <a:fillRect/>
                    </a:stretch>
                  </pic:blipFill>
                  <pic:spPr>
                    <a:xfrm>
                      <a:off x="0" y="0"/>
                      <a:ext cx="5772150" cy="1428750"/>
                    </a:xfrm>
                    <a:prstGeom prst="rect">
                      <a:avLst/>
                    </a:prstGeom>
                    <a:ln/>
                  </pic:spPr>
                </pic:pic>
              </a:graphicData>
            </a:graphic>
          </wp:inline>
        </w:drawing>
      </w:r>
    </w:p>
    <w:p w14:paraId="637DD339" w14:textId="77777777" w:rsidR="00F3751F" w:rsidRDefault="00C77840">
      <w:pPr>
        <w:jc w:val="center"/>
        <w:rPr>
          <w:b/>
          <w:bCs/>
        </w:rPr>
      </w:pPr>
      <w:r>
        <w:rPr>
          <w:b/>
          <w:bCs/>
        </w:rPr>
        <w:t>Figure 20: ARR</w:t>
      </w:r>
    </w:p>
    <w:p w14:paraId="637DD33A" w14:textId="77777777" w:rsidR="00F3751F" w:rsidRDefault="00C77840">
      <w:pPr>
        <w:jc w:val="center"/>
      </w:pPr>
      <w:r>
        <w:t>(Source: Self-developed)</w:t>
      </w:r>
    </w:p>
    <w:p w14:paraId="637DD33B" w14:textId="77777777" w:rsidR="00F3751F" w:rsidRDefault="00C77840">
      <w:r>
        <w:t xml:space="preserve">The cash inflow associated with project A of about £54 million within total five years indicated generating average accounting profitability value £4 million. Hence, “average annual profit” for project A in five years also generates £0.8 million. Overall, ARR value of 3.2% indicated lower investor return capability of the project for investor capital raise of Hyatt. </w:t>
      </w:r>
    </w:p>
    <w:p w14:paraId="637DD33C" w14:textId="77777777" w:rsidR="00F3751F" w:rsidRDefault="00C77840">
      <w:r>
        <w:rPr>
          <w:noProof/>
        </w:rPr>
        <w:drawing>
          <wp:inline distT="114300" distB="114300" distL="114300" distR="114300" wp14:anchorId="637DD606" wp14:editId="637DD607">
            <wp:extent cx="5800725" cy="4171950"/>
            <wp:effectExtent l="0" t="0" r="0" b="0"/>
            <wp:docPr id="23"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36"/>
                    <a:srcRect/>
                    <a:stretch>
                      <a:fillRect/>
                    </a:stretch>
                  </pic:blipFill>
                  <pic:spPr>
                    <a:xfrm>
                      <a:off x="0" y="0"/>
                      <a:ext cx="5800725" cy="4171950"/>
                    </a:xfrm>
                    <a:prstGeom prst="rect">
                      <a:avLst/>
                    </a:prstGeom>
                    <a:ln/>
                  </pic:spPr>
                </pic:pic>
              </a:graphicData>
            </a:graphic>
          </wp:inline>
        </w:drawing>
      </w:r>
    </w:p>
    <w:p w14:paraId="637DD33D" w14:textId="77777777" w:rsidR="00F3751F" w:rsidRDefault="00C77840">
      <w:pPr>
        <w:jc w:val="center"/>
        <w:rPr>
          <w:b/>
          <w:bCs/>
        </w:rPr>
      </w:pPr>
      <w:r>
        <w:rPr>
          <w:b/>
          <w:bCs/>
        </w:rPr>
        <w:t xml:space="preserve">Figure 21: IRR </w:t>
      </w:r>
    </w:p>
    <w:p w14:paraId="637DD33E" w14:textId="77777777" w:rsidR="00F3751F" w:rsidRDefault="00C77840">
      <w:pPr>
        <w:jc w:val="center"/>
      </w:pPr>
      <w:r>
        <w:t>(Source: Self-developed)</w:t>
      </w:r>
    </w:p>
    <w:p w14:paraId="637DD33F" w14:textId="0634BF21" w:rsidR="00F3751F" w:rsidRDefault="00C77840">
      <w:r>
        <w:t xml:space="preserve">The use of interpolation technique is the most useful inclusion discount rate for </w:t>
      </w:r>
      <w:r w:rsidR="00AC5E80">
        <w:t>analyses</w:t>
      </w:r>
      <w:r>
        <w:t xml:space="preserve"> maximised value of invested projects. Hence, for project A assume discount rate 0% and 8% are most viable that make NPV value about £4.00 million and -£6.54 million respectively. Thus, a lower value of 8% discounting rate makes it unsuitable for investors for long term investment in the project.</w:t>
      </w:r>
    </w:p>
    <w:p w14:paraId="637DD340" w14:textId="77777777" w:rsidR="00F3751F" w:rsidRDefault="00C77840">
      <w:r>
        <w:rPr>
          <w:noProof/>
        </w:rPr>
        <w:drawing>
          <wp:inline distT="114300" distB="114300" distL="114300" distR="114300" wp14:anchorId="637DD608" wp14:editId="637DD609">
            <wp:extent cx="5772150" cy="2657475"/>
            <wp:effectExtent l="0" t="0" r="0" b="0"/>
            <wp:docPr id="30"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37"/>
                    <a:srcRect/>
                    <a:stretch>
                      <a:fillRect/>
                    </a:stretch>
                  </pic:blipFill>
                  <pic:spPr>
                    <a:xfrm>
                      <a:off x="0" y="0"/>
                      <a:ext cx="5772150" cy="2657475"/>
                    </a:xfrm>
                    <a:prstGeom prst="rect">
                      <a:avLst/>
                    </a:prstGeom>
                    <a:ln/>
                  </pic:spPr>
                </pic:pic>
              </a:graphicData>
            </a:graphic>
          </wp:inline>
        </w:drawing>
      </w:r>
    </w:p>
    <w:p w14:paraId="637DD341" w14:textId="77777777" w:rsidR="00F3751F" w:rsidRDefault="00C77840">
      <w:pPr>
        <w:jc w:val="center"/>
        <w:rPr>
          <w:b/>
          <w:bCs/>
        </w:rPr>
      </w:pPr>
      <w:r>
        <w:rPr>
          <w:b/>
          <w:bCs/>
        </w:rPr>
        <w:t>Figure 22: PI</w:t>
      </w:r>
      <w:r>
        <w:rPr>
          <w:b/>
          <w:bCs/>
        </w:rPr>
        <w:tab/>
      </w:r>
    </w:p>
    <w:p w14:paraId="637DD342" w14:textId="77777777" w:rsidR="00F3751F" w:rsidRDefault="00C77840">
      <w:pPr>
        <w:jc w:val="center"/>
      </w:pPr>
      <w:r>
        <w:t>(Source: Self-developed)</w:t>
      </w:r>
    </w:p>
    <w:p w14:paraId="637DD343" w14:textId="77777777" w:rsidR="00F3751F" w:rsidRDefault="00C77840">
      <w:r>
        <w:t>The proposed project A PI value of 0.87 indicated a lower benchmark against 1 assured higher risk for project investment. An initial investment of £1 also generated £0.87 that reduced the actual invested value of shareholders.</w:t>
      </w:r>
    </w:p>
    <w:p w14:paraId="637DD344" w14:textId="77777777" w:rsidR="00F3751F" w:rsidRDefault="00C77840">
      <w:pPr>
        <w:pStyle w:val="Heading3"/>
      </w:pPr>
      <w:bookmarkStart w:id="52" w:name="_Toc235293160"/>
      <w:r>
        <w:t>4.2.2 Project B</w:t>
      </w:r>
      <w:bookmarkEnd w:id="52"/>
    </w:p>
    <w:p w14:paraId="637DD345" w14:textId="77777777" w:rsidR="00F3751F" w:rsidRDefault="00C77840">
      <w:r>
        <w:rPr>
          <w:noProof/>
        </w:rPr>
        <w:drawing>
          <wp:inline distT="114300" distB="114300" distL="114300" distR="114300" wp14:anchorId="637DD60A" wp14:editId="637DD60B">
            <wp:extent cx="5791200" cy="1819275"/>
            <wp:effectExtent l="0" t="0" r="0" b="0"/>
            <wp:docPr id="44" name="image45.png"/>
            <wp:cNvGraphicFramePr/>
            <a:graphic xmlns:a="http://schemas.openxmlformats.org/drawingml/2006/main">
              <a:graphicData uri="http://schemas.openxmlformats.org/drawingml/2006/picture">
                <pic:pic xmlns:pic="http://schemas.openxmlformats.org/drawingml/2006/picture">
                  <pic:nvPicPr>
                    <pic:cNvPr id="0" name="image45.png"/>
                    <pic:cNvPicPr preferRelativeResize="0"/>
                  </pic:nvPicPr>
                  <pic:blipFill>
                    <a:blip r:embed="rId38"/>
                    <a:srcRect/>
                    <a:stretch>
                      <a:fillRect/>
                    </a:stretch>
                  </pic:blipFill>
                  <pic:spPr>
                    <a:xfrm>
                      <a:off x="0" y="0"/>
                      <a:ext cx="5791200" cy="1819275"/>
                    </a:xfrm>
                    <a:prstGeom prst="rect">
                      <a:avLst/>
                    </a:prstGeom>
                    <a:ln/>
                  </pic:spPr>
                </pic:pic>
              </a:graphicData>
            </a:graphic>
          </wp:inline>
        </w:drawing>
      </w:r>
    </w:p>
    <w:p w14:paraId="637DD346" w14:textId="77777777" w:rsidR="00F3751F" w:rsidRDefault="00C77840">
      <w:pPr>
        <w:jc w:val="center"/>
        <w:rPr>
          <w:b/>
          <w:bCs/>
        </w:rPr>
      </w:pPr>
      <w:r>
        <w:rPr>
          <w:b/>
          <w:bCs/>
        </w:rPr>
        <w:t>Figure 23: NPV</w:t>
      </w:r>
    </w:p>
    <w:p w14:paraId="637DD347" w14:textId="77777777" w:rsidR="00F3751F" w:rsidRDefault="00C77840">
      <w:pPr>
        <w:jc w:val="center"/>
      </w:pPr>
      <w:r>
        <w:t>(Source: Self-Developed)</w:t>
      </w:r>
    </w:p>
    <w:p w14:paraId="637DD348" w14:textId="77777777" w:rsidR="00F3751F" w:rsidRDefault="00C77840">
      <w:r>
        <w:t xml:space="preserve">NPV addresses the projected earnings to enhance cash flow of business by highlighting its profitability (Shou, 2022). The total cash inflow is £55m with its present value about £43.93m having its positive impact depending on cash outflow. The Present value is about £-6.07m indicates reliable investment in the project by ability to improve loss. </w:t>
      </w:r>
    </w:p>
    <w:p w14:paraId="637DD349" w14:textId="77777777" w:rsidR="00F3751F" w:rsidRDefault="00C77840">
      <w:r>
        <w:rPr>
          <w:noProof/>
        </w:rPr>
        <w:drawing>
          <wp:inline distT="114300" distB="114300" distL="114300" distR="114300" wp14:anchorId="637DD60C" wp14:editId="637DD60D">
            <wp:extent cx="5791200" cy="2428875"/>
            <wp:effectExtent l="0" t="0" r="0" b="0"/>
            <wp:docPr id="1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9"/>
                    <a:srcRect/>
                    <a:stretch>
                      <a:fillRect/>
                    </a:stretch>
                  </pic:blipFill>
                  <pic:spPr>
                    <a:xfrm>
                      <a:off x="0" y="0"/>
                      <a:ext cx="5791200" cy="2428875"/>
                    </a:xfrm>
                    <a:prstGeom prst="rect">
                      <a:avLst/>
                    </a:prstGeom>
                    <a:ln/>
                  </pic:spPr>
                </pic:pic>
              </a:graphicData>
            </a:graphic>
          </wp:inline>
        </w:drawing>
      </w:r>
    </w:p>
    <w:p w14:paraId="637DD34A" w14:textId="77777777" w:rsidR="00F3751F" w:rsidRDefault="00C77840">
      <w:pPr>
        <w:jc w:val="center"/>
        <w:rPr>
          <w:b/>
          <w:bCs/>
        </w:rPr>
      </w:pPr>
      <w:r>
        <w:rPr>
          <w:b/>
          <w:bCs/>
        </w:rPr>
        <w:t>Figure 24: Payback Period</w:t>
      </w:r>
    </w:p>
    <w:p w14:paraId="637DD34B" w14:textId="77777777" w:rsidR="00F3751F" w:rsidRDefault="00C77840">
      <w:pPr>
        <w:jc w:val="center"/>
      </w:pPr>
      <w:r>
        <w:t>(Source: Self-Developed)</w:t>
      </w:r>
    </w:p>
    <w:p w14:paraId="637DD34C" w14:textId="77777777" w:rsidR="00F3751F" w:rsidRDefault="00C77840">
      <w:r>
        <w:t xml:space="preserve">The payback period applied by the investors to access risk which leads to increased overall liquidity of business (Sokolov, 2026). Project B has its payback period about 4.55 years addressed through initial investment in generation of cash flow. The uncovered payback period is about £6.00m with its cash flow in Year 5 about £11.00m. The uncovered payback period affects net profit and cash flow of business which slows down investment capacity. </w:t>
      </w:r>
    </w:p>
    <w:p w14:paraId="637DD34D" w14:textId="77777777" w:rsidR="00F3751F" w:rsidRDefault="00C77840">
      <w:r>
        <w:rPr>
          <w:noProof/>
        </w:rPr>
        <w:drawing>
          <wp:inline distT="114300" distB="114300" distL="114300" distR="114300" wp14:anchorId="637DD60E" wp14:editId="637DD60F">
            <wp:extent cx="5791200" cy="1447800"/>
            <wp:effectExtent l="0" t="0" r="0" b="0"/>
            <wp:docPr id="26"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40"/>
                    <a:srcRect/>
                    <a:stretch>
                      <a:fillRect/>
                    </a:stretch>
                  </pic:blipFill>
                  <pic:spPr>
                    <a:xfrm>
                      <a:off x="0" y="0"/>
                      <a:ext cx="5791200" cy="1447800"/>
                    </a:xfrm>
                    <a:prstGeom prst="rect">
                      <a:avLst/>
                    </a:prstGeom>
                    <a:ln/>
                  </pic:spPr>
                </pic:pic>
              </a:graphicData>
            </a:graphic>
          </wp:inline>
        </w:drawing>
      </w:r>
    </w:p>
    <w:p w14:paraId="637DD34E" w14:textId="77777777" w:rsidR="00F3751F" w:rsidRDefault="00C77840">
      <w:pPr>
        <w:jc w:val="center"/>
        <w:rPr>
          <w:b/>
          <w:bCs/>
        </w:rPr>
      </w:pPr>
      <w:r>
        <w:rPr>
          <w:b/>
          <w:bCs/>
        </w:rPr>
        <w:t>Figure 25: ARR</w:t>
      </w:r>
    </w:p>
    <w:p w14:paraId="637DD34F" w14:textId="77777777" w:rsidR="00F3751F" w:rsidRDefault="00C77840">
      <w:pPr>
        <w:jc w:val="center"/>
      </w:pPr>
      <w:r>
        <w:t>(Source: Self-Developed)</w:t>
      </w:r>
    </w:p>
    <w:p w14:paraId="637DD350" w14:textId="77777777" w:rsidR="00F3751F" w:rsidRDefault="00C77840">
      <w:r>
        <w:t xml:space="preserve">The “Average Rate of Return" highlights profitability of projects through initial investment by filing to manage cash flow (Magni and Marchioni, 2020). Project B Have its total cash flow about £55m with its total depreciation about £50m address based on accessing accounting profit about 5%. Project B has its ARR rate about 4% which is low highlight reliable stagnation hamper profit in market. </w:t>
      </w:r>
    </w:p>
    <w:p w14:paraId="637DD351" w14:textId="77777777" w:rsidR="00F3751F" w:rsidRDefault="00C77840">
      <w:r>
        <w:rPr>
          <w:noProof/>
        </w:rPr>
        <w:drawing>
          <wp:inline distT="114300" distB="114300" distL="114300" distR="114300" wp14:anchorId="637DD610" wp14:editId="637DD611">
            <wp:extent cx="5800725" cy="4152900"/>
            <wp:effectExtent l="0" t="0" r="0" b="0"/>
            <wp:docPr id="27"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41"/>
                    <a:srcRect/>
                    <a:stretch>
                      <a:fillRect/>
                    </a:stretch>
                  </pic:blipFill>
                  <pic:spPr>
                    <a:xfrm>
                      <a:off x="0" y="0"/>
                      <a:ext cx="5800725" cy="4152900"/>
                    </a:xfrm>
                    <a:prstGeom prst="rect">
                      <a:avLst/>
                    </a:prstGeom>
                    <a:ln/>
                  </pic:spPr>
                </pic:pic>
              </a:graphicData>
            </a:graphic>
          </wp:inline>
        </w:drawing>
      </w:r>
    </w:p>
    <w:p w14:paraId="637DD352" w14:textId="77777777" w:rsidR="00F3751F" w:rsidRDefault="00C77840">
      <w:pPr>
        <w:jc w:val="center"/>
        <w:rPr>
          <w:b/>
          <w:bCs/>
        </w:rPr>
      </w:pPr>
      <w:r>
        <w:rPr>
          <w:b/>
          <w:bCs/>
        </w:rPr>
        <w:t>Figure 26:IRR</w:t>
      </w:r>
    </w:p>
    <w:p w14:paraId="637DD353" w14:textId="77777777" w:rsidR="00F3751F" w:rsidRDefault="00C77840">
      <w:pPr>
        <w:jc w:val="center"/>
      </w:pPr>
      <w:r>
        <w:t>(Source: Self-Developed)</w:t>
      </w:r>
    </w:p>
    <w:p w14:paraId="637DD354" w14:textId="77777777" w:rsidR="00F3751F" w:rsidRDefault="00C77840">
      <w:r>
        <w:t xml:space="preserve">IRR denotes the profitability of the business by highlighting investment opportunities in business (Magni, 2021). The total PV with its discount rate 0% is 55 and the discounting factor 8% is about 43.93. Thus, Project B has its IRR rate of about 3.61% through reliable generation of cash flow. </w:t>
      </w:r>
    </w:p>
    <w:p w14:paraId="637DD355" w14:textId="77777777" w:rsidR="00F3751F" w:rsidRDefault="00C77840">
      <w:r>
        <w:rPr>
          <w:noProof/>
        </w:rPr>
        <w:drawing>
          <wp:inline distT="114300" distB="114300" distL="114300" distR="114300" wp14:anchorId="637DD612" wp14:editId="637DD613">
            <wp:extent cx="5791200" cy="2667000"/>
            <wp:effectExtent l="0" t="0" r="0" b="0"/>
            <wp:docPr id="41"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42"/>
                    <a:srcRect/>
                    <a:stretch>
                      <a:fillRect/>
                    </a:stretch>
                  </pic:blipFill>
                  <pic:spPr>
                    <a:xfrm>
                      <a:off x="0" y="0"/>
                      <a:ext cx="5791200" cy="2667000"/>
                    </a:xfrm>
                    <a:prstGeom prst="rect">
                      <a:avLst/>
                    </a:prstGeom>
                    <a:ln/>
                  </pic:spPr>
                </pic:pic>
              </a:graphicData>
            </a:graphic>
          </wp:inline>
        </w:drawing>
      </w:r>
    </w:p>
    <w:p w14:paraId="637DD356" w14:textId="77777777" w:rsidR="00F3751F" w:rsidRDefault="00C77840">
      <w:pPr>
        <w:jc w:val="center"/>
        <w:rPr>
          <w:b/>
          <w:bCs/>
        </w:rPr>
      </w:pPr>
      <w:r>
        <w:rPr>
          <w:b/>
          <w:bCs/>
        </w:rPr>
        <w:t>Figure 27: PI</w:t>
      </w:r>
    </w:p>
    <w:p w14:paraId="637DD357" w14:textId="77777777" w:rsidR="00F3751F" w:rsidRDefault="00C77840">
      <w:pPr>
        <w:jc w:val="center"/>
      </w:pPr>
      <w:r>
        <w:t>(Source: Self-Developed)</w:t>
      </w:r>
    </w:p>
    <w:p w14:paraId="637DD358" w14:textId="77777777" w:rsidR="00F3751F" w:rsidRDefault="00C77840">
      <w:r>
        <w:t xml:space="preserve">The Profitability Index encounters project viability through investment decisions by improving capital rationing (Alrikabi, 2022). The present capital inflow is about £43.93m with its discounting factor 8% and profitability index is about 0.88%. This leads to negative present value due to capital misallocation. </w:t>
      </w:r>
    </w:p>
    <w:p w14:paraId="637DD359" w14:textId="77777777" w:rsidR="00F3751F" w:rsidRDefault="00C77840">
      <w:pPr>
        <w:pStyle w:val="Heading3"/>
      </w:pPr>
      <w:bookmarkStart w:id="53" w:name="_Toc235293161"/>
      <w:r>
        <w:t>4.2.3 Project C</w:t>
      </w:r>
      <w:bookmarkEnd w:id="53"/>
    </w:p>
    <w:p w14:paraId="637DD35A" w14:textId="77777777" w:rsidR="00F3751F" w:rsidRDefault="00C77840">
      <w:r>
        <w:rPr>
          <w:noProof/>
        </w:rPr>
        <w:drawing>
          <wp:inline distT="114300" distB="114300" distL="114300" distR="114300" wp14:anchorId="637DD614" wp14:editId="637DD615">
            <wp:extent cx="5791200" cy="1819275"/>
            <wp:effectExtent l="0" t="0" r="0" b="0"/>
            <wp:docPr id="8"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43"/>
                    <a:srcRect/>
                    <a:stretch>
                      <a:fillRect/>
                    </a:stretch>
                  </pic:blipFill>
                  <pic:spPr>
                    <a:xfrm>
                      <a:off x="0" y="0"/>
                      <a:ext cx="5791200" cy="1819275"/>
                    </a:xfrm>
                    <a:prstGeom prst="rect">
                      <a:avLst/>
                    </a:prstGeom>
                    <a:ln/>
                  </pic:spPr>
                </pic:pic>
              </a:graphicData>
            </a:graphic>
          </wp:inline>
        </w:drawing>
      </w:r>
    </w:p>
    <w:p w14:paraId="637DD35B" w14:textId="77777777" w:rsidR="00F3751F" w:rsidRDefault="00C77840">
      <w:pPr>
        <w:jc w:val="center"/>
        <w:rPr>
          <w:b/>
          <w:bCs/>
        </w:rPr>
      </w:pPr>
      <w:r>
        <w:rPr>
          <w:b/>
          <w:bCs/>
        </w:rPr>
        <w:t>Figure 28: NPV</w:t>
      </w:r>
    </w:p>
    <w:p w14:paraId="637DD35C" w14:textId="77777777" w:rsidR="00F3751F" w:rsidRDefault="00C77840">
      <w:pPr>
        <w:jc w:val="center"/>
      </w:pPr>
      <w:r>
        <w:t>(Source: Self-Developed)</w:t>
      </w:r>
    </w:p>
    <w:p w14:paraId="637DD35D" w14:textId="77777777" w:rsidR="00F3751F" w:rsidRDefault="00C77840">
      <w:r>
        <w:t>In Project C, the NPV has achieved a positive trend and has been valued at £0.87m in year 5. The improvement in the project income will help in improving its preference level among organisations such as Hyatt for carrying out large-scale investment activities.</w:t>
      </w:r>
    </w:p>
    <w:p w14:paraId="637DD35E" w14:textId="77777777" w:rsidR="00F3751F" w:rsidRDefault="00C77840">
      <w:r>
        <w:rPr>
          <w:noProof/>
        </w:rPr>
        <w:drawing>
          <wp:inline distT="114300" distB="114300" distL="114300" distR="114300" wp14:anchorId="637DD616" wp14:editId="637DD617">
            <wp:extent cx="5791200" cy="2257425"/>
            <wp:effectExtent l="0" t="0" r="0" b="0"/>
            <wp:docPr id="1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44"/>
                    <a:srcRect/>
                    <a:stretch>
                      <a:fillRect/>
                    </a:stretch>
                  </pic:blipFill>
                  <pic:spPr>
                    <a:xfrm>
                      <a:off x="0" y="0"/>
                      <a:ext cx="5791200" cy="2257425"/>
                    </a:xfrm>
                    <a:prstGeom prst="rect">
                      <a:avLst/>
                    </a:prstGeom>
                    <a:ln/>
                  </pic:spPr>
                </pic:pic>
              </a:graphicData>
            </a:graphic>
          </wp:inline>
        </w:drawing>
      </w:r>
    </w:p>
    <w:p w14:paraId="637DD35F" w14:textId="77777777" w:rsidR="00F3751F" w:rsidRDefault="00C77840">
      <w:pPr>
        <w:jc w:val="center"/>
        <w:rPr>
          <w:b/>
          <w:bCs/>
        </w:rPr>
      </w:pPr>
      <w:r>
        <w:rPr>
          <w:b/>
          <w:bCs/>
        </w:rPr>
        <w:t>Figure 29: PBP</w:t>
      </w:r>
    </w:p>
    <w:p w14:paraId="637DD360" w14:textId="77777777" w:rsidR="00F3751F" w:rsidRDefault="00C77840">
      <w:pPr>
        <w:jc w:val="center"/>
      </w:pPr>
      <w:r>
        <w:t>(Source: Self-Developed)</w:t>
      </w:r>
    </w:p>
    <w:p w14:paraId="637DD361" w14:textId="77777777" w:rsidR="00F3751F" w:rsidRDefault="00C77840">
      <w:r>
        <w:t>The PBP value of the business plan is 3.60 years that has been lower to the industrial standard of 4 years. In addition, the cumulative cash flow value of the business plan has also increased to £10m in year 5. Thus, the lowering of the PBP has improved the acceptance level of the project among organisations.</w:t>
      </w:r>
    </w:p>
    <w:p w14:paraId="637DD362" w14:textId="77777777" w:rsidR="00F3751F" w:rsidRDefault="00C77840">
      <w:r>
        <w:rPr>
          <w:noProof/>
        </w:rPr>
        <w:drawing>
          <wp:inline distT="114300" distB="114300" distL="114300" distR="114300" wp14:anchorId="637DD618" wp14:editId="637DD619">
            <wp:extent cx="5810250" cy="1419225"/>
            <wp:effectExtent l="0" t="0" r="0" b="0"/>
            <wp:docPr id="11"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45"/>
                    <a:srcRect/>
                    <a:stretch>
                      <a:fillRect/>
                    </a:stretch>
                  </pic:blipFill>
                  <pic:spPr>
                    <a:xfrm>
                      <a:off x="0" y="0"/>
                      <a:ext cx="5810250" cy="1419225"/>
                    </a:xfrm>
                    <a:prstGeom prst="rect">
                      <a:avLst/>
                    </a:prstGeom>
                    <a:ln/>
                  </pic:spPr>
                </pic:pic>
              </a:graphicData>
            </a:graphic>
          </wp:inline>
        </w:drawing>
      </w:r>
    </w:p>
    <w:p w14:paraId="637DD363" w14:textId="77777777" w:rsidR="00F3751F" w:rsidRDefault="00C77840">
      <w:pPr>
        <w:jc w:val="center"/>
        <w:rPr>
          <w:b/>
          <w:bCs/>
        </w:rPr>
      </w:pPr>
      <w:r>
        <w:rPr>
          <w:b/>
          <w:bCs/>
        </w:rPr>
        <w:t>Figure 30: ARR</w:t>
      </w:r>
    </w:p>
    <w:p w14:paraId="637DD364" w14:textId="77777777" w:rsidR="00F3751F" w:rsidRDefault="00C77840">
      <w:pPr>
        <w:jc w:val="center"/>
      </w:pPr>
      <w:r>
        <w:t>(Source: Self-Developed)</w:t>
      </w:r>
    </w:p>
    <w:p w14:paraId="637DD365" w14:textId="77777777" w:rsidR="00F3751F" w:rsidRDefault="00C77840">
      <w:r>
        <w:t>Project C has also achieved a higher ARR rate of 12% in comparison to other operational schemes. The value of the average profit for the business plan has also increased to £3m that has improved the income of the investors. Overall, the enhancement in the financial returns of the project has also increased its goodwill among the investors.</w:t>
      </w:r>
    </w:p>
    <w:p w14:paraId="637DD366" w14:textId="77777777" w:rsidR="00F3751F" w:rsidRDefault="00C77840" w:rsidP="00EB23CF">
      <w:bookmarkStart w:id="54" w:name="_fzd5t4hao6a7" w:colFirst="0" w:colLast="0"/>
      <w:bookmarkEnd w:id="54"/>
      <w:r>
        <w:rPr>
          <w:noProof/>
        </w:rPr>
        <w:drawing>
          <wp:inline distT="114300" distB="114300" distL="114300" distR="114300" wp14:anchorId="637DD61A" wp14:editId="637DD61B">
            <wp:extent cx="5791200" cy="4124325"/>
            <wp:effectExtent l="0" t="0" r="0" b="0"/>
            <wp:docPr id="1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46"/>
                    <a:srcRect/>
                    <a:stretch>
                      <a:fillRect/>
                    </a:stretch>
                  </pic:blipFill>
                  <pic:spPr>
                    <a:xfrm>
                      <a:off x="0" y="0"/>
                      <a:ext cx="5791200" cy="4124325"/>
                    </a:xfrm>
                    <a:prstGeom prst="rect">
                      <a:avLst/>
                    </a:prstGeom>
                    <a:ln/>
                  </pic:spPr>
                </pic:pic>
              </a:graphicData>
            </a:graphic>
          </wp:inline>
        </w:drawing>
      </w:r>
    </w:p>
    <w:p w14:paraId="637DD367" w14:textId="77777777" w:rsidR="00F3751F" w:rsidRDefault="00C77840">
      <w:pPr>
        <w:jc w:val="center"/>
        <w:rPr>
          <w:b/>
          <w:bCs/>
        </w:rPr>
      </w:pPr>
      <w:r>
        <w:rPr>
          <w:b/>
          <w:bCs/>
        </w:rPr>
        <w:t>Figure 31: IRR</w:t>
      </w:r>
    </w:p>
    <w:p w14:paraId="637DD368" w14:textId="77777777" w:rsidR="00F3751F" w:rsidRDefault="00C77840">
      <w:pPr>
        <w:jc w:val="center"/>
      </w:pPr>
      <w:r>
        <w:t>(Source: Self-Developed)</w:t>
      </w:r>
    </w:p>
    <w:p w14:paraId="637DD369" w14:textId="77777777" w:rsidR="00F3751F" w:rsidRDefault="00C77840">
      <w:r>
        <w:t>The IRR value of project C has also increased to 8.61% that affects higher income growth associated with the execution of investment activities associated with the business plan. On the other hand, the present value of the business plan has also increased to £48.2m that has strengthened its popularity for organisations such as Hyatt.</w:t>
      </w:r>
    </w:p>
    <w:p w14:paraId="637DD36A" w14:textId="77777777" w:rsidR="00F3751F" w:rsidRDefault="00F3751F">
      <w:pPr>
        <w:pStyle w:val="Heading3"/>
      </w:pPr>
      <w:bookmarkStart w:id="55" w:name="_fpqkyk73m2cn" w:colFirst="0" w:colLast="0"/>
      <w:bookmarkEnd w:id="55"/>
    </w:p>
    <w:p w14:paraId="637DD36B" w14:textId="77777777" w:rsidR="00F3751F" w:rsidRDefault="00C77840" w:rsidP="00EB23CF">
      <w:bookmarkStart w:id="56" w:name="_khmtir8v4262" w:colFirst="0" w:colLast="0"/>
      <w:bookmarkEnd w:id="56"/>
      <w:r>
        <w:rPr>
          <w:noProof/>
        </w:rPr>
        <w:drawing>
          <wp:inline distT="114300" distB="114300" distL="114300" distR="114300" wp14:anchorId="637DD61C" wp14:editId="637DD61D">
            <wp:extent cx="5810250" cy="2638425"/>
            <wp:effectExtent l="0" t="0" r="0" b="0"/>
            <wp:docPr id="29"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47"/>
                    <a:srcRect/>
                    <a:stretch>
                      <a:fillRect/>
                    </a:stretch>
                  </pic:blipFill>
                  <pic:spPr>
                    <a:xfrm>
                      <a:off x="0" y="0"/>
                      <a:ext cx="5810250" cy="2638425"/>
                    </a:xfrm>
                    <a:prstGeom prst="rect">
                      <a:avLst/>
                    </a:prstGeom>
                    <a:ln/>
                  </pic:spPr>
                </pic:pic>
              </a:graphicData>
            </a:graphic>
          </wp:inline>
        </w:drawing>
      </w:r>
      <w:r>
        <w:tab/>
      </w:r>
    </w:p>
    <w:p w14:paraId="637DD36C" w14:textId="77777777" w:rsidR="00F3751F" w:rsidRDefault="00C77840">
      <w:pPr>
        <w:jc w:val="center"/>
        <w:rPr>
          <w:b/>
          <w:bCs/>
        </w:rPr>
      </w:pPr>
      <w:r>
        <w:rPr>
          <w:b/>
          <w:bCs/>
        </w:rPr>
        <w:t>Figure 32: PI</w:t>
      </w:r>
    </w:p>
    <w:p w14:paraId="637DD36D" w14:textId="77777777" w:rsidR="00F3751F" w:rsidRDefault="00C77840">
      <w:pPr>
        <w:jc w:val="center"/>
      </w:pPr>
      <w:r>
        <w:t>(Source: Self-Developed)</w:t>
      </w:r>
    </w:p>
    <w:p w14:paraId="637DD36E" w14:textId="77777777" w:rsidR="00F3751F" w:rsidRDefault="00C77840">
      <w:r>
        <w:t>The PI index score of project C has also increased to 1.02 as compared to the industrial standards adopted by the organisations. Thus, the improvement in the revenue of the business plan will provide higher investment income to Hyatt.</w:t>
      </w:r>
    </w:p>
    <w:p w14:paraId="637DD36F" w14:textId="77777777" w:rsidR="00F3751F" w:rsidRDefault="00C77840">
      <w:pPr>
        <w:pStyle w:val="Heading2"/>
      </w:pPr>
      <w:bookmarkStart w:id="57" w:name="_Toc235293162"/>
      <w:r>
        <w:t>4.3 Selected project</w:t>
      </w:r>
      <w:bookmarkEnd w:id="57"/>
      <w:r>
        <w:t xml:space="preserve"> </w:t>
      </w:r>
    </w:p>
    <w:p w14:paraId="637DD370" w14:textId="77777777" w:rsidR="00F3751F" w:rsidRDefault="00C77840">
      <w:r>
        <w:t xml:space="preserve">Project C is the recommended option with its NPV of £0.87m, ARR 12.0% which delivers its stronger liquidity. Selection of Project C enhances improvement in operational cash flow by highlighting its wealth in the market. Thus, this showcases structural improvement through reliable cost maintenance. </w:t>
      </w:r>
    </w:p>
    <w:p w14:paraId="637DD371" w14:textId="77777777" w:rsidR="00F3751F" w:rsidRDefault="00C77840">
      <w:pPr>
        <w:pStyle w:val="Heading2"/>
      </w:pPr>
      <w:bookmarkStart w:id="58" w:name="_Toc235293163"/>
      <w:r>
        <w:t>4.4 Recommendation based on the financial performance of the company</w:t>
      </w:r>
      <w:bookmarkEnd w:id="58"/>
      <w:r>
        <w:t xml:space="preserve"> </w:t>
      </w:r>
    </w:p>
    <w:p w14:paraId="637DD372" w14:textId="77777777" w:rsidR="00F3751F" w:rsidRDefault="00C77840">
      <w:pPr>
        <w:rPr>
          <w:b/>
          <w:bCs/>
        </w:rPr>
      </w:pPr>
      <w:r>
        <w:rPr>
          <w:b/>
          <w:bCs/>
        </w:rPr>
        <w:t>Profitability aspect</w:t>
      </w:r>
    </w:p>
    <w:p w14:paraId="637DD373" w14:textId="77777777" w:rsidR="00F3751F" w:rsidRDefault="00C77840">
      <w:r>
        <w:t>The higher PI index value of 1.02 and positive NPV trend of £0.87m will increase the popularity of project C for Hyatt. In addition, the adoption of the business plan will also improve the awareness level of the hotel services to the customers. Hyatt has increased its brand value to $6.72m in 2025 (RankingRoyal, 2025). Thus, the investment in the project will provide opportunities to Hyatt to strengthen its market position.</w:t>
      </w:r>
    </w:p>
    <w:p w14:paraId="637DD374" w14:textId="77777777" w:rsidR="00F3751F" w:rsidRDefault="00C77840">
      <w:pPr>
        <w:rPr>
          <w:b/>
          <w:bCs/>
        </w:rPr>
      </w:pPr>
      <w:r>
        <w:rPr>
          <w:b/>
          <w:bCs/>
        </w:rPr>
        <w:t xml:space="preserve">Liquidity aspect </w:t>
      </w:r>
    </w:p>
    <w:p w14:paraId="637DD375" w14:textId="77777777" w:rsidR="00F3751F" w:rsidRDefault="00C77840">
      <w:r>
        <w:t>The investment in project C will also improve the cash flow value of Hyatt to £10m in year 5. In addition, it also indicates consistent growth in the working capital of the organisation. On the other hand, the improvement in the present value of the business plan by £3.41m will also improve the fund value of the company. Overall, the improvement in the financial resources will assist Hyatt in ensuring timely completion of its business operations.</w:t>
      </w:r>
    </w:p>
    <w:p w14:paraId="637DD376" w14:textId="77777777" w:rsidR="00F3751F" w:rsidRDefault="00C77840">
      <w:pPr>
        <w:pStyle w:val="Heading2"/>
      </w:pPr>
      <w:bookmarkStart w:id="59" w:name="_Toc235293164"/>
      <w:r>
        <w:t>4.5 Non-Financial Risk</w:t>
      </w:r>
      <w:bookmarkEnd w:id="59"/>
      <w:r>
        <w:tab/>
      </w:r>
    </w:p>
    <w:p w14:paraId="637DD377" w14:textId="77777777" w:rsidR="00F3751F" w:rsidRDefault="00C77840">
      <w:pPr>
        <w:rPr>
          <w:b/>
          <w:bCs/>
        </w:rPr>
      </w:pPr>
      <w:r>
        <w:rPr>
          <w:b/>
          <w:bCs/>
        </w:rPr>
        <w:t>Political Risk</w:t>
      </w:r>
    </w:p>
    <w:p w14:paraId="637DD378" w14:textId="77777777" w:rsidR="00F3751F" w:rsidRDefault="00C77840">
      <w:r>
        <w:t xml:space="preserve">The Project C is a reliable choice that is aligned with Hyatt, which due to strict changes in taxation rates, affects the reputation of the business. For example, the UK hospitality industry reduces its finances by serving a “Value Added tax” rate of about 20% (Davies, 2026). This squeezed the overall profit margin of the business due to the inability to reclaim the VAT rate to deal with industry demand. Thus, shifting the taxation rate affects the overall cash flow of the project due to its high positive PI and NPV. </w:t>
      </w:r>
    </w:p>
    <w:p w14:paraId="637DD379" w14:textId="77777777" w:rsidR="00F3751F" w:rsidRDefault="00C77840">
      <w:pPr>
        <w:rPr>
          <w:b/>
          <w:bCs/>
        </w:rPr>
      </w:pPr>
      <w:r>
        <w:rPr>
          <w:b/>
          <w:bCs/>
        </w:rPr>
        <w:t>Customer Loyalty</w:t>
      </w:r>
    </w:p>
    <w:p w14:paraId="637DD37A" w14:textId="77777777" w:rsidR="00F3751F" w:rsidRDefault="00C77840">
      <w:r>
        <w:t xml:space="preserve">Project C highlights its steady cash flow which leads to reduced customer churn rate by sustaining improvement in business operations. This helps to enhance the overall revenue of Hyatt by serving customers with the “World of Hyatt” programme which leads to increased booking rate of customers (Hyatt, 2025). Loyal customers of Hyatt have been addressed through increases in booking to ensure its profitability per room. </w:t>
      </w:r>
    </w:p>
    <w:p w14:paraId="637DD37B" w14:textId="77777777" w:rsidR="00F3751F" w:rsidRDefault="00C77840">
      <w:pPr>
        <w:pStyle w:val="Heading2"/>
      </w:pPr>
      <w:bookmarkStart w:id="60" w:name="_Toc235293165"/>
      <w:r>
        <w:t>4.6 Capital Rationing based on a combination of projects</w:t>
      </w:r>
      <w:bookmarkEnd w:id="60"/>
      <w:r>
        <w:t xml:space="preserve"> </w:t>
      </w:r>
      <w:r>
        <w:tab/>
      </w:r>
    </w:p>
    <w:p w14:paraId="637DD37C" w14:textId="77777777" w:rsidR="00F3751F" w:rsidRDefault="00C77840">
      <w:r>
        <w:rPr>
          <w:noProof/>
        </w:rPr>
        <w:drawing>
          <wp:inline distT="114300" distB="114300" distL="114300" distR="114300" wp14:anchorId="637DD61E" wp14:editId="637DD61F">
            <wp:extent cx="5800725" cy="3009900"/>
            <wp:effectExtent l="0" t="0" r="0" b="0"/>
            <wp:docPr id="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48"/>
                    <a:srcRect/>
                    <a:stretch>
                      <a:fillRect/>
                    </a:stretch>
                  </pic:blipFill>
                  <pic:spPr>
                    <a:xfrm>
                      <a:off x="0" y="0"/>
                      <a:ext cx="5800725" cy="3009900"/>
                    </a:xfrm>
                    <a:prstGeom prst="rect">
                      <a:avLst/>
                    </a:prstGeom>
                    <a:ln/>
                  </pic:spPr>
                </pic:pic>
              </a:graphicData>
            </a:graphic>
          </wp:inline>
        </w:drawing>
      </w:r>
    </w:p>
    <w:p w14:paraId="637DD37D" w14:textId="77777777" w:rsidR="00F3751F" w:rsidRDefault="00C77840">
      <w:pPr>
        <w:jc w:val="center"/>
        <w:rPr>
          <w:b/>
          <w:bCs/>
        </w:rPr>
      </w:pPr>
      <w:r>
        <w:rPr>
          <w:b/>
          <w:bCs/>
        </w:rPr>
        <w:t>Figure 33: Capital rationing</w:t>
      </w:r>
    </w:p>
    <w:p w14:paraId="637DD37E" w14:textId="77777777" w:rsidR="00F3751F" w:rsidRDefault="00C77840">
      <w:pPr>
        <w:jc w:val="center"/>
      </w:pPr>
      <w:r>
        <w:t>(Source: Self-developed)</w:t>
      </w:r>
    </w:p>
    <w:p w14:paraId="637DD37F" w14:textId="77777777" w:rsidR="00F3751F" w:rsidRDefault="00C77840">
      <w:r>
        <w:t xml:space="preserve">The capital rationing method indicates the strategies adopted by organisations in strengthening its financial structure and reducing market uncertainties. In addition, the technique also analyses the dependency level of the companies on the debt and equity financing sources (Khan, 2024). In the current situation, the combined results of project b and c will be profitable for Hyatt due to its higher PV (0.95) and NPV value (-£5.2m) as compared to other business plans. Thus, the improvement in the capital structure will assist Hyatt in meeting the requirements of its business operations. </w:t>
      </w:r>
      <w:r>
        <w:br w:type="page"/>
      </w:r>
    </w:p>
    <w:p w14:paraId="637DD380" w14:textId="77777777" w:rsidR="00F3751F" w:rsidRDefault="00C77840">
      <w:pPr>
        <w:pStyle w:val="Heading1"/>
      </w:pPr>
      <w:bookmarkStart w:id="61" w:name="_Toc235293166"/>
      <w:r>
        <w:t>5. Critical Reflection on using AI</w:t>
      </w:r>
      <w:bookmarkEnd w:id="61"/>
      <w:r>
        <w:t xml:space="preserve"> </w:t>
      </w:r>
      <w:r>
        <w:tab/>
      </w:r>
    </w:p>
    <w:p w14:paraId="637DD381" w14:textId="77777777" w:rsidR="00F3751F" w:rsidRDefault="00C77840">
      <w:pPr>
        <w:pStyle w:val="Heading2"/>
      </w:pPr>
      <w:bookmarkStart w:id="62" w:name="_Toc235293167"/>
      <w:r>
        <w:t>5.1 Tool Disclosure in the Executing Report</w:t>
      </w:r>
      <w:bookmarkEnd w:id="62"/>
    </w:p>
    <w:p w14:paraId="637DD382" w14:textId="77777777" w:rsidR="00F3751F" w:rsidRDefault="00C77840">
      <w:r>
        <w:t xml:space="preserve">While doing the task, the adoption of AI tools enhances transparency by providing clear pictures with proper structuring. As stated by Zagaroli et al. (2026), involvement of the different “AI tools” are Gemini, Claude, and ChatGPT, serving relevant ideas regarding content reliable for the execution of research. In academics, managing academic integrity throughout the work serves as a personal idea to complete the research. Information used in this task is obtained from company reports, annual reports, and peer-reviewed journals. These sources provide reliable information that enhances overall accuracy throughout the research. Adoption of “AI-driven” policy slows down the capacity of the research as compared to " human-centric review” (Alamäki, 2025). The use of “Excel” calculations and human involvement is more reliable for financial tasks throughout the research. This helps to draw out information through market research and manage workflow through the reduction of errors. Thus, independent analysis is more reliable through the use of reliable sources for critical evaluation of the research. </w:t>
      </w:r>
      <w:r>
        <w:tab/>
      </w:r>
    </w:p>
    <w:p w14:paraId="637DD383" w14:textId="77777777" w:rsidR="00F3751F" w:rsidRDefault="00C77840">
      <w:pPr>
        <w:pStyle w:val="Heading2"/>
      </w:pPr>
      <w:bookmarkStart w:id="63" w:name="_Toc235293168"/>
      <w:r>
        <w:t>5.2 Encounter evaluation of AI-generated output</w:t>
      </w:r>
      <w:bookmarkEnd w:id="63"/>
      <w:r>
        <w:t xml:space="preserve"> </w:t>
      </w:r>
    </w:p>
    <w:p w14:paraId="637DD384" w14:textId="77777777" w:rsidR="00F3751F" w:rsidRDefault="00C77840">
      <w:r>
        <w:t xml:space="preserve">The financial interpretation through the use of AI enhances its accuracy through “Statistical pattern and anomaly detection” and “Cross-System Reconciliation” (Hu et al., 2025). The use of this method provides proper validation of data and logical checks, which enhance the quality of the research. The same information carried through AI leads to a rise in errors, which hamper the reputation of research. I think that addressing accuracy in financial interpretation, the detection of anomalies, and logical accuracy in research. The hallucination error in the financial calculation address is due to misinformation and inconsistent formula usage (Williamson and Prybutok, 2024). The detection of an anomaly in financial performance has been addressed through miscalculation, which reveals wrong calculations. Human interpretation provides a strategic conclusion by acknowledging limitations in research. Thus, AI-generated conclusions are addressed as compared to the human review, which hampers the validity of the research. Although the correction of hallucination more reliable for financial decisions by maintaining academic integrity. </w:t>
      </w:r>
    </w:p>
    <w:p w14:paraId="637DD385" w14:textId="77777777" w:rsidR="00F3751F" w:rsidRDefault="00C77840">
      <w:r>
        <w:tab/>
      </w:r>
    </w:p>
    <w:p w14:paraId="637DD386" w14:textId="77777777" w:rsidR="00F3751F" w:rsidRDefault="00C77840">
      <w:pPr>
        <w:pStyle w:val="Heading2"/>
      </w:pPr>
      <w:bookmarkStart w:id="64" w:name="_Toc235293169"/>
      <w:r>
        <w:t>5.3 Contribution Analysis</w:t>
      </w:r>
      <w:bookmarkEnd w:id="64"/>
      <w:r>
        <w:t xml:space="preserve"> </w:t>
      </w:r>
    </w:p>
    <w:p w14:paraId="637DD387" w14:textId="77777777" w:rsidR="00F3751F" w:rsidRDefault="00C77840">
      <w:pPr>
        <w:rPr>
          <w:b/>
          <w:bCs/>
        </w:rPr>
      </w:pPr>
      <w:r>
        <w:rPr>
          <w:b/>
          <w:bCs/>
        </w:rPr>
        <w:t>AI Contribution</w:t>
      </w:r>
    </w:p>
    <w:p w14:paraId="637DD388" w14:textId="77777777" w:rsidR="00F3751F" w:rsidRDefault="00C77840">
      <w:r>
        <w:t xml:space="preserve">I have included AI tools for improving the reliability and authenticity of my calculation process that has also increased the quality of my research. As stated by Chowdhury, Budhwar and Wood (2024), the enhancement in the accuracy of the formulas through the use of AI techniques helps in acquiring information regarding the market position of the organisation. I also applied AI technologies for restructuring formulas and the contents of my investigation process as per the requirements of the project. Hence, the alignment of the structure with the assignment needs has improved the goodwill of my report. </w:t>
      </w:r>
    </w:p>
    <w:p w14:paraId="637DD389" w14:textId="77777777" w:rsidR="00F3751F" w:rsidRDefault="00C77840">
      <w:pPr>
        <w:rPr>
          <w:b/>
          <w:bCs/>
        </w:rPr>
      </w:pPr>
      <w:r>
        <w:rPr>
          <w:b/>
          <w:bCs/>
        </w:rPr>
        <w:t>Personal Contribution</w:t>
      </w:r>
    </w:p>
    <w:p w14:paraId="637DD38A" w14:textId="77777777" w:rsidR="00F3751F" w:rsidRDefault="00C77840">
      <w:r>
        <w:t>During the completion of the report, I have utlised diversified tools such as investment appraisal methods for identifying other suitable projects of Hyatt. The technique has also helped in acquiring information regarding the utility of its elements such as NPV, IRR, ARR, PBP and PI for the organisations. In addition, I also carried out the balance sheet and income statement analysis that improved my awareness level regarding the asset investment of the company. Overall, my personal contribution has assisted me in increasing the authenticity of my report.</w:t>
      </w:r>
    </w:p>
    <w:p w14:paraId="637DD38B" w14:textId="77777777" w:rsidR="00F3751F" w:rsidRDefault="00C77840">
      <w:pPr>
        <w:pStyle w:val="Heading2"/>
      </w:pPr>
      <w:bookmarkStart w:id="65" w:name="_Toc235293170"/>
      <w:r>
        <w:t>5.4 Ethical and Professional Reflection</w:t>
      </w:r>
      <w:bookmarkEnd w:id="65"/>
      <w:r>
        <w:tab/>
      </w:r>
    </w:p>
    <w:p w14:paraId="637DD38C" w14:textId="77777777" w:rsidR="00F3751F" w:rsidRDefault="00C77840">
      <w:r>
        <w:t xml:space="preserve">The report has improved my awareness about the utility of the AI techniques in improving the quality of the evaluation programme. I also increased my understanding regarding the existence of diversified tools that are used for carrying out a critical analysis on business operations of the organisations. According to Seretidou, Billios and Stavropoulos (2025), the application of the ratio analysis technique has provided scope of investigating the current and past performance of the organisation for depicting its financial strength. In addition, the adoption of the technique has also provided opportunities to discuss the management efficiency of the company. Overall, the regulated use of the tools have improved the ethical standard of the research </w:t>
      </w:r>
      <w:r>
        <w:br w:type="page"/>
      </w:r>
    </w:p>
    <w:p w14:paraId="637DD38D" w14:textId="77777777" w:rsidR="00F3751F" w:rsidRDefault="00C77840">
      <w:pPr>
        <w:pStyle w:val="Heading1"/>
      </w:pPr>
      <w:bookmarkStart w:id="66" w:name="_Toc235293171"/>
      <w:r>
        <w:t>References</w:t>
      </w:r>
      <w:bookmarkEnd w:id="66"/>
    </w:p>
    <w:p w14:paraId="3EFD687E" w14:textId="77777777" w:rsidR="00AC5E80" w:rsidRPr="00AC5E80" w:rsidRDefault="00AC5E80">
      <w:pPr>
        <w:spacing w:after="240"/>
      </w:pPr>
      <w:r w:rsidRPr="00AC5E80">
        <w:t xml:space="preserve">Alamäki, A. (2025). Expanding AI adoption in public sector organizations: Perspectives on management practices. </w:t>
      </w:r>
      <w:r w:rsidRPr="00AC5E80">
        <w:rPr>
          <w:i/>
          <w:iCs/>
        </w:rPr>
        <w:t>Transforming Government: People, Process and Policy</w:t>
      </w:r>
      <w:r w:rsidRPr="00AC5E80">
        <w:t>. doi:10.1108/tg-05-2025-0124.</w:t>
      </w:r>
    </w:p>
    <w:p w14:paraId="1A9E8EEE" w14:textId="77777777" w:rsidR="00AC5E80" w:rsidRPr="00AC5E80" w:rsidRDefault="00AC5E80">
      <w:pPr>
        <w:spacing w:after="240"/>
      </w:pPr>
      <w:r w:rsidRPr="00AC5E80">
        <w:t xml:space="preserve">Chowdhury, S., Budhwar, P. and Wood, G. (2024). Generative Artificial Intelligence in Business: Towards a Strategic Human Resource Management Framework. </w:t>
      </w:r>
      <w:r w:rsidRPr="00AC5E80">
        <w:rPr>
          <w:i/>
          <w:iCs/>
        </w:rPr>
        <w:t>British journal of management</w:t>
      </w:r>
      <w:r w:rsidRPr="00AC5E80">
        <w:t>, 35(4). doi:10.1111/1467-8551.12824.</w:t>
      </w:r>
    </w:p>
    <w:p w14:paraId="4FDDFC2E" w14:textId="77777777" w:rsidR="00AC5E80" w:rsidRPr="00AC5E80" w:rsidRDefault="00AC5E80">
      <w:pPr>
        <w:spacing w:after="240"/>
      </w:pPr>
      <w:r w:rsidRPr="00AC5E80">
        <w:t xml:space="preserve">Chrysafis, K.A. and Papadopoulos, B.K. (2020). Decision making for Project appraisal in Uncertain environments: A Fuzzy-Possibilistic approach of the expanded NPV method. </w:t>
      </w:r>
      <w:r w:rsidRPr="00AC5E80">
        <w:rPr>
          <w:i/>
          <w:iCs/>
        </w:rPr>
        <w:t>Symmetry</w:t>
      </w:r>
      <w:r w:rsidRPr="00AC5E80">
        <w:t>, [online] 13(1), p.27. doi:10.3390/sym13010027.</w:t>
      </w:r>
    </w:p>
    <w:p w14:paraId="122041A3" w14:textId="77777777" w:rsidR="00AC5E80" w:rsidRPr="00AC5E80" w:rsidRDefault="00AC5E80">
      <w:pPr>
        <w:spacing w:after="240"/>
      </w:pPr>
      <w:r w:rsidRPr="00AC5E80">
        <w:t xml:space="preserve">Cox, J. (2026). </w:t>
      </w:r>
      <w:r w:rsidRPr="00AC5E80">
        <w:rPr>
          <w:i/>
          <w:iCs/>
        </w:rPr>
        <w:t>Consumer prices rose 3.5% annually in June, less than expected as energy prices eased</w:t>
      </w:r>
      <w:r w:rsidRPr="00AC5E80">
        <w:t xml:space="preserve">. [online] CNBC. Available at: https://www.cnbc.com/2026/07/14/consumer-price-index-inflation-report-june-2026.html </w:t>
      </w:r>
    </w:p>
    <w:p w14:paraId="7A82C448" w14:textId="77777777" w:rsidR="00AC5E80" w:rsidRPr="00AC5E80" w:rsidRDefault="00AC5E80">
      <w:pPr>
        <w:spacing w:after="240"/>
      </w:pPr>
      <w:r w:rsidRPr="00AC5E80">
        <w:t xml:space="preserve">Dabo, M. (2026). </w:t>
      </w:r>
      <w:r w:rsidRPr="00AC5E80">
        <w:rPr>
          <w:i/>
          <w:iCs/>
        </w:rPr>
        <w:t>Hyatt agrees $1.25m settlement in US hotel pricing dispute</w:t>
      </w:r>
      <w:r w:rsidRPr="00AC5E80">
        <w:t>. [online] Yahoo Finance. Available at: https://finance.yahoo.com/news/hyatt-agrees-1-25m-settlement-013932541.html.</w:t>
      </w:r>
    </w:p>
    <w:p w14:paraId="05B0F599" w14:textId="77777777" w:rsidR="00AC5E80" w:rsidRPr="00AC5E80" w:rsidRDefault="00AC5E80">
      <w:pPr>
        <w:spacing w:after="240"/>
      </w:pPr>
      <w:r w:rsidRPr="00AC5E80">
        <w:t xml:space="preserve">Fitch Rating (2026). </w:t>
      </w:r>
      <w:r w:rsidRPr="00AC5E80">
        <w:rPr>
          <w:i/>
          <w:iCs/>
        </w:rPr>
        <w:t>Fitch Affirms Hyatt at “BBB-”; Outlook Stable</w:t>
      </w:r>
      <w:r w:rsidRPr="00AC5E80">
        <w:t xml:space="preserve">. [online] Fitchratings.com. Available at: https://www.fitchratings.com/research/corporate-finance/fitch-affirms-hyatt-at-bbb-outlook-stable-19-12-2025 </w:t>
      </w:r>
    </w:p>
    <w:p w14:paraId="70CA905F" w14:textId="77777777" w:rsidR="00AC5E80" w:rsidRPr="00AC5E80" w:rsidRDefault="00AC5E80">
      <w:pPr>
        <w:spacing w:after="240"/>
      </w:pPr>
      <w:r w:rsidRPr="00AC5E80">
        <w:t xml:space="preserve">Graf, R. and Amodeo, J. (2025). </w:t>
      </w:r>
      <w:r w:rsidRPr="00AC5E80">
        <w:rPr>
          <w:i/>
          <w:iCs/>
        </w:rPr>
        <w:t>Bloomberg</w:t>
      </w:r>
      <w:r w:rsidRPr="00AC5E80">
        <w:t>. [online] Bloomberg.com. Available at: https://www.bloomberg.com/news/articles/2025-08-13/goldman-prices-1-4-billion-loan-for-hyatt-s-playa-resorts-sale</w:t>
      </w:r>
    </w:p>
    <w:p w14:paraId="261189A5" w14:textId="77777777" w:rsidR="00AC5E80" w:rsidRPr="00AC5E80" w:rsidRDefault="00AC5E80">
      <w:pPr>
        <w:spacing w:after="240"/>
      </w:pPr>
      <w:r w:rsidRPr="00AC5E80">
        <w:t xml:space="preserve">Hu, C., Xu, H., Li, Y., Sun, C., Chen, X. and Yan, R. (2025). Continual anomaly detection with Cross-Condition feature contrast for nonstationary industrial data stream. </w:t>
      </w:r>
      <w:r w:rsidRPr="00AC5E80">
        <w:rPr>
          <w:i/>
          <w:iCs/>
        </w:rPr>
        <w:t>Mechanical Systems and Signal Processing</w:t>
      </w:r>
      <w:r w:rsidRPr="00AC5E80">
        <w:t>, [online] 238, p.113254. doi:10.1016/j.ymssp.2025.113254.</w:t>
      </w:r>
    </w:p>
    <w:p w14:paraId="09DA3F9C" w14:textId="77777777" w:rsidR="00AC5E80" w:rsidRPr="00AC5E80" w:rsidRDefault="00AC5E80">
      <w:pPr>
        <w:spacing w:after="240"/>
      </w:pPr>
      <w:r w:rsidRPr="00AC5E80">
        <w:t>Hyatt (2025). [online] Available at: https://world.hyatt.com/content/hyatt-about/en/risehy/community-grants.html.</w:t>
      </w:r>
    </w:p>
    <w:p w14:paraId="14C6EDC9" w14:textId="77777777" w:rsidR="00AC5E80" w:rsidRPr="00AC5E80" w:rsidRDefault="00AC5E80">
      <w:pPr>
        <w:spacing w:after="240"/>
      </w:pPr>
      <w:r w:rsidRPr="00AC5E80">
        <w:t xml:space="preserve">Hyatt (2025). </w:t>
      </w:r>
      <w:r w:rsidRPr="00AC5E80">
        <w:rPr>
          <w:i/>
          <w:iCs/>
        </w:rPr>
        <w:t>Exclusive member rate savings | World of Hyatt</w:t>
      </w:r>
      <w:r w:rsidRPr="00AC5E80">
        <w:t>. [online] Available at: https://world.hyatt.com/content/gp/en/landing/members-save-more.html.</w:t>
      </w:r>
    </w:p>
    <w:p w14:paraId="2E9CEEA5" w14:textId="77777777" w:rsidR="00AC5E80" w:rsidRPr="00AC5E80" w:rsidRDefault="00AC5E80">
      <w:pPr>
        <w:spacing w:after="240"/>
      </w:pPr>
      <w:r w:rsidRPr="00AC5E80">
        <w:t xml:space="preserve">Hyatt (2025). </w:t>
      </w:r>
      <w:r w:rsidRPr="00AC5E80">
        <w:rPr>
          <w:i/>
          <w:iCs/>
        </w:rPr>
        <w:t>Hyatt Hotels Corporation</w:t>
      </w:r>
      <w:r w:rsidRPr="00AC5E80">
        <w:t>. [online] Hyatt Newsroom. Available at: https://newsroom.hyatt.com/12-30-2025-completedplayasale</w:t>
      </w:r>
    </w:p>
    <w:p w14:paraId="557BF360" w14:textId="77777777" w:rsidR="00AC5E80" w:rsidRPr="00AC5E80" w:rsidRDefault="00AC5E80">
      <w:pPr>
        <w:spacing w:after="240"/>
      </w:pPr>
      <w:r w:rsidRPr="00AC5E80">
        <w:t xml:space="preserve">Hyatt (2025). </w:t>
      </w:r>
      <w:r w:rsidRPr="00AC5E80">
        <w:rPr>
          <w:i/>
          <w:iCs/>
        </w:rPr>
        <w:t>Hyatt Reports First Quarter 2025 Results</w:t>
      </w:r>
      <w:r w:rsidRPr="00AC5E80">
        <w:t xml:space="preserve">. [online] Hyatt.com. Available at: https://investors.hyatt.com/news/investor-news/news-details/2025/Hyatt-Reports-First-Quarter-2025-Results/default.aspx </w:t>
      </w:r>
    </w:p>
    <w:p w14:paraId="0F349600" w14:textId="77777777" w:rsidR="00AC5E80" w:rsidRPr="00AC5E80" w:rsidRDefault="00AC5E80">
      <w:pPr>
        <w:spacing w:after="240"/>
      </w:pPr>
      <w:r w:rsidRPr="00AC5E80">
        <w:t xml:space="preserve">Hyatt (2026). </w:t>
      </w:r>
      <w:r w:rsidRPr="00AC5E80">
        <w:rPr>
          <w:i/>
          <w:iCs/>
        </w:rPr>
        <w:t>Hyatt Hotels Corporation - Financials - Annual Reports</w:t>
      </w:r>
      <w:r w:rsidRPr="00AC5E80">
        <w:t>. [online] Hyatt.com. Available at: https://investors.hyatt.com/financials/annual-reports/default.aspx?utm_source=chatgpt.com</w:t>
      </w:r>
    </w:p>
    <w:p w14:paraId="6F6B3598" w14:textId="77777777" w:rsidR="00AC5E80" w:rsidRPr="00AC5E80" w:rsidRDefault="00AC5E80">
      <w:pPr>
        <w:spacing w:after="240"/>
      </w:pPr>
      <w:r w:rsidRPr="00AC5E80">
        <w:t xml:space="preserve">Hyatt (2026). </w:t>
      </w:r>
      <w:r w:rsidRPr="00AC5E80">
        <w:rPr>
          <w:i/>
          <w:iCs/>
        </w:rPr>
        <w:t>Hyatt Hotels Corporation</w:t>
      </w:r>
      <w:r w:rsidRPr="00AC5E80">
        <w:t xml:space="preserve">. [online] Hyatt Newsroom. Available at: https://newsroom.hyatt.com/Q4-FullYear-2025-Earnings </w:t>
      </w:r>
    </w:p>
    <w:p w14:paraId="7EF3FFE0" w14:textId="77777777" w:rsidR="00AC5E80" w:rsidRPr="00AC5E80" w:rsidRDefault="00AC5E80">
      <w:pPr>
        <w:spacing w:after="240"/>
      </w:pPr>
      <w:r w:rsidRPr="00AC5E80">
        <w:t xml:space="preserve">Hyatt (2026). </w:t>
      </w:r>
      <w:r w:rsidRPr="00AC5E80">
        <w:rPr>
          <w:i/>
          <w:iCs/>
        </w:rPr>
        <w:t>Hyatt Hotels Corporation</w:t>
      </w:r>
      <w:r w:rsidRPr="00AC5E80">
        <w:t xml:space="preserve">. [online] Hyatt Newsroom. Available at: https://newsroom.hyatt.com/Q1-2026-Earnings </w:t>
      </w:r>
    </w:p>
    <w:p w14:paraId="71AC37B9" w14:textId="77777777" w:rsidR="00AC5E80" w:rsidRPr="00AC5E80" w:rsidRDefault="00AC5E80">
      <w:pPr>
        <w:spacing w:after="240"/>
      </w:pPr>
      <w:r w:rsidRPr="00AC5E80">
        <w:t xml:space="preserve">Hyatt (2026). </w:t>
      </w:r>
      <w:r w:rsidRPr="00AC5E80">
        <w:rPr>
          <w:i/>
          <w:iCs/>
        </w:rPr>
        <w:t>Hyatt Hotels Corporation</w:t>
      </w:r>
      <w:r w:rsidRPr="00AC5E80">
        <w:t xml:space="preserve">. [online] Hyatt Newsroom. Available at: https://newsroom.hyatt.com/may-28-2026-investor-day-release </w:t>
      </w:r>
    </w:p>
    <w:p w14:paraId="76E29E14" w14:textId="77777777" w:rsidR="00AC5E80" w:rsidRPr="00AC5E80" w:rsidRDefault="00AC5E80">
      <w:pPr>
        <w:spacing w:after="240"/>
      </w:pPr>
      <w:r w:rsidRPr="00AC5E80">
        <w:t xml:space="preserve">Hyatt (2026). </w:t>
      </w:r>
      <w:r w:rsidRPr="00AC5E80">
        <w:rPr>
          <w:i/>
          <w:iCs/>
        </w:rPr>
        <w:t>Hyatt Reports Fourth Quarter and Full Year 2025 Results</w:t>
      </w:r>
      <w:r w:rsidRPr="00AC5E80">
        <w:t>. [online] Hyatt.com. Available at: https://investors.hyatt.com/news/investor-news/news-details/2026/Hyatt-Reports-Fourth-Quarter-and-Full-Year-2025-Results/default.aspx.</w:t>
      </w:r>
    </w:p>
    <w:p w14:paraId="6ED7586E" w14:textId="77777777" w:rsidR="00AC5E80" w:rsidRPr="00AC5E80" w:rsidRDefault="00AC5E80">
      <w:pPr>
        <w:spacing w:after="240"/>
      </w:pPr>
      <w:r w:rsidRPr="00AC5E80">
        <w:t xml:space="preserve">Hyatt (2026). </w:t>
      </w:r>
      <w:r w:rsidRPr="00AC5E80">
        <w:rPr>
          <w:i/>
          <w:iCs/>
        </w:rPr>
        <w:t>Hyatt Reports Fourth Quarter And Full Year 2025 Results</w:t>
      </w:r>
      <w:r w:rsidRPr="00AC5E80">
        <w:t xml:space="preserve">. [online] Hyatt Newsroom. Available at: https://newsroom.hyatt.com/Q4-FullYear-2025-Earnings </w:t>
      </w:r>
    </w:p>
    <w:p w14:paraId="566854D8" w14:textId="77777777" w:rsidR="00AC5E80" w:rsidRPr="00AC5E80" w:rsidRDefault="00AC5E80">
      <w:pPr>
        <w:spacing w:after="240"/>
      </w:pPr>
      <w:r w:rsidRPr="00AC5E80">
        <w:t xml:space="preserve">Hyatt Corporations (2021). </w:t>
      </w:r>
      <w:r w:rsidRPr="00AC5E80">
        <w:rPr>
          <w:i/>
          <w:iCs/>
        </w:rPr>
        <w:t>Form 10-K (Mark One) Title of each class Trading Symbol</w:t>
      </w:r>
      <w:r w:rsidRPr="00AC5E80">
        <w:t xml:space="preserve">. [online] Available at: https://s203.q4cdn.com/249399152/files/doc_financials/2021/ar/ec2f121c-9941-4dd9-b50a-0aff00d26816-1.pdf </w:t>
      </w:r>
    </w:p>
    <w:p w14:paraId="7B8BB70F" w14:textId="68324E7E" w:rsidR="00AC5E80" w:rsidRPr="00AC5E80" w:rsidRDefault="00AC5E80">
      <w:pPr>
        <w:spacing w:after="240"/>
      </w:pPr>
      <w:r w:rsidRPr="00AC5E80">
        <w:t xml:space="preserve">Hyatt Corporations (2025). </w:t>
      </w:r>
      <w:r w:rsidRPr="00AC5E80">
        <w:rPr>
          <w:i/>
          <w:iCs/>
        </w:rPr>
        <w:t xml:space="preserve">Form 10-K (Mark One) ☑ </w:t>
      </w:r>
      <w:r w:rsidRPr="00AC5E80">
        <w:t>[online] Available at: https://s203.q4cdn.com/249399152/files/doc_financials/2025/ar/e87cdaed-c0b9-4479-8bc7-8d95694aec52.pdf .</w:t>
      </w:r>
    </w:p>
    <w:p w14:paraId="39FABD6D" w14:textId="77777777" w:rsidR="00AC5E80" w:rsidRPr="00AC5E80" w:rsidRDefault="00AC5E80">
      <w:pPr>
        <w:spacing w:after="240"/>
      </w:pPr>
      <w:r w:rsidRPr="00AC5E80">
        <w:t>Hyatt Corporations (2026). [online] Available at: https://investors.hyatt.com/news/investor-news/news-details/2025/Hyatt-Completes-2-0-Billion-Sale-of-Playas-Owned-Real-Estate-Portfolio-to-Tortuga/default.aspx.</w:t>
      </w:r>
    </w:p>
    <w:p w14:paraId="6341C58E" w14:textId="77777777" w:rsidR="00AC5E80" w:rsidRPr="00AC5E80" w:rsidRDefault="00AC5E80">
      <w:pPr>
        <w:spacing w:after="240"/>
      </w:pPr>
      <w:r w:rsidRPr="00AC5E80">
        <w:t xml:space="preserve">Hyatt Corprations (2023). </w:t>
      </w:r>
      <w:r w:rsidRPr="00AC5E80">
        <w:rPr>
          <w:i/>
          <w:iCs/>
        </w:rPr>
        <w:t>Form 10-K (Mark One) Proxy Statement for its 2024 Annual Meeting of Stockholders to be held on May 15</w:t>
      </w:r>
      <w:r w:rsidRPr="00AC5E80">
        <w:t xml:space="preserve">. [online] Available at: https://s203.q4cdn.com/249399152/files/doc_financials/2023/ar/311c84ef-5bee-4d6d-8008-eb562790019e.pdf </w:t>
      </w:r>
    </w:p>
    <w:p w14:paraId="6D44B2F2" w14:textId="77777777" w:rsidR="00AC5E80" w:rsidRPr="00AC5E80" w:rsidRDefault="00AC5E80">
      <w:pPr>
        <w:spacing w:after="240"/>
      </w:pPr>
      <w:r w:rsidRPr="00AC5E80">
        <w:t>Hyatt Hotels (2025). [online] Available at: https://about.hyatt.com/en/risehy/community-grants/all-hyatt-hotels-in-india.html.</w:t>
      </w:r>
    </w:p>
    <w:p w14:paraId="7F91F05C" w14:textId="77777777" w:rsidR="00AC5E80" w:rsidRPr="00AC5E80" w:rsidRDefault="00AC5E80">
      <w:pPr>
        <w:spacing w:after="240"/>
      </w:pPr>
      <w:r w:rsidRPr="00AC5E80">
        <w:t xml:space="preserve">Hyatt Hotels (2026). </w:t>
      </w:r>
      <w:r w:rsidRPr="00AC5E80">
        <w:rPr>
          <w:i/>
          <w:iCs/>
        </w:rPr>
        <w:t>Hyatt reaches global RiseHy goal, surpassing 10,000 hires and progressing toward 15,000 hires by the end of 2028</w:t>
      </w:r>
      <w:r w:rsidRPr="00AC5E80">
        <w:t xml:space="preserve">. [online] Journaldespalaces.com. Available at: </w:t>
      </w:r>
      <w:hyperlink r:id="rId49">
        <w:r w:rsidRPr="00AC5E80">
          <w:t>https://www.journaldespalaces.com/en/pressrelease-78563-hyatt-reaches-global-risehy-goal-surpassing-10000-hires-and-progressing-toward-15000-hires-by-the-end-of-2028</w:t>
        </w:r>
      </w:hyperlink>
      <w:r w:rsidRPr="00AC5E80">
        <w:t>.</w:t>
      </w:r>
    </w:p>
    <w:p w14:paraId="1CBF02C5" w14:textId="77777777" w:rsidR="00AC5E80" w:rsidRPr="00AC5E80" w:rsidRDefault="00AC5E80">
      <w:pPr>
        <w:spacing w:after="240"/>
      </w:pPr>
      <w:r w:rsidRPr="00AC5E80">
        <w:t xml:space="preserve">Hyatt Inc (2025). </w:t>
      </w:r>
      <w:r w:rsidRPr="00AC5E80">
        <w:rPr>
          <w:i/>
          <w:iCs/>
        </w:rPr>
        <w:t>Hyatt Reports First Quarter 2025 Results</w:t>
      </w:r>
      <w:r w:rsidRPr="00AC5E80">
        <w:t>. [online] Hyatt.com. Available at: https://investors.hyatt.com/news/investor-news/news-details/2025/Hyatt-Reports-First-Quarter-2025-Results/default.aspx.</w:t>
      </w:r>
    </w:p>
    <w:p w14:paraId="66D9F118" w14:textId="77777777" w:rsidR="00AC5E80" w:rsidRPr="00AC5E80" w:rsidRDefault="00AC5E80">
      <w:pPr>
        <w:spacing w:after="240"/>
      </w:pPr>
      <w:r w:rsidRPr="00AC5E80">
        <w:t xml:space="preserve">Hyatt News (2026). </w:t>
      </w:r>
      <w:r w:rsidRPr="00AC5E80">
        <w:rPr>
          <w:i/>
          <w:iCs/>
        </w:rPr>
        <w:t>Hyatt Hotels Corporation</w:t>
      </w:r>
      <w:r w:rsidRPr="00AC5E80">
        <w:t>. [online] Hyatt Newsroom. Available at: https://newsroom.hyatt.com/essentials-southeast-mar162026.</w:t>
      </w:r>
    </w:p>
    <w:p w14:paraId="52030208" w14:textId="77777777" w:rsidR="00AC5E80" w:rsidRPr="00AC5E80" w:rsidRDefault="00AC5E80">
      <w:pPr>
        <w:spacing w:after="240"/>
      </w:pPr>
      <w:r w:rsidRPr="00AC5E80">
        <w:t xml:space="preserve">Hyatt News Agency (2024). </w:t>
      </w:r>
      <w:r w:rsidRPr="00AC5E80">
        <w:rPr>
          <w:i/>
          <w:iCs/>
        </w:rPr>
        <w:t>Hyatt Hotels Corporation</w:t>
      </w:r>
      <w:r w:rsidRPr="00AC5E80">
        <w:t>. [online] Hyatt Newsroom. Available at: https://newsroom.hyatt.com/standardinternational.</w:t>
      </w:r>
    </w:p>
    <w:p w14:paraId="5871BE5A" w14:textId="77777777" w:rsidR="00AC5E80" w:rsidRPr="00AC5E80" w:rsidRDefault="00AC5E80">
      <w:pPr>
        <w:spacing w:after="240"/>
      </w:pPr>
      <w:r w:rsidRPr="00AC5E80">
        <w:t xml:space="preserve">Investing News (2026). </w:t>
      </w:r>
      <w:r w:rsidRPr="00AC5E80">
        <w:rPr>
          <w:i/>
          <w:iCs/>
        </w:rPr>
        <w:t>Hyatt Q4 2025 presentation slides: Asset-light strategy drives record growth</w:t>
      </w:r>
      <w:r w:rsidRPr="00AC5E80">
        <w:t xml:space="preserve">. [online] Investing.com India. Available at: https://in.investing.com/news/company-news/hyatt-q4-2025-presentation-slides-assetlight-strategy-drives-record-growth-93ch-5238295 </w:t>
      </w:r>
    </w:p>
    <w:p w14:paraId="1EA06D8C" w14:textId="77777777" w:rsidR="00AC5E80" w:rsidRPr="00AC5E80" w:rsidRDefault="00AC5E80">
      <w:pPr>
        <w:spacing w:after="240"/>
      </w:pPr>
      <w:r w:rsidRPr="00AC5E80">
        <w:t xml:space="preserve">Kagan, J. (2026). </w:t>
      </w:r>
      <w:r w:rsidRPr="00AC5E80">
        <w:rPr>
          <w:i/>
          <w:iCs/>
        </w:rPr>
        <w:t>Payback period: Definition, formula, and calculation</w:t>
      </w:r>
      <w:r w:rsidRPr="00AC5E80">
        <w:t xml:space="preserve">. [online] Investopedia. Available at: https://www.investopedia.com/terms/p/paybackperiod.asp </w:t>
      </w:r>
    </w:p>
    <w:p w14:paraId="0B974817" w14:textId="77777777" w:rsidR="00AC5E80" w:rsidRPr="00AC5E80" w:rsidRDefault="00AC5E80">
      <w:pPr>
        <w:spacing w:after="240"/>
      </w:pPr>
      <w:r w:rsidRPr="00AC5E80">
        <w:t xml:space="preserve">Khan, A. (2024). Capital rationing and budget allocation. </w:t>
      </w:r>
      <w:r w:rsidRPr="00AC5E80">
        <w:rPr>
          <w:i/>
          <w:iCs/>
        </w:rPr>
        <w:t>Springer eBooks</w:t>
      </w:r>
      <w:r w:rsidRPr="00AC5E80">
        <w:t>, pp.329–367. doi:10.1007/978-3-031-53674-8_9.</w:t>
      </w:r>
    </w:p>
    <w:p w14:paraId="45B53E9F" w14:textId="77777777" w:rsidR="00AC5E80" w:rsidRPr="00AC5E80" w:rsidRDefault="00AC5E80">
      <w:pPr>
        <w:spacing w:after="240"/>
      </w:pPr>
      <w:r w:rsidRPr="00AC5E80">
        <w:t xml:space="preserve">Lee, I. (2026). </w:t>
      </w:r>
      <w:r w:rsidRPr="00AC5E80">
        <w:rPr>
          <w:i/>
          <w:iCs/>
        </w:rPr>
        <w:t>Hyatt uses tech to secure winning edge</w:t>
      </w:r>
      <w:r w:rsidRPr="00AC5E80">
        <w:t>. [online] Hospitality Investor. Available at: https://www.hospitalityinvestor.com/brands/hyatt-uses-tech-secure-winning-edge.</w:t>
      </w:r>
    </w:p>
    <w:p w14:paraId="5530304E" w14:textId="77777777" w:rsidR="00AC5E80" w:rsidRPr="00AC5E80" w:rsidRDefault="00AC5E80">
      <w:pPr>
        <w:spacing w:after="240"/>
      </w:pPr>
      <w:r w:rsidRPr="00AC5E80">
        <w:t xml:space="preserve">Macrotrends (2025). </w:t>
      </w:r>
      <w:r w:rsidRPr="00AC5E80">
        <w:rPr>
          <w:i/>
          <w:iCs/>
        </w:rPr>
        <w:t>Hyatt Hotels - 5 Year Dividend History | H</w:t>
      </w:r>
      <w:r w:rsidRPr="00AC5E80">
        <w:t xml:space="preserve">. [online] Macrotrends.net. Available at: https://www.macrotrends.net/stocks/charts/H/hyatt-hotels/dividend-yield-history </w:t>
      </w:r>
    </w:p>
    <w:p w14:paraId="34B9F24F" w14:textId="77777777" w:rsidR="00AC5E80" w:rsidRPr="00AC5E80" w:rsidRDefault="00AC5E80">
      <w:pPr>
        <w:spacing w:after="240"/>
      </w:pPr>
      <w:r w:rsidRPr="00AC5E80">
        <w:t xml:space="preserve">MacroTrends (2025). </w:t>
      </w:r>
      <w:r w:rsidRPr="00AC5E80">
        <w:rPr>
          <w:i/>
          <w:iCs/>
        </w:rPr>
        <w:t>Hyatt Hotels Financial Ratios for Analysis 2006-2021 | H</w:t>
      </w:r>
      <w:r w:rsidRPr="00AC5E80">
        <w:t xml:space="preserve">. [online] Www.macrotrends.net. Available at: https://www.macrotrends.net/stocks/charts/H/hyatt-hotels/financial-ratios </w:t>
      </w:r>
    </w:p>
    <w:p w14:paraId="5C918F99" w14:textId="77777777" w:rsidR="00AC5E80" w:rsidRPr="00AC5E80" w:rsidRDefault="00AC5E80">
      <w:pPr>
        <w:spacing w:after="240"/>
      </w:pPr>
      <w:r w:rsidRPr="00AC5E80">
        <w:t xml:space="preserve">Macrotrends (2026). </w:t>
      </w:r>
      <w:r w:rsidRPr="00AC5E80">
        <w:rPr>
          <w:i/>
          <w:iCs/>
        </w:rPr>
        <w:t>Euro Dollar Exchange Rate (EUR USD) - Historical Chart</w:t>
      </w:r>
      <w:r w:rsidRPr="00AC5E80">
        <w:t>. [online] Macrotrends.net. Available at: https://www.macrotrends.net/2548/euro-dollar-exchange-rate-historical-chart?utm_source=chatgpt.com</w:t>
      </w:r>
    </w:p>
    <w:p w14:paraId="573EC4AF" w14:textId="77777777" w:rsidR="00AC5E80" w:rsidRPr="00AC5E80" w:rsidRDefault="00AC5E80">
      <w:pPr>
        <w:spacing w:after="240"/>
      </w:pPr>
      <w:r w:rsidRPr="00AC5E80">
        <w:t xml:space="preserve">Macrotrends (2026). </w:t>
      </w:r>
      <w:r w:rsidRPr="00AC5E80">
        <w:rPr>
          <w:i/>
          <w:iCs/>
        </w:rPr>
        <w:t>Hyatt Hotels Inventory 2010-2024 | H</w:t>
      </w:r>
      <w:r w:rsidRPr="00AC5E80">
        <w:t xml:space="preserve">. [online] Macrotrends.net. Available at: https://www.macrotrends.net/stocks/charts/H/hyatt-hotels/inventory </w:t>
      </w:r>
    </w:p>
    <w:p w14:paraId="1E0C6131" w14:textId="77777777" w:rsidR="00AC5E80" w:rsidRPr="00AC5E80" w:rsidRDefault="00AC5E80">
      <w:pPr>
        <w:spacing w:after="240"/>
      </w:pPr>
      <w:r w:rsidRPr="00AC5E80">
        <w:t xml:space="preserve">Macrotrends (2026). </w:t>
      </w:r>
      <w:r w:rsidRPr="00AC5E80">
        <w:rPr>
          <w:i/>
          <w:iCs/>
        </w:rPr>
        <w:t>Hyatt Hotels Operating Expenses 2012-2026 | H</w:t>
      </w:r>
      <w:r w:rsidRPr="00AC5E80">
        <w:t xml:space="preserve">. [online] Macrotrends. Available at: https://www.macrotrends.net/stocks/charts/h/hyatt-hotels/operating-expensesSeretidou, D., Billios, D. and Stavropoulos, A. (2025). Integrative Analysis of Traditional and Cash Flow Financial Ratios: Insights from a Systematic Comparative Review. </w:t>
      </w:r>
      <w:r w:rsidRPr="00AC5E80">
        <w:rPr>
          <w:i/>
          <w:iCs/>
        </w:rPr>
        <w:t>Risks</w:t>
      </w:r>
      <w:r w:rsidRPr="00AC5E80">
        <w:t>, [online] 13(4), pp.62–62. doi:10.3390/risks13040062.</w:t>
      </w:r>
    </w:p>
    <w:p w14:paraId="5BF952B1" w14:textId="77777777" w:rsidR="00AC5E80" w:rsidRPr="00AC5E80" w:rsidRDefault="00AC5E80">
      <w:pPr>
        <w:spacing w:after="240"/>
      </w:pPr>
      <w:r w:rsidRPr="00AC5E80">
        <w:t xml:space="preserve">RankingRoyal (2025). </w:t>
      </w:r>
      <w:r w:rsidRPr="00AC5E80">
        <w:rPr>
          <w:i/>
          <w:iCs/>
        </w:rPr>
        <w:t>RankingRoyals</w:t>
      </w:r>
      <w:r w:rsidRPr="00AC5E80">
        <w:t>. [online] Facebookapp. Available at: https://www.facebook.com/rankingroyals/posts/worlds-most-valuable-hotel-brands-2025hilton-retains-its-title-as-the-worlds-mos/907712904250362/.</w:t>
      </w:r>
    </w:p>
    <w:p w14:paraId="06E62B7E" w14:textId="77777777" w:rsidR="00AC5E80" w:rsidRPr="00AC5E80" w:rsidRDefault="00AC5E80">
      <w:pPr>
        <w:spacing w:after="240"/>
      </w:pPr>
      <w:r w:rsidRPr="00AC5E80">
        <w:t xml:space="preserve">Shou, T. (2022). </w:t>
      </w:r>
      <w:r w:rsidRPr="00AC5E80">
        <w:rPr>
          <w:i/>
          <w:iCs/>
        </w:rPr>
        <w:t>A literature review on the net present value (NPV) valuation method</w:t>
      </w:r>
      <w:r w:rsidRPr="00AC5E80">
        <w:t xml:space="preserve">. [online] ResearchGate. Available at: https://www.researchgate.net/publication/361845680_A_Literature_Review_on_the_Net_Present_Value_NPV_Valuation_Method </w:t>
      </w:r>
    </w:p>
    <w:p w14:paraId="471F366C" w14:textId="77777777" w:rsidR="00AC5E80" w:rsidRPr="00AC5E80" w:rsidRDefault="00AC5E80">
      <w:pPr>
        <w:spacing w:after="240"/>
      </w:pPr>
      <w:r w:rsidRPr="00AC5E80">
        <w:t>Sow (2025). [online] Available at: https://www.asyousow.org/resolutions/2026/12/3-hyatt-hotels-sustainable-packaging-polici.</w:t>
      </w:r>
    </w:p>
    <w:p w14:paraId="1377A92D" w14:textId="77777777" w:rsidR="00AC5E80" w:rsidRPr="00AC5E80" w:rsidRDefault="00AC5E80">
      <w:pPr>
        <w:spacing w:after="240"/>
      </w:pPr>
      <w:r w:rsidRPr="00AC5E80">
        <w:t xml:space="preserve">The Globe (2025). </w:t>
      </w:r>
      <w:r w:rsidRPr="00AC5E80">
        <w:rPr>
          <w:i/>
          <w:iCs/>
        </w:rPr>
        <w:t>Hyatt Hotels Secures New $1.5 Billion Credit Facility</w:t>
      </w:r>
      <w:r w:rsidRPr="00AC5E80">
        <w:t>. [online] The Globe and Mail. Available at: https://www.theglobeandmail.com/investing/markets/stocks/H/pressreleases/35837238/hyatt-hotels-secures-new-15-billion-credit-facility/</w:t>
      </w:r>
    </w:p>
    <w:p w14:paraId="70A1D1F3" w14:textId="610E994A" w:rsidR="00AC5E80" w:rsidRPr="00AC5E80" w:rsidRDefault="00AC5E80">
      <w:pPr>
        <w:spacing w:after="240"/>
      </w:pPr>
      <w:r w:rsidRPr="00AC5E80">
        <w:t xml:space="preserve">Trading Economics (2025). </w:t>
      </w:r>
      <w:r w:rsidRPr="00AC5E80">
        <w:rPr>
          <w:i/>
          <w:iCs/>
        </w:rPr>
        <w:t>Hyatt Hotels | H - Debt</w:t>
      </w:r>
      <w:r w:rsidRPr="00AC5E80">
        <w:t>. [online] Tradingeconomics.com. Available at: https://tradingeconomics.com/h:us:debt</w:t>
      </w:r>
    </w:p>
    <w:p w14:paraId="0B0056BC" w14:textId="77777777" w:rsidR="00AC5E80" w:rsidRPr="00AC5E80" w:rsidRDefault="00AC5E80">
      <w:pPr>
        <w:spacing w:after="240"/>
      </w:pPr>
      <w:r w:rsidRPr="00AC5E80">
        <w:t xml:space="preserve">Trading Economics (2026). </w:t>
      </w:r>
      <w:r w:rsidRPr="00AC5E80">
        <w:rPr>
          <w:i/>
          <w:iCs/>
        </w:rPr>
        <w:t>Hyatt Hotels | H - Trade Creditors</w:t>
      </w:r>
      <w:r w:rsidRPr="00AC5E80">
        <w:t xml:space="preserve">. [online] Tradingeconomics.com. Available at: https://tradingeconomics.com/h:us:trade-creditors </w:t>
      </w:r>
    </w:p>
    <w:p w14:paraId="270C1CBA" w14:textId="77777777" w:rsidR="00AC5E80" w:rsidRPr="00AC5E80" w:rsidRDefault="00AC5E80">
      <w:pPr>
        <w:spacing w:after="240"/>
      </w:pPr>
      <w:r w:rsidRPr="00AC5E80">
        <w:t xml:space="preserve">Uniguest (2025). </w:t>
      </w:r>
      <w:r w:rsidRPr="00AC5E80">
        <w:rPr>
          <w:i/>
          <w:iCs/>
        </w:rPr>
        <w:t>Hyatt Digital Compendium - Uniguest</w:t>
      </w:r>
      <w:r w:rsidRPr="00AC5E80">
        <w:t>. [online] Uniguest. Available at: https://uniguest.com/hyatt-digital-compendium/.</w:t>
      </w:r>
    </w:p>
    <w:p w14:paraId="16B6C86A" w14:textId="77777777" w:rsidR="00AC5E80" w:rsidRPr="00AC5E80" w:rsidRDefault="00AC5E80">
      <w:pPr>
        <w:spacing w:after="240"/>
      </w:pPr>
      <w:r w:rsidRPr="00AC5E80">
        <w:t xml:space="preserve">Williamson, S.M. and Prybutok, V. (2024). The Era of Artificial Intelligence Deception: Unraveling the Complexities of False Realities and Emerging Threats of Misinformation. </w:t>
      </w:r>
      <w:r w:rsidRPr="00AC5E80">
        <w:rPr>
          <w:i/>
          <w:iCs/>
        </w:rPr>
        <w:t>Information</w:t>
      </w:r>
      <w:r w:rsidRPr="00AC5E80">
        <w:t>, [online] 15(6), p.299. doi:10.3390/info15060299.</w:t>
      </w:r>
    </w:p>
    <w:p w14:paraId="7D3350DD" w14:textId="77777777" w:rsidR="00AC5E80" w:rsidRPr="00AC5E80" w:rsidRDefault="00AC5E80">
      <w:pPr>
        <w:spacing w:after="240"/>
        <w:rPr>
          <w:rFonts w:ascii="Times New Roman" w:eastAsia="Times New Roman" w:hAnsi="Times New Roman" w:cs="Times New Roman"/>
          <w:sz w:val="36"/>
          <w:szCs w:val="36"/>
        </w:rPr>
      </w:pPr>
      <w:r w:rsidRPr="00AC5E80">
        <w:t xml:space="preserve">World of Hyatt (2025). [online] Available at: </w:t>
      </w:r>
      <w:hyperlink r:id="rId50">
        <w:r w:rsidRPr="00AC5E80">
          <w:t>https://www.hyatt.com/loyalty/en-US</w:t>
        </w:r>
      </w:hyperlink>
      <w:r w:rsidRPr="00AC5E80">
        <w:t>.</w:t>
      </w:r>
    </w:p>
    <w:p w14:paraId="34B21DA1" w14:textId="77777777" w:rsidR="00AC5E80" w:rsidRPr="00AC5E80" w:rsidRDefault="00AC5E80">
      <w:pPr>
        <w:spacing w:after="240"/>
      </w:pPr>
      <w:r w:rsidRPr="00AC5E80">
        <w:t xml:space="preserve">Yahoo Finance (2025). </w:t>
      </w:r>
      <w:r w:rsidRPr="00AC5E80">
        <w:rPr>
          <w:i/>
          <w:iCs/>
        </w:rPr>
        <w:t>Hyatt Hotels Corporation (H) Income Statement - Yahoo Finance</w:t>
      </w:r>
      <w:r w:rsidRPr="00AC5E80">
        <w:t>. [online] Finance.yahoo.com. Available at: https://finance.yahoo.com/quote/H/financials/.</w:t>
      </w:r>
      <w:r w:rsidRPr="00AC5E80">
        <w:tab/>
      </w:r>
    </w:p>
    <w:p w14:paraId="30278055" w14:textId="77777777" w:rsidR="00AC5E80" w:rsidRPr="00AC5E80" w:rsidRDefault="00AC5E80">
      <w:pPr>
        <w:spacing w:after="240"/>
      </w:pPr>
      <w:r w:rsidRPr="00AC5E80">
        <w:t xml:space="preserve">Zagaroli, L., Caione, N., Zara, S., Guerra, F., Zugaro, A., Baroni, M.G., Iezzi, M.L. and Delvecchio, M. (2026). Accuracy of &lt;scp&gt;ChatGPT&lt;/scp&gt; , Gemini, Claude and &lt;scp&gt;DeepSeek&lt;/scp&gt; in Carbohydrate Counting. </w:t>
      </w:r>
      <w:r w:rsidRPr="00AC5E80">
        <w:rPr>
          <w:i/>
          <w:iCs/>
        </w:rPr>
        <w:t>Diabetes, Obesity and Metabolism</w:t>
      </w:r>
      <w:r w:rsidRPr="00AC5E80">
        <w:t>, 28(7), pp.5627–5636. doi:10.1111/dom.70747.</w:t>
      </w:r>
    </w:p>
    <w:p w14:paraId="637DD3BD" w14:textId="77777777" w:rsidR="00F3751F" w:rsidRDefault="00F3751F">
      <w:pPr>
        <w:spacing w:after="240"/>
      </w:pPr>
    </w:p>
    <w:p w14:paraId="637DD3BE" w14:textId="77777777" w:rsidR="00F3751F" w:rsidRDefault="00F3751F"/>
    <w:p w14:paraId="637DD3BF" w14:textId="77777777" w:rsidR="00F3751F" w:rsidRDefault="00C77840">
      <w:r>
        <w:br w:type="page"/>
      </w:r>
    </w:p>
    <w:p w14:paraId="637DD3C0" w14:textId="77777777" w:rsidR="00F3751F" w:rsidRDefault="00C77840">
      <w:pPr>
        <w:pStyle w:val="Heading1"/>
      </w:pPr>
      <w:bookmarkStart w:id="67" w:name="_Toc235293172"/>
      <w:r>
        <w:t>Appendices</w:t>
      </w:r>
      <w:bookmarkEnd w:id="67"/>
    </w:p>
    <w:p w14:paraId="637DD3C1" w14:textId="77777777" w:rsidR="00F3751F" w:rsidRDefault="00C77840">
      <w:pPr>
        <w:pStyle w:val="Heading2"/>
      </w:pPr>
      <w:bookmarkStart w:id="68" w:name="_Toc235293173"/>
      <w:r>
        <w:t>Appendix 1: Ratio analysis</w:t>
      </w:r>
      <w:bookmarkEnd w:id="68"/>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793"/>
        <w:gridCol w:w="816"/>
        <w:gridCol w:w="1120"/>
        <w:gridCol w:w="1120"/>
        <w:gridCol w:w="1120"/>
        <w:gridCol w:w="1271"/>
        <w:gridCol w:w="1120"/>
      </w:tblGrid>
      <w:tr w:rsidR="00F3751F" w14:paraId="637DD3C3" w14:textId="77777777">
        <w:trPr>
          <w:trHeight w:val="300"/>
        </w:trPr>
        <w:tc>
          <w:tcPr>
            <w:tcW w:w="9355"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637DD3C2" w14:textId="77777777" w:rsidR="00F3751F" w:rsidRDefault="00C77840">
            <w:pPr>
              <w:jc w:val="center"/>
              <w:rPr>
                <w:rFonts w:ascii="Calibri" w:eastAsia="Calibri" w:hAnsi="Calibri" w:cs="Calibri"/>
                <w:sz w:val="22"/>
                <w:szCs w:val="22"/>
              </w:rPr>
            </w:pPr>
            <w:r>
              <w:rPr>
                <w:b/>
                <w:bCs/>
              </w:rPr>
              <w:t>Profitability Ratios:</w:t>
            </w:r>
          </w:p>
        </w:tc>
      </w:tr>
      <w:tr w:rsidR="00F3751F" w14:paraId="637DD3CB"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3C4" w14:textId="77777777" w:rsidR="00F3751F" w:rsidRDefault="00C77840">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3C5" w14:textId="77777777" w:rsidR="00F3751F" w:rsidRDefault="00C77840">
            <w:pPr>
              <w:jc w:val="center"/>
              <w:rPr>
                <w:rFonts w:ascii="Calibri" w:eastAsia="Calibri" w:hAnsi="Calibri" w:cs="Calibri"/>
                <w:sz w:val="22"/>
                <w:szCs w:val="22"/>
              </w:rPr>
            </w:pPr>
            <w:r>
              <w:rPr>
                <w:b/>
                <w:bCs/>
              </w:rPr>
              <w:t>Details</w:t>
            </w:r>
          </w:p>
        </w:tc>
        <w:tc>
          <w:tcPr>
            <w:tcW w:w="1119" w:type="dxa"/>
            <w:tcBorders>
              <w:top w:val="single" w:sz="6" w:space="0" w:color="CCCCCC"/>
              <w:left w:val="single" w:sz="6" w:space="0" w:color="CCCCCC"/>
              <w:bottom w:val="single" w:sz="6" w:space="0" w:color="000000"/>
              <w:right w:val="single" w:sz="6" w:space="0" w:color="000000"/>
            </w:tcBorders>
            <w:shd w:val="clear" w:color="auto" w:fill="FAFBFD"/>
            <w:tcMar>
              <w:top w:w="0" w:type="dxa"/>
              <w:left w:w="40" w:type="dxa"/>
              <w:bottom w:w="0" w:type="dxa"/>
              <w:right w:w="40" w:type="dxa"/>
            </w:tcMar>
            <w:vAlign w:val="center"/>
          </w:tcPr>
          <w:p w14:paraId="637DD3C6" w14:textId="77777777" w:rsidR="00F3751F" w:rsidRDefault="00C77840">
            <w:pPr>
              <w:jc w:val="center"/>
              <w:rPr>
                <w:rFonts w:ascii="Calibri" w:eastAsia="Calibri" w:hAnsi="Calibri" w:cs="Calibri"/>
                <w:sz w:val="22"/>
                <w:szCs w:val="22"/>
              </w:rPr>
            </w:pPr>
            <w:r>
              <w:rPr>
                <w:b/>
                <w:bCs/>
              </w:rPr>
              <w:t>2021</w:t>
            </w:r>
          </w:p>
        </w:tc>
        <w:tc>
          <w:tcPr>
            <w:tcW w:w="1119" w:type="dxa"/>
            <w:tcBorders>
              <w:top w:val="single" w:sz="6" w:space="0" w:color="CCCCCC"/>
              <w:left w:val="single" w:sz="6" w:space="0" w:color="CCCCCC"/>
              <w:bottom w:val="single" w:sz="6" w:space="0" w:color="000000"/>
              <w:right w:val="single" w:sz="6" w:space="0" w:color="000000"/>
            </w:tcBorders>
            <w:shd w:val="clear" w:color="auto" w:fill="FAFBFD"/>
            <w:tcMar>
              <w:top w:w="0" w:type="dxa"/>
              <w:left w:w="40" w:type="dxa"/>
              <w:bottom w:w="0" w:type="dxa"/>
              <w:right w:w="40" w:type="dxa"/>
            </w:tcMar>
            <w:vAlign w:val="center"/>
          </w:tcPr>
          <w:p w14:paraId="637DD3C7" w14:textId="77777777" w:rsidR="00F3751F" w:rsidRDefault="00C77840">
            <w:pPr>
              <w:jc w:val="center"/>
              <w:rPr>
                <w:rFonts w:ascii="Calibri" w:eastAsia="Calibri" w:hAnsi="Calibri" w:cs="Calibri"/>
                <w:sz w:val="22"/>
                <w:szCs w:val="22"/>
              </w:rPr>
            </w:pPr>
            <w:r>
              <w:rPr>
                <w:b/>
                <w:bCs/>
              </w:rPr>
              <w:t>2022</w:t>
            </w:r>
          </w:p>
        </w:tc>
        <w:tc>
          <w:tcPr>
            <w:tcW w:w="1119" w:type="dxa"/>
            <w:tcBorders>
              <w:top w:val="single" w:sz="6" w:space="0" w:color="CCCCCC"/>
              <w:left w:val="single" w:sz="6" w:space="0" w:color="CCCCCC"/>
              <w:bottom w:val="single" w:sz="6" w:space="0" w:color="000000"/>
              <w:right w:val="single" w:sz="6" w:space="0" w:color="000000"/>
            </w:tcBorders>
            <w:shd w:val="clear" w:color="auto" w:fill="FAFBFD"/>
            <w:tcMar>
              <w:top w:w="0" w:type="dxa"/>
              <w:left w:w="40" w:type="dxa"/>
              <w:bottom w:w="0" w:type="dxa"/>
              <w:right w:w="40" w:type="dxa"/>
            </w:tcMar>
            <w:vAlign w:val="center"/>
          </w:tcPr>
          <w:p w14:paraId="637DD3C8" w14:textId="77777777" w:rsidR="00F3751F" w:rsidRDefault="00C77840">
            <w:pPr>
              <w:jc w:val="center"/>
              <w:rPr>
                <w:rFonts w:ascii="Calibri" w:eastAsia="Calibri" w:hAnsi="Calibri" w:cs="Calibri"/>
                <w:sz w:val="22"/>
                <w:szCs w:val="22"/>
              </w:rPr>
            </w:pPr>
            <w:r>
              <w:rPr>
                <w:b/>
                <w:bCs/>
              </w:rPr>
              <w:t>2023</w:t>
            </w:r>
          </w:p>
        </w:tc>
        <w:tc>
          <w:tcPr>
            <w:tcW w:w="1270" w:type="dxa"/>
            <w:tcBorders>
              <w:top w:val="single" w:sz="6" w:space="0" w:color="CCCCCC"/>
              <w:left w:val="single" w:sz="6" w:space="0" w:color="CCCCCC"/>
              <w:bottom w:val="single" w:sz="6" w:space="0" w:color="000000"/>
              <w:right w:val="single" w:sz="6" w:space="0" w:color="000000"/>
            </w:tcBorders>
            <w:shd w:val="clear" w:color="auto" w:fill="FAFBFD"/>
            <w:tcMar>
              <w:top w:w="0" w:type="dxa"/>
              <w:left w:w="40" w:type="dxa"/>
              <w:bottom w:w="0" w:type="dxa"/>
              <w:right w:w="40" w:type="dxa"/>
            </w:tcMar>
            <w:vAlign w:val="center"/>
          </w:tcPr>
          <w:p w14:paraId="637DD3C9" w14:textId="77777777" w:rsidR="00F3751F" w:rsidRDefault="00C77840">
            <w:pPr>
              <w:jc w:val="center"/>
              <w:rPr>
                <w:rFonts w:ascii="Calibri" w:eastAsia="Calibri" w:hAnsi="Calibri" w:cs="Calibri"/>
                <w:sz w:val="22"/>
                <w:szCs w:val="22"/>
              </w:rPr>
            </w:pPr>
            <w:r>
              <w:rPr>
                <w:b/>
                <w:bCs/>
              </w:rPr>
              <w:t>2024</w:t>
            </w:r>
          </w:p>
        </w:tc>
        <w:tc>
          <w:tcPr>
            <w:tcW w:w="1119" w:type="dxa"/>
            <w:tcBorders>
              <w:top w:val="single" w:sz="6" w:space="0" w:color="CCCCCC"/>
              <w:left w:val="single" w:sz="6" w:space="0" w:color="CCCCCC"/>
              <w:bottom w:val="single" w:sz="6" w:space="0" w:color="000000"/>
              <w:right w:val="single" w:sz="6" w:space="0" w:color="000000"/>
            </w:tcBorders>
            <w:shd w:val="clear" w:color="auto" w:fill="FAFBFD"/>
            <w:tcMar>
              <w:top w:w="0" w:type="dxa"/>
              <w:left w:w="40" w:type="dxa"/>
              <w:bottom w:w="0" w:type="dxa"/>
              <w:right w:w="40" w:type="dxa"/>
            </w:tcMar>
            <w:vAlign w:val="center"/>
          </w:tcPr>
          <w:p w14:paraId="637DD3CA" w14:textId="77777777" w:rsidR="00F3751F" w:rsidRDefault="00C77840">
            <w:pPr>
              <w:jc w:val="center"/>
              <w:rPr>
                <w:rFonts w:ascii="Calibri" w:eastAsia="Calibri" w:hAnsi="Calibri" w:cs="Calibri"/>
                <w:sz w:val="22"/>
                <w:szCs w:val="22"/>
              </w:rPr>
            </w:pPr>
            <w:r>
              <w:rPr>
                <w:b/>
                <w:bCs/>
              </w:rPr>
              <w:t>2025</w:t>
            </w:r>
          </w:p>
        </w:tc>
      </w:tr>
      <w:tr w:rsidR="00F3751F" w14:paraId="637DD3D3"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3CC" w14:textId="77777777" w:rsidR="00F3751F" w:rsidRDefault="00C77840">
            <w:pPr>
              <w:jc w:val="center"/>
              <w:rPr>
                <w:rFonts w:ascii="Calibri" w:eastAsia="Calibri" w:hAnsi="Calibri" w:cs="Calibri"/>
                <w:sz w:val="22"/>
                <w:szCs w:val="22"/>
              </w:rPr>
            </w:pPr>
            <w:r>
              <w:t>Revenue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3CD" w14:textId="77777777" w:rsidR="00F3751F" w:rsidRDefault="00C77840">
            <w:pPr>
              <w:jc w:val="center"/>
              <w:rPr>
                <w:rFonts w:ascii="Calibri" w:eastAsia="Calibri" w:hAnsi="Calibri" w:cs="Calibri"/>
                <w:sz w:val="22"/>
                <w:szCs w:val="22"/>
              </w:rPr>
            </w:pPr>
            <w:r>
              <w:t>A</w:t>
            </w:r>
          </w:p>
        </w:tc>
        <w:tc>
          <w:tcPr>
            <w:tcW w:w="1119" w:type="dxa"/>
            <w:tcBorders>
              <w:top w:val="single" w:sz="6" w:space="0" w:color="CCCCCC"/>
              <w:left w:val="single" w:sz="6" w:space="0" w:color="CCCCCC"/>
              <w:bottom w:val="single" w:sz="6" w:space="0" w:color="000000"/>
              <w:right w:val="single" w:sz="6" w:space="0" w:color="000000"/>
            </w:tcBorders>
            <w:shd w:val="clear" w:color="auto" w:fill="EDF6F2"/>
            <w:tcMar>
              <w:top w:w="0" w:type="dxa"/>
              <w:left w:w="40" w:type="dxa"/>
              <w:bottom w:w="0" w:type="dxa"/>
              <w:right w:w="40" w:type="dxa"/>
            </w:tcMar>
            <w:vAlign w:val="center"/>
          </w:tcPr>
          <w:p w14:paraId="637DD3CE" w14:textId="77777777" w:rsidR="00F3751F" w:rsidRDefault="00C77840">
            <w:pPr>
              <w:jc w:val="center"/>
              <w:rPr>
                <w:rFonts w:ascii="Calibri" w:eastAsia="Calibri" w:hAnsi="Calibri" w:cs="Calibri"/>
                <w:sz w:val="22"/>
                <w:szCs w:val="22"/>
              </w:rPr>
            </w:pPr>
            <w:r>
              <w:t>3,028.00</w:t>
            </w:r>
          </w:p>
        </w:tc>
        <w:tc>
          <w:tcPr>
            <w:tcW w:w="1119" w:type="dxa"/>
            <w:tcBorders>
              <w:top w:val="single" w:sz="6" w:space="0" w:color="CCCCCC"/>
              <w:left w:val="single" w:sz="6" w:space="0" w:color="CCCCCC"/>
              <w:bottom w:val="single" w:sz="6" w:space="0" w:color="000000"/>
              <w:right w:val="single" w:sz="6" w:space="0" w:color="000000"/>
            </w:tcBorders>
            <w:shd w:val="clear" w:color="auto" w:fill="C9E8D3"/>
            <w:tcMar>
              <w:top w:w="0" w:type="dxa"/>
              <w:left w:w="40" w:type="dxa"/>
              <w:bottom w:w="0" w:type="dxa"/>
              <w:right w:w="40" w:type="dxa"/>
            </w:tcMar>
            <w:vAlign w:val="center"/>
          </w:tcPr>
          <w:p w14:paraId="637DD3CF" w14:textId="77777777" w:rsidR="00F3751F" w:rsidRDefault="00C77840">
            <w:pPr>
              <w:jc w:val="center"/>
              <w:rPr>
                <w:rFonts w:ascii="Calibri" w:eastAsia="Calibri" w:hAnsi="Calibri" w:cs="Calibri"/>
                <w:sz w:val="22"/>
                <w:szCs w:val="22"/>
              </w:rPr>
            </w:pPr>
            <w:r>
              <w:t>5,891.00</w:t>
            </w:r>
          </w:p>
        </w:tc>
        <w:tc>
          <w:tcPr>
            <w:tcW w:w="1119" w:type="dxa"/>
            <w:tcBorders>
              <w:top w:val="single" w:sz="6" w:space="0" w:color="CCCCCC"/>
              <w:left w:val="single" w:sz="6" w:space="0" w:color="CCCCCC"/>
              <w:bottom w:val="single" w:sz="6" w:space="0" w:color="000000"/>
              <w:right w:val="single" w:sz="6" w:space="0" w:color="000000"/>
            </w:tcBorders>
            <w:shd w:val="clear" w:color="auto" w:fill="C0E4CB"/>
            <w:tcMar>
              <w:top w:w="0" w:type="dxa"/>
              <w:left w:w="40" w:type="dxa"/>
              <w:bottom w:w="0" w:type="dxa"/>
              <w:right w:w="40" w:type="dxa"/>
            </w:tcMar>
            <w:vAlign w:val="center"/>
          </w:tcPr>
          <w:p w14:paraId="637DD3D0" w14:textId="77777777" w:rsidR="00F3751F" w:rsidRDefault="00C77840">
            <w:pPr>
              <w:jc w:val="center"/>
              <w:rPr>
                <w:rFonts w:ascii="Calibri" w:eastAsia="Calibri" w:hAnsi="Calibri" w:cs="Calibri"/>
                <w:sz w:val="22"/>
                <w:szCs w:val="22"/>
              </w:rPr>
            </w:pPr>
            <w:r>
              <w:t>6,667.00</w:t>
            </w:r>
          </w:p>
        </w:tc>
        <w:tc>
          <w:tcPr>
            <w:tcW w:w="1270" w:type="dxa"/>
            <w:tcBorders>
              <w:top w:val="single" w:sz="6" w:space="0" w:color="CCCCCC"/>
              <w:left w:val="single" w:sz="6" w:space="0" w:color="CCCCCC"/>
              <w:bottom w:val="single" w:sz="6" w:space="0" w:color="000000"/>
              <w:right w:val="single" w:sz="6" w:space="0" w:color="000000"/>
            </w:tcBorders>
            <w:shd w:val="clear" w:color="auto" w:fill="C0E4CB"/>
            <w:tcMar>
              <w:top w:w="0" w:type="dxa"/>
              <w:left w:w="40" w:type="dxa"/>
              <w:bottom w:w="0" w:type="dxa"/>
              <w:right w:w="40" w:type="dxa"/>
            </w:tcMar>
            <w:vAlign w:val="center"/>
          </w:tcPr>
          <w:p w14:paraId="637DD3D1" w14:textId="77777777" w:rsidR="00F3751F" w:rsidRDefault="00C77840">
            <w:pPr>
              <w:jc w:val="center"/>
              <w:rPr>
                <w:rFonts w:ascii="Calibri" w:eastAsia="Calibri" w:hAnsi="Calibri" w:cs="Calibri"/>
                <w:sz w:val="22"/>
                <w:szCs w:val="22"/>
              </w:rPr>
            </w:pPr>
            <w:r>
              <w:t>6,648.00</w:t>
            </w:r>
          </w:p>
        </w:tc>
        <w:tc>
          <w:tcPr>
            <w:tcW w:w="1119" w:type="dxa"/>
            <w:tcBorders>
              <w:top w:val="single" w:sz="6" w:space="0" w:color="CCCCCC"/>
              <w:left w:val="single" w:sz="6" w:space="0" w:color="CCCCCC"/>
              <w:bottom w:val="single" w:sz="6" w:space="0" w:color="000000"/>
              <w:right w:val="single" w:sz="6" w:space="0" w:color="000000"/>
            </w:tcBorders>
            <w:shd w:val="clear" w:color="auto" w:fill="BAE2C6"/>
            <w:tcMar>
              <w:top w:w="0" w:type="dxa"/>
              <w:left w:w="40" w:type="dxa"/>
              <w:bottom w:w="0" w:type="dxa"/>
              <w:right w:w="40" w:type="dxa"/>
            </w:tcMar>
            <w:vAlign w:val="center"/>
          </w:tcPr>
          <w:p w14:paraId="637DD3D2" w14:textId="77777777" w:rsidR="00F3751F" w:rsidRDefault="00C77840">
            <w:pPr>
              <w:jc w:val="center"/>
              <w:rPr>
                <w:rFonts w:ascii="Calibri" w:eastAsia="Calibri" w:hAnsi="Calibri" w:cs="Calibri"/>
                <w:sz w:val="22"/>
                <w:szCs w:val="22"/>
              </w:rPr>
            </w:pPr>
            <w:r>
              <w:t>7,101.00</w:t>
            </w:r>
          </w:p>
        </w:tc>
      </w:tr>
      <w:tr w:rsidR="00F3751F" w14:paraId="637DD3DB"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3D4" w14:textId="77777777" w:rsidR="00F3751F" w:rsidRDefault="00C77840">
            <w:pPr>
              <w:jc w:val="center"/>
              <w:rPr>
                <w:rFonts w:ascii="Calibri" w:eastAsia="Calibri" w:hAnsi="Calibri" w:cs="Calibri"/>
                <w:sz w:val="22"/>
                <w:szCs w:val="22"/>
              </w:rPr>
            </w:pPr>
            <w:r>
              <w:t>Operating Profit/(Loss)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3D5" w14:textId="77777777" w:rsidR="00F3751F" w:rsidRDefault="00C77840">
            <w:pPr>
              <w:jc w:val="center"/>
              <w:rPr>
                <w:rFonts w:ascii="Calibri" w:eastAsia="Calibri" w:hAnsi="Calibri" w:cs="Calibri"/>
                <w:sz w:val="22"/>
                <w:szCs w:val="22"/>
              </w:rPr>
            </w:pPr>
            <w:r>
              <w:t>B</w:t>
            </w:r>
          </w:p>
        </w:tc>
        <w:tc>
          <w:tcPr>
            <w:tcW w:w="1119" w:type="dxa"/>
            <w:tcBorders>
              <w:top w:val="single" w:sz="6" w:space="0" w:color="CCCCCC"/>
              <w:left w:val="single" w:sz="6" w:space="0" w:color="CCCCCC"/>
              <w:bottom w:val="single" w:sz="6" w:space="0" w:color="000000"/>
              <w:right w:val="single" w:sz="6" w:space="0" w:color="000000"/>
            </w:tcBorders>
            <w:shd w:val="clear" w:color="auto" w:fill="F87C7E"/>
            <w:tcMar>
              <w:top w:w="0" w:type="dxa"/>
              <w:left w:w="40" w:type="dxa"/>
              <w:bottom w:w="0" w:type="dxa"/>
              <w:right w:w="40" w:type="dxa"/>
            </w:tcMar>
            <w:vAlign w:val="center"/>
          </w:tcPr>
          <w:p w14:paraId="637DD3D6" w14:textId="77777777" w:rsidR="00F3751F" w:rsidRDefault="00C77840">
            <w:pPr>
              <w:jc w:val="center"/>
              <w:rPr>
                <w:rFonts w:ascii="Calibri" w:eastAsia="Calibri" w:hAnsi="Calibri" w:cs="Calibri"/>
                <w:sz w:val="22"/>
                <w:szCs w:val="22"/>
              </w:rPr>
            </w:pPr>
            <w:r>
              <w:t>44.00</w:t>
            </w:r>
          </w:p>
        </w:tc>
        <w:tc>
          <w:tcPr>
            <w:tcW w:w="1119" w:type="dxa"/>
            <w:tcBorders>
              <w:top w:val="single" w:sz="6" w:space="0" w:color="CCCCCC"/>
              <w:left w:val="single" w:sz="6" w:space="0" w:color="CCCCCC"/>
              <w:bottom w:val="single" w:sz="6" w:space="0" w:color="000000"/>
              <w:right w:val="single" w:sz="6" w:space="0" w:color="000000"/>
            </w:tcBorders>
            <w:shd w:val="clear" w:color="auto" w:fill="F99395"/>
            <w:tcMar>
              <w:top w:w="0" w:type="dxa"/>
              <w:left w:w="40" w:type="dxa"/>
              <w:bottom w:w="0" w:type="dxa"/>
              <w:right w:w="40" w:type="dxa"/>
            </w:tcMar>
            <w:vAlign w:val="center"/>
          </w:tcPr>
          <w:p w14:paraId="637DD3D7" w14:textId="77777777" w:rsidR="00F3751F" w:rsidRDefault="00C77840">
            <w:pPr>
              <w:jc w:val="center"/>
              <w:rPr>
                <w:rFonts w:ascii="Calibri" w:eastAsia="Calibri" w:hAnsi="Calibri" w:cs="Calibri"/>
                <w:sz w:val="22"/>
                <w:szCs w:val="22"/>
              </w:rPr>
            </w:pPr>
            <w:r>
              <w:t>363.00</w:t>
            </w:r>
          </w:p>
        </w:tc>
        <w:tc>
          <w:tcPr>
            <w:tcW w:w="1119" w:type="dxa"/>
            <w:tcBorders>
              <w:top w:val="single" w:sz="6" w:space="0" w:color="CCCCCC"/>
              <w:left w:val="single" w:sz="6" w:space="0" w:color="CCCCCC"/>
              <w:bottom w:val="single" w:sz="6" w:space="0" w:color="000000"/>
              <w:right w:val="single" w:sz="6" w:space="0" w:color="000000"/>
            </w:tcBorders>
            <w:shd w:val="clear" w:color="auto" w:fill="F98F92"/>
            <w:tcMar>
              <w:top w:w="0" w:type="dxa"/>
              <w:left w:w="40" w:type="dxa"/>
              <w:bottom w:w="0" w:type="dxa"/>
              <w:right w:w="40" w:type="dxa"/>
            </w:tcMar>
            <w:vAlign w:val="center"/>
          </w:tcPr>
          <w:p w14:paraId="637DD3D8" w14:textId="77777777" w:rsidR="00F3751F" w:rsidRDefault="00C77840">
            <w:pPr>
              <w:jc w:val="center"/>
              <w:rPr>
                <w:rFonts w:ascii="Calibri" w:eastAsia="Calibri" w:hAnsi="Calibri" w:cs="Calibri"/>
                <w:sz w:val="22"/>
                <w:szCs w:val="22"/>
              </w:rPr>
            </w:pPr>
            <w:r>
              <w:t>310.00</w:t>
            </w:r>
          </w:p>
        </w:tc>
        <w:tc>
          <w:tcPr>
            <w:tcW w:w="1270" w:type="dxa"/>
            <w:tcBorders>
              <w:top w:val="single" w:sz="6" w:space="0" w:color="CCCCCC"/>
              <w:left w:val="single" w:sz="6" w:space="0" w:color="CCCCCC"/>
              <w:bottom w:val="single" w:sz="6" w:space="0" w:color="000000"/>
              <w:right w:val="single" w:sz="6" w:space="0" w:color="000000"/>
            </w:tcBorders>
            <w:shd w:val="clear" w:color="auto" w:fill="FBEBEE"/>
            <w:tcMar>
              <w:top w:w="0" w:type="dxa"/>
              <w:left w:w="40" w:type="dxa"/>
              <w:bottom w:w="0" w:type="dxa"/>
              <w:right w:w="40" w:type="dxa"/>
            </w:tcMar>
            <w:vAlign w:val="center"/>
          </w:tcPr>
          <w:p w14:paraId="637DD3D9" w14:textId="77777777" w:rsidR="00F3751F" w:rsidRDefault="00C77840">
            <w:pPr>
              <w:jc w:val="center"/>
              <w:rPr>
                <w:rFonts w:ascii="Calibri" w:eastAsia="Calibri" w:hAnsi="Calibri" w:cs="Calibri"/>
                <w:sz w:val="22"/>
                <w:szCs w:val="22"/>
              </w:rPr>
            </w:pPr>
            <w:r>
              <w:t>1,563.00</w:t>
            </w:r>
          </w:p>
        </w:tc>
        <w:tc>
          <w:tcPr>
            <w:tcW w:w="1119" w:type="dxa"/>
            <w:tcBorders>
              <w:top w:val="single" w:sz="6" w:space="0" w:color="CCCCCC"/>
              <w:left w:val="single" w:sz="6" w:space="0" w:color="CCCCCC"/>
              <w:bottom w:val="single" w:sz="6" w:space="0" w:color="000000"/>
              <w:right w:val="single" w:sz="6" w:space="0" w:color="000000"/>
            </w:tcBorders>
            <w:shd w:val="clear" w:color="auto" w:fill="F87F81"/>
            <w:tcMar>
              <w:top w:w="0" w:type="dxa"/>
              <w:left w:w="40" w:type="dxa"/>
              <w:bottom w:w="0" w:type="dxa"/>
              <w:right w:w="40" w:type="dxa"/>
            </w:tcMar>
            <w:vAlign w:val="center"/>
          </w:tcPr>
          <w:p w14:paraId="637DD3DA" w14:textId="77777777" w:rsidR="00F3751F" w:rsidRDefault="00C77840">
            <w:pPr>
              <w:jc w:val="center"/>
              <w:rPr>
                <w:rFonts w:ascii="Calibri" w:eastAsia="Calibri" w:hAnsi="Calibri" w:cs="Calibri"/>
                <w:sz w:val="22"/>
                <w:szCs w:val="22"/>
              </w:rPr>
            </w:pPr>
            <w:r>
              <w:t>81.00</w:t>
            </w:r>
          </w:p>
        </w:tc>
      </w:tr>
      <w:tr w:rsidR="00F3751F" w14:paraId="637DD3E3"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3DC" w14:textId="77777777" w:rsidR="00F3751F" w:rsidRDefault="00C77840">
            <w:pPr>
              <w:jc w:val="center"/>
              <w:rPr>
                <w:rFonts w:ascii="Calibri" w:eastAsia="Calibri" w:hAnsi="Calibri" w:cs="Calibri"/>
                <w:sz w:val="22"/>
                <w:szCs w:val="22"/>
              </w:rPr>
            </w:pPr>
            <w:r>
              <w:t>Net Profit/(Loss)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3DD" w14:textId="77777777" w:rsidR="00F3751F" w:rsidRDefault="00C77840">
            <w:pPr>
              <w:jc w:val="center"/>
              <w:rPr>
                <w:rFonts w:ascii="Calibri" w:eastAsia="Calibri" w:hAnsi="Calibri" w:cs="Calibri"/>
                <w:sz w:val="22"/>
                <w:szCs w:val="22"/>
              </w:rPr>
            </w:pPr>
            <w:r>
              <w:t>C</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3DE" w14:textId="77777777" w:rsidR="00F3751F" w:rsidRDefault="00C77840">
            <w:pPr>
              <w:jc w:val="center"/>
              <w:rPr>
                <w:rFonts w:ascii="Calibri" w:eastAsia="Calibri" w:hAnsi="Calibri" w:cs="Calibri"/>
                <w:sz w:val="22"/>
                <w:szCs w:val="22"/>
              </w:rPr>
            </w:pPr>
            <w:r>
              <w:t>(222.00)</w:t>
            </w:r>
          </w:p>
        </w:tc>
        <w:tc>
          <w:tcPr>
            <w:tcW w:w="1119" w:type="dxa"/>
            <w:tcBorders>
              <w:top w:val="single" w:sz="6" w:space="0" w:color="CCCCCC"/>
              <w:left w:val="single" w:sz="6" w:space="0" w:color="CCCCCC"/>
              <w:bottom w:val="single" w:sz="6" w:space="0" w:color="000000"/>
              <w:right w:val="single" w:sz="6" w:space="0" w:color="000000"/>
            </w:tcBorders>
            <w:shd w:val="clear" w:color="auto" w:fill="F99A9C"/>
            <w:tcMar>
              <w:top w:w="0" w:type="dxa"/>
              <w:left w:w="40" w:type="dxa"/>
              <w:bottom w:w="0" w:type="dxa"/>
              <w:right w:w="40" w:type="dxa"/>
            </w:tcMar>
            <w:vAlign w:val="center"/>
          </w:tcPr>
          <w:p w14:paraId="637DD3DF" w14:textId="77777777" w:rsidR="00F3751F" w:rsidRDefault="00C77840">
            <w:pPr>
              <w:jc w:val="center"/>
              <w:rPr>
                <w:rFonts w:ascii="Calibri" w:eastAsia="Calibri" w:hAnsi="Calibri" w:cs="Calibri"/>
                <w:sz w:val="22"/>
                <w:szCs w:val="22"/>
              </w:rPr>
            </w:pPr>
            <w:r>
              <w:t>455.00</w:t>
            </w:r>
          </w:p>
        </w:tc>
        <w:tc>
          <w:tcPr>
            <w:tcW w:w="1119" w:type="dxa"/>
            <w:tcBorders>
              <w:top w:val="single" w:sz="6" w:space="0" w:color="CCCCCC"/>
              <w:left w:val="single" w:sz="6" w:space="0" w:color="CCCCCC"/>
              <w:bottom w:val="single" w:sz="6" w:space="0" w:color="000000"/>
              <w:right w:val="single" w:sz="6" w:space="0" w:color="000000"/>
            </w:tcBorders>
            <w:shd w:val="clear" w:color="auto" w:fill="F8898B"/>
            <w:tcMar>
              <w:top w:w="0" w:type="dxa"/>
              <w:left w:w="40" w:type="dxa"/>
              <w:bottom w:w="0" w:type="dxa"/>
              <w:right w:w="40" w:type="dxa"/>
            </w:tcMar>
            <w:vAlign w:val="center"/>
          </w:tcPr>
          <w:p w14:paraId="637DD3E0" w14:textId="77777777" w:rsidR="00F3751F" w:rsidRDefault="00C77840">
            <w:pPr>
              <w:jc w:val="center"/>
              <w:rPr>
                <w:rFonts w:ascii="Calibri" w:eastAsia="Calibri" w:hAnsi="Calibri" w:cs="Calibri"/>
                <w:sz w:val="22"/>
                <w:szCs w:val="22"/>
              </w:rPr>
            </w:pPr>
            <w:r>
              <w:t>220.00</w:t>
            </w:r>
          </w:p>
        </w:tc>
        <w:tc>
          <w:tcPr>
            <w:tcW w:w="1270" w:type="dxa"/>
            <w:tcBorders>
              <w:top w:val="single" w:sz="6" w:space="0" w:color="CCCCCC"/>
              <w:left w:val="single" w:sz="6" w:space="0" w:color="CCCCCC"/>
              <w:bottom w:val="single" w:sz="6" w:space="0" w:color="000000"/>
              <w:right w:val="single" w:sz="6" w:space="0" w:color="000000"/>
            </w:tcBorders>
            <w:shd w:val="clear" w:color="auto" w:fill="FBD7DA"/>
            <w:tcMar>
              <w:top w:w="0" w:type="dxa"/>
              <w:left w:w="40" w:type="dxa"/>
              <w:bottom w:w="0" w:type="dxa"/>
              <w:right w:w="40" w:type="dxa"/>
            </w:tcMar>
            <w:vAlign w:val="center"/>
          </w:tcPr>
          <w:p w14:paraId="637DD3E1" w14:textId="77777777" w:rsidR="00F3751F" w:rsidRDefault="00C77840">
            <w:pPr>
              <w:jc w:val="center"/>
              <w:rPr>
                <w:rFonts w:ascii="Calibri" w:eastAsia="Calibri" w:hAnsi="Calibri" w:cs="Calibri"/>
                <w:sz w:val="22"/>
                <w:szCs w:val="22"/>
              </w:rPr>
            </w:pPr>
            <w:r>
              <w:t>1,296.00</w:t>
            </w:r>
          </w:p>
        </w:tc>
        <w:tc>
          <w:tcPr>
            <w:tcW w:w="1119" w:type="dxa"/>
            <w:tcBorders>
              <w:top w:val="single" w:sz="6" w:space="0" w:color="CCCCCC"/>
              <w:left w:val="single" w:sz="6" w:space="0" w:color="CCCCCC"/>
              <w:bottom w:val="single" w:sz="6" w:space="0" w:color="000000"/>
              <w:right w:val="single" w:sz="6" w:space="0" w:color="000000"/>
            </w:tcBorders>
            <w:shd w:val="clear" w:color="auto" w:fill="F87577"/>
            <w:tcMar>
              <w:top w:w="0" w:type="dxa"/>
              <w:left w:w="40" w:type="dxa"/>
              <w:bottom w:w="0" w:type="dxa"/>
              <w:right w:w="40" w:type="dxa"/>
            </w:tcMar>
            <w:vAlign w:val="center"/>
          </w:tcPr>
          <w:p w14:paraId="637DD3E2" w14:textId="77777777" w:rsidR="00F3751F" w:rsidRDefault="00C77840">
            <w:pPr>
              <w:jc w:val="center"/>
              <w:rPr>
                <w:rFonts w:ascii="Calibri" w:eastAsia="Calibri" w:hAnsi="Calibri" w:cs="Calibri"/>
                <w:sz w:val="22"/>
                <w:szCs w:val="22"/>
              </w:rPr>
            </w:pPr>
            <w:r>
              <w:t>(49.00)</w:t>
            </w:r>
          </w:p>
        </w:tc>
      </w:tr>
      <w:tr w:rsidR="00F3751F" w14:paraId="637DD3EB"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3E4" w14:textId="77777777" w:rsidR="00F3751F" w:rsidRDefault="00C77840">
            <w:pPr>
              <w:jc w:val="center"/>
              <w:rPr>
                <w:rFonts w:ascii="Calibri" w:eastAsia="Calibri" w:hAnsi="Calibri" w:cs="Calibri"/>
                <w:sz w:val="22"/>
                <w:szCs w:val="22"/>
              </w:rPr>
            </w:pPr>
            <w:r>
              <w:t>Total Assets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3E5" w14:textId="77777777" w:rsidR="00F3751F" w:rsidRDefault="00C77840">
            <w:pPr>
              <w:jc w:val="center"/>
              <w:rPr>
                <w:rFonts w:ascii="Calibri" w:eastAsia="Calibri" w:hAnsi="Calibri" w:cs="Calibri"/>
                <w:sz w:val="22"/>
                <w:szCs w:val="22"/>
              </w:rPr>
            </w:pPr>
            <w:r>
              <w:t>D</w:t>
            </w:r>
          </w:p>
        </w:tc>
        <w:tc>
          <w:tcPr>
            <w:tcW w:w="1119" w:type="dxa"/>
            <w:tcBorders>
              <w:top w:val="single" w:sz="6" w:space="0" w:color="CCCCCC"/>
              <w:left w:val="single" w:sz="6" w:space="0" w:color="CCCCCC"/>
              <w:bottom w:val="single" w:sz="6" w:space="0" w:color="000000"/>
              <w:right w:val="single" w:sz="6" w:space="0" w:color="000000"/>
            </w:tcBorders>
            <w:shd w:val="clear" w:color="auto" w:fill="75C68B"/>
            <w:tcMar>
              <w:top w:w="0" w:type="dxa"/>
              <w:left w:w="40" w:type="dxa"/>
              <w:bottom w:w="0" w:type="dxa"/>
              <w:right w:w="40" w:type="dxa"/>
            </w:tcMar>
            <w:vAlign w:val="center"/>
          </w:tcPr>
          <w:p w14:paraId="637DD3E6" w14:textId="77777777" w:rsidR="00F3751F" w:rsidRDefault="00C77840">
            <w:pPr>
              <w:jc w:val="center"/>
              <w:rPr>
                <w:rFonts w:ascii="Calibri" w:eastAsia="Calibri" w:hAnsi="Calibri" w:cs="Calibri"/>
                <w:sz w:val="22"/>
                <w:szCs w:val="22"/>
              </w:rPr>
            </w:pPr>
            <w:r>
              <w:t>12,603.00</w:t>
            </w:r>
          </w:p>
        </w:tc>
        <w:tc>
          <w:tcPr>
            <w:tcW w:w="1119" w:type="dxa"/>
            <w:tcBorders>
              <w:top w:val="single" w:sz="6" w:space="0" w:color="CCCCCC"/>
              <w:left w:val="single" w:sz="6" w:space="0" w:color="CCCCCC"/>
              <w:bottom w:val="single" w:sz="6" w:space="0" w:color="000000"/>
              <w:right w:val="single" w:sz="6" w:space="0" w:color="000000"/>
            </w:tcBorders>
            <w:shd w:val="clear" w:color="auto" w:fill="79C78E"/>
            <w:tcMar>
              <w:top w:w="0" w:type="dxa"/>
              <w:left w:w="40" w:type="dxa"/>
              <w:bottom w:w="0" w:type="dxa"/>
              <w:right w:w="40" w:type="dxa"/>
            </w:tcMar>
            <w:vAlign w:val="center"/>
          </w:tcPr>
          <w:p w14:paraId="637DD3E7" w14:textId="77777777" w:rsidR="00F3751F" w:rsidRDefault="00C77840">
            <w:pPr>
              <w:jc w:val="center"/>
              <w:rPr>
                <w:rFonts w:ascii="Calibri" w:eastAsia="Calibri" w:hAnsi="Calibri" w:cs="Calibri"/>
                <w:sz w:val="22"/>
                <w:szCs w:val="22"/>
              </w:rPr>
            </w:pPr>
            <w:r>
              <w:t>12,312.00</w:t>
            </w:r>
          </w:p>
        </w:tc>
        <w:tc>
          <w:tcPr>
            <w:tcW w:w="1119" w:type="dxa"/>
            <w:tcBorders>
              <w:top w:val="single" w:sz="6" w:space="0" w:color="CCCCCC"/>
              <w:left w:val="single" w:sz="6" w:space="0" w:color="CCCCCC"/>
              <w:bottom w:val="single" w:sz="6" w:space="0" w:color="000000"/>
              <w:right w:val="single" w:sz="6" w:space="0" w:color="000000"/>
            </w:tcBorders>
            <w:shd w:val="clear" w:color="auto" w:fill="73C588"/>
            <w:tcMar>
              <w:top w:w="0" w:type="dxa"/>
              <w:left w:w="40" w:type="dxa"/>
              <w:bottom w:w="0" w:type="dxa"/>
              <w:right w:w="40" w:type="dxa"/>
            </w:tcMar>
            <w:vAlign w:val="center"/>
          </w:tcPr>
          <w:p w14:paraId="637DD3E8" w14:textId="77777777" w:rsidR="00F3751F" w:rsidRDefault="00C77840">
            <w:pPr>
              <w:jc w:val="center"/>
              <w:rPr>
                <w:rFonts w:ascii="Calibri" w:eastAsia="Calibri" w:hAnsi="Calibri" w:cs="Calibri"/>
                <w:sz w:val="22"/>
                <w:szCs w:val="22"/>
              </w:rPr>
            </w:pPr>
            <w:r>
              <w:t>12,833.00</w:t>
            </w:r>
          </w:p>
        </w:tc>
        <w:tc>
          <w:tcPr>
            <w:tcW w:w="1270" w:type="dxa"/>
            <w:tcBorders>
              <w:top w:val="single" w:sz="6" w:space="0" w:color="CCCCCC"/>
              <w:left w:val="single" w:sz="6" w:space="0" w:color="CCCCCC"/>
              <w:bottom w:val="single" w:sz="6" w:space="0" w:color="000000"/>
              <w:right w:val="single" w:sz="6" w:space="0" w:color="000000"/>
            </w:tcBorders>
            <w:shd w:val="clear" w:color="auto" w:fill="6CC283"/>
            <w:tcMar>
              <w:top w:w="0" w:type="dxa"/>
              <w:left w:w="40" w:type="dxa"/>
              <w:bottom w:w="0" w:type="dxa"/>
              <w:right w:w="40" w:type="dxa"/>
            </w:tcMar>
            <w:vAlign w:val="center"/>
          </w:tcPr>
          <w:p w14:paraId="637DD3E9" w14:textId="77777777" w:rsidR="00F3751F" w:rsidRDefault="00C77840">
            <w:pPr>
              <w:jc w:val="center"/>
              <w:rPr>
                <w:rFonts w:ascii="Calibri" w:eastAsia="Calibri" w:hAnsi="Calibri" w:cs="Calibri"/>
                <w:sz w:val="22"/>
                <w:szCs w:val="22"/>
              </w:rPr>
            </w:pPr>
            <w:r>
              <w:t>13,324.00</w:t>
            </w:r>
          </w:p>
        </w:tc>
        <w:tc>
          <w:tcPr>
            <w:tcW w:w="1119" w:type="dxa"/>
            <w:tcBorders>
              <w:top w:val="single" w:sz="6" w:space="0" w:color="CCCCCC"/>
              <w:left w:val="single" w:sz="6" w:space="0" w:color="CCCCCC"/>
              <w:bottom w:val="single" w:sz="6" w:space="0" w:color="000000"/>
              <w:right w:val="single" w:sz="6" w:space="0" w:color="000000"/>
            </w:tcBorders>
            <w:shd w:val="clear" w:color="auto" w:fill="63BE7B"/>
            <w:tcMar>
              <w:top w:w="0" w:type="dxa"/>
              <w:left w:w="40" w:type="dxa"/>
              <w:bottom w:w="0" w:type="dxa"/>
              <w:right w:w="40" w:type="dxa"/>
            </w:tcMar>
            <w:vAlign w:val="center"/>
          </w:tcPr>
          <w:p w14:paraId="637DD3EA" w14:textId="77777777" w:rsidR="00F3751F" w:rsidRDefault="00C77840">
            <w:pPr>
              <w:jc w:val="center"/>
              <w:rPr>
                <w:rFonts w:ascii="Calibri" w:eastAsia="Calibri" w:hAnsi="Calibri" w:cs="Calibri"/>
                <w:sz w:val="22"/>
                <w:szCs w:val="22"/>
              </w:rPr>
            </w:pPr>
            <w:r>
              <w:t>14,036.00</w:t>
            </w:r>
          </w:p>
        </w:tc>
      </w:tr>
      <w:tr w:rsidR="00F3751F" w14:paraId="637DD3F3"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3EC" w14:textId="77777777" w:rsidR="00F3751F" w:rsidRDefault="00C77840">
            <w:pPr>
              <w:jc w:val="center"/>
              <w:rPr>
                <w:rFonts w:ascii="Calibri" w:eastAsia="Calibri" w:hAnsi="Calibri" w:cs="Calibri"/>
                <w:sz w:val="22"/>
                <w:szCs w:val="22"/>
              </w:rPr>
            </w:pPr>
            <w:r>
              <w:t>Current Liabilities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3ED" w14:textId="77777777" w:rsidR="00F3751F" w:rsidRDefault="00C77840">
            <w:pPr>
              <w:jc w:val="center"/>
              <w:rPr>
                <w:rFonts w:ascii="Calibri" w:eastAsia="Calibri" w:hAnsi="Calibri" w:cs="Calibri"/>
                <w:sz w:val="22"/>
                <w:szCs w:val="22"/>
              </w:rPr>
            </w:pPr>
            <w:r>
              <w:t>E</w:t>
            </w:r>
          </w:p>
        </w:tc>
        <w:tc>
          <w:tcPr>
            <w:tcW w:w="1119" w:type="dxa"/>
            <w:tcBorders>
              <w:top w:val="single" w:sz="6" w:space="0" w:color="CCCCCC"/>
              <w:left w:val="single" w:sz="6" w:space="0" w:color="CCCCCC"/>
              <w:bottom w:val="single" w:sz="6" w:space="0" w:color="000000"/>
              <w:right w:val="single" w:sz="6" w:space="0" w:color="000000"/>
            </w:tcBorders>
            <w:shd w:val="clear" w:color="auto" w:fill="F7FAFB"/>
            <w:tcMar>
              <w:top w:w="0" w:type="dxa"/>
              <w:left w:w="40" w:type="dxa"/>
              <w:bottom w:w="0" w:type="dxa"/>
              <w:right w:w="40" w:type="dxa"/>
            </w:tcMar>
            <w:vAlign w:val="center"/>
          </w:tcPr>
          <w:p w14:paraId="637DD3EE" w14:textId="77777777" w:rsidR="00F3751F" w:rsidRDefault="00C77840">
            <w:pPr>
              <w:jc w:val="center"/>
              <w:rPr>
                <w:rFonts w:ascii="Calibri" w:eastAsia="Calibri" w:hAnsi="Calibri" w:cs="Calibri"/>
                <w:sz w:val="22"/>
                <w:szCs w:val="22"/>
              </w:rPr>
            </w:pPr>
            <w:r>
              <w:t>2,232.00</w:t>
            </w:r>
          </w:p>
        </w:tc>
        <w:tc>
          <w:tcPr>
            <w:tcW w:w="1119" w:type="dxa"/>
            <w:tcBorders>
              <w:top w:val="single" w:sz="6" w:space="0" w:color="CCCCCC"/>
              <w:left w:val="single" w:sz="6" w:space="0" w:color="CCCCCC"/>
              <w:bottom w:val="single" w:sz="6" w:space="0" w:color="000000"/>
              <w:right w:val="single" w:sz="6" w:space="0" w:color="000000"/>
            </w:tcBorders>
            <w:shd w:val="clear" w:color="auto" w:fill="EAF5EF"/>
            <w:tcMar>
              <w:top w:w="0" w:type="dxa"/>
              <w:left w:w="40" w:type="dxa"/>
              <w:bottom w:w="0" w:type="dxa"/>
              <w:right w:w="40" w:type="dxa"/>
            </w:tcMar>
            <w:vAlign w:val="center"/>
          </w:tcPr>
          <w:p w14:paraId="637DD3EF" w14:textId="77777777" w:rsidR="00F3751F" w:rsidRDefault="00C77840">
            <w:pPr>
              <w:jc w:val="center"/>
              <w:rPr>
                <w:rFonts w:ascii="Calibri" w:eastAsia="Calibri" w:hAnsi="Calibri" w:cs="Calibri"/>
                <w:sz w:val="22"/>
                <w:szCs w:val="22"/>
              </w:rPr>
            </w:pPr>
            <w:r>
              <w:t>3,287.00</w:t>
            </w:r>
          </w:p>
        </w:tc>
        <w:tc>
          <w:tcPr>
            <w:tcW w:w="1119" w:type="dxa"/>
            <w:tcBorders>
              <w:top w:val="single" w:sz="6" w:space="0" w:color="CCCCCC"/>
              <w:left w:val="single" w:sz="6" w:space="0" w:color="CCCCCC"/>
              <w:bottom w:val="single" w:sz="6" w:space="0" w:color="000000"/>
              <w:right w:val="single" w:sz="6" w:space="0" w:color="000000"/>
            </w:tcBorders>
            <w:shd w:val="clear" w:color="auto" w:fill="E6F3EC"/>
            <w:tcMar>
              <w:top w:w="0" w:type="dxa"/>
              <w:left w:w="40" w:type="dxa"/>
              <w:bottom w:w="0" w:type="dxa"/>
              <w:right w:w="40" w:type="dxa"/>
            </w:tcMar>
            <w:vAlign w:val="center"/>
          </w:tcPr>
          <w:p w14:paraId="637DD3F0" w14:textId="77777777" w:rsidR="00F3751F" w:rsidRDefault="00C77840">
            <w:pPr>
              <w:jc w:val="center"/>
              <w:rPr>
                <w:rFonts w:ascii="Calibri" w:eastAsia="Calibri" w:hAnsi="Calibri" w:cs="Calibri"/>
                <w:sz w:val="22"/>
                <w:szCs w:val="22"/>
              </w:rPr>
            </w:pPr>
            <w:r>
              <w:t>3,578.00</w:t>
            </w:r>
          </w:p>
        </w:tc>
        <w:tc>
          <w:tcPr>
            <w:tcW w:w="1270" w:type="dxa"/>
            <w:tcBorders>
              <w:top w:val="single" w:sz="6" w:space="0" w:color="CCCCCC"/>
              <w:left w:val="single" w:sz="6" w:space="0" w:color="CCCCCC"/>
              <w:bottom w:val="single" w:sz="6" w:space="0" w:color="000000"/>
              <w:right w:val="single" w:sz="6" w:space="0" w:color="000000"/>
            </w:tcBorders>
            <w:shd w:val="clear" w:color="auto" w:fill="EAF5F0"/>
            <w:tcMar>
              <w:top w:w="0" w:type="dxa"/>
              <w:left w:w="40" w:type="dxa"/>
              <w:bottom w:w="0" w:type="dxa"/>
              <w:right w:w="40" w:type="dxa"/>
            </w:tcMar>
            <w:vAlign w:val="center"/>
          </w:tcPr>
          <w:p w14:paraId="637DD3F1" w14:textId="77777777" w:rsidR="00F3751F" w:rsidRDefault="00C77840">
            <w:pPr>
              <w:jc w:val="center"/>
              <w:rPr>
                <w:rFonts w:ascii="Calibri" w:eastAsia="Calibri" w:hAnsi="Calibri" w:cs="Calibri"/>
                <w:sz w:val="22"/>
                <w:szCs w:val="22"/>
              </w:rPr>
            </w:pPr>
            <w:r>
              <w:t>3,274.00</w:t>
            </w:r>
          </w:p>
        </w:tc>
        <w:tc>
          <w:tcPr>
            <w:tcW w:w="1119" w:type="dxa"/>
            <w:tcBorders>
              <w:top w:val="single" w:sz="6" w:space="0" w:color="CCCCCC"/>
              <w:left w:val="single" w:sz="6" w:space="0" w:color="CCCCCC"/>
              <w:bottom w:val="single" w:sz="6" w:space="0" w:color="000000"/>
              <w:right w:val="single" w:sz="6" w:space="0" w:color="000000"/>
            </w:tcBorders>
            <w:shd w:val="clear" w:color="auto" w:fill="EFF7F4"/>
            <w:tcMar>
              <w:top w:w="0" w:type="dxa"/>
              <w:left w:w="40" w:type="dxa"/>
              <w:bottom w:w="0" w:type="dxa"/>
              <w:right w:w="40" w:type="dxa"/>
            </w:tcMar>
            <w:vAlign w:val="center"/>
          </w:tcPr>
          <w:p w14:paraId="637DD3F2" w14:textId="77777777" w:rsidR="00F3751F" w:rsidRDefault="00C77840">
            <w:pPr>
              <w:jc w:val="center"/>
              <w:rPr>
                <w:rFonts w:ascii="Calibri" w:eastAsia="Calibri" w:hAnsi="Calibri" w:cs="Calibri"/>
                <w:sz w:val="22"/>
                <w:szCs w:val="22"/>
              </w:rPr>
            </w:pPr>
            <w:r>
              <w:t>2,894.00</w:t>
            </w:r>
          </w:p>
        </w:tc>
      </w:tr>
      <w:tr w:rsidR="00F3751F" w14:paraId="637DD3FB"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3F4" w14:textId="77777777" w:rsidR="00F3751F" w:rsidRDefault="00C77840">
            <w:pPr>
              <w:jc w:val="center"/>
              <w:rPr>
                <w:rFonts w:ascii="Calibri" w:eastAsia="Calibri" w:hAnsi="Calibri" w:cs="Calibri"/>
                <w:sz w:val="22"/>
                <w:szCs w:val="22"/>
              </w:rPr>
            </w:pPr>
            <w:r>
              <w:t>Equity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3F5" w14:textId="77777777" w:rsidR="00F3751F" w:rsidRDefault="00C77840">
            <w:pPr>
              <w:jc w:val="center"/>
              <w:rPr>
                <w:rFonts w:ascii="Calibri" w:eastAsia="Calibri" w:hAnsi="Calibri" w:cs="Calibri"/>
                <w:sz w:val="22"/>
                <w:szCs w:val="22"/>
              </w:rPr>
            </w:pPr>
            <w:r>
              <w:t>F</w:t>
            </w:r>
          </w:p>
        </w:tc>
        <w:tc>
          <w:tcPr>
            <w:tcW w:w="1119" w:type="dxa"/>
            <w:tcBorders>
              <w:top w:val="single" w:sz="6" w:space="0" w:color="CCCCCC"/>
              <w:left w:val="single" w:sz="6" w:space="0" w:color="CCCCCC"/>
              <w:bottom w:val="single" w:sz="6" w:space="0" w:color="000000"/>
              <w:right w:val="single" w:sz="6" w:space="0" w:color="000000"/>
            </w:tcBorders>
            <w:shd w:val="clear" w:color="auto" w:fill="E6F4EC"/>
            <w:tcMar>
              <w:top w:w="0" w:type="dxa"/>
              <w:left w:w="40" w:type="dxa"/>
              <w:bottom w:w="0" w:type="dxa"/>
              <w:right w:w="40" w:type="dxa"/>
            </w:tcMar>
            <w:vAlign w:val="center"/>
          </w:tcPr>
          <w:p w14:paraId="637DD3F6" w14:textId="77777777" w:rsidR="00F3751F" w:rsidRDefault="00C77840">
            <w:pPr>
              <w:jc w:val="center"/>
              <w:rPr>
                <w:rFonts w:ascii="Calibri" w:eastAsia="Calibri" w:hAnsi="Calibri" w:cs="Calibri"/>
                <w:sz w:val="22"/>
                <w:szCs w:val="22"/>
              </w:rPr>
            </w:pPr>
            <w:r>
              <w:t>3,566.00</w:t>
            </w:r>
          </w:p>
        </w:tc>
        <w:tc>
          <w:tcPr>
            <w:tcW w:w="1119" w:type="dxa"/>
            <w:tcBorders>
              <w:top w:val="single" w:sz="6" w:space="0" w:color="CCCCCC"/>
              <w:left w:val="single" w:sz="6" w:space="0" w:color="CCCCCC"/>
              <w:bottom w:val="single" w:sz="6" w:space="0" w:color="000000"/>
              <w:right w:val="single" w:sz="6" w:space="0" w:color="000000"/>
            </w:tcBorders>
            <w:shd w:val="clear" w:color="auto" w:fill="E5F3EB"/>
            <w:tcMar>
              <w:top w:w="0" w:type="dxa"/>
              <w:left w:w="40" w:type="dxa"/>
              <w:bottom w:w="0" w:type="dxa"/>
              <w:right w:w="40" w:type="dxa"/>
            </w:tcMar>
            <w:vAlign w:val="center"/>
          </w:tcPr>
          <w:p w14:paraId="637DD3F7" w14:textId="77777777" w:rsidR="00F3751F" w:rsidRDefault="00C77840">
            <w:pPr>
              <w:jc w:val="center"/>
              <w:rPr>
                <w:rFonts w:ascii="Calibri" w:eastAsia="Calibri" w:hAnsi="Calibri" w:cs="Calibri"/>
                <w:sz w:val="22"/>
                <w:szCs w:val="22"/>
              </w:rPr>
            </w:pPr>
            <w:r>
              <w:t>3,702.00</w:t>
            </w:r>
          </w:p>
        </w:tc>
        <w:tc>
          <w:tcPr>
            <w:tcW w:w="1119" w:type="dxa"/>
            <w:tcBorders>
              <w:top w:val="single" w:sz="6" w:space="0" w:color="CCCCCC"/>
              <w:left w:val="single" w:sz="6" w:space="0" w:color="CCCCCC"/>
              <w:bottom w:val="single" w:sz="6" w:space="0" w:color="000000"/>
              <w:right w:val="single" w:sz="6" w:space="0" w:color="000000"/>
            </w:tcBorders>
            <w:shd w:val="clear" w:color="auto" w:fill="E6F4EC"/>
            <w:tcMar>
              <w:top w:w="0" w:type="dxa"/>
              <w:left w:w="40" w:type="dxa"/>
              <w:bottom w:w="0" w:type="dxa"/>
              <w:right w:w="40" w:type="dxa"/>
            </w:tcMar>
            <w:vAlign w:val="center"/>
          </w:tcPr>
          <w:p w14:paraId="637DD3F8" w14:textId="77777777" w:rsidR="00F3751F" w:rsidRDefault="00C77840">
            <w:pPr>
              <w:jc w:val="center"/>
              <w:rPr>
                <w:rFonts w:ascii="Calibri" w:eastAsia="Calibri" w:hAnsi="Calibri" w:cs="Calibri"/>
                <w:sz w:val="22"/>
                <w:szCs w:val="22"/>
              </w:rPr>
            </w:pPr>
            <w:r>
              <w:t>3,567.00</w:t>
            </w:r>
          </w:p>
        </w:tc>
        <w:tc>
          <w:tcPr>
            <w:tcW w:w="1270" w:type="dxa"/>
            <w:tcBorders>
              <w:top w:val="single" w:sz="6" w:space="0" w:color="CCCCCC"/>
              <w:left w:val="single" w:sz="6" w:space="0" w:color="CCCCCC"/>
              <w:bottom w:val="single" w:sz="6" w:space="0" w:color="000000"/>
              <w:right w:val="single" w:sz="6" w:space="0" w:color="000000"/>
            </w:tcBorders>
            <w:shd w:val="clear" w:color="auto" w:fill="E7F4ED"/>
            <w:tcMar>
              <w:top w:w="0" w:type="dxa"/>
              <w:left w:w="40" w:type="dxa"/>
              <w:bottom w:w="0" w:type="dxa"/>
              <w:right w:w="40" w:type="dxa"/>
            </w:tcMar>
            <w:vAlign w:val="center"/>
          </w:tcPr>
          <w:p w14:paraId="637DD3F9" w14:textId="77777777" w:rsidR="00F3751F" w:rsidRDefault="00C77840">
            <w:pPr>
              <w:jc w:val="center"/>
              <w:rPr>
                <w:rFonts w:ascii="Calibri" w:eastAsia="Calibri" w:hAnsi="Calibri" w:cs="Calibri"/>
                <w:sz w:val="22"/>
                <w:szCs w:val="22"/>
              </w:rPr>
            </w:pPr>
            <w:r>
              <w:t>3,547.00</w:t>
            </w:r>
          </w:p>
        </w:tc>
        <w:tc>
          <w:tcPr>
            <w:tcW w:w="1119" w:type="dxa"/>
            <w:tcBorders>
              <w:top w:val="single" w:sz="6" w:space="0" w:color="CCCCCC"/>
              <w:left w:val="single" w:sz="6" w:space="0" w:color="CCCCCC"/>
              <w:bottom w:val="single" w:sz="6" w:space="0" w:color="000000"/>
              <w:right w:val="single" w:sz="6" w:space="0" w:color="000000"/>
            </w:tcBorders>
            <w:shd w:val="clear" w:color="auto" w:fill="E9F5EF"/>
            <w:tcMar>
              <w:top w:w="0" w:type="dxa"/>
              <w:left w:w="40" w:type="dxa"/>
              <w:bottom w:w="0" w:type="dxa"/>
              <w:right w:w="40" w:type="dxa"/>
            </w:tcMar>
            <w:vAlign w:val="center"/>
          </w:tcPr>
          <w:p w14:paraId="637DD3FA" w14:textId="77777777" w:rsidR="00F3751F" w:rsidRDefault="00C77840">
            <w:pPr>
              <w:jc w:val="center"/>
              <w:rPr>
                <w:rFonts w:ascii="Calibri" w:eastAsia="Calibri" w:hAnsi="Calibri" w:cs="Calibri"/>
                <w:sz w:val="22"/>
                <w:szCs w:val="22"/>
              </w:rPr>
            </w:pPr>
            <w:r>
              <w:t>3,334.00</w:t>
            </w:r>
          </w:p>
        </w:tc>
      </w:tr>
      <w:tr w:rsidR="00F3751F" w14:paraId="637DD403"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3FC" w14:textId="77777777" w:rsidR="00F3751F" w:rsidRDefault="00C77840">
            <w:pPr>
              <w:jc w:val="center"/>
              <w:rPr>
                <w:rFonts w:ascii="Calibri" w:eastAsia="Calibri" w:hAnsi="Calibri" w:cs="Calibri"/>
                <w:sz w:val="22"/>
                <w:szCs w:val="22"/>
              </w:rPr>
            </w:pPr>
            <w:r>
              <w:rPr>
                <w:b/>
                <w:bCs/>
              </w:rPr>
              <w:t>Net Margin</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3FD" w14:textId="77777777" w:rsidR="00F3751F" w:rsidRDefault="00C77840">
            <w:pPr>
              <w:jc w:val="center"/>
              <w:rPr>
                <w:rFonts w:ascii="Calibri" w:eastAsia="Calibri" w:hAnsi="Calibri" w:cs="Calibri"/>
                <w:sz w:val="22"/>
                <w:szCs w:val="22"/>
              </w:rPr>
            </w:pPr>
            <w:r>
              <w:rPr>
                <w:b/>
                <w:bCs/>
              </w:rPr>
              <w:t>C/A</w:t>
            </w:r>
          </w:p>
        </w:tc>
        <w:tc>
          <w:tcPr>
            <w:tcW w:w="1119" w:type="dxa"/>
            <w:tcBorders>
              <w:top w:val="single" w:sz="6" w:space="0" w:color="CCCCCC"/>
              <w:left w:val="single" w:sz="6" w:space="0" w:color="CCCCCC"/>
              <w:bottom w:val="single" w:sz="6" w:space="0" w:color="000000"/>
              <w:right w:val="single" w:sz="6" w:space="0" w:color="000000"/>
            </w:tcBorders>
            <w:shd w:val="clear" w:color="auto" w:fill="F8797B"/>
            <w:tcMar>
              <w:top w:w="0" w:type="dxa"/>
              <w:left w:w="40" w:type="dxa"/>
              <w:bottom w:w="0" w:type="dxa"/>
              <w:right w:w="40" w:type="dxa"/>
            </w:tcMar>
            <w:vAlign w:val="center"/>
          </w:tcPr>
          <w:p w14:paraId="637DD3FE" w14:textId="77777777" w:rsidR="00F3751F" w:rsidRDefault="00C77840">
            <w:pPr>
              <w:jc w:val="center"/>
              <w:rPr>
                <w:rFonts w:ascii="Calibri" w:eastAsia="Calibri" w:hAnsi="Calibri" w:cs="Calibri"/>
                <w:sz w:val="22"/>
                <w:szCs w:val="22"/>
              </w:rPr>
            </w:pPr>
            <w:r>
              <w:rPr>
                <w:b/>
                <w:bCs/>
              </w:rPr>
              <w:t>-7.33%</w:t>
            </w:r>
          </w:p>
        </w:tc>
        <w:tc>
          <w:tcPr>
            <w:tcW w:w="1119" w:type="dxa"/>
            <w:tcBorders>
              <w:top w:val="single" w:sz="6" w:space="0" w:color="CCCCCC"/>
              <w:left w:val="single" w:sz="6" w:space="0" w:color="CCCCCC"/>
              <w:bottom w:val="single" w:sz="6" w:space="0" w:color="000000"/>
              <w:right w:val="single" w:sz="6" w:space="0" w:color="000000"/>
            </w:tcBorders>
            <w:shd w:val="clear" w:color="auto" w:fill="F8797B"/>
            <w:tcMar>
              <w:top w:w="0" w:type="dxa"/>
              <w:left w:w="40" w:type="dxa"/>
              <w:bottom w:w="0" w:type="dxa"/>
              <w:right w:w="40" w:type="dxa"/>
            </w:tcMar>
            <w:vAlign w:val="center"/>
          </w:tcPr>
          <w:p w14:paraId="637DD3FF" w14:textId="77777777" w:rsidR="00F3751F" w:rsidRDefault="00C77840">
            <w:pPr>
              <w:jc w:val="center"/>
              <w:rPr>
                <w:rFonts w:ascii="Calibri" w:eastAsia="Calibri" w:hAnsi="Calibri" w:cs="Calibri"/>
                <w:sz w:val="22"/>
                <w:szCs w:val="22"/>
              </w:rPr>
            </w:pPr>
            <w:r>
              <w:rPr>
                <w:b/>
                <w:bCs/>
              </w:rPr>
              <w:t>7.72%</w:t>
            </w:r>
          </w:p>
        </w:tc>
        <w:tc>
          <w:tcPr>
            <w:tcW w:w="1119" w:type="dxa"/>
            <w:tcBorders>
              <w:top w:val="single" w:sz="6" w:space="0" w:color="CCCCCC"/>
              <w:left w:val="single" w:sz="6" w:space="0" w:color="CCCCCC"/>
              <w:bottom w:val="single" w:sz="6" w:space="0" w:color="000000"/>
              <w:right w:val="single" w:sz="6" w:space="0" w:color="000000"/>
            </w:tcBorders>
            <w:shd w:val="clear" w:color="auto" w:fill="F8797B"/>
            <w:tcMar>
              <w:top w:w="0" w:type="dxa"/>
              <w:left w:w="40" w:type="dxa"/>
              <w:bottom w:w="0" w:type="dxa"/>
              <w:right w:w="40" w:type="dxa"/>
            </w:tcMar>
            <w:vAlign w:val="center"/>
          </w:tcPr>
          <w:p w14:paraId="637DD400" w14:textId="77777777" w:rsidR="00F3751F" w:rsidRDefault="00C77840">
            <w:pPr>
              <w:jc w:val="center"/>
              <w:rPr>
                <w:rFonts w:ascii="Calibri" w:eastAsia="Calibri" w:hAnsi="Calibri" w:cs="Calibri"/>
                <w:sz w:val="22"/>
                <w:szCs w:val="22"/>
              </w:rPr>
            </w:pPr>
            <w:r>
              <w:rPr>
                <w:b/>
                <w:bCs/>
              </w:rPr>
              <w:t>3.30%</w:t>
            </w:r>
          </w:p>
        </w:tc>
        <w:tc>
          <w:tcPr>
            <w:tcW w:w="1270" w:type="dxa"/>
            <w:tcBorders>
              <w:top w:val="single" w:sz="6" w:space="0" w:color="CCCCCC"/>
              <w:left w:val="single" w:sz="6" w:space="0" w:color="CCCCCC"/>
              <w:bottom w:val="single" w:sz="6" w:space="0" w:color="000000"/>
              <w:right w:val="single" w:sz="6" w:space="0" w:color="000000"/>
            </w:tcBorders>
            <w:shd w:val="clear" w:color="auto" w:fill="F8797B"/>
            <w:tcMar>
              <w:top w:w="0" w:type="dxa"/>
              <w:left w:w="40" w:type="dxa"/>
              <w:bottom w:w="0" w:type="dxa"/>
              <w:right w:w="40" w:type="dxa"/>
            </w:tcMar>
            <w:vAlign w:val="center"/>
          </w:tcPr>
          <w:p w14:paraId="637DD401" w14:textId="77777777" w:rsidR="00F3751F" w:rsidRDefault="00C77840">
            <w:pPr>
              <w:jc w:val="center"/>
              <w:rPr>
                <w:rFonts w:ascii="Calibri" w:eastAsia="Calibri" w:hAnsi="Calibri" w:cs="Calibri"/>
                <w:sz w:val="22"/>
                <w:szCs w:val="22"/>
              </w:rPr>
            </w:pPr>
            <w:r>
              <w:rPr>
                <w:b/>
                <w:bCs/>
              </w:rPr>
              <w:t>19.49%</w:t>
            </w:r>
          </w:p>
        </w:tc>
        <w:tc>
          <w:tcPr>
            <w:tcW w:w="1119" w:type="dxa"/>
            <w:tcBorders>
              <w:top w:val="single" w:sz="6" w:space="0" w:color="CCCCCC"/>
              <w:left w:val="single" w:sz="6" w:space="0" w:color="CCCCCC"/>
              <w:bottom w:val="single" w:sz="6" w:space="0" w:color="000000"/>
              <w:right w:val="single" w:sz="6" w:space="0" w:color="000000"/>
            </w:tcBorders>
            <w:shd w:val="clear" w:color="auto" w:fill="F8797B"/>
            <w:tcMar>
              <w:top w:w="0" w:type="dxa"/>
              <w:left w:w="40" w:type="dxa"/>
              <w:bottom w:w="0" w:type="dxa"/>
              <w:right w:w="40" w:type="dxa"/>
            </w:tcMar>
            <w:vAlign w:val="center"/>
          </w:tcPr>
          <w:p w14:paraId="637DD402" w14:textId="77777777" w:rsidR="00F3751F" w:rsidRDefault="00C77840">
            <w:pPr>
              <w:jc w:val="center"/>
              <w:rPr>
                <w:rFonts w:ascii="Calibri" w:eastAsia="Calibri" w:hAnsi="Calibri" w:cs="Calibri"/>
                <w:sz w:val="22"/>
                <w:szCs w:val="22"/>
              </w:rPr>
            </w:pPr>
            <w:r>
              <w:rPr>
                <w:b/>
                <w:bCs/>
              </w:rPr>
              <w:t>-0.69%</w:t>
            </w:r>
          </w:p>
        </w:tc>
      </w:tr>
      <w:tr w:rsidR="00F3751F" w14:paraId="637DD40B" w14:textId="77777777">
        <w:trPr>
          <w:trHeight w:val="55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04" w14:textId="77777777" w:rsidR="00F3751F" w:rsidRDefault="00C77840">
            <w:pPr>
              <w:jc w:val="center"/>
              <w:rPr>
                <w:rFonts w:ascii="Calibri" w:eastAsia="Calibri" w:hAnsi="Calibri" w:cs="Calibri"/>
                <w:sz w:val="22"/>
                <w:szCs w:val="22"/>
              </w:rPr>
            </w:pPr>
            <w:r>
              <w:rPr>
                <w:b/>
                <w:bCs/>
              </w:rPr>
              <w:t>Return on Capital Employed (ROCE)</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05" w14:textId="77777777" w:rsidR="00F3751F" w:rsidRDefault="00C77840">
            <w:pPr>
              <w:jc w:val="center"/>
              <w:rPr>
                <w:rFonts w:ascii="Calibri" w:eastAsia="Calibri" w:hAnsi="Calibri" w:cs="Calibri"/>
                <w:sz w:val="22"/>
                <w:szCs w:val="22"/>
              </w:rPr>
            </w:pPr>
            <w:r>
              <w:rPr>
                <w:b/>
                <w:bCs/>
              </w:rPr>
              <w:t>B/(D-E)</w:t>
            </w:r>
          </w:p>
        </w:tc>
        <w:tc>
          <w:tcPr>
            <w:tcW w:w="1119" w:type="dxa"/>
            <w:tcBorders>
              <w:top w:val="single" w:sz="6" w:space="0" w:color="CCCCCC"/>
              <w:left w:val="single" w:sz="6" w:space="0" w:color="CCCCCC"/>
              <w:bottom w:val="single" w:sz="6" w:space="0" w:color="000000"/>
              <w:right w:val="single" w:sz="6" w:space="0" w:color="000000"/>
            </w:tcBorders>
            <w:shd w:val="clear" w:color="auto" w:fill="F8797B"/>
            <w:tcMar>
              <w:top w:w="0" w:type="dxa"/>
              <w:left w:w="40" w:type="dxa"/>
              <w:bottom w:w="0" w:type="dxa"/>
              <w:right w:w="40" w:type="dxa"/>
            </w:tcMar>
            <w:vAlign w:val="center"/>
          </w:tcPr>
          <w:p w14:paraId="637DD406" w14:textId="77777777" w:rsidR="00F3751F" w:rsidRDefault="00C77840">
            <w:pPr>
              <w:jc w:val="center"/>
              <w:rPr>
                <w:rFonts w:ascii="Calibri" w:eastAsia="Calibri" w:hAnsi="Calibri" w:cs="Calibri"/>
                <w:sz w:val="22"/>
                <w:szCs w:val="22"/>
              </w:rPr>
            </w:pPr>
            <w:r>
              <w:rPr>
                <w:b/>
                <w:bCs/>
              </w:rPr>
              <w:t>0.42%</w:t>
            </w:r>
          </w:p>
        </w:tc>
        <w:tc>
          <w:tcPr>
            <w:tcW w:w="1119" w:type="dxa"/>
            <w:tcBorders>
              <w:top w:val="single" w:sz="6" w:space="0" w:color="CCCCCC"/>
              <w:left w:val="single" w:sz="6" w:space="0" w:color="CCCCCC"/>
              <w:bottom w:val="single" w:sz="6" w:space="0" w:color="000000"/>
              <w:right w:val="single" w:sz="6" w:space="0" w:color="000000"/>
            </w:tcBorders>
            <w:shd w:val="clear" w:color="auto" w:fill="F8797B"/>
            <w:tcMar>
              <w:top w:w="0" w:type="dxa"/>
              <w:left w:w="40" w:type="dxa"/>
              <w:bottom w:w="0" w:type="dxa"/>
              <w:right w:w="40" w:type="dxa"/>
            </w:tcMar>
            <w:vAlign w:val="center"/>
          </w:tcPr>
          <w:p w14:paraId="637DD407" w14:textId="77777777" w:rsidR="00F3751F" w:rsidRDefault="00C77840">
            <w:pPr>
              <w:jc w:val="center"/>
              <w:rPr>
                <w:rFonts w:ascii="Calibri" w:eastAsia="Calibri" w:hAnsi="Calibri" w:cs="Calibri"/>
                <w:sz w:val="22"/>
                <w:szCs w:val="22"/>
              </w:rPr>
            </w:pPr>
            <w:r>
              <w:rPr>
                <w:b/>
                <w:bCs/>
              </w:rPr>
              <w:t>4.02%</w:t>
            </w:r>
          </w:p>
        </w:tc>
        <w:tc>
          <w:tcPr>
            <w:tcW w:w="1119" w:type="dxa"/>
            <w:tcBorders>
              <w:top w:val="single" w:sz="6" w:space="0" w:color="CCCCCC"/>
              <w:left w:val="single" w:sz="6" w:space="0" w:color="CCCCCC"/>
              <w:bottom w:val="single" w:sz="6" w:space="0" w:color="000000"/>
              <w:right w:val="single" w:sz="6" w:space="0" w:color="000000"/>
            </w:tcBorders>
            <w:shd w:val="clear" w:color="auto" w:fill="F8797B"/>
            <w:tcMar>
              <w:top w:w="0" w:type="dxa"/>
              <w:left w:w="40" w:type="dxa"/>
              <w:bottom w:w="0" w:type="dxa"/>
              <w:right w:w="40" w:type="dxa"/>
            </w:tcMar>
            <w:vAlign w:val="center"/>
          </w:tcPr>
          <w:p w14:paraId="637DD408" w14:textId="77777777" w:rsidR="00F3751F" w:rsidRDefault="00C77840">
            <w:pPr>
              <w:jc w:val="center"/>
              <w:rPr>
                <w:rFonts w:ascii="Calibri" w:eastAsia="Calibri" w:hAnsi="Calibri" w:cs="Calibri"/>
                <w:sz w:val="22"/>
                <w:szCs w:val="22"/>
              </w:rPr>
            </w:pPr>
            <w:r>
              <w:rPr>
                <w:b/>
                <w:bCs/>
              </w:rPr>
              <w:t>3.35%</w:t>
            </w:r>
          </w:p>
        </w:tc>
        <w:tc>
          <w:tcPr>
            <w:tcW w:w="1270" w:type="dxa"/>
            <w:tcBorders>
              <w:top w:val="single" w:sz="6" w:space="0" w:color="CCCCCC"/>
              <w:left w:val="single" w:sz="6" w:space="0" w:color="CCCCCC"/>
              <w:bottom w:val="single" w:sz="6" w:space="0" w:color="000000"/>
              <w:right w:val="single" w:sz="6" w:space="0" w:color="000000"/>
            </w:tcBorders>
            <w:shd w:val="clear" w:color="auto" w:fill="F8797B"/>
            <w:tcMar>
              <w:top w:w="0" w:type="dxa"/>
              <w:left w:w="40" w:type="dxa"/>
              <w:bottom w:w="0" w:type="dxa"/>
              <w:right w:w="40" w:type="dxa"/>
            </w:tcMar>
            <w:vAlign w:val="center"/>
          </w:tcPr>
          <w:p w14:paraId="637DD409" w14:textId="77777777" w:rsidR="00F3751F" w:rsidRDefault="00C77840">
            <w:pPr>
              <w:jc w:val="center"/>
              <w:rPr>
                <w:rFonts w:ascii="Calibri" w:eastAsia="Calibri" w:hAnsi="Calibri" w:cs="Calibri"/>
                <w:sz w:val="22"/>
                <w:szCs w:val="22"/>
              </w:rPr>
            </w:pPr>
            <w:r>
              <w:rPr>
                <w:b/>
                <w:bCs/>
              </w:rPr>
              <w:t>15.55%</w:t>
            </w:r>
          </w:p>
        </w:tc>
        <w:tc>
          <w:tcPr>
            <w:tcW w:w="1119" w:type="dxa"/>
            <w:tcBorders>
              <w:top w:val="single" w:sz="6" w:space="0" w:color="CCCCCC"/>
              <w:left w:val="single" w:sz="6" w:space="0" w:color="CCCCCC"/>
              <w:bottom w:val="single" w:sz="6" w:space="0" w:color="000000"/>
              <w:right w:val="single" w:sz="6" w:space="0" w:color="000000"/>
            </w:tcBorders>
            <w:shd w:val="clear" w:color="auto" w:fill="F8797B"/>
            <w:tcMar>
              <w:top w:w="0" w:type="dxa"/>
              <w:left w:w="40" w:type="dxa"/>
              <w:bottom w:w="0" w:type="dxa"/>
              <w:right w:w="40" w:type="dxa"/>
            </w:tcMar>
            <w:vAlign w:val="center"/>
          </w:tcPr>
          <w:p w14:paraId="637DD40A" w14:textId="77777777" w:rsidR="00F3751F" w:rsidRDefault="00C77840">
            <w:pPr>
              <w:jc w:val="center"/>
              <w:rPr>
                <w:rFonts w:ascii="Calibri" w:eastAsia="Calibri" w:hAnsi="Calibri" w:cs="Calibri"/>
                <w:sz w:val="22"/>
                <w:szCs w:val="22"/>
              </w:rPr>
            </w:pPr>
            <w:r>
              <w:rPr>
                <w:b/>
                <w:bCs/>
              </w:rPr>
              <w:t>0.73%</w:t>
            </w:r>
          </w:p>
        </w:tc>
      </w:tr>
      <w:tr w:rsidR="00F3751F" w14:paraId="637DD413"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0C" w14:textId="77777777" w:rsidR="00F3751F" w:rsidRDefault="00C77840">
            <w:pPr>
              <w:jc w:val="center"/>
              <w:rPr>
                <w:rFonts w:ascii="Calibri" w:eastAsia="Calibri" w:hAnsi="Calibri" w:cs="Calibri"/>
                <w:sz w:val="22"/>
                <w:szCs w:val="22"/>
              </w:rPr>
            </w:pPr>
            <w:r>
              <w:rPr>
                <w:b/>
                <w:bCs/>
              </w:rPr>
              <w:t>Return on Equity (ROE)</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0D" w14:textId="77777777" w:rsidR="00F3751F" w:rsidRDefault="00C77840">
            <w:pPr>
              <w:jc w:val="center"/>
              <w:rPr>
                <w:rFonts w:ascii="Calibri" w:eastAsia="Calibri" w:hAnsi="Calibri" w:cs="Calibri"/>
                <w:sz w:val="22"/>
                <w:szCs w:val="22"/>
              </w:rPr>
            </w:pPr>
            <w:r>
              <w:rPr>
                <w:b/>
                <w:bCs/>
              </w:rPr>
              <w:t>C/F</w:t>
            </w:r>
          </w:p>
        </w:tc>
        <w:tc>
          <w:tcPr>
            <w:tcW w:w="1119" w:type="dxa"/>
            <w:tcBorders>
              <w:top w:val="single" w:sz="6" w:space="0" w:color="CCCCCC"/>
              <w:left w:val="single" w:sz="6" w:space="0" w:color="CCCCCC"/>
              <w:bottom w:val="single" w:sz="6" w:space="0" w:color="000000"/>
              <w:right w:val="single" w:sz="6" w:space="0" w:color="000000"/>
            </w:tcBorders>
            <w:shd w:val="clear" w:color="auto" w:fill="F8797B"/>
            <w:tcMar>
              <w:top w:w="0" w:type="dxa"/>
              <w:left w:w="40" w:type="dxa"/>
              <w:bottom w:w="0" w:type="dxa"/>
              <w:right w:w="40" w:type="dxa"/>
            </w:tcMar>
            <w:vAlign w:val="center"/>
          </w:tcPr>
          <w:p w14:paraId="637DD40E" w14:textId="77777777" w:rsidR="00F3751F" w:rsidRDefault="00C77840">
            <w:pPr>
              <w:jc w:val="center"/>
              <w:rPr>
                <w:rFonts w:ascii="Calibri" w:eastAsia="Calibri" w:hAnsi="Calibri" w:cs="Calibri"/>
                <w:sz w:val="22"/>
                <w:szCs w:val="22"/>
              </w:rPr>
            </w:pPr>
            <w:r>
              <w:rPr>
                <w:b/>
                <w:bCs/>
              </w:rPr>
              <w:t>-6.23%</w:t>
            </w:r>
          </w:p>
        </w:tc>
        <w:tc>
          <w:tcPr>
            <w:tcW w:w="1119" w:type="dxa"/>
            <w:tcBorders>
              <w:top w:val="single" w:sz="6" w:space="0" w:color="CCCCCC"/>
              <w:left w:val="single" w:sz="6" w:space="0" w:color="CCCCCC"/>
              <w:bottom w:val="single" w:sz="6" w:space="0" w:color="000000"/>
              <w:right w:val="single" w:sz="6" w:space="0" w:color="000000"/>
            </w:tcBorders>
            <w:shd w:val="clear" w:color="auto" w:fill="F8797B"/>
            <w:tcMar>
              <w:top w:w="0" w:type="dxa"/>
              <w:left w:w="40" w:type="dxa"/>
              <w:bottom w:w="0" w:type="dxa"/>
              <w:right w:w="40" w:type="dxa"/>
            </w:tcMar>
            <w:vAlign w:val="center"/>
          </w:tcPr>
          <w:p w14:paraId="637DD40F" w14:textId="77777777" w:rsidR="00F3751F" w:rsidRDefault="00C77840">
            <w:pPr>
              <w:jc w:val="center"/>
              <w:rPr>
                <w:rFonts w:ascii="Calibri" w:eastAsia="Calibri" w:hAnsi="Calibri" w:cs="Calibri"/>
                <w:sz w:val="22"/>
                <w:szCs w:val="22"/>
              </w:rPr>
            </w:pPr>
            <w:r>
              <w:rPr>
                <w:b/>
                <w:bCs/>
              </w:rPr>
              <w:t>12.29%</w:t>
            </w:r>
          </w:p>
        </w:tc>
        <w:tc>
          <w:tcPr>
            <w:tcW w:w="1119" w:type="dxa"/>
            <w:tcBorders>
              <w:top w:val="single" w:sz="6" w:space="0" w:color="CCCCCC"/>
              <w:left w:val="single" w:sz="6" w:space="0" w:color="CCCCCC"/>
              <w:bottom w:val="single" w:sz="6" w:space="0" w:color="000000"/>
              <w:right w:val="single" w:sz="6" w:space="0" w:color="000000"/>
            </w:tcBorders>
            <w:shd w:val="clear" w:color="auto" w:fill="F8797B"/>
            <w:tcMar>
              <w:top w:w="0" w:type="dxa"/>
              <w:left w:w="40" w:type="dxa"/>
              <w:bottom w:w="0" w:type="dxa"/>
              <w:right w:w="40" w:type="dxa"/>
            </w:tcMar>
            <w:vAlign w:val="center"/>
          </w:tcPr>
          <w:p w14:paraId="637DD410" w14:textId="77777777" w:rsidR="00F3751F" w:rsidRDefault="00C77840">
            <w:pPr>
              <w:jc w:val="center"/>
              <w:rPr>
                <w:rFonts w:ascii="Calibri" w:eastAsia="Calibri" w:hAnsi="Calibri" w:cs="Calibri"/>
                <w:sz w:val="22"/>
                <w:szCs w:val="22"/>
              </w:rPr>
            </w:pPr>
            <w:r>
              <w:rPr>
                <w:b/>
                <w:bCs/>
              </w:rPr>
              <w:t>6.17%</w:t>
            </w:r>
          </w:p>
        </w:tc>
        <w:tc>
          <w:tcPr>
            <w:tcW w:w="1270" w:type="dxa"/>
            <w:tcBorders>
              <w:top w:val="single" w:sz="6" w:space="0" w:color="CCCCCC"/>
              <w:left w:val="single" w:sz="6" w:space="0" w:color="CCCCCC"/>
              <w:bottom w:val="single" w:sz="6" w:space="0" w:color="000000"/>
              <w:right w:val="single" w:sz="6" w:space="0" w:color="000000"/>
            </w:tcBorders>
            <w:shd w:val="clear" w:color="auto" w:fill="F8797B"/>
            <w:tcMar>
              <w:top w:w="0" w:type="dxa"/>
              <w:left w:w="40" w:type="dxa"/>
              <w:bottom w:w="0" w:type="dxa"/>
              <w:right w:w="40" w:type="dxa"/>
            </w:tcMar>
            <w:vAlign w:val="center"/>
          </w:tcPr>
          <w:p w14:paraId="637DD411" w14:textId="77777777" w:rsidR="00F3751F" w:rsidRDefault="00C77840">
            <w:pPr>
              <w:jc w:val="center"/>
              <w:rPr>
                <w:rFonts w:ascii="Calibri" w:eastAsia="Calibri" w:hAnsi="Calibri" w:cs="Calibri"/>
                <w:sz w:val="22"/>
                <w:szCs w:val="22"/>
              </w:rPr>
            </w:pPr>
            <w:r>
              <w:rPr>
                <w:b/>
                <w:bCs/>
              </w:rPr>
              <w:t>36.54%</w:t>
            </w:r>
          </w:p>
        </w:tc>
        <w:tc>
          <w:tcPr>
            <w:tcW w:w="1119" w:type="dxa"/>
            <w:tcBorders>
              <w:top w:val="single" w:sz="6" w:space="0" w:color="CCCCCC"/>
              <w:left w:val="single" w:sz="6" w:space="0" w:color="CCCCCC"/>
              <w:bottom w:val="single" w:sz="6" w:space="0" w:color="000000"/>
              <w:right w:val="single" w:sz="6" w:space="0" w:color="000000"/>
            </w:tcBorders>
            <w:shd w:val="clear" w:color="auto" w:fill="F8797B"/>
            <w:tcMar>
              <w:top w:w="0" w:type="dxa"/>
              <w:left w:w="40" w:type="dxa"/>
              <w:bottom w:w="0" w:type="dxa"/>
              <w:right w:w="40" w:type="dxa"/>
            </w:tcMar>
            <w:vAlign w:val="center"/>
          </w:tcPr>
          <w:p w14:paraId="637DD412" w14:textId="77777777" w:rsidR="00F3751F" w:rsidRDefault="00C77840">
            <w:pPr>
              <w:jc w:val="center"/>
              <w:rPr>
                <w:rFonts w:ascii="Calibri" w:eastAsia="Calibri" w:hAnsi="Calibri" w:cs="Calibri"/>
                <w:sz w:val="22"/>
                <w:szCs w:val="22"/>
              </w:rPr>
            </w:pPr>
            <w:r>
              <w:rPr>
                <w:b/>
                <w:bCs/>
              </w:rPr>
              <w:t>-1.47%</w:t>
            </w:r>
          </w:p>
        </w:tc>
      </w:tr>
      <w:tr w:rsidR="00F3751F" w14:paraId="637DD41B" w14:textId="77777777">
        <w:trPr>
          <w:trHeight w:val="300"/>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14" w14:textId="77777777" w:rsidR="00F3751F" w:rsidRDefault="00F3751F">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15" w14:textId="77777777" w:rsidR="00F3751F" w:rsidRDefault="00F3751F">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16" w14:textId="77777777" w:rsidR="00F3751F" w:rsidRDefault="00F3751F">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17" w14:textId="77777777" w:rsidR="00F3751F" w:rsidRDefault="00F3751F">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18" w14:textId="77777777" w:rsidR="00F3751F" w:rsidRDefault="00F3751F">
            <w:pPr>
              <w:rPr>
                <w:rFonts w:ascii="Calibri" w:eastAsia="Calibri" w:hAnsi="Calibri" w:cs="Calibri"/>
                <w:sz w:val="22"/>
                <w:szCs w:val="22"/>
              </w:rPr>
            </w:pPr>
          </w:p>
        </w:tc>
        <w:tc>
          <w:tcPr>
            <w:tcW w:w="127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19" w14:textId="77777777" w:rsidR="00F3751F" w:rsidRDefault="00F3751F">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1A" w14:textId="77777777" w:rsidR="00F3751F" w:rsidRDefault="00F3751F">
            <w:pPr>
              <w:rPr>
                <w:rFonts w:ascii="Calibri" w:eastAsia="Calibri" w:hAnsi="Calibri" w:cs="Calibri"/>
                <w:sz w:val="22"/>
                <w:szCs w:val="22"/>
              </w:rPr>
            </w:pPr>
          </w:p>
        </w:tc>
      </w:tr>
      <w:tr w:rsidR="00F3751F" w14:paraId="637DD423" w14:textId="77777777">
        <w:trPr>
          <w:trHeight w:val="300"/>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1C" w14:textId="77777777" w:rsidR="00F3751F" w:rsidRDefault="00F3751F">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1D" w14:textId="77777777" w:rsidR="00F3751F" w:rsidRDefault="00F3751F">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1E" w14:textId="77777777" w:rsidR="00F3751F" w:rsidRDefault="00F3751F">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1F" w14:textId="77777777" w:rsidR="00F3751F" w:rsidRDefault="00F3751F">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20" w14:textId="77777777" w:rsidR="00F3751F" w:rsidRDefault="00F3751F">
            <w:pPr>
              <w:rPr>
                <w:rFonts w:ascii="Calibri" w:eastAsia="Calibri" w:hAnsi="Calibri" w:cs="Calibri"/>
                <w:sz w:val="22"/>
                <w:szCs w:val="22"/>
              </w:rPr>
            </w:pPr>
          </w:p>
        </w:tc>
        <w:tc>
          <w:tcPr>
            <w:tcW w:w="127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21" w14:textId="77777777" w:rsidR="00F3751F" w:rsidRDefault="00F3751F">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22" w14:textId="77777777" w:rsidR="00F3751F" w:rsidRDefault="00F3751F">
            <w:pPr>
              <w:rPr>
                <w:rFonts w:ascii="Calibri" w:eastAsia="Calibri" w:hAnsi="Calibri" w:cs="Calibri"/>
                <w:sz w:val="22"/>
                <w:szCs w:val="22"/>
              </w:rPr>
            </w:pPr>
          </w:p>
        </w:tc>
      </w:tr>
      <w:tr w:rsidR="00F3751F" w14:paraId="637DD425" w14:textId="77777777">
        <w:trPr>
          <w:trHeight w:val="300"/>
        </w:trPr>
        <w:tc>
          <w:tcPr>
            <w:tcW w:w="9355"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637DD424" w14:textId="77777777" w:rsidR="00F3751F" w:rsidRDefault="00C77840">
            <w:pPr>
              <w:jc w:val="center"/>
              <w:rPr>
                <w:rFonts w:ascii="Calibri" w:eastAsia="Calibri" w:hAnsi="Calibri" w:cs="Calibri"/>
                <w:sz w:val="22"/>
                <w:szCs w:val="22"/>
              </w:rPr>
            </w:pPr>
            <w:r>
              <w:rPr>
                <w:b/>
                <w:bCs/>
              </w:rPr>
              <w:t>Liquidity Ratios:-</w:t>
            </w:r>
          </w:p>
        </w:tc>
      </w:tr>
      <w:tr w:rsidR="00F3751F" w14:paraId="637DD42D"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26" w14:textId="77777777" w:rsidR="00F3751F" w:rsidRDefault="00C77840">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27" w14:textId="77777777" w:rsidR="00F3751F" w:rsidRDefault="00C77840">
            <w:pPr>
              <w:jc w:val="center"/>
              <w:rPr>
                <w:rFonts w:ascii="Calibri" w:eastAsia="Calibri" w:hAnsi="Calibri" w:cs="Calibri"/>
                <w:sz w:val="22"/>
                <w:szCs w:val="22"/>
              </w:rPr>
            </w:pPr>
            <w:r>
              <w:rPr>
                <w:b/>
                <w:bCs/>
              </w:rPr>
              <w:t>Details</w:t>
            </w:r>
          </w:p>
        </w:tc>
        <w:tc>
          <w:tcPr>
            <w:tcW w:w="1119" w:type="dxa"/>
            <w:tcBorders>
              <w:top w:val="single" w:sz="6" w:space="0" w:color="CCCCCC"/>
              <w:left w:val="single" w:sz="6" w:space="0" w:color="CCCCCC"/>
              <w:bottom w:val="single" w:sz="6" w:space="0" w:color="000000"/>
              <w:right w:val="single" w:sz="6" w:space="0" w:color="000000"/>
            </w:tcBorders>
            <w:shd w:val="clear" w:color="auto" w:fill="AEDDBC"/>
            <w:tcMar>
              <w:top w:w="0" w:type="dxa"/>
              <w:left w:w="40" w:type="dxa"/>
              <w:bottom w:w="0" w:type="dxa"/>
              <w:right w:w="40" w:type="dxa"/>
            </w:tcMar>
            <w:vAlign w:val="center"/>
          </w:tcPr>
          <w:p w14:paraId="637DD428" w14:textId="77777777" w:rsidR="00F3751F" w:rsidRDefault="00C77840">
            <w:pPr>
              <w:jc w:val="center"/>
              <w:rPr>
                <w:rFonts w:ascii="Calibri" w:eastAsia="Calibri" w:hAnsi="Calibri" w:cs="Calibri"/>
                <w:sz w:val="22"/>
                <w:szCs w:val="22"/>
              </w:rPr>
            </w:pPr>
            <w:r>
              <w:rPr>
                <w:b/>
                <w:bCs/>
              </w:rPr>
              <w:t>2021</w:t>
            </w:r>
          </w:p>
        </w:tc>
        <w:tc>
          <w:tcPr>
            <w:tcW w:w="1119" w:type="dxa"/>
            <w:tcBorders>
              <w:top w:val="single" w:sz="6" w:space="0" w:color="CCCCCC"/>
              <w:left w:val="single" w:sz="6" w:space="0" w:color="CCCCCC"/>
              <w:bottom w:val="single" w:sz="6" w:space="0" w:color="000000"/>
              <w:right w:val="single" w:sz="6" w:space="0" w:color="000000"/>
            </w:tcBorders>
            <w:shd w:val="clear" w:color="auto" w:fill="AEDDBC"/>
            <w:tcMar>
              <w:top w:w="0" w:type="dxa"/>
              <w:left w:w="40" w:type="dxa"/>
              <w:bottom w:w="0" w:type="dxa"/>
              <w:right w:w="40" w:type="dxa"/>
            </w:tcMar>
            <w:vAlign w:val="center"/>
          </w:tcPr>
          <w:p w14:paraId="637DD429" w14:textId="77777777" w:rsidR="00F3751F" w:rsidRDefault="00C77840">
            <w:pPr>
              <w:jc w:val="center"/>
              <w:rPr>
                <w:rFonts w:ascii="Calibri" w:eastAsia="Calibri" w:hAnsi="Calibri" w:cs="Calibri"/>
                <w:sz w:val="22"/>
                <w:szCs w:val="22"/>
              </w:rPr>
            </w:pPr>
            <w:r>
              <w:rPr>
                <w:b/>
                <w:bCs/>
              </w:rPr>
              <w:t>2022</w:t>
            </w:r>
          </w:p>
        </w:tc>
        <w:tc>
          <w:tcPr>
            <w:tcW w:w="1119" w:type="dxa"/>
            <w:tcBorders>
              <w:top w:val="single" w:sz="6" w:space="0" w:color="CCCCCC"/>
              <w:left w:val="single" w:sz="6" w:space="0" w:color="CCCCCC"/>
              <w:bottom w:val="single" w:sz="6" w:space="0" w:color="000000"/>
              <w:right w:val="single" w:sz="6" w:space="0" w:color="000000"/>
            </w:tcBorders>
            <w:shd w:val="clear" w:color="auto" w:fill="AEDDBC"/>
            <w:tcMar>
              <w:top w:w="0" w:type="dxa"/>
              <w:left w:w="40" w:type="dxa"/>
              <w:bottom w:w="0" w:type="dxa"/>
              <w:right w:w="40" w:type="dxa"/>
            </w:tcMar>
            <w:vAlign w:val="center"/>
          </w:tcPr>
          <w:p w14:paraId="637DD42A" w14:textId="77777777" w:rsidR="00F3751F" w:rsidRDefault="00C77840">
            <w:pPr>
              <w:jc w:val="center"/>
              <w:rPr>
                <w:rFonts w:ascii="Calibri" w:eastAsia="Calibri" w:hAnsi="Calibri" w:cs="Calibri"/>
                <w:sz w:val="22"/>
                <w:szCs w:val="22"/>
              </w:rPr>
            </w:pPr>
            <w:r>
              <w:rPr>
                <w:b/>
                <w:bCs/>
              </w:rPr>
              <w:t>2023</w:t>
            </w:r>
          </w:p>
        </w:tc>
        <w:tc>
          <w:tcPr>
            <w:tcW w:w="1270" w:type="dxa"/>
            <w:tcBorders>
              <w:top w:val="single" w:sz="6" w:space="0" w:color="CCCCCC"/>
              <w:left w:val="single" w:sz="6" w:space="0" w:color="CCCCCC"/>
              <w:bottom w:val="single" w:sz="6" w:space="0" w:color="000000"/>
              <w:right w:val="single" w:sz="6" w:space="0" w:color="000000"/>
            </w:tcBorders>
            <w:shd w:val="clear" w:color="auto" w:fill="AEDDBC"/>
            <w:tcMar>
              <w:top w:w="0" w:type="dxa"/>
              <w:left w:w="40" w:type="dxa"/>
              <w:bottom w:w="0" w:type="dxa"/>
              <w:right w:w="40" w:type="dxa"/>
            </w:tcMar>
            <w:vAlign w:val="center"/>
          </w:tcPr>
          <w:p w14:paraId="637DD42B" w14:textId="77777777" w:rsidR="00F3751F" w:rsidRDefault="00C77840">
            <w:pPr>
              <w:jc w:val="center"/>
              <w:rPr>
                <w:rFonts w:ascii="Calibri" w:eastAsia="Calibri" w:hAnsi="Calibri" w:cs="Calibri"/>
                <w:sz w:val="22"/>
                <w:szCs w:val="22"/>
              </w:rPr>
            </w:pPr>
            <w:r>
              <w:rPr>
                <w:b/>
                <w:bCs/>
              </w:rPr>
              <w:t>2024</w:t>
            </w:r>
          </w:p>
        </w:tc>
        <w:tc>
          <w:tcPr>
            <w:tcW w:w="1119" w:type="dxa"/>
            <w:tcBorders>
              <w:top w:val="single" w:sz="6" w:space="0" w:color="CCCCCC"/>
              <w:left w:val="single" w:sz="6" w:space="0" w:color="CCCCCC"/>
              <w:bottom w:val="single" w:sz="6" w:space="0" w:color="000000"/>
              <w:right w:val="single" w:sz="6" w:space="0" w:color="000000"/>
            </w:tcBorders>
            <w:shd w:val="clear" w:color="auto" w:fill="AEDDBC"/>
            <w:tcMar>
              <w:top w:w="0" w:type="dxa"/>
              <w:left w:w="40" w:type="dxa"/>
              <w:bottom w:w="0" w:type="dxa"/>
              <w:right w:w="40" w:type="dxa"/>
            </w:tcMar>
            <w:vAlign w:val="center"/>
          </w:tcPr>
          <w:p w14:paraId="637DD42C" w14:textId="77777777" w:rsidR="00F3751F" w:rsidRDefault="00C77840">
            <w:pPr>
              <w:jc w:val="center"/>
              <w:rPr>
                <w:rFonts w:ascii="Calibri" w:eastAsia="Calibri" w:hAnsi="Calibri" w:cs="Calibri"/>
                <w:sz w:val="22"/>
                <w:szCs w:val="22"/>
              </w:rPr>
            </w:pPr>
            <w:r>
              <w:rPr>
                <w:b/>
                <w:bCs/>
              </w:rPr>
              <w:t>2025</w:t>
            </w:r>
          </w:p>
        </w:tc>
      </w:tr>
      <w:tr w:rsidR="00F3751F" w14:paraId="637DD435"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2E" w14:textId="77777777" w:rsidR="00F3751F" w:rsidRDefault="00C77840">
            <w:pPr>
              <w:jc w:val="center"/>
              <w:rPr>
                <w:rFonts w:ascii="Calibri" w:eastAsia="Calibri" w:hAnsi="Calibri" w:cs="Calibri"/>
                <w:sz w:val="22"/>
                <w:szCs w:val="22"/>
              </w:rPr>
            </w:pPr>
            <w:r>
              <w:t>Current Assets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2F" w14:textId="77777777" w:rsidR="00F3751F" w:rsidRDefault="00C77840">
            <w:pPr>
              <w:jc w:val="center"/>
              <w:rPr>
                <w:rFonts w:ascii="Calibri" w:eastAsia="Calibri" w:hAnsi="Calibri" w:cs="Calibri"/>
                <w:sz w:val="22"/>
                <w:szCs w:val="22"/>
              </w:rPr>
            </w:pPr>
            <w:r>
              <w:t>A</w:t>
            </w:r>
          </w:p>
        </w:tc>
        <w:tc>
          <w:tcPr>
            <w:tcW w:w="1119" w:type="dxa"/>
            <w:tcBorders>
              <w:top w:val="single" w:sz="6" w:space="0" w:color="CCCCCC"/>
              <w:left w:val="single" w:sz="6" w:space="0" w:color="CCCCCC"/>
              <w:bottom w:val="single" w:sz="6" w:space="0" w:color="000000"/>
              <w:right w:val="single" w:sz="6" w:space="0" w:color="000000"/>
            </w:tcBorders>
            <w:shd w:val="clear" w:color="auto" w:fill="ACDCBA"/>
            <w:tcMar>
              <w:top w:w="0" w:type="dxa"/>
              <w:left w:w="40" w:type="dxa"/>
              <w:bottom w:w="0" w:type="dxa"/>
              <w:right w:w="40" w:type="dxa"/>
            </w:tcMar>
            <w:vAlign w:val="center"/>
          </w:tcPr>
          <w:p w14:paraId="637DD430" w14:textId="77777777" w:rsidR="00F3751F" w:rsidRDefault="00C77840">
            <w:pPr>
              <w:jc w:val="center"/>
              <w:rPr>
                <w:rFonts w:ascii="Calibri" w:eastAsia="Calibri" w:hAnsi="Calibri" w:cs="Calibri"/>
                <w:sz w:val="22"/>
                <w:szCs w:val="22"/>
              </w:rPr>
            </w:pPr>
            <w:r>
              <w:t>2,062.00</w:t>
            </w:r>
          </w:p>
        </w:tc>
        <w:tc>
          <w:tcPr>
            <w:tcW w:w="1119" w:type="dxa"/>
            <w:tcBorders>
              <w:top w:val="single" w:sz="6" w:space="0" w:color="CCCCCC"/>
              <w:left w:val="single" w:sz="6" w:space="0" w:color="CCCCCC"/>
              <w:bottom w:val="single" w:sz="6" w:space="0" w:color="000000"/>
              <w:right w:val="single" w:sz="6" w:space="0" w:color="000000"/>
            </w:tcBorders>
            <w:shd w:val="clear" w:color="auto" w:fill="A3D8B3"/>
            <w:tcMar>
              <w:top w:w="0" w:type="dxa"/>
              <w:left w:w="40" w:type="dxa"/>
              <w:bottom w:w="0" w:type="dxa"/>
              <w:right w:w="40" w:type="dxa"/>
            </w:tcMar>
            <w:vAlign w:val="center"/>
          </w:tcPr>
          <w:p w14:paraId="637DD431" w14:textId="77777777" w:rsidR="00F3751F" w:rsidRDefault="00C77840">
            <w:pPr>
              <w:jc w:val="center"/>
              <w:rPr>
                <w:rFonts w:ascii="Calibri" w:eastAsia="Calibri" w:hAnsi="Calibri" w:cs="Calibri"/>
                <w:sz w:val="22"/>
                <w:szCs w:val="22"/>
              </w:rPr>
            </w:pPr>
            <w:r>
              <w:t>2,250.00</w:t>
            </w:r>
          </w:p>
        </w:tc>
        <w:tc>
          <w:tcPr>
            <w:tcW w:w="1119" w:type="dxa"/>
            <w:tcBorders>
              <w:top w:val="single" w:sz="6" w:space="0" w:color="CCCCCC"/>
              <w:left w:val="single" w:sz="6" w:space="0" w:color="CCCCCC"/>
              <w:bottom w:val="single" w:sz="6" w:space="0" w:color="000000"/>
              <w:right w:val="single" w:sz="6" w:space="0" w:color="000000"/>
            </w:tcBorders>
            <w:shd w:val="clear" w:color="auto" w:fill="A9DBB8"/>
            <w:tcMar>
              <w:top w:w="0" w:type="dxa"/>
              <w:left w:w="40" w:type="dxa"/>
              <w:bottom w:w="0" w:type="dxa"/>
              <w:right w:w="40" w:type="dxa"/>
            </w:tcMar>
            <w:vAlign w:val="center"/>
          </w:tcPr>
          <w:p w14:paraId="637DD432" w14:textId="77777777" w:rsidR="00F3751F" w:rsidRDefault="00C77840">
            <w:pPr>
              <w:jc w:val="center"/>
              <w:rPr>
                <w:rFonts w:ascii="Calibri" w:eastAsia="Calibri" w:hAnsi="Calibri" w:cs="Calibri"/>
                <w:sz w:val="22"/>
                <w:szCs w:val="22"/>
              </w:rPr>
            </w:pPr>
            <w:r>
              <w:t>2,130.00</w:t>
            </w:r>
          </w:p>
        </w:tc>
        <w:tc>
          <w:tcPr>
            <w:tcW w:w="1270" w:type="dxa"/>
            <w:tcBorders>
              <w:top w:val="single" w:sz="6" w:space="0" w:color="CCCCCC"/>
              <w:left w:val="single" w:sz="6" w:space="0" w:color="CCCCCC"/>
              <w:bottom w:val="single" w:sz="6" w:space="0" w:color="000000"/>
              <w:right w:val="single" w:sz="6" w:space="0" w:color="000000"/>
            </w:tcBorders>
            <w:shd w:val="clear" w:color="auto" w:fill="8CCF9F"/>
            <w:tcMar>
              <w:top w:w="0" w:type="dxa"/>
              <w:left w:w="40" w:type="dxa"/>
              <w:bottom w:w="0" w:type="dxa"/>
              <w:right w:w="40" w:type="dxa"/>
            </w:tcMar>
            <w:vAlign w:val="center"/>
          </w:tcPr>
          <w:p w14:paraId="637DD433" w14:textId="77777777" w:rsidR="00F3751F" w:rsidRDefault="00C77840">
            <w:pPr>
              <w:jc w:val="center"/>
              <w:rPr>
                <w:rFonts w:ascii="Calibri" w:eastAsia="Calibri" w:hAnsi="Calibri" w:cs="Calibri"/>
                <w:sz w:val="22"/>
                <w:szCs w:val="22"/>
              </w:rPr>
            </w:pPr>
            <w:r>
              <w:t>2,733.00</w:t>
            </w:r>
          </w:p>
        </w:tc>
        <w:tc>
          <w:tcPr>
            <w:tcW w:w="1119" w:type="dxa"/>
            <w:tcBorders>
              <w:top w:val="single" w:sz="6" w:space="0" w:color="CCCCCC"/>
              <w:left w:val="single" w:sz="6" w:space="0" w:color="CCCCCC"/>
              <w:bottom w:val="single" w:sz="6" w:space="0" w:color="000000"/>
              <w:right w:val="single" w:sz="6" w:space="0" w:color="000000"/>
            </w:tcBorders>
            <w:shd w:val="clear" w:color="auto" w:fill="A7DAB6"/>
            <w:tcMar>
              <w:top w:w="0" w:type="dxa"/>
              <w:left w:w="40" w:type="dxa"/>
              <w:bottom w:w="0" w:type="dxa"/>
              <w:right w:w="40" w:type="dxa"/>
            </w:tcMar>
            <w:vAlign w:val="center"/>
          </w:tcPr>
          <w:p w14:paraId="637DD434" w14:textId="77777777" w:rsidR="00F3751F" w:rsidRDefault="00C77840">
            <w:pPr>
              <w:jc w:val="center"/>
              <w:rPr>
                <w:rFonts w:ascii="Calibri" w:eastAsia="Calibri" w:hAnsi="Calibri" w:cs="Calibri"/>
                <w:sz w:val="22"/>
                <w:szCs w:val="22"/>
              </w:rPr>
            </w:pPr>
            <w:r>
              <w:t>2,177.00</w:t>
            </w:r>
          </w:p>
        </w:tc>
      </w:tr>
      <w:tr w:rsidR="00F3751F" w14:paraId="637DD43D"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36" w14:textId="77777777" w:rsidR="00F3751F" w:rsidRDefault="00C77840">
            <w:pPr>
              <w:jc w:val="center"/>
              <w:rPr>
                <w:rFonts w:ascii="Calibri" w:eastAsia="Calibri" w:hAnsi="Calibri" w:cs="Calibri"/>
                <w:sz w:val="22"/>
                <w:szCs w:val="22"/>
              </w:rPr>
            </w:pPr>
            <w:r>
              <w:t>Inventories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37" w14:textId="77777777" w:rsidR="00F3751F" w:rsidRDefault="00C77840">
            <w:pPr>
              <w:jc w:val="center"/>
              <w:rPr>
                <w:rFonts w:ascii="Calibri" w:eastAsia="Calibri" w:hAnsi="Calibri" w:cs="Calibri"/>
                <w:sz w:val="22"/>
                <w:szCs w:val="22"/>
              </w:rPr>
            </w:pPr>
            <w:r>
              <w:t>B</w:t>
            </w:r>
          </w:p>
        </w:tc>
        <w:tc>
          <w:tcPr>
            <w:tcW w:w="1119" w:type="dxa"/>
            <w:tcBorders>
              <w:top w:val="single" w:sz="6" w:space="0" w:color="CCCCCC"/>
              <w:left w:val="single" w:sz="6" w:space="0" w:color="CCCCCC"/>
              <w:bottom w:val="single" w:sz="6" w:space="0" w:color="000000"/>
              <w:right w:val="single" w:sz="6" w:space="0" w:color="000000"/>
            </w:tcBorders>
            <w:shd w:val="clear" w:color="auto" w:fill="F86C6E"/>
            <w:tcMar>
              <w:top w:w="0" w:type="dxa"/>
              <w:left w:w="40" w:type="dxa"/>
              <w:bottom w:w="0" w:type="dxa"/>
              <w:right w:w="40" w:type="dxa"/>
            </w:tcMar>
            <w:vAlign w:val="center"/>
          </w:tcPr>
          <w:p w14:paraId="637DD438" w14:textId="77777777" w:rsidR="00F3751F" w:rsidRDefault="00C77840">
            <w:pPr>
              <w:jc w:val="center"/>
              <w:rPr>
                <w:rFonts w:ascii="Calibri" w:eastAsia="Calibri" w:hAnsi="Calibri" w:cs="Calibri"/>
                <w:sz w:val="22"/>
                <w:szCs w:val="22"/>
              </w:rPr>
            </w:pPr>
            <w:r>
              <w:t>10.00</w:t>
            </w:r>
          </w:p>
        </w:tc>
        <w:tc>
          <w:tcPr>
            <w:tcW w:w="1119" w:type="dxa"/>
            <w:tcBorders>
              <w:top w:val="single" w:sz="6" w:space="0" w:color="CCCCCC"/>
              <w:left w:val="single" w:sz="6" w:space="0" w:color="CCCCCC"/>
              <w:bottom w:val="single" w:sz="6" w:space="0" w:color="000000"/>
              <w:right w:val="single" w:sz="6" w:space="0" w:color="000000"/>
            </w:tcBorders>
            <w:shd w:val="clear" w:color="auto" w:fill="F86C6E"/>
            <w:tcMar>
              <w:top w:w="0" w:type="dxa"/>
              <w:left w:w="40" w:type="dxa"/>
              <w:bottom w:w="0" w:type="dxa"/>
              <w:right w:w="40" w:type="dxa"/>
            </w:tcMar>
            <w:vAlign w:val="center"/>
          </w:tcPr>
          <w:p w14:paraId="637DD439" w14:textId="77777777" w:rsidR="00F3751F" w:rsidRDefault="00C77840">
            <w:pPr>
              <w:jc w:val="center"/>
              <w:rPr>
                <w:rFonts w:ascii="Calibri" w:eastAsia="Calibri" w:hAnsi="Calibri" w:cs="Calibri"/>
                <w:sz w:val="22"/>
                <w:szCs w:val="22"/>
              </w:rPr>
            </w:pPr>
            <w:r>
              <w:t>9.00</w:t>
            </w:r>
          </w:p>
        </w:tc>
        <w:tc>
          <w:tcPr>
            <w:tcW w:w="1119" w:type="dxa"/>
            <w:tcBorders>
              <w:top w:val="single" w:sz="6" w:space="0" w:color="CCCCCC"/>
              <w:left w:val="single" w:sz="6" w:space="0" w:color="CCCCCC"/>
              <w:bottom w:val="single" w:sz="6" w:space="0" w:color="000000"/>
              <w:right w:val="single" w:sz="6" w:space="0" w:color="000000"/>
            </w:tcBorders>
            <w:shd w:val="clear" w:color="auto" w:fill="F86C6E"/>
            <w:tcMar>
              <w:top w:w="0" w:type="dxa"/>
              <w:left w:w="40" w:type="dxa"/>
              <w:bottom w:w="0" w:type="dxa"/>
              <w:right w:w="40" w:type="dxa"/>
            </w:tcMar>
            <w:vAlign w:val="center"/>
          </w:tcPr>
          <w:p w14:paraId="637DD43A" w14:textId="77777777" w:rsidR="00F3751F" w:rsidRDefault="00C77840">
            <w:pPr>
              <w:jc w:val="center"/>
              <w:rPr>
                <w:rFonts w:ascii="Calibri" w:eastAsia="Calibri" w:hAnsi="Calibri" w:cs="Calibri"/>
                <w:sz w:val="22"/>
                <w:szCs w:val="22"/>
              </w:rPr>
            </w:pPr>
            <w:r>
              <w:t>9.00</w:t>
            </w:r>
          </w:p>
        </w:tc>
        <w:tc>
          <w:tcPr>
            <w:tcW w:w="1270" w:type="dxa"/>
            <w:tcBorders>
              <w:top w:val="single" w:sz="6" w:space="0" w:color="CCCCCC"/>
              <w:left w:val="single" w:sz="6" w:space="0" w:color="CCCCCC"/>
              <w:bottom w:val="single" w:sz="6" w:space="0" w:color="000000"/>
              <w:right w:val="single" w:sz="6" w:space="0" w:color="000000"/>
            </w:tcBorders>
            <w:shd w:val="clear" w:color="auto" w:fill="F86B6D"/>
            <w:tcMar>
              <w:top w:w="0" w:type="dxa"/>
              <w:left w:w="40" w:type="dxa"/>
              <w:bottom w:w="0" w:type="dxa"/>
              <w:right w:w="40" w:type="dxa"/>
            </w:tcMar>
            <w:vAlign w:val="center"/>
          </w:tcPr>
          <w:p w14:paraId="637DD43B" w14:textId="77777777" w:rsidR="00F3751F" w:rsidRDefault="00C77840">
            <w:pPr>
              <w:jc w:val="center"/>
              <w:rPr>
                <w:rFonts w:ascii="Calibri" w:eastAsia="Calibri" w:hAnsi="Calibri" w:cs="Calibri"/>
                <w:sz w:val="22"/>
                <w:szCs w:val="22"/>
              </w:rPr>
            </w:pPr>
            <w:r>
              <w:t>8.00</w:t>
            </w:r>
          </w:p>
        </w:tc>
        <w:tc>
          <w:tcPr>
            <w:tcW w:w="1119" w:type="dxa"/>
            <w:tcBorders>
              <w:top w:val="single" w:sz="6" w:space="0" w:color="CCCCCC"/>
              <w:left w:val="single" w:sz="6" w:space="0" w:color="CCCCCC"/>
              <w:bottom w:val="single" w:sz="6" w:space="0" w:color="000000"/>
              <w:right w:val="single" w:sz="6" w:space="0" w:color="000000"/>
            </w:tcBorders>
            <w:shd w:val="clear" w:color="auto" w:fill="F86B6D"/>
            <w:tcMar>
              <w:top w:w="0" w:type="dxa"/>
              <w:left w:w="40" w:type="dxa"/>
              <w:bottom w:w="0" w:type="dxa"/>
              <w:right w:w="40" w:type="dxa"/>
            </w:tcMar>
            <w:vAlign w:val="center"/>
          </w:tcPr>
          <w:p w14:paraId="637DD43C" w14:textId="77777777" w:rsidR="00F3751F" w:rsidRDefault="00C77840">
            <w:pPr>
              <w:jc w:val="center"/>
              <w:rPr>
                <w:rFonts w:ascii="Calibri" w:eastAsia="Calibri" w:hAnsi="Calibri" w:cs="Calibri"/>
                <w:sz w:val="22"/>
                <w:szCs w:val="22"/>
              </w:rPr>
            </w:pPr>
            <w:r>
              <w:t>8.00</w:t>
            </w:r>
          </w:p>
        </w:tc>
      </w:tr>
      <w:tr w:rsidR="00F3751F" w14:paraId="637DD445"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3E" w14:textId="77777777" w:rsidR="00F3751F" w:rsidRDefault="00C77840">
            <w:pPr>
              <w:jc w:val="center"/>
              <w:rPr>
                <w:rFonts w:ascii="Calibri" w:eastAsia="Calibri" w:hAnsi="Calibri" w:cs="Calibri"/>
                <w:sz w:val="22"/>
                <w:szCs w:val="22"/>
              </w:rPr>
            </w:pPr>
            <w:r>
              <w:t>Current Liabilities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3F" w14:textId="77777777" w:rsidR="00F3751F" w:rsidRDefault="00C77840">
            <w:pPr>
              <w:jc w:val="center"/>
              <w:rPr>
                <w:rFonts w:ascii="Calibri" w:eastAsia="Calibri" w:hAnsi="Calibri" w:cs="Calibri"/>
                <w:sz w:val="22"/>
                <w:szCs w:val="22"/>
              </w:rPr>
            </w:pPr>
            <w:r>
              <w:t>C</w:t>
            </w:r>
          </w:p>
        </w:tc>
        <w:tc>
          <w:tcPr>
            <w:tcW w:w="1119" w:type="dxa"/>
            <w:tcBorders>
              <w:top w:val="single" w:sz="6" w:space="0" w:color="CCCCCC"/>
              <w:left w:val="single" w:sz="6" w:space="0" w:color="CCCCCC"/>
              <w:bottom w:val="single" w:sz="6" w:space="0" w:color="000000"/>
              <w:right w:val="single" w:sz="6" w:space="0" w:color="000000"/>
            </w:tcBorders>
            <w:shd w:val="clear" w:color="auto" w:fill="A4D9B3"/>
            <w:tcMar>
              <w:top w:w="0" w:type="dxa"/>
              <w:left w:w="40" w:type="dxa"/>
              <w:bottom w:w="0" w:type="dxa"/>
              <w:right w:w="40" w:type="dxa"/>
            </w:tcMar>
            <w:vAlign w:val="center"/>
          </w:tcPr>
          <w:p w14:paraId="637DD440" w14:textId="77777777" w:rsidR="00F3751F" w:rsidRDefault="00C77840">
            <w:pPr>
              <w:jc w:val="center"/>
              <w:rPr>
                <w:rFonts w:ascii="Calibri" w:eastAsia="Calibri" w:hAnsi="Calibri" w:cs="Calibri"/>
                <w:sz w:val="22"/>
                <w:szCs w:val="22"/>
              </w:rPr>
            </w:pPr>
            <w:r>
              <w:t>2,232.00</w:t>
            </w:r>
          </w:p>
        </w:tc>
        <w:tc>
          <w:tcPr>
            <w:tcW w:w="1119" w:type="dxa"/>
            <w:tcBorders>
              <w:top w:val="single" w:sz="6" w:space="0" w:color="CCCCCC"/>
              <w:left w:val="single" w:sz="6" w:space="0" w:color="CCCCCC"/>
              <w:bottom w:val="single" w:sz="6" w:space="0" w:color="000000"/>
              <w:right w:val="single" w:sz="6" w:space="0" w:color="000000"/>
            </w:tcBorders>
            <w:shd w:val="clear" w:color="auto" w:fill="72C488"/>
            <w:tcMar>
              <w:top w:w="0" w:type="dxa"/>
              <w:left w:w="40" w:type="dxa"/>
              <w:bottom w:w="0" w:type="dxa"/>
              <w:right w:w="40" w:type="dxa"/>
            </w:tcMar>
            <w:vAlign w:val="center"/>
          </w:tcPr>
          <w:p w14:paraId="637DD441" w14:textId="77777777" w:rsidR="00F3751F" w:rsidRDefault="00C77840">
            <w:pPr>
              <w:jc w:val="center"/>
              <w:rPr>
                <w:rFonts w:ascii="Calibri" w:eastAsia="Calibri" w:hAnsi="Calibri" w:cs="Calibri"/>
                <w:sz w:val="22"/>
                <w:szCs w:val="22"/>
              </w:rPr>
            </w:pPr>
            <w:r>
              <w:t>3,287.00</w:t>
            </w:r>
          </w:p>
        </w:tc>
        <w:tc>
          <w:tcPr>
            <w:tcW w:w="1119" w:type="dxa"/>
            <w:tcBorders>
              <w:top w:val="single" w:sz="6" w:space="0" w:color="CCCCCC"/>
              <w:left w:val="single" w:sz="6" w:space="0" w:color="CCCCCC"/>
              <w:bottom w:val="single" w:sz="6" w:space="0" w:color="000000"/>
              <w:right w:val="single" w:sz="6" w:space="0" w:color="000000"/>
            </w:tcBorders>
            <w:shd w:val="clear" w:color="auto" w:fill="63BE7B"/>
            <w:tcMar>
              <w:top w:w="0" w:type="dxa"/>
              <w:left w:w="40" w:type="dxa"/>
              <w:bottom w:w="0" w:type="dxa"/>
              <w:right w:w="40" w:type="dxa"/>
            </w:tcMar>
            <w:vAlign w:val="center"/>
          </w:tcPr>
          <w:p w14:paraId="637DD442" w14:textId="77777777" w:rsidR="00F3751F" w:rsidRDefault="00C77840">
            <w:pPr>
              <w:jc w:val="center"/>
              <w:rPr>
                <w:rFonts w:ascii="Calibri" w:eastAsia="Calibri" w:hAnsi="Calibri" w:cs="Calibri"/>
                <w:sz w:val="22"/>
                <w:szCs w:val="22"/>
              </w:rPr>
            </w:pPr>
            <w:r>
              <w:t>3,578.00</w:t>
            </w:r>
          </w:p>
        </w:tc>
        <w:tc>
          <w:tcPr>
            <w:tcW w:w="1270" w:type="dxa"/>
            <w:tcBorders>
              <w:top w:val="single" w:sz="6" w:space="0" w:color="CCCCCC"/>
              <w:left w:val="single" w:sz="6" w:space="0" w:color="CCCCCC"/>
              <w:bottom w:val="single" w:sz="6" w:space="0" w:color="000000"/>
              <w:right w:val="single" w:sz="6" w:space="0" w:color="000000"/>
            </w:tcBorders>
            <w:shd w:val="clear" w:color="auto" w:fill="72C488"/>
            <w:tcMar>
              <w:top w:w="0" w:type="dxa"/>
              <w:left w:w="40" w:type="dxa"/>
              <w:bottom w:w="0" w:type="dxa"/>
              <w:right w:w="40" w:type="dxa"/>
            </w:tcMar>
            <w:vAlign w:val="center"/>
          </w:tcPr>
          <w:p w14:paraId="637DD443" w14:textId="77777777" w:rsidR="00F3751F" w:rsidRDefault="00C77840">
            <w:pPr>
              <w:jc w:val="center"/>
              <w:rPr>
                <w:rFonts w:ascii="Calibri" w:eastAsia="Calibri" w:hAnsi="Calibri" w:cs="Calibri"/>
                <w:sz w:val="22"/>
                <w:szCs w:val="22"/>
              </w:rPr>
            </w:pPr>
            <w:r>
              <w:t>3,274.00</w:t>
            </w:r>
          </w:p>
        </w:tc>
        <w:tc>
          <w:tcPr>
            <w:tcW w:w="1119" w:type="dxa"/>
            <w:tcBorders>
              <w:top w:val="single" w:sz="6" w:space="0" w:color="CCCCCC"/>
              <w:left w:val="single" w:sz="6" w:space="0" w:color="CCCCCC"/>
              <w:bottom w:val="single" w:sz="6" w:space="0" w:color="000000"/>
              <w:right w:val="single" w:sz="6" w:space="0" w:color="000000"/>
            </w:tcBorders>
            <w:shd w:val="clear" w:color="auto" w:fill="84CC98"/>
            <w:tcMar>
              <w:top w:w="0" w:type="dxa"/>
              <w:left w:w="40" w:type="dxa"/>
              <w:bottom w:w="0" w:type="dxa"/>
              <w:right w:w="40" w:type="dxa"/>
            </w:tcMar>
            <w:vAlign w:val="center"/>
          </w:tcPr>
          <w:p w14:paraId="637DD444" w14:textId="77777777" w:rsidR="00F3751F" w:rsidRDefault="00C77840">
            <w:pPr>
              <w:jc w:val="center"/>
              <w:rPr>
                <w:rFonts w:ascii="Calibri" w:eastAsia="Calibri" w:hAnsi="Calibri" w:cs="Calibri"/>
                <w:sz w:val="22"/>
                <w:szCs w:val="22"/>
              </w:rPr>
            </w:pPr>
            <w:r>
              <w:t>2,894.00</w:t>
            </w:r>
          </w:p>
        </w:tc>
      </w:tr>
      <w:tr w:rsidR="00F3751F" w14:paraId="637DD44D"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46" w14:textId="77777777" w:rsidR="00F3751F" w:rsidRDefault="00C77840">
            <w:pPr>
              <w:jc w:val="center"/>
              <w:rPr>
                <w:rFonts w:ascii="Calibri" w:eastAsia="Calibri" w:hAnsi="Calibri" w:cs="Calibri"/>
                <w:sz w:val="22"/>
                <w:szCs w:val="22"/>
              </w:rPr>
            </w:pPr>
            <w:r>
              <w:t>Cash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47" w14:textId="77777777" w:rsidR="00F3751F" w:rsidRDefault="00C77840">
            <w:pPr>
              <w:jc w:val="center"/>
              <w:rPr>
                <w:rFonts w:ascii="Calibri" w:eastAsia="Calibri" w:hAnsi="Calibri" w:cs="Calibri"/>
                <w:sz w:val="22"/>
                <w:szCs w:val="22"/>
              </w:rPr>
            </w:pPr>
            <w:r>
              <w:t>D</w:t>
            </w:r>
          </w:p>
        </w:tc>
        <w:tc>
          <w:tcPr>
            <w:tcW w:w="1119" w:type="dxa"/>
            <w:tcBorders>
              <w:top w:val="single" w:sz="6" w:space="0" w:color="CCCCCC"/>
              <w:left w:val="single" w:sz="6" w:space="0" w:color="CCCCCC"/>
              <w:bottom w:val="single" w:sz="6" w:space="0" w:color="000000"/>
              <w:right w:val="single" w:sz="6" w:space="0" w:color="000000"/>
            </w:tcBorders>
            <w:shd w:val="clear" w:color="auto" w:fill="E1F2E8"/>
            <w:tcMar>
              <w:top w:w="0" w:type="dxa"/>
              <w:left w:w="40" w:type="dxa"/>
              <w:bottom w:w="0" w:type="dxa"/>
              <w:right w:w="40" w:type="dxa"/>
            </w:tcMar>
            <w:vAlign w:val="center"/>
          </w:tcPr>
          <w:p w14:paraId="637DD448" w14:textId="77777777" w:rsidR="00F3751F" w:rsidRDefault="00C77840">
            <w:pPr>
              <w:jc w:val="center"/>
              <w:rPr>
                <w:rFonts w:ascii="Calibri" w:eastAsia="Calibri" w:hAnsi="Calibri" w:cs="Calibri"/>
                <w:sz w:val="22"/>
                <w:szCs w:val="22"/>
              </w:rPr>
            </w:pPr>
            <w:r>
              <w:t>960.00</w:t>
            </w:r>
          </w:p>
        </w:tc>
        <w:tc>
          <w:tcPr>
            <w:tcW w:w="1119" w:type="dxa"/>
            <w:tcBorders>
              <w:top w:val="single" w:sz="6" w:space="0" w:color="CCCCCC"/>
              <w:left w:val="single" w:sz="6" w:space="0" w:color="CCCCCC"/>
              <w:bottom w:val="single" w:sz="6" w:space="0" w:color="000000"/>
              <w:right w:val="single" w:sz="6" w:space="0" w:color="000000"/>
            </w:tcBorders>
            <w:shd w:val="clear" w:color="auto" w:fill="E4F3EB"/>
            <w:tcMar>
              <w:top w:w="0" w:type="dxa"/>
              <w:left w:w="40" w:type="dxa"/>
              <w:bottom w:w="0" w:type="dxa"/>
              <w:right w:w="40" w:type="dxa"/>
            </w:tcMar>
            <w:vAlign w:val="center"/>
          </w:tcPr>
          <w:p w14:paraId="637DD449" w14:textId="77777777" w:rsidR="00F3751F" w:rsidRDefault="00C77840">
            <w:pPr>
              <w:jc w:val="center"/>
              <w:rPr>
                <w:rFonts w:ascii="Calibri" w:eastAsia="Calibri" w:hAnsi="Calibri" w:cs="Calibri"/>
                <w:sz w:val="22"/>
                <w:szCs w:val="22"/>
              </w:rPr>
            </w:pPr>
            <w:r>
              <w:t>901.00</w:t>
            </w:r>
          </w:p>
        </w:tc>
        <w:tc>
          <w:tcPr>
            <w:tcW w:w="1119" w:type="dxa"/>
            <w:tcBorders>
              <w:top w:val="single" w:sz="6" w:space="0" w:color="CCCCCC"/>
              <w:left w:val="single" w:sz="6" w:space="0" w:color="CCCCCC"/>
              <w:bottom w:val="single" w:sz="6" w:space="0" w:color="000000"/>
              <w:right w:val="single" w:sz="6" w:space="0" w:color="000000"/>
            </w:tcBorders>
            <w:shd w:val="clear" w:color="auto" w:fill="E5F3EB"/>
            <w:tcMar>
              <w:top w:w="0" w:type="dxa"/>
              <w:left w:w="40" w:type="dxa"/>
              <w:bottom w:w="0" w:type="dxa"/>
              <w:right w:w="40" w:type="dxa"/>
            </w:tcMar>
            <w:vAlign w:val="center"/>
          </w:tcPr>
          <w:p w14:paraId="637DD44A" w14:textId="77777777" w:rsidR="00F3751F" w:rsidRDefault="00C77840">
            <w:pPr>
              <w:jc w:val="center"/>
              <w:rPr>
                <w:rFonts w:ascii="Calibri" w:eastAsia="Calibri" w:hAnsi="Calibri" w:cs="Calibri"/>
                <w:sz w:val="22"/>
                <w:szCs w:val="22"/>
              </w:rPr>
            </w:pPr>
            <w:r>
              <w:t>881.00</w:t>
            </w:r>
          </w:p>
        </w:tc>
        <w:tc>
          <w:tcPr>
            <w:tcW w:w="1270" w:type="dxa"/>
            <w:tcBorders>
              <w:top w:val="single" w:sz="6" w:space="0" w:color="CCCCCC"/>
              <w:left w:val="single" w:sz="6" w:space="0" w:color="CCCCCC"/>
              <w:bottom w:val="single" w:sz="6" w:space="0" w:color="000000"/>
              <w:right w:val="single" w:sz="6" w:space="0" w:color="000000"/>
            </w:tcBorders>
            <w:shd w:val="clear" w:color="auto" w:fill="DFF1E6"/>
            <w:tcMar>
              <w:top w:w="0" w:type="dxa"/>
              <w:left w:w="40" w:type="dxa"/>
              <w:bottom w:w="0" w:type="dxa"/>
              <w:right w:w="40" w:type="dxa"/>
            </w:tcMar>
            <w:vAlign w:val="center"/>
          </w:tcPr>
          <w:p w14:paraId="637DD44B" w14:textId="77777777" w:rsidR="00F3751F" w:rsidRDefault="00C77840">
            <w:pPr>
              <w:jc w:val="center"/>
              <w:rPr>
                <w:rFonts w:ascii="Calibri" w:eastAsia="Calibri" w:hAnsi="Calibri" w:cs="Calibri"/>
                <w:sz w:val="22"/>
                <w:szCs w:val="22"/>
              </w:rPr>
            </w:pPr>
            <w:r>
              <w:t>1,011.00</w:t>
            </w:r>
          </w:p>
        </w:tc>
        <w:tc>
          <w:tcPr>
            <w:tcW w:w="1119" w:type="dxa"/>
            <w:tcBorders>
              <w:top w:val="single" w:sz="6" w:space="0" w:color="CCCCCC"/>
              <w:left w:val="single" w:sz="6" w:space="0" w:color="CCCCCC"/>
              <w:bottom w:val="single" w:sz="6" w:space="0" w:color="000000"/>
              <w:right w:val="single" w:sz="6" w:space="0" w:color="000000"/>
            </w:tcBorders>
            <w:shd w:val="clear" w:color="auto" w:fill="EAF5EF"/>
            <w:tcMar>
              <w:top w:w="0" w:type="dxa"/>
              <w:left w:w="40" w:type="dxa"/>
              <w:bottom w:w="0" w:type="dxa"/>
              <w:right w:w="40" w:type="dxa"/>
            </w:tcMar>
            <w:vAlign w:val="center"/>
          </w:tcPr>
          <w:p w14:paraId="637DD44C" w14:textId="77777777" w:rsidR="00F3751F" w:rsidRDefault="00C77840">
            <w:pPr>
              <w:jc w:val="center"/>
              <w:rPr>
                <w:rFonts w:ascii="Calibri" w:eastAsia="Calibri" w:hAnsi="Calibri" w:cs="Calibri"/>
                <w:sz w:val="22"/>
                <w:szCs w:val="22"/>
              </w:rPr>
            </w:pPr>
            <w:r>
              <w:t>787.00</w:t>
            </w:r>
          </w:p>
        </w:tc>
      </w:tr>
      <w:tr w:rsidR="00F3751F" w14:paraId="637DD455"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4E" w14:textId="77777777" w:rsidR="00F3751F" w:rsidRDefault="00C77840">
            <w:pPr>
              <w:jc w:val="center"/>
              <w:rPr>
                <w:rFonts w:ascii="Calibri" w:eastAsia="Calibri" w:hAnsi="Calibri" w:cs="Calibri"/>
                <w:sz w:val="22"/>
                <w:szCs w:val="22"/>
              </w:rPr>
            </w:pPr>
            <w:r>
              <w:rPr>
                <w:b/>
                <w:bCs/>
              </w:rPr>
              <w:t>Current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4F" w14:textId="77777777" w:rsidR="00F3751F" w:rsidRDefault="00C77840">
            <w:pPr>
              <w:jc w:val="center"/>
              <w:rPr>
                <w:rFonts w:ascii="Calibri" w:eastAsia="Calibri" w:hAnsi="Calibri" w:cs="Calibri"/>
                <w:sz w:val="22"/>
                <w:szCs w:val="22"/>
              </w:rPr>
            </w:pPr>
            <w:r>
              <w:rPr>
                <w:b/>
                <w:bCs/>
              </w:rPr>
              <w:t>A/C</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50" w14:textId="77777777" w:rsidR="00F3751F" w:rsidRDefault="00C77840">
            <w:pPr>
              <w:jc w:val="center"/>
              <w:rPr>
                <w:rFonts w:ascii="Calibri" w:eastAsia="Calibri" w:hAnsi="Calibri" w:cs="Calibri"/>
                <w:sz w:val="22"/>
                <w:szCs w:val="22"/>
              </w:rPr>
            </w:pPr>
            <w:r>
              <w:rPr>
                <w:b/>
                <w:bCs/>
              </w:rPr>
              <w:t>0.92</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51" w14:textId="77777777" w:rsidR="00F3751F" w:rsidRDefault="00C77840">
            <w:pPr>
              <w:jc w:val="center"/>
              <w:rPr>
                <w:rFonts w:ascii="Calibri" w:eastAsia="Calibri" w:hAnsi="Calibri" w:cs="Calibri"/>
                <w:sz w:val="22"/>
                <w:szCs w:val="22"/>
              </w:rPr>
            </w:pPr>
            <w:r>
              <w:rPr>
                <w:b/>
                <w:bCs/>
              </w:rPr>
              <w:t>0.68</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52" w14:textId="77777777" w:rsidR="00F3751F" w:rsidRDefault="00C77840">
            <w:pPr>
              <w:jc w:val="center"/>
              <w:rPr>
                <w:rFonts w:ascii="Calibri" w:eastAsia="Calibri" w:hAnsi="Calibri" w:cs="Calibri"/>
                <w:sz w:val="22"/>
                <w:szCs w:val="22"/>
              </w:rPr>
            </w:pPr>
            <w:r>
              <w:rPr>
                <w:b/>
                <w:bCs/>
              </w:rPr>
              <w:t>0.60</w:t>
            </w:r>
          </w:p>
        </w:tc>
        <w:tc>
          <w:tcPr>
            <w:tcW w:w="1270"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53" w14:textId="77777777" w:rsidR="00F3751F" w:rsidRDefault="00C77840">
            <w:pPr>
              <w:jc w:val="center"/>
              <w:rPr>
                <w:rFonts w:ascii="Calibri" w:eastAsia="Calibri" w:hAnsi="Calibri" w:cs="Calibri"/>
                <w:sz w:val="22"/>
                <w:szCs w:val="22"/>
              </w:rPr>
            </w:pPr>
            <w:r>
              <w:rPr>
                <w:b/>
                <w:bCs/>
              </w:rPr>
              <w:t>0.83</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54" w14:textId="77777777" w:rsidR="00F3751F" w:rsidRDefault="00C77840">
            <w:pPr>
              <w:jc w:val="center"/>
              <w:rPr>
                <w:rFonts w:ascii="Calibri" w:eastAsia="Calibri" w:hAnsi="Calibri" w:cs="Calibri"/>
                <w:sz w:val="22"/>
                <w:szCs w:val="22"/>
              </w:rPr>
            </w:pPr>
            <w:r>
              <w:rPr>
                <w:b/>
                <w:bCs/>
              </w:rPr>
              <w:t>0.75</w:t>
            </w:r>
          </w:p>
        </w:tc>
      </w:tr>
      <w:tr w:rsidR="00F3751F" w14:paraId="637DD45D"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56" w14:textId="77777777" w:rsidR="00F3751F" w:rsidRDefault="00C77840">
            <w:pPr>
              <w:jc w:val="center"/>
              <w:rPr>
                <w:rFonts w:ascii="Calibri" w:eastAsia="Calibri" w:hAnsi="Calibri" w:cs="Calibri"/>
                <w:sz w:val="22"/>
                <w:szCs w:val="22"/>
              </w:rPr>
            </w:pPr>
            <w:r>
              <w:rPr>
                <w:b/>
                <w:bCs/>
              </w:rPr>
              <w:t>Quick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57" w14:textId="77777777" w:rsidR="00F3751F" w:rsidRDefault="00C77840">
            <w:pPr>
              <w:jc w:val="center"/>
              <w:rPr>
                <w:rFonts w:ascii="Calibri" w:eastAsia="Calibri" w:hAnsi="Calibri" w:cs="Calibri"/>
                <w:sz w:val="22"/>
                <w:szCs w:val="22"/>
              </w:rPr>
            </w:pPr>
            <w:r>
              <w:rPr>
                <w:b/>
                <w:bCs/>
              </w:rPr>
              <w:t>(A-B)/C</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58" w14:textId="77777777" w:rsidR="00F3751F" w:rsidRDefault="00C77840">
            <w:pPr>
              <w:jc w:val="center"/>
              <w:rPr>
                <w:rFonts w:ascii="Calibri" w:eastAsia="Calibri" w:hAnsi="Calibri" w:cs="Calibri"/>
                <w:sz w:val="22"/>
                <w:szCs w:val="22"/>
              </w:rPr>
            </w:pPr>
            <w:r>
              <w:rPr>
                <w:b/>
                <w:bCs/>
              </w:rPr>
              <w:t>0.92</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59" w14:textId="77777777" w:rsidR="00F3751F" w:rsidRDefault="00C77840">
            <w:pPr>
              <w:jc w:val="center"/>
              <w:rPr>
                <w:rFonts w:ascii="Calibri" w:eastAsia="Calibri" w:hAnsi="Calibri" w:cs="Calibri"/>
                <w:sz w:val="22"/>
                <w:szCs w:val="22"/>
              </w:rPr>
            </w:pPr>
            <w:r>
              <w:rPr>
                <w:b/>
                <w:bCs/>
              </w:rPr>
              <w:t>0.68</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5A" w14:textId="77777777" w:rsidR="00F3751F" w:rsidRDefault="00C77840">
            <w:pPr>
              <w:jc w:val="center"/>
              <w:rPr>
                <w:rFonts w:ascii="Calibri" w:eastAsia="Calibri" w:hAnsi="Calibri" w:cs="Calibri"/>
                <w:sz w:val="22"/>
                <w:szCs w:val="22"/>
              </w:rPr>
            </w:pPr>
            <w:r>
              <w:rPr>
                <w:b/>
                <w:bCs/>
              </w:rPr>
              <w:t>0.59</w:t>
            </w:r>
          </w:p>
        </w:tc>
        <w:tc>
          <w:tcPr>
            <w:tcW w:w="1270"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5B" w14:textId="77777777" w:rsidR="00F3751F" w:rsidRDefault="00C77840">
            <w:pPr>
              <w:jc w:val="center"/>
              <w:rPr>
                <w:rFonts w:ascii="Calibri" w:eastAsia="Calibri" w:hAnsi="Calibri" w:cs="Calibri"/>
                <w:sz w:val="22"/>
                <w:szCs w:val="22"/>
              </w:rPr>
            </w:pPr>
            <w:r>
              <w:rPr>
                <w:b/>
                <w:bCs/>
              </w:rPr>
              <w:t>0.83</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5C" w14:textId="77777777" w:rsidR="00F3751F" w:rsidRDefault="00C77840">
            <w:pPr>
              <w:jc w:val="center"/>
              <w:rPr>
                <w:rFonts w:ascii="Calibri" w:eastAsia="Calibri" w:hAnsi="Calibri" w:cs="Calibri"/>
                <w:sz w:val="22"/>
                <w:szCs w:val="22"/>
              </w:rPr>
            </w:pPr>
            <w:r>
              <w:rPr>
                <w:b/>
                <w:bCs/>
              </w:rPr>
              <w:t>0.75</w:t>
            </w:r>
          </w:p>
        </w:tc>
      </w:tr>
      <w:tr w:rsidR="00F3751F" w14:paraId="637DD465"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5E" w14:textId="77777777" w:rsidR="00F3751F" w:rsidRDefault="00C77840">
            <w:pPr>
              <w:jc w:val="center"/>
              <w:rPr>
                <w:rFonts w:ascii="Calibri" w:eastAsia="Calibri" w:hAnsi="Calibri" w:cs="Calibri"/>
                <w:sz w:val="22"/>
                <w:szCs w:val="22"/>
              </w:rPr>
            </w:pPr>
            <w:r>
              <w:rPr>
                <w:b/>
                <w:bCs/>
              </w:rPr>
              <w:t>Cash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5F" w14:textId="77777777" w:rsidR="00F3751F" w:rsidRDefault="00C77840">
            <w:pPr>
              <w:jc w:val="center"/>
              <w:rPr>
                <w:rFonts w:ascii="Calibri" w:eastAsia="Calibri" w:hAnsi="Calibri" w:cs="Calibri"/>
                <w:sz w:val="22"/>
                <w:szCs w:val="22"/>
              </w:rPr>
            </w:pPr>
            <w:r>
              <w:rPr>
                <w:b/>
                <w:bCs/>
              </w:rPr>
              <w:t>D/C</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60" w14:textId="77777777" w:rsidR="00F3751F" w:rsidRDefault="00C77840">
            <w:pPr>
              <w:jc w:val="right"/>
              <w:rPr>
                <w:rFonts w:ascii="Calibri" w:eastAsia="Calibri" w:hAnsi="Calibri" w:cs="Calibri"/>
                <w:sz w:val="22"/>
                <w:szCs w:val="22"/>
              </w:rPr>
            </w:pPr>
            <w:r>
              <w:rPr>
                <w:b/>
                <w:bCs/>
              </w:rPr>
              <w:t>0.43</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61" w14:textId="77777777" w:rsidR="00F3751F" w:rsidRDefault="00C77840">
            <w:pPr>
              <w:jc w:val="right"/>
              <w:rPr>
                <w:rFonts w:ascii="Calibri" w:eastAsia="Calibri" w:hAnsi="Calibri" w:cs="Calibri"/>
                <w:sz w:val="22"/>
                <w:szCs w:val="22"/>
              </w:rPr>
            </w:pPr>
            <w:r>
              <w:rPr>
                <w:b/>
                <w:bCs/>
              </w:rPr>
              <w:t>0.27</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62" w14:textId="77777777" w:rsidR="00F3751F" w:rsidRDefault="00C77840">
            <w:pPr>
              <w:jc w:val="right"/>
              <w:rPr>
                <w:rFonts w:ascii="Calibri" w:eastAsia="Calibri" w:hAnsi="Calibri" w:cs="Calibri"/>
                <w:sz w:val="22"/>
                <w:szCs w:val="22"/>
              </w:rPr>
            </w:pPr>
            <w:r>
              <w:rPr>
                <w:b/>
                <w:bCs/>
              </w:rPr>
              <w:t>0.25</w:t>
            </w:r>
          </w:p>
        </w:tc>
        <w:tc>
          <w:tcPr>
            <w:tcW w:w="1270"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63" w14:textId="77777777" w:rsidR="00F3751F" w:rsidRDefault="00C77840">
            <w:pPr>
              <w:jc w:val="right"/>
              <w:rPr>
                <w:rFonts w:ascii="Calibri" w:eastAsia="Calibri" w:hAnsi="Calibri" w:cs="Calibri"/>
                <w:sz w:val="22"/>
                <w:szCs w:val="22"/>
              </w:rPr>
            </w:pPr>
            <w:r>
              <w:rPr>
                <w:b/>
                <w:bCs/>
              </w:rPr>
              <w:t>0.31</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64" w14:textId="77777777" w:rsidR="00F3751F" w:rsidRDefault="00C77840">
            <w:pPr>
              <w:jc w:val="right"/>
              <w:rPr>
                <w:rFonts w:ascii="Calibri" w:eastAsia="Calibri" w:hAnsi="Calibri" w:cs="Calibri"/>
                <w:sz w:val="22"/>
                <w:szCs w:val="22"/>
              </w:rPr>
            </w:pPr>
            <w:r>
              <w:rPr>
                <w:b/>
                <w:bCs/>
              </w:rPr>
              <w:t>0.27</w:t>
            </w:r>
          </w:p>
        </w:tc>
      </w:tr>
      <w:tr w:rsidR="00F3751F" w14:paraId="637DD46D" w14:textId="77777777">
        <w:trPr>
          <w:trHeight w:val="315"/>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66" w14:textId="77777777" w:rsidR="00F3751F" w:rsidRDefault="00F3751F">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67" w14:textId="77777777" w:rsidR="00F3751F" w:rsidRDefault="00F3751F">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68" w14:textId="77777777" w:rsidR="00F3751F" w:rsidRDefault="00F3751F">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69" w14:textId="77777777" w:rsidR="00F3751F" w:rsidRDefault="00F3751F">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6A" w14:textId="77777777" w:rsidR="00F3751F" w:rsidRDefault="00F3751F">
            <w:pPr>
              <w:rPr>
                <w:rFonts w:ascii="Calibri" w:eastAsia="Calibri" w:hAnsi="Calibri" w:cs="Calibri"/>
                <w:sz w:val="22"/>
                <w:szCs w:val="22"/>
              </w:rPr>
            </w:pPr>
          </w:p>
        </w:tc>
        <w:tc>
          <w:tcPr>
            <w:tcW w:w="127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6B" w14:textId="77777777" w:rsidR="00F3751F" w:rsidRDefault="00F3751F">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6C" w14:textId="77777777" w:rsidR="00F3751F" w:rsidRDefault="00F3751F">
            <w:pPr>
              <w:rPr>
                <w:rFonts w:ascii="Calibri" w:eastAsia="Calibri" w:hAnsi="Calibri" w:cs="Calibri"/>
                <w:sz w:val="22"/>
                <w:szCs w:val="22"/>
              </w:rPr>
            </w:pPr>
          </w:p>
        </w:tc>
      </w:tr>
      <w:tr w:rsidR="00F3751F" w14:paraId="637DD46F" w14:textId="77777777">
        <w:trPr>
          <w:trHeight w:val="315"/>
        </w:trPr>
        <w:tc>
          <w:tcPr>
            <w:tcW w:w="9355"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637DD46E" w14:textId="77777777" w:rsidR="00F3751F" w:rsidRDefault="00C77840">
            <w:pPr>
              <w:jc w:val="center"/>
              <w:rPr>
                <w:rFonts w:ascii="Calibri" w:eastAsia="Calibri" w:hAnsi="Calibri" w:cs="Calibri"/>
                <w:sz w:val="22"/>
                <w:szCs w:val="22"/>
              </w:rPr>
            </w:pPr>
            <w:r>
              <w:rPr>
                <w:b/>
                <w:bCs/>
              </w:rPr>
              <w:t>Gearing Ratios:-</w:t>
            </w:r>
          </w:p>
        </w:tc>
      </w:tr>
      <w:tr w:rsidR="00F3751F" w14:paraId="637DD477"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70" w14:textId="77777777" w:rsidR="00F3751F" w:rsidRDefault="00C77840">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71" w14:textId="77777777" w:rsidR="00F3751F" w:rsidRDefault="00C77840">
            <w:pPr>
              <w:jc w:val="center"/>
              <w:rPr>
                <w:rFonts w:ascii="Calibri" w:eastAsia="Calibri" w:hAnsi="Calibri" w:cs="Calibri"/>
                <w:sz w:val="22"/>
                <w:szCs w:val="22"/>
              </w:rPr>
            </w:pPr>
            <w:r>
              <w:rPr>
                <w:b/>
                <w:bCs/>
              </w:rPr>
              <w:t>Details</w:t>
            </w:r>
          </w:p>
        </w:tc>
        <w:tc>
          <w:tcPr>
            <w:tcW w:w="1119" w:type="dxa"/>
            <w:tcBorders>
              <w:top w:val="single" w:sz="6" w:space="0" w:color="CCCCCC"/>
              <w:left w:val="single" w:sz="6" w:space="0" w:color="CCCCCC"/>
              <w:bottom w:val="single" w:sz="6" w:space="0" w:color="000000"/>
              <w:right w:val="single" w:sz="6" w:space="0" w:color="000000"/>
            </w:tcBorders>
            <w:shd w:val="clear" w:color="auto" w:fill="F8FBFC"/>
            <w:tcMar>
              <w:top w:w="0" w:type="dxa"/>
              <w:left w:w="40" w:type="dxa"/>
              <w:bottom w:w="0" w:type="dxa"/>
              <w:right w:w="40" w:type="dxa"/>
            </w:tcMar>
            <w:vAlign w:val="center"/>
          </w:tcPr>
          <w:p w14:paraId="637DD472" w14:textId="77777777" w:rsidR="00F3751F" w:rsidRDefault="00C77840">
            <w:pPr>
              <w:jc w:val="center"/>
              <w:rPr>
                <w:rFonts w:ascii="Calibri" w:eastAsia="Calibri" w:hAnsi="Calibri" w:cs="Calibri"/>
                <w:sz w:val="22"/>
                <w:szCs w:val="22"/>
              </w:rPr>
            </w:pPr>
            <w:r>
              <w:rPr>
                <w:b/>
                <w:bCs/>
              </w:rPr>
              <w:t>2021</w:t>
            </w:r>
          </w:p>
        </w:tc>
        <w:tc>
          <w:tcPr>
            <w:tcW w:w="1119" w:type="dxa"/>
            <w:tcBorders>
              <w:top w:val="single" w:sz="6" w:space="0" w:color="CCCCCC"/>
              <w:left w:val="single" w:sz="6" w:space="0" w:color="CCCCCC"/>
              <w:bottom w:val="single" w:sz="6" w:space="0" w:color="000000"/>
              <w:right w:val="single" w:sz="6" w:space="0" w:color="000000"/>
            </w:tcBorders>
            <w:shd w:val="clear" w:color="auto" w:fill="F8FBFC"/>
            <w:tcMar>
              <w:top w:w="0" w:type="dxa"/>
              <w:left w:w="40" w:type="dxa"/>
              <w:bottom w:w="0" w:type="dxa"/>
              <w:right w:w="40" w:type="dxa"/>
            </w:tcMar>
            <w:vAlign w:val="center"/>
          </w:tcPr>
          <w:p w14:paraId="637DD473" w14:textId="77777777" w:rsidR="00F3751F" w:rsidRDefault="00C77840">
            <w:pPr>
              <w:jc w:val="center"/>
              <w:rPr>
                <w:rFonts w:ascii="Calibri" w:eastAsia="Calibri" w:hAnsi="Calibri" w:cs="Calibri"/>
                <w:sz w:val="22"/>
                <w:szCs w:val="22"/>
              </w:rPr>
            </w:pPr>
            <w:r>
              <w:rPr>
                <w:b/>
                <w:bCs/>
              </w:rPr>
              <w:t>2022</w:t>
            </w:r>
          </w:p>
        </w:tc>
        <w:tc>
          <w:tcPr>
            <w:tcW w:w="1119" w:type="dxa"/>
            <w:tcBorders>
              <w:top w:val="single" w:sz="6" w:space="0" w:color="CCCCCC"/>
              <w:left w:val="single" w:sz="6" w:space="0" w:color="CCCCCC"/>
              <w:bottom w:val="single" w:sz="6" w:space="0" w:color="000000"/>
              <w:right w:val="single" w:sz="6" w:space="0" w:color="000000"/>
            </w:tcBorders>
            <w:shd w:val="clear" w:color="auto" w:fill="F8FBFC"/>
            <w:tcMar>
              <w:top w:w="0" w:type="dxa"/>
              <w:left w:w="40" w:type="dxa"/>
              <w:bottom w:w="0" w:type="dxa"/>
              <w:right w:w="40" w:type="dxa"/>
            </w:tcMar>
            <w:vAlign w:val="center"/>
          </w:tcPr>
          <w:p w14:paraId="637DD474" w14:textId="77777777" w:rsidR="00F3751F" w:rsidRDefault="00C77840">
            <w:pPr>
              <w:jc w:val="center"/>
              <w:rPr>
                <w:rFonts w:ascii="Calibri" w:eastAsia="Calibri" w:hAnsi="Calibri" w:cs="Calibri"/>
                <w:sz w:val="22"/>
                <w:szCs w:val="22"/>
              </w:rPr>
            </w:pPr>
            <w:r>
              <w:rPr>
                <w:b/>
                <w:bCs/>
              </w:rPr>
              <w:t>2023</w:t>
            </w:r>
          </w:p>
        </w:tc>
        <w:tc>
          <w:tcPr>
            <w:tcW w:w="1270" w:type="dxa"/>
            <w:tcBorders>
              <w:top w:val="single" w:sz="6" w:space="0" w:color="CCCCCC"/>
              <w:left w:val="single" w:sz="6" w:space="0" w:color="CCCCCC"/>
              <w:bottom w:val="single" w:sz="6" w:space="0" w:color="000000"/>
              <w:right w:val="single" w:sz="6" w:space="0" w:color="000000"/>
            </w:tcBorders>
            <w:shd w:val="clear" w:color="auto" w:fill="F8FBFC"/>
            <w:tcMar>
              <w:top w:w="0" w:type="dxa"/>
              <w:left w:w="40" w:type="dxa"/>
              <w:bottom w:w="0" w:type="dxa"/>
              <w:right w:w="40" w:type="dxa"/>
            </w:tcMar>
            <w:vAlign w:val="center"/>
          </w:tcPr>
          <w:p w14:paraId="637DD475" w14:textId="77777777" w:rsidR="00F3751F" w:rsidRDefault="00C77840">
            <w:pPr>
              <w:jc w:val="center"/>
              <w:rPr>
                <w:rFonts w:ascii="Calibri" w:eastAsia="Calibri" w:hAnsi="Calibri" w:cs="Calibri"/>
                <w:sz w:val="22"/>
                <w:szCs w:val="22"/>
              </w:rPr>
            </w:pPr>
            <w:r>
              <w:rPr>
                <w:b/>
                <w:bCs/>
              </w:rPr>
              <w:t>2024</w:t>
            </w:r>
          </w:p>
        </w:tc>
        <w:tc>
          <w:tcPr>
            <w:tcW w:w="1119" w:type="dxa"/>
            <w:tcBorders>
              <w:top w:val="single" w:sz="6" w:space="0" w:color="CCCCCC"/>
              <w:left w:val="single" w:sz="6" w:space="0" w:color="CCCCCC"/>
              <w:bottom w:val="single" w:sz="6" w:space="0" w:color="000000"/>
              <w:right w:val="single" w:sz="6" w:space="0" w:color="000000"/>
            </w:tcBorders>
            <w:shd w:val="clear" w:color="auto" w:fill="F8FBFC"/>
            <w:tcMar>
              <w:top w:w="0" w:type="dxa"/>
              <w:left w:w="40" w:type="dxa"/>
              <w:bottom w:w="0" w:type="dxa"/>
              <w:right w:w="40" w:type="dxa"/>
            </w:tcMar>
            <w:vAlign w:val="center"/>
          </w:tcPr>
          <w:p w14:paraId="637DD476" w14:textId="77777777" w:rsidR="00F3751F" w:rsidRDefault="00C77840">
            <w:pPr>
              <w:jc w:val="center"/>
              <w:rPr>
                <w:rFonts w:ascii="Calibri" w:eastAsia="Calibri" w:hAnsi="Calibri" w:cs="Calibri"/>
                <w:sz w:val="22"/>
                <w:szCs w:val="22"/>
              </w:rPr>
            </w:pPr>
            <w:r>
              <w:rPr>
                <w:b/>
                <w:bCs/>
              </w:rPr>
              <w:t>2025</w:t>
            </w:r>
          </w:p>
        </w:tc>
      </w:tr>
      <w:tr w:rsidR="00F3751F" w14:paraId="637DD47F"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78" w14:textId="77777777" w:rsidR="00F3751F" w:rsidRDefault="00C77840">
            <w:pPr>
              <w:jc w:val="center"/>
              <w:rPr>
                <w:rFonts w:ascii="Calibri" w:eastAsia="Calibri" w:hAnsi="Calibri" w:cs="Calibri"/>
                <w:sz w:val="22"/>
                <w:szCs w:val="22"/>
              </w:rPr>
            </w:pPr>
            <w:r>
              <w:t>Total Liabilities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79" w14:textId="77777777" w:rsidR="00F3751F" w:rsidRDefault="00C77840">
            <w:pPr>
              <w:jc w:val="center"/>
              <w:rPr>
                <w:rFonts w:ascii="Calibri" w:eastAsia="Calibri" w:hAnsi="Calibri" w:cs="Calibri"/>
                <w:sz w:val="22"/>
                <w:szCs w:val="22"/>
              </w:rPr>
            </w:pPr>
            <w:r>
              <w:t>A</w:t>
            </w:r>
          </w:p>
        </w:tc>
        <w:tc>
          <w:tcPr>
            <w:tcW w:w="1119" w:type="dxa"/>
            <w:tcBorders>
              <w:top w:val="single" w:sz="6" w:space="0" w:color="CCCCCC"/>
              <w:left w:val="single" w:sz="6" w:space="0" w:color="CCCCCC"/>
              <w:bottom w:val="single" w:sz="6" w:space="0" w:color="000000"/>
              <w:right w:val="single" w:sz="6" w:space="0" w:color="000000"/>
            </w:tcBorders>
            <w:shd w:val="clear" w:color="auto" w:fill="7BC890"/>
            <w:tcMar>
              <w:top w:w="0" w:type="dxa"/>
              <w:left w:w="40" w:type="dxa"/>
              <w:bottom w:w="0" w:type="dxa"/>
              <w:right w:w="40" w:type="dxa"/>
            </w:tcMar>
            <w:vAlign w:val="center"/>
          </w:tcPr>
          <w:p w14:paraId="637DD47A" w14:textId="77777777" w:rsidR="00F3751F" w:rsidRDefault="00C77840">
            <w:pPr>
              <w:jc w:val="center"/>
              <w:rPr>
                <w:rFonts w:ascii="Calibri" w:eastAsia="Calibri" w:hAnsi="Calibri" w:cs="Calibri"/>
                <w:sz w:val="22"/>
                <w:szCs w:val="22"/>
              </w:rPr>
            </w:pPr>
            <w:r>
              <w:t>9,037.00</w:t>
            </w:r>
          </w:p>
        </w:tc>
        <w:tc>
          <w:tcPr>
            <w:tcW w:w="1119" w:type="dxa"/>
            <w:tcBorders>
              <w:top w:val="single" w:sz="6" w:space="0" w:color="CCCCCC"/>
              <w:left w:val="single" w:sz="6" w:space="0" w:color="CCCCCC"/>
              <w:bottom w:val="single" w:sz="6" w:space="0" w:color="000000"/>
              <w:right w:val="single" w:sz="6" w:space="0" w:color="000000"/>
            </w:tcBorders>
            <w:shd w:val="clear" w:color="auto" w:fill="83CB97"/>
            <w:tcMar>
              <w:top w:w="0" w:type="dxa"/>
              <w:left w:w="40" w:type="dxa"/>
              <w:bottom w:w="0" w:type="dxa"/>
              <w:right w:w="40" w:type="dxa"/>
            </w:tcMar>
            <w:vAlign w:val="center"/>
          </w:tcPr>
          <w:p w14:paraId="637DD47B" w14:textId="77777777" w:rsidR="00F3751F" w:rsidRDefault="00C77840">
            <w:pPr>
              <w:jc w:val="center"/>
              <w:rPr>
                <w:rFonts w:ascii="Calibri" w:eastAsia="Calibri" w:hAnsi="Calibri" w:cs="Calibri"/>
                <w:sz w:val="22"/>
                <w:szCs w:val="22"/>
              </w:rPr>
            </w:pPr>
            <w:r>
              <w:t>8,610.00</w:t>
            </w:r>
          </w:p>
        </w:tc>
        <w:tc>
          <w:tcPr>
            <w:tcW w:w="1119" w:type="dxa"/>
            <w:tcBorders>
              <w:top w:val="single" w:sz="6" w:space="0" w:color="CCCCCC"/>
              <w:left w:val="single" w:sz="6" w:space="0" w:color="CCCCCC"/>
              <w:bottom w:val="single" w:sz="6" w:space="0" w:color="000000"/>
              <w:right w:val="single" w:sz="6" w:space="0" w:color="000000"/>
            </w:tcBorders>
            <w:shd w:val="clear" w:color="auto" w:fill="77C78D"/>
            <w:tcMar>
              <w:top w:w="0" w:type="dxa"/>
              <w:left w:w="40" w:type="dxa"/>
              <w:bottom w:w="0" w:type="dxa"/>
              <w:right w:w="40" w:type="dxa"/>
            </w:tcMar>
            <w:vAlign w:val="center"/>
          </w:tcPr>
          <w:p w14:paraId="637DD47C" w14:textId="77777777" w:rsidR="00F3751F" w:rsidRDefault="00C77840">
            <w:pPr>
              <w:jc w:val="center"/>
              <w:rPr>
                <w:rFonts w:ascii="Calibri" w:eastAsia="Calibri" w:hAnsi="Calibri" w:cs="Calibri"/>
                <w:sz w:val="22"/>
                <w:szCs w:val="22"/>
              </w:rPr>
            </w:pPr>
            <w:r>
              <w:t>9,266.00</w:t>
            </w:r>
          </w:p>
        </w:tc>
        <w:tc>
          <w:tcPr>
            <w:tcW w:w="1270" w:type="dxa"/>
            <w:tcBorders>
              <w:top w:val="single" w:sz="6" w:space="0" w:color="CCCCCC"/>
              <w:left w:val="single" w:sz="6" w:space="0" w:color="CCCCCC"/>
              <w:bottom w:val="single" w:sz="6" w:space="0" w:color="000000"/>
              <w:right w:val="single" w:sz="6" w:space="0" w:color="000000"/>
            </w:tcBorders>
            <w:shd w:val="clear" w:color="auto" w:fill="73C589"/>
            <w:tcMar>
              <w:top w:w="0" w:type="dxa"/>
              <w:left w:w="40" w:type="dxa"/>
              <w:bottom w:w="0" w:type="dxa"/>
              <w:right w:w="40" w:type="dxa"/>
            </w:tcMar>
            <w:vAlign w:val="center"/>
          </w:tcPr>
          <w:p w14:paraId="637DD47D" w14:textId="77777777" w:rsidR="00F3751F" w:rsidRDefault="00C77840">
            <w:pPr>
              <w:jc w:val="center"/>
              <w:rPr>
                <w:rFonts w:ascii="Calibri" w:eastAsia="Calibri" w:hAnsi="Calibri" w:cs="Calibri"/>
                <w:sz w:val="22"/>
                <w:szCs w:val="22"/>
              </w:rPr>
            </w:pPr>
            <w:r>
              <w:t>9,498.00</w:t>
            </w:r>
          </w:p>
        </w:tc>
        <w:tc>
          <w:tcPr>
            <w:tcW w:w="1119" w:type="dxa"/>
            <w:tcBorders>
              <w:top w:val="single" w:sz="6" w:space="0" w:color="CCCCCC"/>
              <w:left w:val="single" w:sz="6" w:space="0" w:color="CCCCCC"/>
              <w:bottom w:val="single" w:sz="6" w:space="0" w:color="000000"/>
              <w:right w:val="single" w:sz="6" w:space="0" w:color="000000"/>
            </w:tcBorders>
            <w:shd w:val="clear" w:color="auto" w:fill="63BE7B"/>
            <w:tcMar>
              <w:top w:w="0" w:type="dxa"/>
              <w:left w:w="40" w:type="dxa"/>
              <w:bottom w:w="0" w:type="dxa"/>
              <w:right w:w="40" w:type="dxa"/>
            </w:tcMar>
            <w:vAlign w:val="center"/>
          </w:tcPr>
          <w:p w14:paraId="637DD47E" w14:textId="77777777" w:rsidR="00F3751F" w:rsidRDefault="00C77840">
            <w:pPr>
              <w:jc w:val="center"/>
              <w:rPr>
                <w:rFonts w:ascii="Calibri" w:eastAsia="Calibri" w:hAnsi="Calibri" w:cs="Calibri"/>
                <w:sz w:val="22"/>
                <w:szCs w:val="22"/>
              </w:rPr>
            </w:pPr>
            <w:r>
              <w:t>10,377.00</w:t>
            </w:r>
          </w:p>
        </w:tc>
      </w:tr>
      <w:tr w:rsidR="00F3751F" w14:paraId="637DD487"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80" w14:textId="77777777" w:rsidR="00F3751F" w:rsidRDefault="00C77840">
            <w:pPr>
              <w:jc w:val="center"/>
              <w:rPr>
                <w:rFonts w:ascii="Calibri" w:eastAsia="Calibri" w:hAnsi="Calibri" w:cs="Calibri"/>
                <w:sz w:val="22"/>
                <w:szCs w:val="22"/>
              </w:rPr>
            </w:pPr>
            <w:r>
              <w:t>Total Equity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81" w14:textId="77777777" w:rsidR="00F3751F" w:rsidRDefault="00C77840">
            <w:pPr>
              <w:jc w:val="center"/>
              <w:rPr>
                <w:rFonts w:ascii="Calibri" w:eastAsia="Calibri" w:hAnsi="Calibri" w:cs="Calibri"/>
                <w:sz w:val="22"/>
                <w:szCs w:val="22"/>
              </w:rPr>
            </w:pPr>
            <w:r>
              <w:t>B</w:t>
            </w:r>
          </w:p>
        </w:tc>
        <w:tc>
          <w:tcPr>
            <w:tcW w:w="1119" w:type="dxa"/>
            <w:tcBorders>
              <w:top w:val="single" w:sz="6" w:space="0" w:color="CCCCCC"/>
              <w:left w:val="single" w:sz="6" w:space="0" w:color="CCCCCC"/>
              <w:bottom w:val="single" w:sz="6" w:space="0" w:color="000000"/>
              <w:right w:val="single" w:sz="6" w:space="0" w:color="000000"/>
            </w:tcBorders>
            <w:shd w:val="clear" w:color="auto" w:fill="DDF0E4"/>
            <w:tcMar>
              <w:top w:w="0" w:type="dxa"/>
              <w:left w:w="40" w:type="dxa"/>
              <w:bottom w:w="0" w:type="dxa"/>
              <w:right w:w="40" w:type="dxa"/>
            </w:tcMar>
            <w:vAlign w:val="center"/>
          </w:tcPr>
          <w:p w14:paraId="637DD482" w14:textId="77777777" w:rsidR="00F3751F" w:rsidRDefault="00C77840">
            <w:pPr>
              <w:jc w:val="center"/>
              <w:rPr>
                <w:rFonts w:ascii="Calibri" w:eastAsia="Calibri" w:hAnsi="Calibri" w:cs="Calibri"/>
                <w:sz w:val="22"/>
                <w:szCs w:val="22"/>
              </w:rPr>
            </w:pPr>
            <w:r>
              <w:t>3,566.00</w:t>
            </w:r>
          </w:p>
        </w:tc>
        <w:tc>
          <w:tcPr>
            <w:tcW w:w="1119" w:type="dxa"/>
            <w:tcBorders>
              <w:top w:val="single" w:sz="6" w:space="0" w:color="CCCCCC"/>
              <w:left w:val="single" w:sz="6" w:space="0" w:color="CCCCCC"/>
              <w:bottom w:val="single" w:sz="6" w:space="0" w:color="000000"/>
              <w:right w:val="single" w:sz="6" w:space="0" w:color="000000"/>
            </w:tcBorders>
            <w:shd w:val="clear" w:color="auto" w:fill="DAEFE2"/>
            <w:tcMar>
              <w:top w:w="0" w:type="dxa"/>
              <w:left w:w="40" w:type="dxa"/>
              <w:bottom w:w="0" w:type="dxa"/>
              <w:right w:w="40" w:type="dxa"/>
            </w:tcMar>
            <w:vAlign w:val="center"/>
          </w:tcPr>
          <w:p w14:paraId="637DD483" w14:textId="77777777" w:rsidR="00F3751F" w:rsidRDefault="00C77840">
            <w:pPr>
              <w:jc w:val="center"/>
              <w:rPr>
                <w:rFonts w:ascii="Calibri" w:eastAsia="Calibri" w:hAnsi="Calibri" w:cs="Calibri"/>
                <w:sz w:val="22"/>
                <w:szCs w:val="22"/>
              </w:rPr>
            </w:pPr>
            <w:r>
              <w:t>3,702.00</w:t>
            </w:r>
          </w:p>
        </w:tc>
        <w:tc>
          <w:tcPr>
            <w:tcW w:w="1119" w:type="dxa"/>
            <w:tcBorders>
              <w:top w:val="single" w:sz="6" w:space="0" w:color="CCCCCC"/>
              <w:left w:val="single" w:sz="6" w:space="0" w:color="CCCCCC"/>
              <w:bottom w:val="single" w:sz="6" w:space="0" w:color="000000"/>
              <w:right w:val="single" w:sz="6" w:space="0" w:color="000000"/>
            </w:tcBorders>
            <w:shd w:val="clear" w:color="auto" w:fill="DDF0E4"/>
            <w:tcMar>
              <w:top w:w="0" w:type="dxa"/>
              <w:left w:w="40" w:type="dxa"/>
              <w:bottom w:w="0" w:type="dxa"/>
              <w:right w:w="40" w:type="dxa"/>
            </w:tcMar>
            <w:vAlign w:val="center"/>
          </w:tcPr>
          <w:p w14:paraId="637DD484" w14:textId="77777777" w:rsidR="00F3751F" w:rsidRDefault="00C77840">
            <w:pPr>
              <w:jc w:val="center"/>
              <w:rPr>
                <w:rFonts w:ascii="Calibri" w:eastAsia="Calibri" w:hAnsi="Calibri" w:cs="Calibri"/>
                <w:sz w:val="22"/>
                <w:szCs w:val="22"/>
              </w:rPr>
            </w:pPr>
            <w:r>
              <w:t>3,567.00</w:t>
            </w:r>
          </w:p>
        </w:tc>
        <w:tc>
          <w:tcPr>
            <w:tcW w:w="1270" w:type="dxa"/>
            <w:tcBorders>
              <w:top w:val="single" w:sz="6" w:space="0" w:color="CCCCCC"/>
              <w:left w:val="single" w:sz="6" w:space="0" w:color="CCCCCC"/>
              <w:bottom w:val="single" w:sz="6" w:space="0" w:color="000000"/>
              <w:right w:val="single" w:sz="6" w:space="0" w:color="000000"/>
            </w:tcBorders>
            <w:shd w:val="clear" w:color="auto" w:fill="DDF0E5"/>
            <w:tcMar>
              <w:top w:w="0" w:type="dxa"/>
              <w:left w:w="40" w:type="dxa"/>
              <w:bottom w:w="0" w:type="dxa"/>
              <w:right w:w="40" w:type="dxa"/>
            </w:tcMar>
            <w:vAlign w:val="center"/>
          </w:tcPr>
          <w:p w14:paraId="637DD485" w14:textId="77777777" w:rsidR="00F3751F" w:rsidRDefault="00C77840">
            <w:pPr>
              <w:jc w:val="center"/>
              <w:rPr>
                <w:rFonts w:ascii="Calibri" w:eastAsia="Calibri" w:hAnsi="Calibri" w:cs="Calibri"/>
                <w:sz w:val="22"/>
                <w:szCs w:val="22"/>
              </w:rPr>
            </w:pPr>
            <w:r>
              <w:t>3,547.00</w:t>
            </w:r>
          </w:p>
        </w:tc>
        <w:tc>
          <w:tcPr>
            <w:tcW w:w="1119" w:type="dxa"/>
            <w:tcBorders>
              <w:top w:val="single" w:sz="6" w:space="0" w:color="CCCCCC"/>
              <w:left w:val="single" w:sz="6" w:space="0" w:color="CCCCCC"/>
              <w:bottom w:val="single" w:sz="6" w:space="0" w:color="000000"/>
              <w:right w:val="single" w:sz="6" w:space="0" w:color="000000"/>
            </w:tcBorders>
            <w:shd w:val="clear" w:color="auto" w:fill="E1F1E8"/>
            <w:tcMar>
              <w:top w:w="0" w:type="dxa"/>
              <w:left w:w="40" w:type="dxa"/>
              <w:bottom w:w="0" w:type="dxa"/>
              <w:right w:w="40" w:type="dxa"/>
            </w:tcMar>
            <w:vAlign w:val="center"/>
          </w:tcPr>
          <w:p w14:paraId="637DD486" w14:textId="77777777" w:rsidR="00F3751F" w:rsidRDefault="00C77840">
            <w:pPr>
              <w:jc w:val="center"/>
              <w:rPr>
                <w:rFonts w:ascii="Calibri" w:eastAsia="Calibri" w:hAnsi="Calibri" w:cs="Calibri"/>
                <w:sz w:val="22"/>
                <w:szCs w:val="22"/>
              </w:rPr>
            </w:pPr>
            <w:r>
              <w:t>3,334.00</w:t>
            </w:r>
          </w:p>
        </w:tc>
      </w:tr>
      <w:tr w:rsidR="00F3751F" w14:paraId="637DD48F"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88" w14:textId="77777777" w:rsidR="00F3751F" w:rsidRDefault="00C77840">
            <w:pPr>
              <w:jc w:val="center"/>
              <w:rPr>
                <w:rFonts w:ascii="Calibri" w:eastAsia="Calibri" w:hAnsi="Calibri" w:cs="Calibri"/>
                <w:sz w:val="22"/>
                <w:szCs w:val="22"/>
              </w:rPr>
            </w:pPr>
            <w:r>
              <w:t>Operating Profit/(Loss)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89" w14:textId="77777777" w:rsidR="00F3751F" w:rsidRDefault="00C77840">
            <w:pPr>
              <w:jc w:val="center"/>
              <w:rPr>
                <w:rFonts w:ascii="Calibri" w:eastAsia="Calibri" w:hAnsi="Calibri" w:cs="Calibri"/>
                <w:sz w:val="22"/>
                <w:szCs w:val="22"/>
              </w:rPr>
            </w:pPr>
            <w:r>
              <w:t>C</w:t>
            </w:r>
          </w:p>
        </w:tc>
        <w:tc>
          <w:tcPr>
            <w:tcW w:w="1119" w:type="dxa"/>
            <w:tcBorders>
              <w:top w:val="single" w:sz="6" w:space="0" w:color="CCCCCC"/>
              <w:left w:val="single" w:sz="6" w:space="0" w:color="CCCCCC"/>
              <w:bottom w:val="single" w:sz="6" w:space="0" w:color="000000"/>
              <w:right w:val="single" w:sz="6" w:space="0" w:color="000000"/>
            </w:tcBorders>
            <w:shd w:val="clear" w:color="auto" w:fill="F86C6E"/>
            <w:tcMar>
              <w:top w:w="0" w:type="dxa"/>
              <w:left w:w="40" w:type="dxa"/>
              <w:bottom w:w="0" w:type="dxa"/>
              <w:right w:w="40" w:type="dxa"/>
            </w:tcMar>
            <w:vAlign w:val="center"/>
          </w:tcPr>
          <w:p w14:paraId="637DD48A" w14:textId="77777777" w:rsidR="00F3751F" w:rsidRDefault="00C77840">
            <w:pPr>
              <w:jc w:val="center"/>
              <w:rPr>
                <w:rFonts w:ascii="Calibri" w:eastAsia="Calibri" w:hAnsi="Calibri" w:cs="Calibri"/>
                <w:sz w:val="22"/>
                <w:szCs w:val="22"/>
              </w:rPr>
            </w:pPr>
            <w:r>
              <w:t>44.00</w:t>
            </w:r>
          </w:p>
        </w:tc>
        <w:tc>
          <w:tcPr>
            <w:tcW w:w="1119" w:type="dxa"/>
            <w:tcBorders>
              <w:top w:val="single" w:sz="6" w:space="0" w:color="CCCCCC"/>
              <w:left w:val="single" w:sz="6" w:space="0" w:color="CCCCCC"/>
              <w:bottom w:val="single" w:sz="6" w:space="0" w:color="000000"/>
              <w:right w:val="single" w:sz="6" w:space="0" w:color="000000"/>
            </w:tcBorders>
            <w:shd w:val="clear" w:color="auto" w:fill="F88688"/>
            <w:tcMar>
              <w:top w:w="0" w:type="dxa"/>
              <w:left w:w="40" w:type="dxa"/>
              <w:bottom w:w="0" w:type="dxa"/>
              <w:right w:w="40" w:type="dxa"/>
            </w:tcMar>
            <w:vAlign w:val="center"/>
          </w:tcPr>
          <w:p w14:paraId="637DD48B" w14:textId="77777777" w:rsidR="00F3751F" w:rsidRDefault="00C77840">
            <w:pPr>
              <w:jc w:val="center"/>
              <w:rPr>
                <w:rFonts w:ascii="Calibri" w:eastAsia="Calibri" w:hAnsi="Calibri" w:cs="Calibri"/>
                <w:sz w:val="22"/>
                <w:szCs w:val="22"/>
              </w:rPr>
            </w:pPr>
            <w:r>
              <w:t>363.00</w:t>
            </w:r>
          </w:p>
        </w:tc>
        <w:tc>
          <w:tcPr>
            <w:tcW w:w="1119" w:type="dxa"/>
            <w:tcBorders>
              <w:top w:val="single" w:sz="6" w:space="0" w:color="CCCCCC"/>
              <w:left w:val="single" w:sz="6" w:space="0" w:color="CCCCCC"/>
              <w:bottom w:val="single" w:sz="6" w:space="0" w:color="000000"/>
              <w:right w:val="single" w:sz="6" w:space="0" w:color="000000"/>
            </w:tcBorders>
            <w:shd w:val="clear" w:color="auto" w:fill="F88284"/>
            <w:tcMar>
              <w:top w:w="0" w:type="dxa"/>
              <w:left w:w="40" w:type="dxa"/>
              <w:bottom w:w="0" w:type="dxa"/>
              <w:right w:w="40" w:type="dxa"/>
            </w:tcMar>
            <w:vAlign w:val="center"/>
          </w:tcPr>
          <w:p w14:paraId="637DD48C" w14:textId="77777777" w:rsidR="00F3751F" w:rsidRDefault="00C77840">
            <w:pPr>
              <w:jc w:val="center"/>
              <w:rPr>
                <w:rFonts w:ascii="Calibri" w:eastAsia="Calibri" w:hAnsi="Calibri" w:cs="Calibri"/>
                <w:sz w:val="22"/>
                <w:szCs w:val="22"/>
              </w:rPr>
            </w:pPr>
            <w:r>
              <w:t>310.00</w:t>
            </w:r>
          </w:p>
        </w:tc>
        <w:tc>
          <w:tcPr>
            <w:tcW w:w="1270" w:type="dxa"/>
            <w:tcBorders>
              <w:top w:val="single" w:sz="6" w:space="0" w:color="CCCCCC"/>
              <w:left w:val="single" w:sz="6" w:space="0" w:color="CCCCCC"/>
              <w:bottom w:val="single" w:sz="6" w:space="0" w:color="000000"/>
              <w:right w:val="single" w:sz="6" w:space="0" w:color="000000"/>
            </w:tcBorders>
            <w:shd w:val="clear" w:color="auto" w:fill="FBE9EC"/>
            <w:tcMar>
              <w:top w:w="0" w:type="dxa"/>
              <w:left w:w="40" w:type="dxa"/>
              <w:bottom w:w="0" w:type="dxa"/>
              <w:right w:w="40" w:type="dxa"/>
            </w:tcMar>
            <w:vAlign w:val="center"/>
          </w:tcPr>
          <w:p w14:paraId="637DD48D" w14:textId="77777777" w:rsidR="00F3751F" w:rsidRDefault="00C77840">
            <w:pPr>
              <w:jc w:val="center"/>
              <w:rPr>
                <w:rFonts w:ascii="Calibri" w:eastAsia="Calibri" w:hAnsi="Calibri" w:cs="Calibri"/>
                <w:sz w:val="22"/>
                <w:szCs w:val="22"/>
              </w:rPr>
            </w:pPr>
            <w:r>
              <w:t>1,563.00</w:t>
            </w:r>
          </w:p>
        </w:tc>
        <w:tc>
          <w:tcPr>
            <w:tcW w:w="1119" w:type="dxa"/>
            <w:tcBorders>
              <w:top w:val="single" w:sz="6" w:space="0" w:color="CCCCCC"/>
              <w:left w:val="single" w:sz="6" w:space="0" w:color="CCCCCC"/>
              <w:bottom w:val="single" w:sz="6" w:space="0" w:color="000000"/>
              <w:right w:val="single" w:sz="6" w:space="0" w:color="000000"/>
            </w:tcBorders>
            <w:shd w:val="clear" w:color="auto" w:fill="F86F71"/>
            <w:tcMar>
              <w:top w:w="0" w:type="dxa"/>
              <w:left w:w="40" w:type="dxa"/>
              <w:bottom w:w="0" w:type="dxa"/>
              <w:right w:w="40" w:type="dxa"/>
            </w:tcMar>
            <w:vAlign w:val="center"/>
          </w:tcPr>
          <w:p w14:paraId="637DD48E" w14:textId="77777777" w:rsidR="00F3751F" w:rsidRDefault="00C77840">
            <w:pPr>
              <w:jc w:val="center"/>
              <w:rPr>
                <w:rFonts w:ascii="Calibri" w:eastAsia="Calibri" w:hAnsi="Calibri" w:cs="Calibri"/>
                <w:sz w:val="22"/>
                <w:szCs w:val="22"/>
              </w:rPr>
            </w:pPr>
            <w:r>
              <w:t>81.00</w:t>
            </w:r>
          </w:p>
        </w:tc>
      </w:tr>
      <w:tr w:rsidR="00F3751F" w14:paraId="637DD497"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90" w14:textId="77777777" w:rsidR="00F3751F" w:rsidRDefault="00C77840">
            <w:pPr>
              <w:jc w:val="center"/>
              <w:rPr>
                <w:rFonts w:ascii="Calibri" w:eastAsia="Calibri" w:hAnsi="Calibri" w:cs="Calibri"/>
                <w:sz w:val="22"/>
                <w:szCs w:val="22"/>
              </w:rPr>
            </w:pPr>
            <w:r>
              <w:t>Interest Expense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91" w14:textId="77777777" w:rsidR="00F3751F" w:rsidRDefault="00C77840">
            <w:pPr>
              <w:jc w:val="center"/>
              <w:rPr>
                <w:rFonts w:ascii="Calibri" w:eastAsia="Calibri" w:hAnsi="Calibri" w:cs="Calibri"/>
                <w:sz w:val="22"/>
                <w:szCs w:val="22"/>
              </w:rPr>
            </w:pPr>
            <w:r>
              <w:t>D</w:t>
            </w:r>
          </w:p>
        </w:tc>
        <w:tc>
          <w:tcPr>
            <w:tcW w:w="1119" w:type="dxa"/>
            <w:tcBorders>
              <w:top w:val="single" w:sz="6" w:space="0" w:color="CCCCCC"/>
              <w:left w:val="single" w:sz="6" w:space="0" w:color="CCCCCC"/>
              <w:bottom w:val="single" w:sz="6" w:space="0" w:color="000000"/>
              <w:right w:val="single" w:sz="6" w:space="0" w:color="000000"/>
            </w:tcBorders>
            <w:shd w:val="clear" w:color="auto" w:fill="F87678"/>
            <w:tcMar>
              <w:top w:w="0" w:type="dxa"/>
              <w:left w:w="40" w:type="dxa"/>
              <w:bottom w:w="0" w:type="dxa"/>
              <w:right w:w="40" w:type="dxa"/>
            </w:tcMar>
            <w:vAlign w:val="center"/>
          </w:tcPr>
          <w:p w14:paraId="637DD492" w14:textId="77777777" w:rsidR="00F3751F" w:rsidRDefault="00C77840">
            <w:pPr>
              <w:jc w:val="center"/>
              <w:rPr>
                <w:rFonts w:ascii="Calibri" w:eastAsia="Calibri" w:hAnsi="Calibri" w:cs="Calibri"/>
                <w:sz w:val="22"/>
                <w:szCs w:val="22"/>
              </w:rPr>
            </w:pPr>
            <w:r>
              <w:t>163.00</w:t>
            </w:r>
          </w:p>
        </w:tc>
        <w:tc>
          <w:tcPr>
            <w:tcW w:w="1119" w:type="dxa"/>
            <w:tcBorders>
              <w:top w:val="single" w:sz="6" w:space="0" w:color="CCCCCC"/>
              <w:left w:val="single" w:sz="6" w:space="0" w:color="CCCCCC"/>
              <w:bottom w:val="single" w:sz="6" w:space="0" w:color="000000"/>
              <w:right w:val="single" w:sz="6" w:space="0" w:color="000000"/>
            </w:tcBorders>
            <w:shd w:val="clear" w:color="auto" w:fill="F87577"/>
            <w:tcMar>
              <w:top w:w="0" w:type="dxa"/>
              <w:left w:w="40" w:type="dxa"/>
              <w:bottom w:w="0" w:type="dxa"/>
              <w:right w:w="40" w:type="dxa"/>
            </w:tcMar>
            <w:vAlign w:val="center"/>
          </w:tcPr>
          <w:p w14:paraId="637DD493" w14:textId="77777777" w:rsidR="00F3751F" w:rsidRDefault="00C77840">
            <w:pPr>
              <w:jc w:val="center"/>
              <w:rPr>
                <w:rFonts w:ascii="Calibri" w:eastAsia="Calibri" w:hAnsi="Calibri" w:cs="Calibri"/>
                <w:sz w:val="22"/>
                <w:szCs w:val="22"/>
              </w:rPr>
            </w:pPr>
            <w:r>
              <w:t>150.00</w:t>
            </w:r>
          </w:p>
        </w:tc>
        <w:tc>
          <w:tcPr>
            <w:tcW w:w="1119" w:type="dxa"/>
            <w:tcBorders>
              <w:top w:val="single" w:sz="6" w:space="0" w:color="CCCCCC"/>
              <w:left w:val="single" w:sz="6" w:space="0" w:color="CCCCCC"/>
              <w:bottom w:val="single" w:sz="6" w:space="0" w:color="000000"/>
              <w:right w:val="single" w:sz="6" w:space="0" w:color="000000"/>
            </w:tcBorders>
            <w:shd w:val="clear" w:color="auto" w:fill="F87476"/>
            <w:tcMar>
              <w:top w:w="0" w:type="dxa"/>
              <w:left w:w="40" w:type="dxa"/>
              <w:bottom w:w="0" w:type="dxa"/>
              <w:right w:w="40" w:type="dxa"/>
            </w:tcMar>
            <w:vAlign w:val="center"/>
          </w:tcPr>
          <w:p w14:paraId="637DD494" w14:textId="77777777" w:rsidR="00F3751F" w:rsidRDefault="00C77840">
            <w:pPr>
              <w:jc w:val="center"/>
              <w:rPr>
                <w:rFonts w:ascii="Calibri" w:eastAsia="Calibri" w:hAnsi="Calibri" w:cs="Calibri"/>
                <w:sz w:val="22"/>
                <w:szCs w:val="22"/>
              </w:rPr>
            </w:pPr>
            <w:r>
              <w:t>145.00</w:t>
            </w:r>
          </w:p>
        </w:tc>
        <w:tc>
          <w:tcPr>
            <w:tcW w:w="1270" w:type="dxa"/>
            <w:tcBorders>
              <w:top w:val="single" w:sz="6" w:space="0" w:color="CCCCCC"/>
              <w:left w:val="single" w:sz="6" w:space="0" w:color="CCCCCC"/>
              <w:bottom w:val="single" w:sz="6" w:space="0" w:color="000000"/>
              <w:right w:val="single" w:sz="6" w:space="0" w:color="000000"/>
            </w:tcBorders>
            <w:shd w:val="clear" w:color="auto" w:fill="F86E70"/>
            <w:tcMar>
              <w:top w:w="0" w:type="dxa"/>
              <w:left w:w="40" w:type="dxa"/>
              <w:bottom w:w="0" w:type="dxa"/>
              <w:right w:w="40" w:type="dxa"/>
            </w:tcMar>
            <w:vAlign w:val="center"/>
          </w:tcPr>
          <w:p w14:paraId="637DD495" w14:textId="77777777" w:rsidR="00F3751F" w:rsidRDefault="00C77840">
            <w:pPr>
              <w:jc w:val="center"/>
              <w:rPr>
                <w:rFonts w:ascii="Calibri" w:eastAsia="Calibri" w:hAnsi="Calibri" w:cs="Calibri"/>
                <w:sz w:val="22"/>
                <w:szCs w:val="22"/>
              </w:rPr>
            </w:pPr>
            <w:r>
              <w:t>65.00</w:t>
            </w:r>
          </w:p>
        </w:tc>
        <w:tc>
          <w:tcPr>
            <w:tcW w:w="1119" w:type="dxa"/>
            <w:tcBorders>
              <w:top w:val="single" w:sz="6" w:space="0" w:color="CCCCCC"/>
              <w:left w:val="single" w:sz="6" w:space="0" w:color="CCCCCC"/>
              <w:bottom w:val="single" w:sz="6" w:space="0" w:color="000000"/>
              <w:right w:val="single" w:sz="6" w:space="0" w:color="000000"/>
            </w:tcBorders>
            <w:shd w:val="clear" w:color="auto" w:fill="F86F71"/>
            <w:tcMar>
              <w:top w:w="0" w:type="dxa"/>
              <w:left w:w="40" w:type="dxa"/>
              <w:bottom w:w="0" w:type="dxa"/>
              <w:right w:w="40" w:type="dxa"/>
            </w:tcMar>
            <w:vAlign w:val="center"/>
          </w:tcPr>
          <w:p w14:paraId="637DD496" w14:textId="77777777" w:rsidR="00F3751F" w:rsidRDefault="00C77840">
            <w:pPr>
              <w:jc w:val="center"/>
              <w:rPr>
                <w:rFonts w:ascii="Calibri" w:eastAsia="Calibri" w:hAnsi="Calibri" w:cs="Calibri"/>
                <w:sz w:val="22"/>
                <w:szCs w:val="22"/>
              </w:rPr>
            </w:pPr>
            <w:r>
              <w:t>82.00</w:t>
            </w:r>
          </w:p>
        </w:tc>
      </w:tr>
      <w:tr w:rsidR="00F3751F" w14:paraId="637DD49F"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98" w14:textId="77777777" w:rsidR="00F3751F" w:rsidRDefault="00C77840">
            <w:pPr>
              <w:jc w:val="center"/>
              <w:rPr>
                <w:rFonts w:ascii="Calibri" w:eastAsia="Calibri" w:hAnsi="Calibri" w:cs="Calibri"/>
                <w:sz w:val="22"/>
                <w:szCs w:val="22"/>
              </w:rPr>
            </w:pPr>
            <w:r>
              <w:t>Shareholders capital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99" w14:textId="77777777" w:rsidR="00F3751F" w:rsidRDefault="00C77840">
            <w:pPr>
              <w:jc w:val="center"/>
              <w:rPr>
                <w:rFonts w:ascii="Calibri" w:eastAsia="Calibri" w:hAnsi="Calibri" w:cs="Calibri"/>
                <w:sz w:val="22"/>
                <w:szCs w:val="22"/>
              </w:rPr>
            </w:pPr>
            <w:r>
              <w:t>E</w:t>
            </w:r>
          </w:p>
        </w:tc>
        <w:tc>
          <w:tcPr>
            <w:tcW w:w="1119" w:type="dxa"/>
            <w:tcBorders>
              <w:top w:val="single" w:sz="6" w:space="0" w:color="CCCCCC"/>
              <w:left w:val="single" w:sz="6" w:space="0" w:color="CCCCCC"/>
              <w:bottom w:val="single" w:sz="6" w:space="0" w:color="000000"/>
              <w:right w:val="single" w:sz="6" w:space="0" w:color="000000"/>
            </w:tcBorders>
            <w:shd w:val="clear" w:color="auto" w:fill="DDF0E4"/>
            <w:tcMar>
              <w:top w:w="0" w:type="dxa"/>
              <w:left w:w="40" w:type="dxa"/>
              <w:bottom w:w="0" w:type="dxa"/>
              <w:right w:w="40" w:type="dxa"/>
            </w:tcMar>
            <w:vAlign w:val="center"/>
          </w:tcPr>
          <w:p w14:paraId="637DD49A" w14:textId="77777777" w:rsidR="00F3751F" w:rsidRDefault="00C77840">
            <w:pPr>
              <w:jc w:val="center"/>
              <w:rPr>
                <w:rFonts w:ascii="Calibri" w:eastAsia="Calibri" w:hAnsi="Calibri" w:cs="Calibri"/>
                <w:sz w:val="22"/>
                <w:szCs w:val="22"/>
              </w:rPr>
            </w:pPr>
            <w:r>
              <w:t>3,566.00</w:t>
            </w:r>
          </w:p>
        </w:tc>
        <w:tc>
          <w:tcPr>
            <w:tcW w:w="1119" w:type="dxa"/>
            <w:tcBorders>
              <w:top w:val="single" w:sz="6" w:space="0" w:color="CCCCCC"/>
              <w:left w:val="single" w:sz="6" w:space="0" w:color="CCCCCC"/>
              <w:bottom w:val="single" w:sz="6" w:space="0" w:color="000000"/>
              <w:right w:val="single" w:sz="6" w:space="0" w:color="000000"/>
            </w:tcBorders>
            <w:shd w:val="clear" w:color="auto" w:fill="DAEFE2"/>
            <w:tcMar>
              <w:top w:w="0" w:type="dxa"/>
              <w:left w:w="40" w:type="dxa"/>
              <w:bottom w:w="0" w:type="dxa"/>
              <w:right w:w="40" w:type="dxa"/>
            </w:tcMar>
            <w:vAlign w:val="center"/>
          </w:tcPr>
          <w:p w14:paraId="637DD49B" w14:textId="77777777" w:rsidR="00F3751F" w:rsidRDefault="00C77840">
            <w:pPr>
              <w:jc w:val="center"/>
              <w:rPr>
                <w:rFonts w:ascii="Calibri" w:eastAsia="Calibri" w:hAnsi="Calibri" w:cs="Calibri"/>
                <w:sz w:val="22"/>
                <w:szCs w:val="22"/>
              </w:rPr>
            </w:pPr>
            <w:r>
              <w:t>3,702.00</w:t>
            </w:r>
          </w:p>
        </w:tc>
        <w:tc>
          <w:tcPr>
            <w:tcW w:w="1119" w:type="dxa"/>
            <w:tcBorders>
              <w:top w:val="single" w:sz="6" w:space="0" w:color="CCCCCC"/>
              <w:left w:val="single" w:sz="6" w:space="0" w:color="CCCCCC"/>
              <w:bottom w:val="single" w:sz="6" w:space="0" w:color="000000"/>
              <w:right w:val="single" w:sz="6" w:space="0" w:color="000000"/>
            </w:tcBorders>
            <w:shd w:val="clear" w:color="auto" w:fill="DDF0E4"/>
            <w:tcMar>
              <w:top w:w="0" w:type="dxa"/>
              <w:left w:w="40" w:type="dxa"/>
              <w:bottom w:w="0" w:type="dxa"/>
              <w:right w:w="40" w:type="dxa"/>
            </w:tcMar>
            <w:vAlign w:val="center"/>
          </w:tcPr>
          <w:p w14:paraId="637DD49C" w14:textId="77777777" w:rsidR="00F3751F" w:rsidRDefault="00C77840">
            <w:pPr>
              <w:jc w:val="center"/>
              <w:rPr>
                <w:rFonts w:ascii="Calibri" w:eastAsia="Calibri" w:hAnsi="Calibri" w:cs="Calibri"/>
                <w:sz w:val="22"/>
                <w:szCs w:val="22"/>
              </w:rPr>
            </w:pPr>
            <w:r>
              <w:t>3,567.00</w:t>
            </w:r>
          </w:p>
        </w:tc>
        <w:tc>
          <w:tcPr>
            <w:tcW w:w="1270" w:type="dxa"/>
            <w:tcBorders>
              <w:top w:val="single" w:sz="6" w:space="0" w:color="CCCCCC"/>
              <w:left w:val="single" w:sz="6" w:space="0" w:color="CCCCCC"/>
              <w:bottom w:val="single" w:sz="6" w:space="0" w:color="000000"/>
              <w:right w:val="single" w:sz="6" w:space="0" w:color="000000"/>
            </w:tcBorders>
            <w:shd w:val="clear" w:color="auto" w:fill="DDF0E5"/>
            <w:tcMar>
              <w:top w:w="0" w:type="dxa"/>
              <w:left w:w="40" w:type="dxa"/>
              <w:bottom w:w="0" w:type="dxa"/>
              <w:right w:w="40" w:type="dxa"/>
            </w:tcMar>
            <w:vAlign w:val="center"/>
          </w:tcPr>
          <w:p w14:paraId="637DD49D" w14:textId="77777777" w:rsidR="00F3751F" w:rsidRDefault="00C77840">
            <w:pPr>
              <w:jc w:val="center"/>
              <w:rPr>
                <w:rFonts w:ascii="Calibri" w:eastAsia="Calibri" w:hAnsi="Calibri" w:cs="Calibri"/>
                <w:sz w:val="22"/>
                <w:szCs w:val="22"/>
              </w:rPr>
            </w:pPr>
            <w:r>
              <w:t>3,547.00</w:t>
            </w:r>
          </w:p>
        </w:tc>
        <w:tc>
          <w:tcPr>
            <w:tcW w:w="1119" w:type="dxa"/>
            <w:tcBorders>
              <w:top w:val="single" w:sz="6" w:space="0" w:color="CCCCCC"/>
              <w:left w:val="single" w:sz="6" w:space="0" w:color="CCCCCC"/>
              <w:bottom w:val="single" w:sz="6" w:space="0" w:color="000000"/>
              <w:right w:val="single" w:sz="6" w:space="0" w:color="000000"/>
            </w:tcBorders>
            <w:shd w:val="clear" w:color="auto" w:fill="E1F1E8"/>
            <w:tcMar>
              <w:top w:w="0" w:type="dxa"/>
              <w:left w:w="40" w:type="dxa"/>
              <w:bottom w:w="0" w:type="dxa"/>
              <w:right w:w="40" w:type="dxa"/>
            </w:tcMar>
            <w:vAlign w:val="center"/>
          </w:tcPr>
          <w:p w14:paraId="637DD49E" w14:textId="77777777" w:rsidR="00F3751F" w:rsidRDefault="00C77840">
            <w:pPr>
              <w:jc w:val="center"/>
              <w:rPr>
                <w:rFonts w:ascii="Calibri" w:eastAsia="Calibri" w:hAnsi="Calibri" w:cs="Calibri"/>
                <w:sz w:val="22"/>
                <w:szCs w:val="22"/>
              </w:rPr>
            </w:pPr>
            <w:r>
              <w:t>3,334.00</w:t>
            </w:r>
          </w:p>
        </w:tc>
      </w:tr>
      <w:tr w:rsidR="00F3751F" w14:paraId="637DD4A7"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A0" w14:textId="77777777" w:rsidR="00F3751F" w:rsidRDefault="00C77840">
            <w:pPr>
              <w:jc w:val="center"/>
              <w:rPr>
                <w:rFonts w:ascii="Calibri" w:eastAsia="Calibri" w:hAnsi="Calibri" w:cs="Calibri"/>
                <w:sz w:val="22"/>
                <w:szCs w:val="22"/>
              </w:rPr>
            </w:pPr>
            <w:r>
              <w:t>Total Debt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A1" w14:textId="77777777" w:rsidR="00F3751F" w:rsidRDefault="00C77840">
            <w:pPr>
              <w:jc w:val="center"/>
              <w:rPr>
                <w:rFonts w:ascii="Calibri" w:eastAsia="Calibri" w:hAnsi="Calibri" w:cs="Calibri"/>
                <w:sz w:val="22"/>
                <w:szCs w:val="22"/>
              </w:rPr>
            </w:pPr>
            <w:r>
              <w:t>F</w:t>
            </w:r>
          </w:p>
        </w:tc>
        <w:tc>
          <w:tcPr>
            <w:tcW w:w="1119" w:type="dxa"/>
            <w:tcBorders>
              <w:top w:val="single" w:sz="6" w:space="0" w:color="CCCCCC"/>
              <w:left w:val="single" w:sz="6" w:space="0" w:color="CCCCCC"/>
              <w:bottom w:val="single" w:sz="6" w:space="0" w:color="000000"/>
              <w:right w:val="single" w:sz="6" w:space="0" w:color="000000"/>
            </w:tcBorders>
            <w:shd w:val="clear" w:color="auto" w:fill="D6EDDE"/>
            <w:tcMar>
              <w:top w:w="0" w:type="dxa"/>
              <w:left w:w="40" w:type="dxa"/>
              <w:bottom w:w="0" w:type="dxa"/>
              <w:right w:w="40" w:type="dxa"/>
            </w:tcMar>
            <w:vAlign w:val="center"/>
          </w:tcPr>
          <w:p w14:paraId="637DD4A2" w14:textId="77777777" w:rsidR="00F3751F" w:rsidRDefault="00C77840">
            <w:pPr>
              <w:jc w:val="center"/>
              <w:rPr>
                <w:rFonts w:ascii="Calibri" w:eastAsia="Calibri" w:hAnsi="Calibri" w:cs="Calibri"/>
                <w:sz w:val="22"/>
                <w:szCs w:val="22"/>
              </w:rPr>
            </w:pPr>
            <w:r>
              <w:t>3,968.00</w:t>
            </w:r>
          </w:p>
        </w:tc>
        <w:tc>
          <w:tcPr>
            <w:tcW w:w="1119" w:type="dxa"/>
            <w:tcBorders>
              <w:top w:val="single" w:sz="6" w:space="0" w:color="CCCCCC"/>
              <w:left w:val="single" w:sz="6" w:space="0" w:color="CCCCCC"/>
              <w:bottom w:val="single" w:sz="6" w:space="0" w:color="000000"/>
              <w:right w:val="single" w:sz="6" w:space="0" w:color="000000"/>
            </w:tcBorders>
            <w:shd w:val="clear" w:color="auto" w:fill="F1F8F5"/>
            <w:tcMar>
              <w:top w:w="0" w:type="dxa"/>
              <w:left w:w="40" w:type="dxa"/>
              <w:bottom w:w="0" w:type="dxa"/>
              <w:right w:w="40" w:type="dxa"/>
            </w:tcMar>
            <w:vAlign w:val="center"/>
          </w:tcPr>
          <w:p w14:paraId="637DD4A3" w14:textId="77777777" w:rsidR="00F3751F" w:rsidRDefault="00C77840">
            <w:pPr>
              <w:jc w:val="center"/>
              <w:rPr>
                <w:rFonts w:ascii="Calibri" w:eastAsia="Calibri" w:hAnsi="Calibri" w:cs="Calibri"/>
                <w:sz w:val="22"/>
                <w:szCs w:val="22"/>
              </w:rPr>
            </w:pPr>
            <w:r>
              <w:t>2,453.00</w:t>
            </w:r>
          </w:p>
        </w:tc>
        <w:tc>
          <w:tcPr>
            <w:tcW w:w="1119" w:type="dxa"/>
            <w:tcBorders>
              <w:top w:val="single" w:sz="6" w:space="0" w:color="CCCCCC"/>
              <w:left w:val="single" w:sz="6" w:space="0" w:color="CCCCCC"/>
              <w:bottom w:val="single" w:sz="6" w:space="0" w:color="000000"/>
              <w:right w:val="single" w:sz="6" w:space="0" w:color="000000"/>
            </w:tcBorders>
            <w:shd w:val="clear" w:color="auto" w:fill="F3F9F8"/>
            <w:tcMar>
              <w:top w:w="0" w:type="dxa"/>
              <w:left w:w="40" w:type="dxa"/>
              <w:bottom w:w="0" w:type="dxa"/>
              <w:right w:w="40" w:type="dxa"/>
            </w:tcMar>
            <w:vAlign w:val="center"/>
          </w:tcPr>
          <w:p w14:paraId="637DD4A4" w14:textId="77777777" w:rsidR="00F3751F" w:rsidRDefault="00C77840">
            <w:pPr>
              <w:jc w:val="center"/>
              <w:rPr>
                <w:rFonts w:ascii="Calibri" w:eastAsia="Calibri" w:hAnsi="Calibri" w:cs="Calibri"/>
                <w:sz w:val="22"/>
                <w:szCs w:val="22"/>
              </w:rPr>
            </w:pPr>
            <w:r>
              <w:t>2,305.00</w:t>
            </w:r>
          </w:p>
        </w:tc>
        <w:tc>
          <w:tcPr>
            <w:tcW w:w="1270" w:type="dxa"/>
            <w:tcBorders>
              <w:top w:val="single" w:sz="6" w:space="0" w:color="CCCCCC"/>
              <w:left w:val="single" w:sz="6" w:space="0" w:color="CCCCCC"/>
              <w:bottom w:val="single" w:sz="6" w:space="0" w:color="000000"/>
              <w:right w:val="single" w:sz="6" w:space="0" w:color="000000"/>
            </w:tcBorders>
            <w:shd w:val="clear" w:color="auto" w:fill="E1F1E8"/>
            <w:tcMar>
              <w:top w:w="0" w:type="dxa"/>
              <w:left w:w="40" w:type="dxa"/>
              <w:bottom w:w="0" w:type="dxa"/>
              <w:right w:w="40" w:type="dxa"/>
            </w:tcMar>
            <w:vAlign w:val="center"/>
          </w:tcPr>
          <w:p w14:paraId="637DD4A5" w14:textId="77777777" w:rsidR="00F3751F" w:rsidRDefault="00C77840">
            <w:pPr>
              <w:jc w:val="center"/>
              <w:rPr>
                <w:rFonts w:ascii="Calibri" w:eastAsia="Calibri" w:hAnsi="Calibri" w:cs="Calibri"/>
                <w:sz w:val="22"/>
                <w:szCs w:val="22"/>
              </w:rPr>
            </w:pPr>
            <w:r>
              <w:t>3,326.00</w:t>
            </w:r>
          </w:p>
        </w:tc>
        <w:tc>
          <w:tcPr>
            <w:tcW w:w="1119" w:type="dxa"/>
            <w:tcBorders>
              <w:top w:val="single" w:sz="6" w:space="0" w:color="CCCCCC"/>
              <w:left w:val="single" w:sz="6" w:space="0" w:color="CCCCCC"/>
              <w:bottom w:val="single" w:sz="6" w:space="0" w:color="000000"/>
              <w:right w:val="single" w:sz="6" w:space="0" w:color="000000"/>
            </w:tcBorders>
            <w:shd w:val="clear" w:color="auto" w:fill="D0EBD9"/>
            <w:tcMar>
              <w:top w:w="0" w:type="dxa"/>
              <w:left w:w="40" w:type="dxa"/>
              <w:bottom w:w="0" w:type="dxa"/>
              <w:right w:w="40" w:type="dxa"/>
            </w:tcMar>
            <w:vAlign w:val="center"/>
          </w:tcPr>
          <w:p w14:paraId="637DD4A6" w14:textId="77777777" w:rsidR="00F3751F" w:rsidRDefault="00C77840">
            <w:pPr>
              <w:jc w:val="center"/>
              <w:rPr>
                <w:rFonts w:ascii="Calibri" w:eastAsia="Calibri" w:hAnsi="Calibri" w:cs="Calibri"/>
                <w:sz w:val="22"/>
                <w:szCs w:val="22"/>
              </w:rPr>
            </w:pPr>
            <w:r>
              <w:t>4,272.00</w:t>
            </w:r>
          </w:p>
        </w:tc>
      </w:tr>
      <w:tr w:rsidR="00F3751F" w14:paraId="637DD4AF"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A8" w14:textId="77777777" w:rsidR="00F3751F" w:rsidRDefault="00C77840">
            <w:pPr>
              <w:jc w:val="center"/>
              <w:rPr>
                <w:rFonts w:ascii="Calibri" w:eastAsia="Calibri" w:hAnsi="Calibri" w:cs="Calibri"/>
                <w:sz w:val="22"/>
                <w:szCs w:val="22"/>
              </w:rPr>
            </w:pPr>
            <w:r>
              <w:rPr>
                <w:b/>
                <w:bCs/>
              </w:rPr>
              <w:t>Debt/Equity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A9" w14:textId="77777777" w:rsidR="00F3751F" w:rsidRDefault="00C77840">
            <w:pPr>
              <w:jc w:val="center"/>
              <w:rPr>
                <w:rFonts w:ascii="Calibri" w:eastAsia="Calibri" w:hAnsi="Calibri" w:cs="Calibri"/>
                <w:sz w:val="22"/>
                <w:szCs w:val="22"/>
              </w:rPr>
            </w:pPr>
            <w:r>
              <w:rPr>
                <w:b/>
                <w:bCs/>
              </w:rPr>
              <w:t>A/B</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AA" w14:textId="77777777" w:rsidR="00F3751F" w:rsidRDefault="00C77840">
            <w:pPr>
              <w:jc w:val="center"/>
              <w:rPr>
                <w:rFonts w:ascii="Calibri" w:eastAsia="Calibri" w:hAnsi="Calibri" w:cs="Calibri"/>
                <w:sz w:val="22"/>
                <w:szCs w:val="22"/>
              </w:rPr>
            </w:pPr>
            <w:r>
              <w:rPr>
                <w:b/>
                <w:bCs/>
              </w:rPr>
              <w:t>2.53</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AB" w14:textId="77777777" w:rsidR="00F3751F" w:rsidRDefault="00C77840">
            <w:pPr>
              <w:jc w:val="center"/>
              <w:rPr>
                <w:rFonts w:ascii="Calibri" w:eastAsia="Calibri" w:hAnsi="Calibri" w:cs="Calibri"/>
                <w:sz w:val="22"/>
                <w:szCs w:val="22"/>
              </w:rPr>
            </w:pPr>
            <w:r>
              <w:rPr>
                <w:b/>
                <w:bCs/>
              </w:rPr>
              <w:t>2.33</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AC" w14:textId="77777777" w:rsidR="00F3751F" w:rsidRDefault="00C77840">
            <w:pPr>
              <w:jc w:val="center"/>
              <w:rPr>
                <w:rFonts w:ascii="Calibri" w:eastAsia="Calibri" w:hAnsi="Calibri" w:cs="Calibri"/>
                <w:sz w:val="22"/>
                <w:szCs w:val="22"/>
              </w:rPr>
            </w:pPr>
            <w:r>
              <w:rPr>
                <w:b/>
                <w:bCs/>
              </w:rPr>
              <w:t>2.60</w:t>
            </w:r>
          </w:p>
        </w:tc>
        <w:tc>
          <w:tcPr>
            <w:tcW w:w="1270"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AD" w14:textId="77777777" w:rsidR="00F3751F" w:rsidRDefault="00C77840">
            <w:pPr>
              <w:jc w:val="center"/>
              <w:rPr>
                <w:rFonts w:ascii="Calibri" w:eastAsia="Calibri" w:hAnsi="Calibri" w:cs="Calibri"/>
                <w:sz w:val="22"/>
                <w:szCs w:val="22"/>
              </w:rPr>
            </w:pPr>
            <w:r>
              <w:rPr>
                <w:b/>
                <w:bCs/>
              </w:rPr>
              <w:t>2.68</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AE" w14:textId="77777777" w:rsidR="00F3751F" w:rsidRDefault="00C77840">
            <w:pPr>
              <w:jc w:val="center"/>
              <w:rPr>
                <w:rFonts w:ascii="Calibri" w:eastAsia="Calibri" w:hAnsi="Calibri" w:cs="Calibri"/>
                <w:sz w:val="22"/>
                <w:szCs w:val="22"/>
              </w:rPr>
            </w:pPr>
            <w:r>
              <w:rPr>
                <w:b/>
                <w:bCs/>
              </w:rPr>
              <w:t>3.11</w:t>
            </w:r>
          </w:p>
        </w:tc>
      </w:tr>
      <w:tr w:rsidR="00F3751F" w14:paraId="637DD4B7"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B0" w14:textId="77777777" w:rsidR="00F3751F" w:rsidRDefault="00C77840">
            <w:pPr>
              <w:jc w:val="center"/>
              <w:rPr>
                <w:rFonts w:ascii="Calibri" w:eastAsia="Calibri" w:hAnsi="Calibri" w:cs="Calibri"/>
                <w:sz w:val="22"/>
                <w:szCs w:val="22"/>
              </w:rPr>
            </w:pPr>
            <w:r>
              <w:rPr>
                <w:b/>
                <w:bCs/>
              </w:rPr>
              <w:t>Interest Coverage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B1" w14:textId="77777777" w:rsidR="00F3751F" w:rsidRDefault="00C77840">
            <w:pPr>
              <w:jc w:val="center"/>
              <w:rPr>
                <w:rFonts w:ascii="Calibri" w:eastAsia="Calibri" w:hAnsi="Calibri" w:cs="Calibri"/>
                <w:sz w:val="22"/>
                <w:szCs w:val="22"/>
              </w:rPr>
            </w:pPr>
            <w:r>
              <w:rPr>
                <w:b/>
                <w:bCs/>
              </w:rPr>
              <w:t>C/D</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B2" w14:textId="77777777" w:rsidR="00F3751F" w:rsidRDefault="00C77840">
            <w:pPr>
              <w:jc w:val="center"/>
              <w:rPr>
                <w:rFonts w:ascii="Calibri" w:eastAsia="Calibri" w:hAnsi="Calibri" w:cs="Calibri"/>
                <w:sz w:val="22"/>
                <w:szCs w:val="22"/>
              </w:rPr>
            </w:pPr>
            <w:r>
              <w:rPr>
                <w:b/>
                <w:bCs/>
              </w:rPr>
              <w:t>0.27</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B3" w14:textId="77777777" w:rsidR="00F3751F" w:rsidRDefault="00C77840">
            <w:pPr>
              <w:jc w:val="center"/>
              <w:rPr>
                <w:rFonts w:ascii="Calibri" w:eastAsia="Calibri" w:hAnsi="Calibri" w:cs="Calibri"/>
                <w:sz w:val="22"/>
                <w:szCs w:val="22"/>
              </w:rPr>
            </w:pPr>
            <w:r>
              <w:rPr>
                <w:b/>
                <w:bCs/>
              </w:rPr>
              <w:t>2.42</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B4" w14:textId="77777777" w:rsidR="00F3751F" w:rsidRDefault="00C77840">
            <w:pPr>
              <w:jc w:val="center"/>
              <w:rPr>
                <w:rFonts w:ascii="Calibri" w:eastAsia="Calibri" w:hAnsi="Calibri" w:cs="Calibri"/>
                <w:sz w:val="22"/>
                <w:szCs w:val="22"/>
              </w:rPr>
            </w:pPr>
            <w:r>
              <w:rPr>
                <w:b/>
                <w:bCs/>
              </w:rPr>
              <w:t>2.14</w:t>
            </w:r>
          </w:p>
        </w:tc>
        <w:tc>
          <w:tcPr>
            <w:tcW w:w="1270" w:type="dxa"/>
            <w:tcBorders>
              <w:top w:val="single" w:sz="6" w:space="0" w:color="CCCCCC"/>
              <w:left w:val="single" w:sz="6" w:space="0" w:color="CCCCCC"/>
              <w:bottom w:val="single" w:sz="6" w:space="0" w:color="000000"/>
              <w:right w:val="single" w:sz="6" w:space="0" w:color="000000"/>
            </w:tcBorders>
            <w:shd w:val="clear" w:color="auto" w:fill="F86A6C"/>
            <w:tcMar>
              <w:top w:w="0" w:type="dxa"/>
              <w:left w:w="40" w:type="dxa"/>
              <w:bottom w:w="0" w:type="dxa"/>
              <w:right w:w="40" w:type="dxa"/>
            </w:tcMar>
            <w:vAlign w:val="center"/>
          </w:tcPr>
          <w:p w14:paraId="637DD4B5" w14:textId="77777777" w:rsidR="00F3751F" w:rsidRDefault="00C77840">
            <w:pPr>
              <w:jc w:val="center"/>
              <w:rPr>
                <w:rFonts w:ascii="Calibri" w:eastAsia="Calibri" w:hAnsi="Calibri" w:cs="Calibri"/>
                <w:sz w:val="22"/>
                <w:szCs w:val="22"/>
              </w:rPr>
            </w:pPr>
            <w:r>
              <w:rPr>
                <w:b/>
                <w:bCs/>
              </w:rPr>
              <w:t>24.05</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B6" w14:textId="77777777" w:rsidR="00F3751F" w:rsidRDefault="00C77840">
            <w:pPr>
              <w:jc w:val="center"/>
              <w:rPr>
                <w:rFonts w:ascii="Calibri" w:eastAsia="Calibri" w:hAnsi="Calibri" w:cs="Calibri"/>
                <w:sz w:val="22"/>
                <w:szCs w:val="22"/>
              </w:rPr>
            </w:pPr>
            <w:r>
              <w:rPr>
                <w:b/>
                <w:bCs/>
              </w:rPr>
              <w:t>0.99</w:t>
            </w:r>
          </w:p>
        </w:tc>
      </w:tr>
      <w:tr w:rsidR="00F3751F" w14:paraId="637DD4BF"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B8" w14:textId="77777777" w:rsidR="00F3751F" w:rsidRDefault="00C77840">
            <w:pPr>
              <w:jc w:val="center"/>
              <w:rPr>
                <w:rFonts w:ascii="Calibri" w:eastAsia="Calibri" w:hAnsi="Calibri" w:cs="Calibri"/>
                <w:sz w:val="22"/>
                <w:szCs w:val="22"/>
              </w:rPr>
            </w:pPr>
            <w:r>
              <w:rPr>
                <w:b/>
                <w:bCs/>
              </w:rPr>
              <w:t>Debt/Capital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B9" w14:textId="77777777" w:rsidR="00F3751F" w:rsidRDefault="00C77840">
            <w:pPr>
              <w:jc w:val="center"/>
              <w:rPr>
                <w:rFonts w:ascii="Calibri" w:eastAsia="Calibri" w:hAnsi="Calibri" w:cs="Calibri"/>
                <w:sz w:val="22"/>
                <w:szCs w:val="22"/>
              </w:rPr>
            </w:pPr>
            <w:r>
              <w:rPr>
                <w:b/>
                <w:bCs/>
              </w:rPr>
              <w:t>F/(F+E)</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BA" w14:textId="77777777" w:rsidR="00F3751F" w:rsidRDefault="00C77840">
            <w:pPr>
              <w:jc w:val="right"/>
              <w:rPr>
                <w:rFonts w:ascii="Calibri" w:eastAsia="Calibri" w:hAnsi="Calibri" w:cs="Calibri"/>
                <w:sz w:val="22"/>
                <w:szCs w:val="22"/>
              </w:rPr>
            </w:pPr>
            <w:r>
              <w:rPr>
                <w:b/>
                <w:bCs/>
              </w:rPr>
              <w:t>0.53</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BB" w14:textId="77777777" w:rsidR="00F3751F" w:rsidRDefault="00C77840">
            <w:pPr>
              <w:jc w:val="right"/>
              <w:rPr>
                <w:rFonts w:ascii="Calibri" w:eastAsia="Calibri" w:hAnsi="Calibri" w:cs="Calibri"/>
                <w:sz w:val="22"/>
                <w:szCs w:val="22"/>
              </w:rPr>
            </w:pPr>
            <w:r>
              <w:rPr>
                <w:b/>
                <w:bCs/>
              </w:rPr>
              <w:t>0.40</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BC" w14:textId="77777777" w:rsidR="00F3751F" w:rsidRDefault="00C77840">
            <w:pPr>
              <w:jc w:val="right"/>
              <w:rPr>
                <w:rFonts w:ascii="Calibri" w:eastAsia="Calibri" w:hAnsi="Calibri" w:cs="Calibri"/>
                <w:sz w:val="22"/>
                <w:szCs w:val="22"/>
              </w:rPr>
            </w:pPr>
            <w:r>
              <w:rPr>
                <w:b/>
                <w:bCs/>
              </w:rPr>
              <w:t>0.39</w:t>
            </w:r>
          </w:p>
        </w:tc>
        <w:tc>
          <w:tcPr>
            <w:tcW w:w="1270"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BD" w14:textId="77777777" w:rsidR="00F3751F" w:rsidRDefault="00C77840">
            <w:pPr>
              <w:jc w:val="right"/>
              <w:rPr>
                <w:rFonts w:ascii="Calibri" w:eastAsia="Calibri" w:hAnsi="Calibri" w:cs="Calibri"/>
                <w:sz w:val="22"/>
                <w:szCs w:val="22"/>
              </w:rPr>
            </w:pPr>
            <w:r>
              <w:rPr>
                <w:b/>
                <w:bCs/>
              </w:rPr>
              <w:t>0.48</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4BE" w14:textId="77777777" w:rsidR="00F3751F" w:rsidRDefault="00C77840">
            <w:pPr>
              <w:jc w:val="right"/>
              <w:rPr>
                <w:rFonts w:ascii="Calibri" w:eastAsia="Calibri" w:hAnsi="Calibri" w:cs="Calibri"/>
                <w:sz w:val="22"/>
                <w:szCs w:val="22"/>
              </w:rPr>
            </w:pPr>
            <w:r>
              <w:rPr>
                <w:b/>
                <w:bCs/>
              </w:rPr>
              <w:t>0.56</w:t>
            </w:r>
          </w:p>
        </w:tc>
      </w:tr>
      <w:tr w:rsidR="00F3751F" w14:paraId="637DD4C7" w14:textId="77777777">
        <w:trPr>
          <w:trHeight w:val="315"/>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C0" w14:textId="77777777" w:rsidR="00F3751F" w:rsidRDefault="00F3751F">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C1" w14:textId="77777777" w:rsidR="00F3751F" w:rsidRDefault="00F3751F">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C2" w14:textId="77777777" w:rsidR="00F3751F" w:rsidRDefault="00F3751F">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C3" w14:textId="77777777" w:rsidR="00F3751F" w:rsidRDefault="00F3751F">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C4" w14:textId="77777777" w:rsidR="00F3751F" w:rsidRDefault="00F3751F">
            <w:pPr>
              <w:rPr>
                <w:rFonts w:ascii="Calibri" w:eastAsia="Calibri" w:hAnsi="Calibri" w:cs="Calibri"/>
                <w:sz w:val="22"/>
                <w:szCs w:val="22"/>
              </w:rPr>
            </w:pPr>
          </w:p>
        </w:tc>
        <w:tc>
          <w:tcPr>
            <w:tcW w:w="127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C5" w14:textId="77777777" w:rsidR="00F3751F" w:rsidRDefault="00F3751F">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4C6" w14:textId="77777777" w:rsidR="00F3751F" w:rsidRDefault="00F3751F">
            <w:pPr>
              <w:rPr>
                <w:rFonts w:ascii="Calibri" w:eastAsia="Calibri" w:hAnsi="Calibri" w:cs="Calibri"/>
                <w:sz w:val="22"/>
                <w:szCs w:val="22"/>
              </w:rPr>
            </w:pPr>
          </w:p>
        </w:tc>
      </w:tr>
      <w:tr w:rsidR="00F3751F" w14:paraId="637DD4C9" w14:textId="77777777">
        <w:trPr>
          <w:trHeight w:val="315"/>
        </w:trPr>
        <w:tc>
          <w:tcPr>
            <w:tcW w:w="9355"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637DD4C8" w14:textId="77777777" w:rsidR="00F3751F" w:rsidRDefault="00C77840">
            <w:pPr>
              <w:jc w:val="center"/>
              <w:rPr>
                <w:rFonts w:ascii="Calibri" w:eastAsia="Calibri" w:hAnsi="Calibri" w:cs="Calibri"/>
                <w:sz w:val="22"/>
                <w:szCs w:val="22"/>
              </w:rPr>
            </w:pPr>
            <w:r>
              <w:rPr>
                <w:b/>
                <w:bCs/>
              </w:rPr>
              <w:t>Efficiency Ratios:-</w:t>
            </w:r>
          </w:p>
        </w:tc>
      </w:tr>
      <w:tr w:rsidR="00F3751F" w14:paraId="637DD4D1"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CA" w14:textId="77777777" w:rsidR="00F3751F" w:rsidRDefault="00C77840">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CB" w14:textId="77777777" w:rsidR="00F3751F" w:rsidRDefault="00C77840">
            <w:pPr>
              <w:jc w:val="center"/>
              <w:rPr>
                <w:rFonts w:ascii="Calibri" w:eastAsia="Calibri" w:hAnsi="Calibri" w:cs="Calibri"/>
                <w:sz w:val="22"/>
                <w:szCs w:val="22"/>
              </w:rPr>
            </w:pPr>
            <w:r>
              <w:rPr>
                <w:b/>
                <w:bCs/>
              </w:rPr>
              <w:t>Details</w:t>
            </w:r>
          </w:p>
        </w:tc>
        <w:tc>
          <w:tcPr>
            <w:tcW w:w="1119" w:type="dxa"/>
            <w:tcBorders>
              <w:top w:val="single" w:sz="6" w:space="0" w:color="CCCCCC"/>
              <w:left w:val="single" w:sz="6" w:space="0" w:color="CCCCCC"/>
              <w:bottom w:val="single" w:sz="6" w:space="0" w:color="000000"/>
              <w:right w:val="single" w:sz="6" w:space="0" w:color="000000"/>
            </w:tcBorders>
            <w:shd w:val="clear" w:color="auto" w:fill="D9EEE1"/>
            <w:tcMar>
              <w:top w:w="0" w:type="dxa"/>
              <w:left w:w="40" w:type="dxa"/>
              <w:bottom w:w="0" w:type="dxa"/>
              <w:right w:w="40" w:type="dxa"/>
            </w:tcMar>
            <w:vAlign w:val="center"/>
          </w:tcPr>
          <w:p w14:paraId="637DD4CC" w14:textId="77777777" w:rsidR="00F3751F" w:rsidRDefault="00C77840">
            <w:pPr>
              <w:jc w:val="center"/>
              <w:rPr>
                <w:rFonts w:ascii="Calibri" w:eastAsia="Calibri" w:hAnsi="Calibri" w:cs="Calibri"/>
                <w:sz w:val="22"/>
                <w:szCs w:val="22"/>
              </w:rPr>
            </w:pPr>
            <w:r>
              <w:rPr>
                <w:b/>
                <w:bCs/>
              </w:rPr>
              <w:t>2021</w:t>
            </w:r>
          </w:p>
        </w:tc>
        <w:tc>
          <w:tcPr>
            <w:tcW w:w="1119" w:type="dxa"/>
            <w:tcBorders>
              <w:top w:val="single" w:sz="6" w:space="0" w:color="CCCCCC"/>
              <w:left w:val="single" w:sz="6" w:space="0" w:color="CCCCCC"/>
              <w:bottom w:val="single" w:sz="6" w:space="0" w:color="000000"/>
              <w:right w:val="single" w:sz="6" w:space="0" w:color="000000"/>
            </w:tcBorders>
            <w:shd w:val="clear" w:color="auto" w:fill="D9EEE1"/>
            <w:tcMar>
              <w:top w:w="0" w:type="dxa"/>
              <w:left w:w="40" w:type="dxa"/>
              <w:bottom w:w="0" w:type="dxa"/>
              <w:right w:w="40" w:type="dxa"/>
            </w:tcMar>
            <w:vAlign w:val="center"/>
          </w:tcPr>
          <w:p w14:paraId="637DD4CD" w14:textId="77777777" w:rsidR="00F3751F" w:rsidRDefault="00C77840">
            <w:pPr>
              <w:jc w:val="center"/>
              <w:rPr>
                <w:rFonts w:ascii="Calibri" w:eastAsia="Calibri" w:hAnsi="Calibri" w:cs="Calibri"/>
                <w:sz w:val="22"/>
                <w:szCs w:val="22"/>
              </w:rPr>
            </w:pPr>
            <w:r>
              <w:rPr>
                <w:b/>
                <w:bCs/>
              </w:rPr>
              <w:t>2022</w:t>
            </w:r>
          </w:p>
        </w:tc>
        <w:tc>
          <w:tcPr>
            <w:tcW w:w="1119" w:type="dxa"/>
            <w:tcBorders>
              <w:top w:val="single" w:sz="6" w:space="0" w:color="CCCCCC"/>
              <w:left w:val="single" w:sz="6" w:space="0" w:color="CCCCCC"/>
              <w:bottom w:val="single" w:sz="6" w:space="0" w:color="000000"/>
              <w:right w:val="single" w:sz="6" w:space="0" w:color="000000"/>
            </w:tcBorders>
            <w:shd w:val="clear" w:color="auto" w:fill="D9EEE1"/>
            <w:tcMar>
              <w:top w:w="0" w:type="dxa"/>
              <w:left w:w="40" w:type="dxa"/>
              <w:bottom w:w="0" w:type="dxa"/>
              <w:right w:w="40" w:type="dxa"/>
            </w:tcMar>
            <w:vAlign w:val="center"/>
          </w:tcPr>
          <w:p w14:paraId="637DD4CE" w14:textId="77777777" w:rsidR="00F3751F" w:rsidRDefault="00C77840">
            <w:pPr>
              <w:jc w:val="center"/>
              <w:rPr>
                <w:rFonts w:ascii="Calibri" w:eastAsia="Calibri" w:hAnsi="Calibri" w:cs="Calibri"/>
                <w:sz w:val="22"/>
                <w:szCs w:val="22"/>
              </w:rPr>
            </w:pPr>
            <w:r>
              <w:rPr>
                <w:b/>
                <w:bCs/>
              </w:rPr>
              <w:t>2023</w:t>
            </w:r>
          </w:p>
        </w:tc>
        <w:tc>
          <w:tcPr>
            <w:tcW w:w="1270" w:type="dxa"/>
            <w:tcBorders>
              <w:top w:val="single" w:sz="6" w:space="0" w:color="CCCCCC"/>
              <w:left w:val="single" w:sz="6" w:space="0" w:color="CCCCCC"/>
              <w:bottom w:val="single" w:sz="6" w:space="0" w:color="000000"/>
              <w:right w:val="single" w:sz="6" w:space="0" w:color="000000"/>
            </w:tcBorders>
            <w:shd w:val="clear" w:color="auto" w:fill="D9EEE1"/>
            <w:tcMar>
              <w:top w:w="0" w:type="dxa"/>
              <w:left w:w="40" w:type="dxa"/>
              <w:bottom w:w="0" w:type="dxa"/>
              <w:right w:w="40" w:type="dxa"/>
            </w:tcMar>
            <w:vAlign w:val="center"/>
          </w:tcPr>
          <w:p w14:paraId="637DD4CF" w14:textId="77777777" w:rsidR="00F3751F" w:rsidRDefault="00C77840">
            <w:pPr>
              <w:jc w:val="center"/>
              <w:rPr>
                <w:rFonts w:ascii="Calibri" w:eastAsia="Calibri" w:hAnsi="Calibri" w:cs="Calibri"/>
                <w:sz w:val="22"/>
                <w:szCs w:val="22"/>
              </w:rPr>
            </w:pPr>
            <w:r>
              <w:rPr>
                <w:b/>
                <w:bCs/>
              </w:rPr>
              <w:t>2024</w:t>
            </w:r>
          </w:p>
        </w:tc>
        <w:tc>
          <w:tcPr>
            <w:tcW w:w="1119" w:type="dxa"/>
            <w:tcBorders>
              <w:top w:val="single" w:sz="6" w:space="0" w:color="CCCCCC"/>
              <w:left w:val="single" w:sz="6" w:space="0" w:color="CCCCCC"/>
              <w:bottom w:val="single" w:sz="6" w:space="0" w:color="000000"/>
              <w:right w:val="single" w:sz="6" w:space="0" w:color="000000"/>
            </w:tcBorders>
            <w:shd w:val="clear" w:color="auto" w:fill="D9EEE1"/>
            <w:tcMar>
              <w:top w:w="0" w:type="dxa"/>
              <w:left w:w="40" w:type="dxa"/>
              <w:bottom w:w="0" w:type="dxa"/>
              <w:right w:w="40" w:type="dxa"/>
            </w:tcMar>
            <w:vAlign w:val="center"/>
          </w:tcPr>
          <w:p w14:paraId="637DD4D0" w14:textId="77777777" w:rsidR="00F3751F" w:rsidRDefault="00C77840">
            <w:pPr>
              <w:jc w:val="center"/>
              <w:rPr>
                <w:rFonts w:ascii="Calibri" w:eastAsia="Calibri" w:hAnsi="Calibri" w:cs="Calibri"/>
                <w:sz w:val="22"/>
                <w:szCs w:val="22"/>
              </w:rPr>
            </w:pPr>
            <w:r>
              <w:rPr>
                <w:b/>
                <w:bCs/>
              </w:rPr>
              <w:t>2025</w:t>
            </w:r>
          </w:p>
        </w:tc>
      </w:tr>
      <w:tr w:rsidR="00F3751F" w14:paraId="637DD4D9"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D2" w14:textId="77777777" w:rsidR="00F3751F" w:rsidRDefault="00C77840">
            <w:pPr>
              <w:jc w:val="center"/>
              <w:rPr>
                <w:rFonts w:ascii="Calibri" w:eastAsia="Calibri" w:hAnsi="Calibri" w:cs="Calibri"/>
                <w:sz w:val="22"/>
                <w:szCs w:val="22"/>
              </w:rPr>
            </w:pPr>
            <w:r>
              <w:t>Revenue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D3" w14:textId="77777777" w:rsidR="00F3751F" w:rsidRDefault="00C77840">
            <w:pPr>
              <w:jc w:val="center"/>
              <w:rPr>
                <w:rFonts w:ascii="Calibri" w:eastAsia="Calibri" w:hAnsi="Calibri" w:cs="Calibri"/>
                <w:sz w:val="22"/>
                <w:szCs w:val="22"/>
              </w:rPr>
            </w:pPr>
            <w:r>
              <w:t>A</w:t>
            </w:r>
          </w:p>
        </w:tc>
        <w:tc>
          <w:tcPr>
            <w:tcW w:w="1119" w:type="dxa"/>
            <w:tcBorders>
              <w:top w:val="single" w:sz="6" w:space="0" w:color="CCCCCC"/>
              <w:left w:val="single" w:sz="6" w:space="0" w:color="CCCCCC"/>
              <w:bottom w:val="single" w:sz="6" w:space="0" w:color="000000"/>
              <w:right w:val="single" w:sz="6" w:space="0" w:color="000000"/>
            </w:tcBorders>
            <w:shd w:val="clear" w:color="auto" w:fill="C2E5CD"/>
            <w:tcMar>
              <w:top w:w="0" w:type="dxa"/>
              <w:left w:w="40" w:type="dxa"/>
              <w:bottom w:w="0" w:type="dxa"/>
              <w:right w:w="40" w:type="dxa"/>
            </w:tcMar>
            <w:vAlign w:val="center"/>
          </w:tcPr>
          <w:p w14:paraId="637DD4D4" w14:textId="77777777" w:rsidR="00F3751F" w:rsidRDefault="00C77840">
            <w:pPr>
              <w:jc w:val="center"/>
              <w:rPr>
                <w:rFonts w:ascii="Calibri" w:eastAsia="Calibri" w:hAnsi="Calibri" w:cs="Calibri"/>
                <w:sz w:val="22"/>
                <w:szCs w:val="22"/>
              </w:rPr>
            </w:pPr>
            <w:r>
              <w:t>3,028.00</w:t>
            </w:r>
          </w:p>
        </w:tc>
        <w:tc>
          <w:tcPr>
            <w:tcW w:w="1119" w:type="dxa"/>
            <w:tcBorders>
              <w:top w:val="single" w:sz="6" w:space="0" w:color="CCCCCC"/>
              <w:left w:val="single" w:sz="6" w:space="0" w:color="CCCCCC"/>
              <w:bottom w:val="single" w:sz="6" w:space="0" w:color="000000"/>
              <w:right w:val="single" w:sz="6" w:space="0" w:color="000000"/>
            </w:tcBorders>
            <w:shd w:val="clear" w:color="auto" w:fill="7FCA94"/>
            <w:tcMar>
              <w:top w:w="0" w:type="dxa"/>
              <w:left w:w="40" w:type="dxa"/>
              <w:bottom w:w="0" w:type="dxa"/>
              <w:right w:w="40" w:type="dxa"/>
            </w:tcMar>
            <w:vAlign w:val="center"/>
          </w:tcPr>
          <w:p w14:paraId="637DD4D5" w14:textId="77777777" w:rsidR="00F3751F" w:rsidRDefault="00C77840">
            <w:pPr>
              <w:jc w:val="center"/>
              <w:rPr>
                <w:rFonts w:ascii="Calibri" w:eastAsia="Calibri" w:hAnsi="Calibri" w:cs="Calibri"/>
                <w:sz w:val="22"/>
                <w:szCs w:val="22"/>
              </w:rPr>
            </w:pPr>
            <w:r>
              <w:t>5,891.00</w:t>
            </w:r>
          </w:p>
        </w:tc>
        <w:tc>
          <w:tcPr>
            <w:tcW w:w="1119" w:type="dxa"/>
            <w:tcBorders>
              <w:top w:val="single" w:sz="6" w:space="0" w:color="CCCCCC"/>
              <w:left w:val="single" w:sz="6" w:space="0" w:color="CCCCCC"/>
              <w:bottom w:val="single" w:sz="6" w:space="0" w:color="000000"/>
              <w:right w:val="single" w:sz="6" w:space="0" w:color="000000"/>
            </w:tcBorders>
            <w:shd w:val="clear" w:color="auto" w:fill="6EC384"/>
            <w:tcMar>
              <w:top w:w="0" w:type="dxa"/>
              <w:left w:w="40" w:type="dxa"/>
              <w:bottom w:w="0" w:type="dxa"/>
              <w:right w:w="40" w:type="dxa"/>
            </w:tcMar>
            <w:vAlign w:val="center"/>
          </w:tcPr>
          <w:p w14:paraId="637DD4D6" w14:textId="77777777" w:rsidR="00F3751F" w:rsidRDefault="00C77840">
            <w:pPr>
              <w:jc w:val="center"/>
              <w:rPr>
                <w:rFonts w:ascii="Calibri" w:eastAsia="Calibri" w:hAnsi="Calibri" w:cs="Calibri"/>
                <w:sz w:val="22"/>
                <w:szCs w:val="22"/>
              </w:rPr>
            </w:pPr>
            <w:r>
              <w:t>6,667.00</w:t>
            </w:r>
          </w:p>
        </w:tc>
        <w:tc>
          <w:tcPr>
            <w:tcW w:w="1270" w:type="dxa"/>
            <w:tcBorders>
              <w:top w:val="single" w:sz="6" w:space="0" w:color="CCCCCC"/>
              <w:left w:val="single" w:sz="6" w:space="0" w:color="CCCCCC"/>
              <w:bottom w:val="single" w:sz="6" w:space="0" w:color="000000"/>
              <w:right w:val="single" w:sz="6" w:space="0" w:color="000000"/>
            </w:tcBorders>
            <w:shd w:val="clear" w:color="auto" w:fill="6EC385"/>
            <w:tcMar>
              <w:top w:w="0" w:type="dxa"/>
              <w:left w:w="40" w:type="dxa"/>
              <w:bottom w:w="0" w:type="dxa"/>
              <w:right w:w="40" w:type="dxa"/>
            </w:tcMar>
            <w:vAlign w:val="center"/>
          </w:tcPr>
          <w:p w14:paraId="637DD4D7" w14:textId="77777777" w:rsidR="00F3751F" w:rsidRDefault="00C77840">
            <w:pPr>
              <w:jc w:val="center"/>
              <w:rPr>
                <w:rFonts w:ascii="Calibri" w:eastAsia="Calibri" w:hAnsi="Calibri" w:cs="Calibri"/>
                <w:sz w:val="22"/>
                <w:szCs w:val="22"/>
              </w:rPr>
            </w:pPr>
            <w:r>
              <w:t>6,648.00</w:t>
            </w:r>
          </w:p>
        </w:tc>
        <w:tc>
          <w:tcPr>
            <w:tcW w:w="1119" w:type="dxa"/>
            <w:tcBorders>
              <w:top w:val="single" w:sz="6" w:space="0" w:color="CCCCCC"/>
              <w:left w:val="single" w:sz="6" w:space="0" w:color="CCCCCC"/>
              <w:bottom w:val="single" w:sz="6" w:space="0" w:color="000000"/>
              <w:right w:val="single" w:sz="6" w:space="0" w:color="000000"/>
            </w:tcBorders>
            <w:shd w:val="clear" w:color="auto" w:fill="63BE7B"/>
            <w:tcMar>
              <w:top w:w="0" w:type="dxa"/>
              <w:left w:w="40" w:type="dxa"/>
              <w:bottom w:w="0" w:type="dxa"/>
              <w:right w:w="40" w:type="dxa"/>
            </w:tcMar>
            <w:vAlign w:val="center"/>
          </w:tcPr>
          <w:p w14:paraId="637DD4D8" w14:textId="77777777" w:rsidR="00F3751F" w:rsidRDefault="00C77840">
            <w:pPr>
              <w:jc w:val="center"/>
              <w:rPr>
                <w:rFonts w:ascii="Calibri" w:eastAsia="Calibri" w:hAnsi="Calibri" w:cs="Calibri"/>
                <w:sz w:val="22"/>
                <w:szCs w:val="22"/>
              </w:rPr>
            </w:pPr>
            <w:r>
              <w:t>7,101.00</w:t>
            </w:r>
          </w:p>
        </w:tc>
      </w:tr>
      <w:tr w:rsidR="00F3751F" w14:paraId="637DD4E1"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DA" w14:textId="77777777" w:rsidR="00F3751F" w:rsidRDefault="00C77840">
            <w:pPr>
              <w:jc w:val="center"/>
              <w:rPr>
                <w:rFonts w:ascii="Calibri" w:eastAsia="Calibri" w:hAnsi="Calibri" w:cs="Calibri"/>
                <w:sz w:val="22"/>
                <w:szCs w:val="22"/>
              </w:rPr>
            </w:pPr>
            <w:r>
              <w:t>Cost of Sales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DB" w14:textId="77777777" w:rsidR="00F3751F" w:rsidRDefault="00C77840">
            <w:pPr>
              <w:jc w:val="center"/>
              <w:rPr>
                <w:rFonts w:ascii="Calibri" w:eastAsia="Calibri" w:hAnsi="Calibri" w:cs="Calibri"/>
                <w:sz w:val="22"/>
                <w:szCs w:val="22"/>
              </w:rPr>
            </w:pPr>
            <w:r>
              <w:t>B</w:t>
            </w:r>
          </w:p>
        </w:tc>
        <w:tc>
          <w:tcPr>
            <w:tcW w:w="1119" w:type="dxa"/>
            <w:tcBorders>
              <w:top w:val="single" w:sz="6" w:space="0" w:color="CCCCCC"/>
              <w:left w:val="single" w:sz="6" w:space="0" w:color="CCCCCC"/>
              <w:bottom w:val="single" w:sz="6" w:space="0" w:color="000000"/>
              <w:right w:val="single" w:sz="6" w:space="0" w:color="000000"/>
            </w:tcBorders>
            <w:shd w:val="clear" w:color="auto" w:fill="BCE2C8"/>
            <w:tcMar>
              <w:top w:w="0" w:type="dxa"/>
              <w:left w:w="40" w:type="dxa"/>
              <w:bottom w:w="0" w:type="dxa"/>
              <w:right w:w="40" w:type="dxa"/>
            </w:tcMar>
            <w:vAlign w:val="center"/>
          </w:tcPr>
          <w:p w14:paraId="637DD4DC" w14:textId="77777777" w:rsidR="00F3751F" w:rsidRDefault="00C77840">
            <w:pPr>
              <w:jc w:val="center"/>
              <w:rPr>
                <w:rFonts w:ascii="Calibri" w:eastAsia="Calibri" w:hAnsi="Calibri" w:cs="Calibri"/>
                <w:sz w:val="22"/>
                <w:szCs w:val="22"/>
              </w:rPr>
            </w:pPr>
            <w:r>
              <w:t>3,279.00</w:t>
            </w:r>
          </w:p>
        </w:tc>
        <w:tc>
          <w:tcPr>
            <w:tcW w:w="1119" w:type="dxa"/>
            <w:tcBorders>
              <w:top w:val="single" w:sz="6" w:space="0" w:color="CCCCCC"/>
              <w:left w:val="single" w:sz="6" w:space="0" w:color="CCCCCC"/>
              <w:bottom w:val="single" w:sz="6" w:space="0" w:color="000000"/>
              <w:right w:val="single" w:sz="6" w:space="0" w:color="000000"/>
            </w:tcBorders>
            <w:shd w:val="clear" w:color="auto" w:fill="89CE9C"/>
            <w:tcMar>
              <w:top w:w="0" w:type="dxa"/>
              <w:left w:w="40" w:type="dxa"/>
              <w:bottom w:w="0" w:type="dxa"/>
              <w:right w:w="40" w:type="dxa"/>
            </w:tcMar>
            <w:vAlign w:val="center"/>
          </w:tcPr>
          <w:p w14:paraId="637DD4DD" w14:textId="77777777" w:rsidR="00F3751F" w:rsidRDefault="00C77840">
            <w:pPr>
              <w:jc w:val="center"/>
              <w:rPr>
                <w:rFonts w:ascii="Calibri" w:eastAsia="Calibri" w:hAnsi="Calibri" w:cs="Calibri"/>
                <w:sz w:val="22"/>
                <w:szCs w:val="22"/>
              </w:rPr>
            </w:pPr>
            <w:r>
              <w:t>5,493.00</w:t>
            </w:r>
          </w:p>
        </w:tc>
        <w:tc>
          <w:tcPr>
            <w:tcW w:w="1119" w:type="dxa"/>
            <w:tcBorders>
              <w:top w:val="single" w:sz="6" w:space="0" w:color="CCCCCC"/>
              <w:left w:val="single" w:sz="6" w:space="0" w:color="CCCCCC"/>
              <w:bottom w:val="single" w:sz="6" w:space="0" w:color="000000"/>
              <w:right w:val="single" w:sz="6" w:space="0" w:color="000000"/>
            </w:tcBorders>
            <w:shd w:val="clear" w:color="auto" w:fill="74C58A"/>
            <w:tcMar>
              <w:top w:w="0" w:type="dxa"/>
              <w:left w:w="40" w:type="dxa"/>
              <w:bottom w:w="0" w:type="dxa"/>
              <w:right w:w="40" w:type="dxa"/>
            </w:tcMar>
            <w:vAlign w:val="center"/>
          </w:tcPr>
          <w:p w14:paraId="637DD4DE" w14:textId="77777777" w:rsidR="00F3751F" w:rsidRDefault="00C77840">
            <w:pPr>
              <w:jc w:val="center"/>
              <w:rPr>
                <w:rFonts w:ascii="Calibri" w:eastAsia="Calibri" w:hAnsi="Calibri" w:cs="Calibri"/>
                <w:sz w:val="22"/>
                <w:szCs w:val="22"/>
              </w:rPr>
            </w:pPr>
            <w:r>
              <w:t>6,378.00</w:t>
            </w:r>
          </w:p>
        </w:tc>
        <w:tc>
          <w:tcPr>
            <w:tcW w:w="1270" w:type="dxa"/>
            <w:tcBorders>
              <w:top w:val="single" w:sz="6" w:space="0" w:color="CCCCCC"/>
              <w:left w:val="single" w:sz="6" w:space="0" w:color="CCCCCC"/>
              <w:bottom w:val="single" w:sz="6" w:space="0" w:color="000000"/>
              <w:right w:val="single" w:sz="6" w:space="0" w:color="000000"/>
            </w:tcBorders>
            <w:shd w:val="clear" w:color="auto" w:fill="77C68C"/>
            <w:tcMar>
              <w:top w:w="0" w:type="dxa"/>
              <w:left w:w="40" w:type="dxa"/>
              <w:bottom w:w="0" w:type="dxa"/>
              <w:right w:w="40" w:type="dxa"/>
            </w:tcMar>
            <w:vAlign w:val="center"/>
          </w:tcPr>
          <w:p w14:paraId="637DD4DF" w14:textId="77777777" w:rsidR="00F3751F" w:rsidRDefault="00C77840">
            <w:pPr>
              <w:jc w:val="center"/>
              <w:rPr>
                <w:rFonts w:ascii="Calibri" w:eastAsia="Calibri" w:hAnsi="Calibri" w:cs="Calibri"/>
                <w:sz w:val="22"/>
                <w:szCs w:val="22"/>
              </w:rPr>
            </w:pPr>
            <w:r>
              <w:t>6,274.00</w:t>
            </w:r>
          </w:p>
        </w:tc>
        <w:tc>
          <w:tcPr>
            <w:tcW w:w="1119" w:type="dxa"/>
            <w:tcBorders>
              <w:top w:val="single" w:sz="6" w:space="0" w:color="CCCCCC"/>
              <w:left w:val="single" w:sz="6" w:space="0" w:color="CCCCCC"/>
              <w:bottom w:val="single" w:sz="6" w:space="0" w:color="000000"/>
              <w:right w:val="single" w:sz="6" w:space="0" w:color="000000"/>
            </w:tcBorders>
            <w:shd w:val="clear" w:color="auto" w:fill="6CC282"/>
            <w:tcMar>
              <w:top w:w="0" w:type="dxa"/>
              <w:left w:w="40" w:type="dxa"/>
              <w:bottom w:w="0" w:type="dxa"/>
              <w:right w:w="40" w:type="dxa"/>
            </w:tcMar>
            <w:vAlign w:val="center"/>
          </w:tcPr>
          <w:p w14:paraId="637DD4E0" w14:textId="77777777" w:rsidR="00F3751F" w:rsidRDefault="00C77840">
            <w:pPr>
              <w:jc w:val="center"/>
              <w:rPr>
                <w:rFonts w:ascii="Calibri" w:eastAsia="Calibri" w:hAnsi="Calibri" w:cs="Calibri"/>
                <w:sz w:val="22"/>
                <w:szCs w:val="22"/>
              </w:rPr>
            </w:pPr>
            <w:r>
              <w:t>6,753.00</w:t>
            </w:r>
          </w:p>
        </w:tc>
      </w:tr>
      <w:tr w:rsidR="00F3751F" w14:paraId="637DD4E9"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E2" w14:textId="77777777" w:rsidR="00F3751F" w:rsidRDefault="00C77840">
            <w:pPr>
              <w:jc w:val="center"/>
              <w:rPr>
                <w:rFonts w:ascii="Calibri" w:eastAsia="Calibri" w:hAnsi="Calibri" w:cs="Calibri"/>
                <w:sz w:val="22"/>
                <w:szCs w:val="22"/>
              </w:rPr>
            </w:pPr>
            <w:r>
              <w:t>Opening Inventories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E3" w14:textId="77777777" w:rsidR="00F3751F" w:rsidRDefault="00C77840">
            <w:pPr>
              <w:jc w:val="center"/>
              <w:rPr>
                <w:rFonts w:ascii="Calibri" w:eastAsia="Calibri" w:hAnsi="Calibri" w:cs="Calibri"/>
                <w:sz w:val="22"/>
                <w:szCs w:val="22"/>
              </w:rPr>
            </w:pPr>
            <w:r>
              <w:t>C</w:t>
            </w:r>
          </w:p>
        </w:tc>
        <w:tc>
          <w:tcPr>
            <w:tcW w:w="1119" w:type="dxa"/>
            <w:tcBorders>
              <w:top w:val="single" w:sz="6" w:space="0" w:color="CCCCCC"/>
              <w:left w:val="single" w:sz="6" w:space="0" w:color="CCCCCC"/>
              <w:bottom w:val="single" w:sz="6" w:space="0" w:color="000000"/>
              <w:right w:val="single" w:sz="6" w:space="0" w:color="000000"/>
            </w:tcBorders>
            <w:shd w:val="clear" w:color="auto" w:fill="F86B6D"/>
            <w:tcMar>
              <w:top w:w="0" w:type="dxa"/>
              <w:left w:w="40" w:type="dxa"/>
              <w:bottom w:w="0" w:type="dxa"/>
              <w:right w:w="40" w:type="dxa"/>
            </w:tcMar>
            <w:vAlign w:val="center"/>
          </w:tcPr>
          <w:p w14:paraId="637DD4E4" w14:textId="77777777" w:rsidR="00F3751F" w:rsidRDefault="00C77840">
            <w:pPr>
              <w:jc w:val="center"/>
              <w:rPr>
                <w:rFonts w:ascii="Calibri" w:eastAsia="Calibri" w:hAnsi="Calibri" w:cs="Calibri"/>
                <w:sz w:val="22"/>
                <w:szCs w:val="22"/>
              </w:rPr>
            </w:pPr>
            <w:r>
              <w:t>9.00</w:t>
            </w:r>
          </w:p>
        </w:tc>
        <w:tc>
          <w:tcPr>
            <w:tcW w:w="1119" w:type="dxa"/>
            <w:tcBorders>
              <w:top w:val="single" w:sz="6" w:space="0" w:color="CCCCCC"/>
              <w:left w:val="single" w:sz="6" w:space="0" w:color="CCCCCC"/>
              <w:bottom w:val="single" w:sz="6" w:space="0" w:color="000000"/>
              <w:right w:val="single" w:sz="6" w:space="0" w:color="000000"/>
            </w:tcBorders>
            <w:shd w:val="clear" w:color="auto" w:fill="F86B6D"/>
            <w:tcMar>
              <w:top w:w="0" w:type="dxa"/>
              <w:left w:w="40" w:type="dxa"/>
              <w:bottom w:w="0" w:type="dxa"/>
              <w:right w:w="40" w:type="dxa"/>
            </w:tcMar>
            <w:vAlign w:val="center"/>
          </w:tcPr>
          <w:p w14:paraId="637DD4E5" w14:textId="77777777" w:rsidR="00F3751F" w:rsidRDefault="00C77840">
            <w:pPr>
              <w:jc w:val="center"/>
              <w:rPr>
                <w:rFonts w:ascii="Calibri" w:eastAsia="Calibri" w:hAnsi="Calibri" w:cs="Calibri"/>
                <w:sz w:val="22"/>
                <w:szCs w:val="22"/>
              </w:rPr>
            </w:pPr>
            <w:r>
              <w:t>10.00</w:t>
            </w:r>
          </w:p>
        </w:tc>
        <w:tc>
          <w:tcPr>
            <w:tcW w:w="1119" w:type="dxa"/>
            <w:tcBorders>
              <w:top w:val="single" w:sz="6" w:space="0" w:color="CCCCCC"/>
              <w:left w:val="single" w:sz="6" w:space="0" w:color="CCCCCC"/>
              <w:bottom w:val="single" w:sz="6" w:space="0" w:color="000000"/>
              <w:right w:val="single" w:sz="6" w:space="0" w:color="000000"/>
            </w:tcBorders>
            <w:shd w:val="clear" w:color="auto" w:fill="F86B6D"/>
            <w:tcMar>
              <w:top w:w="0" w:type="dxa"/>
              <w:left w:w="40" w:type="dxa"/>
              <w:bottom w:w="0" w:type="dxa"/>
              <w:right w:w="40" w:type="dxa"/>
            </w:tcMar>
            <w:vAlign w:val="center"/>
          </w:tcPr>
          <w:p w14:paraId="637DD4E6" w14:textId="77777777" w:rsidR="00F3751F" w:rsidRDefault="00C77840">
            <w:pPr>
              <w:jc w:val="center"/>
              <w:rPr>
                <w:rFonts w:ascii="Calibri" w:eastAsia="Calibri" w:hAnsi="Calibri" w:cs="Calibri"/>
                <w:sz w:val="22"/>
                <w:szCs w:val="22"/>
              </w:rPr>
            </w:pPr>
            <w:r>
              <w:t>9.00</w:t>
            </w:r>
          </w:p>
        </w:tc>
        <w:tc>
          <w:tcPr>
            <w:tcW w:w="1270" w:type="dxa"/>
            <w:tcBorders>
              <w:top w:val="single" w:sz="6" w:space="0" w:color="CCCCCC"/>
              <w:left w:val="single" w:sz="6" w:space="0" w:color="CCCCCC"/>
              <w:bottom w:val="single" w:sz="6" w:space="0" w:color="000000"/>
              <w:right w:val="single" w:sz="6" w:space="0" w:color="000000"/>
            </w:tcBorders>
            <w:shd w:val="clear" w:color="auto" w:fill="F86B6D"/>
            <w:tcMar>
              <w:top w:w="0" w:type="dxa"/>
              <w:left w:w="40" w:type="dxa"/>
              <w:bottom w:w="0" w:type="dxa"/>
              <w:right w:w="40" w:type="dxa"/>
            </w:tcMar>
            <w:vAlign w:val="center"/>
          </w:tcPr>
          <w:p w14:paraId="637DD4E7" w14:textId="77777777" w:rsidR="00F3751F" w:rsidRDefault="00C77840">
            <w:pPr>
              <w:jc w:val="center"/>
              <w:rPr>
                <w:rFonts w:ascii="Calibri" w:eastAsia="Calibri" w:hAnsi="Calibri" w:cs="Calibri"/>
                <w:sz w:val="22"/>
                <w:szCs w:val="22"/>
              </w:rPr>
            </w:pPr>
            <w:r>
              <w:t>9.00</w:t>
            </w:r>
          </w:p>
        </w:tc>
        <w:tc>
          <w:tcPr>
            <w:tcW w:w="1119" w:type="dxa"/>
            <w:tcBorders>
              <w:top w:val="single" w:sz="6" w:space="0" w:color="CCCCCC"/>
              <w:left w:val="single" w:sz="6" w:space="0" w:color="CCCCCC"/>
              <w:bottom w:val="single" w:sz="6" w:space="0" w:color="000000"/>
              <w:right w:val="single" w:sz="6" w:space="0" w:color="000000"/>
            </w:tcBorders>
            <w:shd w:val="clear" w:color="auto" w:fill="F86B6D"/>
            <w:tcMar>
              <w:top w:w="0" w:type="dxa"/>
              <w:left w:w="40" w:type="dxa"/>
              <w:bottom w:w="0" w:type="dxa"/>
              <w:right w:w="40" w:type="dxa"/>
            </w:tcMar>
            <w:vAlign w:val="center"/>
          </w:tcPr>
          <w:p w14:paraId="637DD4E8" w14:textId="77777777" w:rsidR="00F3751F" w:rsidRDefault="00C77840">
            <w:pPr>
              <w:jc w:val="center"/>
              <w:rPr>
                <w:rFonts w:ascii="Calibri" w:eastAsia="Calibri" w:hAnsi="Calibri" w:cs="Calibri"/>
                <w:sz w:val="22"/>
                <w:szCs w:val="22"/>
              </w:rPr>
            </w:pPr>
            <w:r>
              <w:t>8.00</w:t>
            </w:r>
          </w:p>
        </w:tc>
      </w:tr>
      <w:tr w:rsidR="00F3751F" w14:paraId="637DD4F1"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EA" w14:textId="77777777" w:rsidR="00F3751F" w:rsidRDefault="00C77840">
            <w:pPr>
              <w:jc w:val="center"/>
              <w:rPr>
                <w:rFonts w:ascii="Calibri" w:eastAsia="Calibri" w:hAnsi="Calibri" w:cs="Calibri"/>
                <w:sz w:val="22"/>
                <w:szCs w:val="22"/>
              </w:rPr>
            </w:pPr>
            <w:r>
              <w:t>Closing Inventories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EB" w14:textId="77777777" w:rsidR="00F3751F" w:rsidRDefault="00C77840">
            <w:pPr>
              <w:jc w:val="center"/>
              <w:rPr>
                <w:rFonts w:ascii="Calibri" w:eastAsia="Calibri" w:hAnsi="Calibri" w:cs="Calibri"/>
                <w:sz w:val="22"/>
                <w:szCs w:val="22"/>
              </w:rPr>
            </w:pPr>
            <w:r>
              <w:t>D</w:t>
            </w:r>
          </w:p>
        </w:tc>
        <w:tc>
          <w:tcPr>
            <w:tcW w:w="1119" w:type="dxa"/>
            <w:tcBorders>
              <w:top w:val="single" w:sz="6" w:space="0" w:color="CCCCCC"/>
              <w:left w:val="single" w:sz="6" w:space="0" w:color="CCCCCC"/>
              <w:bottom w:val="single" w:sz="6" w:space="0" w:color="000000"/>
              <w:right w:val="single" w:sz="6" w:space="0" w:color="000000"/>
            </w:tcBorders>
            <w:shd w:val="clear" w:color="auto" w:fill="F86B6D"/>
            <w:tcMar>
              <w:top w:w="0" w:type="dxa"/>
              <w:left w:w="40" w:type="dxa"/>
              <w:bottom w:w="0" w:type="dxa"/>
              <w:right w:w="40" w:type="dxa"/>
            </w:tcMar>
            <w:vAlign w:val="center"/>
          </w:tcPr>
          <w:p w14:paraId="637DD4EC" w14:textId="77777777" w:rsidR="00F3751F" w:rsidRDefault="00C77840">
            <w:pPr>
              <w:jc w:val="center"/>
              <w:rPr>
                <w:rFonts w:ascii="Calibri" w:eastAsia="Calibri" w:hAnsi="Calibri" w:cs="Calibri"/>
                <w:sz w:val="22"/>
                <w:szCs w:val="22"/>
              </w:rPr>
            </w:pPr>
            <w:r>
              <w:t>10.00</w:t>
            </w:r>
          </w:p>
        </w:tc>
        <w:tc>
          <w:tcPr>
            <w:tcW w:w="1119" w:type="dxa"/>
            <w:tcBorders>
              <w:top w:val="single" w:sz="6" w:space="0" w:color="CCCCCC"/>
              <w:left w:val="single" w:sz="6" w:space="0" w:color="CCCCCC"/>
              <w:bottom w:val="single" w:sz="6" w:space="0" w:color="000000"/>
              <w:right w:val="single" w:sz="6" w:space="0" w:color="000000"/>
            </w:tcBorders>
            <w:shd w:val="clear" w:color="auto" w:fill="F86B6D"/>
            <w:tcMar>
              <w:top w:w="0" w:type="dxa"/>
              <w:left w:w="40" w:type="dxa"/>
              <w:bottom w:w="0" w:type="dxa"/>
              <w:right w:w="40" w:type="dxa"/>
            </w:tcMar>
            <w:vAlign w:val="center"/>
          </w:tcPr>
          <w:p w14:paraId="637DD4ED" w14:textId="77777777" w:rsidR="00F3751F" w:rsidRDefault="00C77840">
            <w:pPr>
              <w:jc w:val="center"/>
              <w:rPr>
                <w:rFonts w:ascii="Calibri" w:eastAsia="Calibri" w:hAnsi="Calibri" w:cs="Calibri"/>
                <w:sz w:val="22"/>
                <w:szCs w:val="22"/>
              </w:rPr>
            </w:pPr>
            <w:r>
              <w:t>9.00</w:t>
            </w:r>
          </w:p>
        </w:tc>
        <w:tc>
          <w:tcPr>
            <w:tcW w:w="1119" w:type="dxa"/>
            <w:tcBorders>
              <w:top w:val="single" w:sz="6" w:space="0" w:color="CCCCCC"/>
              <w:left w:val="single" w:sz="6" w:space="0" w:color="CCCCCC"/>
              <w:bottom w:val="single" w:sz="6" w:space="0" w:color="000000"/>
              <w:right w:val="single" w:sz="6" w:space="0" w:color="000000"/>
            </w:tcBorders>
            <w:shd w:val="clear" w:color="auto" w:fill="F86B6D"/>
            <w:tcMar>
              <w:top w:w="0" w:type="dxa"/>
              <w:left w:w="40" w:type="dxa"/>
              <w:bottom w:w="0" w:type="dxa"/>
              <w:right w:w="40" w:type="dxa"/>
            </w:tcMar>
            <w:vAlign w:val="center"/>
          </w:tcPr>
          <w:p w14:paraId="637DD4EE" w14:textId="77777777" w:rsidR="00F3751F" w:rsidRDefault="00C77840">
            <w:pPr>
              <w:jc w:val="center"/>
              <w:rPr>
                <w:rFonts w:ascii="Calibri" w:eastAsia="Calibri" w:hAnsi="Calibri" w:cs="Calibri"/>
                <w:sz w:val="22"/>
                <w:szCs w:val="22"/>
              </w:rPr>
            </w:pPr>
            <w:r>
              <w:t>9.00</w:t>
            </w:r>
          </w:p>
        </w:tc>
        <w:tc>
          <w:tcPr>
            <w:tcW w:w="1270" w:type="dxa"/>
            <w:tcBorders>
              <w:top w:val="single" w:sz="6" w:space="0" w:color="CCCCCC"/>
              <w:left w:val="single" w:sz="6" w:space="0" w:color="CCCCCC"/>
              <w:bottom w:val="single" w:sz="6" w:space="0" w:color="000000"/>
              <w:right w:val="single" w:sz="6" w:space="0" w:color="000000"/>
            </w:tcBorders>
            <w:shd w:val="clear" w:color="auto" w:fill="F86B6D"/>
            <w:tcMar>
              <w:top w:w="0" w:type="dxa"/>
              <w:left w:w="40" w:type="dxa"/>
              <w:bottom w:w="0" w:type="dxa"/>
              <w:right w:w="40" w:type="dxa"/>
            </w:tcMar>
            <w:vAlign w:val="center"/>
          </w:tcPr>
          <w:p w14:paraId="637DD4EF" w14:textId="77777777" w:rsidR="00F3751F" w:rsidRDefault="00C77840">
            <w:pPr>
              <w:jc w:val="center"/>
              <w:rPr>
                <w:rFonts w:ascii="Calibri" w:eastAsia="Calibri" w:hAnsi="Calibri" w:cs="Calibri"/>
                <w:sz w:val="22"/>
                <w:szCs w:val="22"/>
              </w:rPr>
            </w:pPr>
            <w:r>
              <w:t>8.00</w:t>
            </w:r>
          </w:p>
        </w:tc>
        <w:tc>
          <w:tcPr>
            <w:tcW w:w="1119" w:type="dxa"/>
            <w:tcBorders>
              <w:top w:val="single" w:sz="6" w:space="0" w:color="CCCCCC"/>
              <w:left w:val="single" w:sz="6" w:space="0" w:color="CCCCCC"/>
              <w:bottom w:val="single" w:sz="6" w:space="0" w:color="000000"/>
              <w:right w:val="single" w:sz="6" w:space="0" w:color="000000"/>
            </w:tcBorders>
            <w:shd w:val="clear" w:color="auto" w:fill="F86B6D"/>
            <w:tcMar>
              <w:top w:w="0" w:type="dxa"/>
              <w:left w:w="40" w:type="dxa"/>
              <w:bottom w:w="0" w:type="dxa"/>
              <w:right w:w="40" w:type="dxa"/>
            </w:tcMar>
            <w:vAlign w:val="center"/>
          </w:tcPr>
          <w:p w14:paraId="637DD4F0" w14:textId="77777777" w:rsidR="00F3751F" w:rsidRDefault="00C77840">
            <w:pPr>
              <w:jc w:val="center"/>
              <w:rPr>
                <w:rFonts w:ascii="Calibri" w:eastAsia="Calibri" w:hAnsi="Calibri" w:cs="Calibri"/>
                <w:sz w:val="22"/>
                <w:szCs w:val="22"/>
              </w:rPr>
            </w:pPr>
            <w:r>
              <w:t>8.00</w:t>
            </w:r>
          </w:p>
        </w:tc>
      </w:tr>
      <w:tr w:rsidR="00F3751F" w14:paraId="637DD4F9" w14:textId="77777777">
        <w:trPr>
          <w:trHeight w:val="55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F2" w14:textId="77777777" w:rsidR="00F3751F" w:rsidRDefault="00C77840">
            <w:pPr>
              <w:jc w:val="center"/>
              <w:rPr>
                <w:rFonts w:ascii="Calibri" w:eastAsia="Calibri" w:hAnsi="Calibri" w:cs="Calibri"/>
                <w:sz w:val="22"/>
                <w:szCs w:val="22"/>
              </w:rPr>
            </w:pPr>
            <w:r>
              <w:t>Average Inventories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F3" w14:textId="77777777" w:rsidR="00F3751F" w:rsidRDefault="00C77840">
            <w:pPr>
              <w:jc w:val="center"/>
              <w:rPr>
                <w:rFonts w:ascii="Calibri" w:eastAsia="Calibri" w:hAnsi="Calibri" w:cs="Calibri"/>
                <w:sz w:val="22"/>
                <w:szCs w:val="22"/>
              </w:rPr>
            </w:pPr>
            <w:r>
              <w:t>E=(C+D)/2</w:t>
            </w:r>
          </w:p>
        </w:tc>
        <w:tc>
          <w:tcPr>
            <w:tcW w:w="1119" w:type="dxa"/>
            <w:tcBorders>
              <w:top w:val="single" w:sz="6" w:space="0" w:color="CCCCCC"/>
              <w:left w:val="single" w:sz="6" w:space="0" w:color="CCCCCC"/>
              <w:bottom w:val="single" w:sz="6" w:space="0" w:color="000000"/>
              <w:right w:val="single" w:sz="6" w:space="0" w:color="000000"/>
            </w:tcBorders>
            <w:shd w:val="clear" w:color="auto" w:fill="F86B6D"/>
            <w:tcMar>
              <w:top w:w="0" w:type="dxa"/>
              <w:left w:w="40" w:type="dxa"/>
              <w:bottom w:w="0" w:type="dxa"/>
              <w:right w:w="40" w:type="dxa"/>
            </w:tcMar>
            <w:vAlign w:val="center"/>
          </w:tcPr>
          <w:p w14:paraId="637DD4F4" w14:textId="77777777" w:rsidR="00F3751F" w:rsidRDefault="00C77840">
            <w:pPr>
              <w:jc w:val="center"/>
              <w:rPr>
                <w:rFonts w:ascii="Calibri" w:eastAsia="Calibri" w:hAnsi="Calibri" w:cs="Calibri"/>
                <w:sz w:val="22"/>
                <w:szCs w:val="22"/>
              </w:rPr>
            </w:pPr>
            <w:r>
              <w:t>9.50</w:t>
            </w:r>
          </w:p>
        </w:tc>
        <w:tc>
          <w:tcPr>
            <w:tcW w:w="1119" w:type="dxa"/>
            <w:tcBorders>
              <w:top w:val="single" w:sz="6" w:space="0" w:color="CCCCCC"/>
              <w:left w:val="single" w:sz="6" w:space="0" w:color="CCCCCC"/>
              <w:bottom w:val="single" w:sz="6" w:space="0" w:color="000000"/>
              <w:right w:val="single" w:sz="6" w:space="0" w:color="000000"/>
            </w:tcBorders>
            <w:shd w:val="clear" w:color="auto" w:fill="F86B6D"/>
            <w:tcMar>
              <w:top w:w="0" w:type="dxa"/>
              <w:left w:w="40" w:type="dxa"/>
              <w:bottom w:w="0" w:type="dxa"/>
              <w:right w:w="40" w:type="dxa"/>
            </w:tcMar>
            <w:vAlign w:val="center"/>
          </w:tcPr>
          <w:p w14:paraId="637DD4F5" w14:textId="77777777" w:rsidR="00F3751F" w:rsidRDefault="00C77840">
            <w:pPr>
              <w:jc w:val="center"/>
              <w:rPr>
                <w:rFonts w:ascii="Calibri" w:eastAsia="Calibri" w:hAnsi="Calibri" w:cs="Calibri"/>
                <w:sz w:val="22"/>
                <w:szCs w:val="22"/>
              </w:rPr>
            </w:pPr>
            <w:r>
              <w:t>9.50</w:t>
            </w:r>
          </w:p>
        </w:tc>
        <w:tc>
          <w:tcPr>
            <w:tcW w:w="1119" w:type="dxa"/>
            <w:tcBorders>
              <w:top w:val="single" w:sz="6" w:space="0" w:color="CCCCCC"/>
              <w:left w:val="single" w:sz="6" w:space="0" w:color="CCCCCC"/>
              <w:bottom w:val="single" w:sz="6" w:space="0" w:color="000000"/>
              <w:right w:val="single" w:sz="6" w:space="0" w:color="000000"/>
            </w:tcBorders>
            <w:shd w:val="clear" w:color="auto" w:fill="F86B6D"/>
            <w:tcMar>
              <w:top w:w="0" w:type="dxa"/>
              <w:left w:w="40" w:type="dxa"/>
              <w:bottom w:w="0" w:type="dxa"/>
              <w:right w:w="40" w:type="dxa"/>
            </w:tcMar>
            <w:vAlign w:val="center"/>
          </w:tcPr>
          <w:p w14:paraId="637DD4F6" w14:textId="77777777" w:rsidR="00F3751F" w:rsidRDefault="00C77840">
            <w:pPr>
              <w:jc w:val="center"/>
              <w:rPr>
                <w:rFonts w:ascii="Calibri" w:eastAsia="Calibri" w:hAnsi="Calibri" w:cs="Calibri"/>
                <w:sz w:val="22"/>
                <w:szCs w:val="22"/>
              </w:rPr>
            </w:pPr>
            <w:r>
              <w:t>9.00</w:t>
            </w:r>
          </w:p>
        </w:tc>
        <w:tc>
          <w:tcPr>
            <w:tcW w:w="1270" w:type="dxa"/>
            <w:tcBorders>
              <w:top w:val="single" w:sz="6" w:space="0" w:color="CCCCCC"/>
              <w:left w:val="single" w:sz="6" w:space="0" w:color="CCCCCC"/>
              <w:bottom w:val="single" w:sz="6" w:space="0" w:color="000000"/>
              <w:right w:val="single" w:sz="6" w:space="0" w:color="000000"/>
            </w:tcBorders>
            <w:shd w:val="clear" w:color="auto" w:fill="F86B6D"/>
            <w:tcMar>
              <w:top w:w="0" w:type="dxa"/>
              <w:left w:w="40" w:type="dxa"/>
              <w:bottom w:w="0" w:type="dxa"/>
              <w:right w:w="40" w:type="dxa"/>
            </w:tcMar>
            <w:vAlign w:val="center"/>
          </w:tcPr>
          <w:p w14:paraId="637DD4F7" w14:textId="77777777" w:rsidR="00F3751F" w:rsidRDefault="00C77840">
            <w:pPr>
              <w:jc w:val="center"/>
              <w:rPr>
                <w:rFonts w:ascii="Calibri" w:eastAsia="Calibri" w:hAnsi="Calibri" w:cs="Calibri"/>
                <w:sz w:val="22"/>
                <w:szCs w:val="22"/>
              </w:rPr>
            </w:pPr>
            <w:r>
              <w:t>8.50</w:t>
            </w:r>
          </w:p>
        </w:tc>
        <w:tc>
          <w:tcPr>
            <w:tcW w:w="1119" w:type="dxa"/>
            <w:tcBorders>
              <w:top w:val="single" w:sz="6" w:space="0" w:color="CCCCCC"/>
              <w:left w:val="single" w:sz="6" w:space="0" w:color="CCCCCC"/>
              <w:bottom w:val="single" w:sz="6" w:space="0" w:color="000000"/>
              <w:right w:val="single" w:sz="6" w:space="0" w:color="000000"/>
            </w:tcBorders>
            <w:shd w:val="clear" w:color="auto" w:fill="F86B6D"/>
            <w:tcMar>
              <w:top w:w="0" w:type="dxa"/>
              <w:left w:w="40" w:type="dxa"/>
              <w:bottom w:w="0" w:type="dxa"/>
              <w:right w:w="40" w:type="dxa"/>
            </w:tcMar>
            <w:vAlign w:val="center"/>
          </w:tcPr>
          <w:p w14:paraId="637DD4F8" w14:textId="77777777" w:rsidR="00F3751F" w:rsidRDefault="00C77840">
            <w:pPr>
              <w:jc w:val="center"/>
              <w:rPr>
                <w:rFonts w:ascii="Calibri" w:eastAsia="Calibri" w:hAnsi="Calibri" w:cs="Calibri"/>
                <w:sz w:val="22"/>
                <w:szCs w:val="22"/>
              </w:rPr>
            </w:pPr>
            <w:r>
              <w:t>8.00</w:t>
            </w:r>
          </w:p>
        </w:tc>
      </w:tr>
      <w:tr w:rsidR="00F3751F" w14:paraId="637DD501"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4FA" w14:textId="77777777" w:rsidR="00F3751F" w:rsidRDefault="00C77840">
            <w:pPr>
              <w:jc w:val="center"/>
              <w:rPr>
                <w:rFonts w:ascii="Calibri" w:eastAsia="Calibri" w:hAnsi="Calibri" w:cs="Calibri"/>
                <w:sz w:val="22"/>
                <w:szCs w:val="22"/>
              </w:rPr>
            </w:pPr>
            <w:r>
              <w:t>Opening Receivables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4FB" w14:textId="77777777" w:rsidR="00F3751F" w:rsidRDefault="00C77840">
            <w:pPr>
              <w:jc w:val="center"/>
              <w:rPr>
                <w:rFonts w:ascii="Calibri" w:eastAsia="Calibri" w:hAnsi="Calibri" w:cs="Calibri"/>
                <w:sz w:val="22"/>
                <w:szCs w:val="22"/>
              </w:rPr>
            </w:pPr>
            <w:r>
              <w:t>F</w:t>
            </w:r>
          </w:p>
        </w:tc>
        <w:tc>
          <w:tcPr>
            <w:tcW w:w="1119" w:type="dxa"/>
            <w:tcBorders>
              <w:top w:val="single" w:sz="6" w:space="0" w:color="CCCCCC"/>
              <w:left w:val="single" w:sz="6" w:space="0" w:color="CCCCCC"/>
              <w:bottom w:val="single" w:sz="6" w:space="0" w:color="000000"/>
              <w:right w:val="single" w:sz="6" w:space="0" w:color="000000"/>
            </w:tcBorders>
            <w:shd w:val="clear" w:color="auto" w:fill="F8FBFC"/>
            <w:tcMar>
              <w:top w:w="0" w:type="dxa"/>
              <w:left w:w="40" w:type="dxa"/>
              <w:bottom w:w="0" w:type="dxa"/>
              <w:right w:w="40" w:type="dxa"/>
            </w:tcMar>
            <w:vAlign w:val="center"/>
          </w:tcPr>
          <w:p w14:paraId="637DD4FC" w14:textId="77777777" w:rsidR="00F3751F" w:rsidRDefault="00C77840">
            <w:pPr>
              <w:jc w:val="center"/>
              <w:rPr>
                <w:rFonts w:ascii="Calibri" w:eastAsia="Calibri" w:hAnsi="Calibri" w:cs="Calibri"/>
                <w:sz w:val="22"/>
                <w:szCs w:val="22"/>
              </w:rPr>
            </w:pPr>
            <w:r>
              <w:t>675.00</w:t>
            </w:r>
          </w:p>
        </w:tc>
        <w:tc>
          <w:tcPr>
            <w:tcW w:w="1119" w:type="dxa"/>
            <w:tcBorders>
              <w:top w:val="single" w:sz="6" w:space="0" w:color="CCCCCC"/>
              <w:left w:val="single" w:sz="6" w:space="0" w:color="CCCCCC"/>
              <w:bottom w:val="single" w:sz="6" w:space="0" w:color="000000"/>
              <w:right w:val="single" w:sz="6" w:space="0" w:color="000000"/>
            </w:tcBorders>
            <w:shd w:val="clear" w:color="auto" w:fill="F9AFB1"/>
            <w:tcMar>
              <w:top w:w="0" w:type="dxa"/>
              <w:left w:w="40" w:type="dxa"/>
              <w:bottom w:w="0" w:type="dxa"/>
              <w:right w:w="40" w:type="dxa"/>
            </w:tcMar>
            <w:vAlign w:val="center"/>
          </w:tcPr>
          <w:p w14:paraId="637DD4FD" w14:textId="77777777" w:rsidR="00F3751F" w:rsidRDefault="00C77840">
            <w:pPr>
              <w:jc w:val="center"/>
              <w:rPr>
                <w:rFonts w:ascii="Calibri" w:eastAsia="Calibri" w:hAnsi="Calibri" w:cs="Calibri"/>
                <w:sz w:val="22"/>
                <w:szCs w:val="22"/>
              </w:rPr>
            </w:pPr>
            <w:r>
              <w:t>227.00</w:t>
            </w:r>
          </w:p>
        </w:tc>
        <w:tc>
          <w:tcPr>
            <w:tcW w:w="1119" w:type="dxa"/>
            <w:tcBorders>
              <w:top w:val="single" w:sz="6" w:space="0" w:color="CCCCCC"/>
              <w:left w:val="single" w:sz="6" w:space="0" w:color="CCCCCC"/>
              <w:bottom w:val="single" w:sz="6" w:space="0" w:color="000000"/>
              <w:right w:val="single" w:sz="6" w:space="0" w:color="000000"/>
            </w:tcBorders>
            <w:shd w:val="clear" w:color="auto" w:fill="F4F9F8"/>
            <w:tcMar>
              <w:top w:w="0" w:type="dxa"/>
              <w:left w:w="40" w:type="dxa"/>
              <w:bottom w:w="0" w:type="dxa"/>
              <w:right w:w="40" w:type="dxa"/>
            </w:tcMar>
            <w:vAlign w:val="center"/>
          </w:tcPr>
          <w:p w14:paraId="637DD4FE" w14:textId="77777777" w:rsidR="00F3751F" w:rsidRDefault="00C77840">
            <w:pPr>
              <w:jc w:val="center"/>
              <w:rPr>
                <w:rFonts w:ascii="Calibri" w:eastAsia="Calibri" w:hAnsi="Calibri" w:cs="Calibri"/>
                <w:sz w:val="22"/>
                <w:szCs w:val="22"/>
              </w:rPr>
            </w:pPr>
            <w:r>
              <w:t>834.00</w:t>
            </w:r>
          </w:p>
        </w:tc>
        <w:tc>
          <w:tcPr>
            <w:tcW w:w="1270" w:type="dxa"/>
            <w:tcBorders>
              <w:top w:val="single" w:sz="6" w:space="0" w:color="CCCCCC"/>
              <w:left w:val="single" w:sz="6" w:space="0" w:color="CCCCCC"/>
              <w:bottom w:val="single" w:sz="6" w:space="0" w:color="000000"/>
              <w:right w:val="single" w:sz="6" w:space="0" w:color="000000"/>
            </w:tcBorders>
            <w:shd w:val="clear" w:color="auto" w:fill="F3F9F7"/>
            <w:tcMar>
              <w:top w:w="0" w:type="dxa"/>
              <w:left w:w="40" w:type="dxa"/>
              <w:bottom w:w="0" w:type="dxa"/>
              <w:right w:w="40" w:type="dxa"/>
            </w:tcMar>
            <w:vAlign w:val="center"/>
          </w:tcPr>
          <w:p w14:paraId="637DD4FF" w14:textId="77777777" w:rsidR="00F3751F" w:rsidRDefault="00C77840">
            <w:pPr>
              <w:jc w:val="center"/>
              <w:rPr>
                <w:rFonts w:ascii="Calibri" w:eastAsia="Calibri" w:hAnsi="Calibri" w:cs="Calibri"/>
                <w:sz w:val="22"/>
                <w:szCs w:val="22"/>
              </w:rPr>
            </w:pPr>
            <w:r>
              <w:t>883.00</w:t>
            </w:r>
          </w:p>
        </w:tc>
        <w:tc>
          <w:tcPr>
            <w:tcW w:w="1119" w:type="dxa"/>
            <w:tcBorders>
              <w:top w:val="single" w:sz="6" w:space="0" w:color="CCCCCC"/>
              <w:left w:val="single" w:sz="6" w:space="0" w:color="CCCCCC"/>
              <w:bottom w:val="single" w:sz="6" w:space="0" w:color="000000"/>
              <w:right w:val="single" w:sz="6" w:space="0" w:color="000000"/>
            </w:tcBorders>
            <w:shd w:val="clear" w:color="auto" w:fill="EEF6F3"/>
            <w:tcMar>
              <w:top w:w="0" w:type="dxa"/>
              <w:left w:w="40" w:type="dxa"/>
              <w:bottom w:w="0" w:type="dxa"/>
              <w:right w:w="40" w:type="dxa"/>
            </w:tcMar>
            <w:vAlign w:val="center"/>
          </w:tcPr>
          <w:p w14:paraId="637DD500" w14:textId="77777777" w:rsidR="00F3751F" w:rsidRDefault="00C77840">
            <w:pPr>
              <w:jc w:val="center"/>
              <w:rPr>
                <w:rFonts w:ascii="Calibri" w:eastAsia="Calibri" w:hAnsi="Calibri" w:cs="Calibri"/>
                <w:sz w:val="22"/>
                <w:szCs w:val="22"/>
              </w:rPr>
            </w:pPr>
            <w:r>
              <w:t>1,121.00</w:t>
            </w:r>
          </w:p>
        </w:tc>
      </w:tr>
      <w:tr w:rsidR="00F3751F" w14:paraId="637DD509"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502" w14:textId="77777777" w:rsidR="00F3751F" w:rsidRDefault="00C77840">
            <w:pPr>
              <w:jc w:val="center"/>
              <w:rPr>
                <w:rFonts w:ascii="Calibri" w:eastAsia="Calibri" w:hAnsi="Calibri" w:cs="Calibri"/>
                <w:sz w:val="22"/>
                <w:szCs w:val="22"/>
              </w:rPr>
            </w:pPr>
            <w:r>
              <w:t>Closing Receivables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503" w14:textId="77777777" w:rsidR="00F3751F" w:rsidRDefault="00C77840">
            <w:pPr>
              <w:jc w:val="center"/>
              <w:rPr>
                <w:rFonts w:ascii="Calibri" w:eastAsia="Calibri" w:hAnsi="Calibri" w:cs="Calibri"/>
                <w:sz w:val="22"/>
                <w:szCs w:val="22"/>
              </w:rPr>
            </w:pPr>
            <w:r>
              <w:t>G</w:t>
            </w:r>
          </w:p>
        </w:tc>
        <w:tc>
          <w:tcPr>
            <w:tcW w:w="1119" w:type="dxa"/>
            <w:tcBorders>
              <w:top w:val="single" w:sz="6" w:space="0" w:color="CCCCCC"/>
              <w:left w:val="single" w:sz="6" w:space="0" w:color="CCCCCC"/>
              <w:bottom w:val="single" w:sz="6" w:space="0" w:color="000000"/>
              <w:right w:val="single" w:sz="6" w:space="0" w:color="000000"/>
            </w:tcBorders>
            <w:shd w:val="clear" w:color="auto" w:fill="F9AFB1"/>
            <w:tcMar>
              <w:top w:w="0" w:type="dxa"/>
              <w:left w:w="40" w:type="dxa"/>
              <w:bottom w:w="0" w:type="dxa"/>
              <w:right w:w="40" w:type="dxa"/>
            </w:tcMar>
            <w:vAlign w:val="center"/>
          </w:tcPr>
          <w:p w14:paraId="637DD504" w14:textId="77777777" w:rsidR="00F3751F" w:rsidRDefault="00C77840">
            <w:pPr>
              <w:jc w:val="center"/>
              <w:rPr>
                <w:rFonts w:ascii="Calibri" w:eastAsia="Calibri" w:hAnsi="Calibri" w:cs="Calibri"/>
                <w:sz w:val="22"/>
                <w:szCs w:val="22"/>
              </w:rPr>
            </w:pPr>
            <w:r>
              <w:t>227.00</w:t>
            </w:r>
          </w:p>
        </w:tc>
        <w:tc>
          <w:tcPr>
            <w:tcW w:w="1119" w:type="dxa"/>
            <w:tcBorders>
              <w:top w:val="single" w:sz="6" w:space="0" w:color="CCCCCC"/>
              <w:left w:val="single" w:sz="6" w:space="0" w:color="CCCCCC"/>
              <w:bottom w:val="single" w:sz="6" w:space="0" w:color="000000"/>
              <w:right w:val="single" w:sz="6" w:space="0" w:color="000000"/>
            </w:tcBorders>
            <w:shd w:val="clear" w:color="auto" w:fill="F4F9F8"/>
            <w:tcMar>
              <w:top w:w="0" w:type="dxa"/>
              <w:left w:w="40" w:type="dxa"/>
              <w:bottom w:w="0" w:type="dxa"/>
              <w:right w:w="40" w:type="dxa"/>
            </w:tcMar>
            <w:vAlign w:val="center"/>
          </w:tcPr>
          <w:p w14:paraId="637DD505" w14:textId="77777777" w:rsidR="00F3751F" w:rsidRDefault="00C77840">
            <w:pPr>
              <w:jc w:val="center"/>
              <w:rPr>
                <w:rFonts w:ascii="Calibri" w:eastAsia="Calibri" w:hAnsi="Calibri" w:cs="Calibri"/>
                <w:sz w:val="22"/>
                <w:szCs w:val="22"/>
              </w:rPr>
            </w:pPr>
            <w:r>
              <w:t>834.00</w:t>
            </w:r>
          </w:p>
        </w:tc>
        <w:tc>
          <w:tcPr>
            <w:tcW w:w="1119" w:type="dxa"/>
            <w:tcBorders>
              <w:top w:val="single" w:sz="6" w:space="0" w:color="CCCCCC"/>
              <w:left w:val="single" w:sz="6" w:space="0" w:color="CCCCCC"/>
              <w:bottom w:val="single" w:sz="6" w:space="0" w:color="000000"/>
              <w:right w:val="single" w:sz="6" w:space="0" w:color="000000"/>
            </w:tcBorders>
            <w:shd w:val="clear" w:color="auto" w:fill="F3F9F7"/>
            <w:tcMar>
              <w:top w:w="0" w:type="dxa"/>
              <w:left w:w="40" w:type="dxa"/>
              <w:bottom w:w="0" w:type="dxa"/>
              <w:right w:w="40" w:type="dxa"/>
            </w:tcMar>
            <w:vAlign w:val="center"/>
          </w:tcPr>
          <w:p w14:paraId="637DD506" w14:textId="77777777" w:rsidR="00F3751F" w:rsidRDefault="00C77840">
            <w:pPr>
              <w:jc w:val="center"/>
              <w:rPr>
                <w:rFonts w:ascii="Calibri" w:eastAsia="Calibri" w:hAnsi="Calibri" w:cs="Calibri"/>
                <w:sz w:val="22"/>
                <w:szCs w:val="22"/>
              </w:rPr>
            </w:pPr>
            <w:r>
              <w:t>883.00</w:t>
            </w:r>
          </w:p>
        </w:tc>
        <w:tc>
          <w:tcPr>
            <w:tcW w:w="1270" w:type="dxa"/>
            <w:tcBorders>
              <w:top w:val="single" w:sz="6" w:space="0" w:color="CCCCCC"/>
              <w:left w:val="single" w:sz="6" w:space="0" w:color="CCCCCC"/>
              <w:bottom w:val="single" w:sz="6" w:space="0" w:color="000000"/>
              <w:right w:val="single" w:sz="6" w:space="0" w:color="000000"/>
            </w:tcBorders>
            <w:shd w:val="clear" w:color="auto" w:fill="EEF6F3"/>
            <w:tcMar>
              <w:top w:w="0" w:type="dxa"/>
              <w:left w:w="40" w:type="dxa"/>
              <w:bottom w:w="0" w:type="dxa"/>
              <w:right w:w="40" w:type="dxa"/>
            </w:tcMar>
            <w:vAlign w:val="center"/>
          </w:tcPr>
          <w:p w14:paraId="637DD507" w14:textId="77777777" w:rsidR="00F3751F" w:rsidRDefault="00C77840">
            <w:pPr>
              <w:jc w:val="center"/>
              <w:rPr>
                <w:rFonts w:ascii="Calibri" w:eastAsia="Calibri" w:hAnsi="Calibri" w:cs="Calibri"/>
                <w:sz w:val="22"/>
                <w:szCs w:val="22"/>
              </w:rPr>
            </w:pPr>
            <w:r>
              <w:t>1,121.00</w:t>
            </w:r>
          </w:p>
        </w:tc>
        <w:tc>
          <w:tcPr>
            <w:tcW w:w="1119" w:type="dxa"/>
            <w:tcBorders>
              <w:top w:val="single" w:sz="6" w:space="0" w:color="CCCCCC"/>
              <w:left w:val="single" w:sz="6" w:space="0" w:color="CCCCCC"/>
              <w:bottom w:val="single" w:sz="6" w:space="0" w:color="000000"/>
              <w:right w:val="single" w:sz="6" w:space="0" w:color="000000"/>
            </w:tcBorders>
            <w:shd w:val="clear" w:color="auto" w:fill="EEF6F3"/>
            <w:tcMar>
              <w:top w:w="0" w:type="dxa"/>
              <w:left w:w="40" w:type="dxa"/>
              <w:bottom w:w="0" w:type="dxa"/>
              <w:right w:w="40" w:type="dxa"/>
            </w:tcMar>
            <w:vAlign w:val="center"/>
          </w:tcPr>
          <w:p w14:paraId="637DD508" w14:textId="77777777" w:rsidR="00F3751F" w:rsidRDefault="00C77840">
            <w:pPr>
              <w:jc w:val="center"/>
              <w:rPr>
                <w:rFonts w:ascii="Calibri" w:eastAsia="Calibri" w:hAnsi="Calibri" w:cs="Calibri"/>
                <w:sz w:val="22"/>
                <w:szCs w:val="22"/>
              </w:rPr>
            </w:pPr>
            <w:r>
              <w:t>1,123.00</w:t>
            </w:r>
          </w:p>
        </w:tc>
      </w:tr>
      <w:tr w:rsidR="00F3751F" w14:paraId="637DD511" w14:textId="77777777">
        <w:trPr>
          <w:trHeight w:val="55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50A" w14:textId="77777777" w:rsidR="00F3751F" w:rsidRDefault="00C77840">
            <w:pPr>
              <w:jc w:val="center"/>
              <w:rPr>
                <w:rFonts w:ascii="Calibri" w:eastAsia="Calibri" w:hAnsi="Calibri" w:cs="Calibri"/>
                <w:sz w:val="22"/>
                <w:szCs w:val="22"/>
              </w:rPr>
            </w:pPr>
            <w:r>
              <w:t>Average Receivables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50B" w14:textId="77777777" w:rsidR="00F3751F" w:rsidRDefault="00C77840">
            <w:pPr>
              <w:jc w:val="center"/>
              <w:rPr>
                <w:rFonts w:ascii="Calibri" w:eastAsia="Calibri" w:hAnsi="Calibri" w:cs="Calibri"/>
                <w:sz w:val="22"/>
                <w:szCs w:val="22"/>
              </w:rPr>
            </w:pPr>
            <w:r>
              <w:t>H=(F+G)/2</w:t>
            </w:r>
          </w:p>
        </w:tc>
        <w:tc>
          <w:tcPr>
            <w:tcW w:w="1119" w:type="dxa"/>
            <w:tcBorders>
              <w:top w:val="single" w:sz="6" w:space="0" w:color="CCCCCC"/>
              <w:left w:val="single" w:sz="6" w:space="0" w:color="CCCCCC"/>
              <w:bottom w:val="single" w:sz="6" w:space="0" w:color="000000"/>
              <w:right w:val="single" w:sz="6" w:space="0" w:color="000000"/>
            </w:tcBorders>
            <w:shd w:val="clear" w:color="auto" w:fill="FBF4F7"/>
            <w:tcMar>
              <w:top w:w="0" w:type="dxa"/>
              <w:left w:w="40" w:type="dxa"/>
              <w:bottom w:w="0" w:type="dxa"/>
              <w:right w:w="40" w:type="dxa"/>
            </w:tcMar>
            <w:vAlign w:val="center"/>
          </w:tcPr>
          <w:p w14:paraId="637DD50C" w14:textId="77777777" w:rsidR="00F3751F" w:rsidRDefault="00C77840">
            <w:pPr>
              <w:jc w:val="center"/>
              <w:rPr>
                <w:rFonts w:ascii="Calibri" w:eastAsia="Calibri" w:hAnsi="Calibri" w:cs="Calibri"/>
                <w:sz w:val="22"/>
                <w:szCs w:val="22"/>
              </w:rPr>
            </w:pPr>
            <w:r>
              <w:t>451.00</w:t>
            </w:r>
          </w:p>
        </w:tc>
        <w:tc>
          <w:tcPr>
            <w:tcW w:w="1119" w:type="dxa"/>
            <w:tcBorders>
              <w:top w:val="single" w:sz="6" w:space="0" w:color="CCCCCC"/>
              <w:left w:val="single" w:sz="6" w:space="0" w:color="CCCCCC"/>
              <w:bottom w:val="single" w:sz="6" w:space="0" w:color="000000"/>
              <w:right w:val="single" w:sz="6" w:space="0" w:color="000000"/>
            </w:tcBorders>
            <w:shd w:val="clear" w:color="auto" w:fill="FBFCFE"/>
            <w:tcMar>
              <w:top w:w="0" w:type="dxa"/>
              <w:left w:w="40" w:type="dxa"/>
              <w:bottom w:w="0" w:type="dxa"/>
              <w:right w:w="40" w:type="dxa"/>
            </w:tcMar>
            <w:vAlign w:val="center"/>
          </w:tcPr>
          <w:p w14:paraId="637DD50D" w14:textId="77777777" w:rsidR="00F3751F" w:rsidRDefault="00C77840">
            <w:pPr>
              <w:jc w:val="center"/>
              <w:rPr>
                <w:rFonts w:ascii="Calibri" w:eastAsia="Calibri" w:hAnsi="Calibri" w:cs="Calibri"/>
                <w:sz w:val="22"/>
                <w:szCs w:val="22"/>
              </w:rPr>
            </w:pPr>
            <w:r>
              <w:t>530.50</w:t>
            </w:r>
          </w:p>
        </w:tc>
        <w:tc>
          <w:tcPr>
            <w:tcW w:w="1119" w:type="dxa"/>
            <w:tcBorders>
              <w:top w:val="single" w:sz="6" w:space="0" w:color="CCCCCC"/>
              <w:left w:val="single" w:sz="6" w:space="0" w:color="CCCCCC"/>
              <w:bottom w:val="single" w:sz="6" w:space="0" w:color="000000"/>
              <w:right w:val="single" w:sz="6" w:space="0" w:color="000000"/>
            </w:tcBorders>
            <w:shd w:val="clear" w:color="auto" w:fill="F4F9F8"/>
            <w:tcMar>
              <w:top w:w="0" w:type="dxa"/>
              <w:left w:w="40" w:type="dxa"/>
              <w:bottom w:w="0" w:type="dxa"/>
              <w:right w:w="40" w:type="dxa"/>
            </w:tcMar>
            <w:vAlign w:val="center"/>
          </w:tcPr>
          <w:p w14:paraId="637DD50E" w14:textId="77777777" w:rsidR="00F3751F" w:rsidRDefault="00C77840">
            <w:pPr>
              <w:jc w:val="center"/>
              <w:rPr>
                <w:rFonts w:ascii="Calibri" w:eastAsia="Calibri" w:hAnsi="Calibri" w:cs="Calibri"/>
                <w:sz w:val="22"/>
                <w:szCs w:val="22"/>
              </w:rPr>
            </w:pPr>
            <w:r>
              <w:t>858.50</w:t>
            </w:r>
          </w:p>
        </w:tc>
        <w:tc>
          <w:tcPr>
            <w:tcW w:w="1270" w:type="dxa"/>
            <w:tcBorders>
              <w:top w:val="single" w:sz="6" w:space="0" w:color="CCCCCC"/>
              <w:left w:val="single" w:sz="6" w:space="0" w:color="CCCCCC"/>
              <w:bottom w:val="single" w:sz="6" w:space="0" w:color="000000"/>
              <w:right w:val="single" w:sz="6" w:space="0" w:color="000000"/>
            </w:tcBorders>
            <w:shd w:val="clear" w:color="auto" w:fill="F0F8F5"/>
            <w:tcMar>
              <w:top w:w="0" w:type="dxa"/>
              <w:left w:w="40" w:type="dxa"/>
              <w:bottom w:w="0" w:type="dxa"/>
              <w:right w:w="40" w:type="dxa"/>
            </w:tcMar>
            <w:vAlign w:val="center"/>
          </w:tcPr>
          <w:p w14:paraId="637DD50F" w14:textId="77777777" w:rsidR="00F3751F" w:rsidRDefault="00C77840">
            <w:pPr>
              <w:jc w:val="center"/>
              <w:rPr>
                <w:rFonts w:ascii="Calibri" w:eastAsia="Calibri" w:hAnsi="Calibri" w:cs="Calibri"/>
                <w:sz w:val="22"/>
                <w:szCs w:val="22"/>
              </w:rPr>
            </w:pPr>
            <w:r>
              <w:t>1,002.00</w:t>
            </w:r>
          </w:p>
        </w:tc>
        <w:tc>
          <w:tcPr>
            <w:tcW w:w="1119" w:type="dxa"/>
            <w:tcBorders>
              <w:top w:val="single" w:sz="6" w:space="0" w:color="CCCCCC"/>
              <w:left w:val="single" w:sz="6" w:space="0" w:color="CCCCCC"/>
              <w:bottom w:val="single" w:sz="6" w:space="0" w:color="000000"/>
              <w:right w:val="single" w:sz="6" w:space="0" w:color="000000"/>
            </w:tcBorders>
            <w:shd w:val="clear" w:color="auto" w:fill="EEF6F3"/>
            <w:tcMar>
              <w:top w:w="0" w:type="dxa"/>
              <w:left w:w="40" w:type="dxa"/>
              <w:bottom w:w="0" w:type="dxa"/>
              <w:right w:w="40" w:type="dxa"/>
            </w:tcMar>
            <w:vAlign w:val="center"/>
          </w:tcPr>
          <w:p w14:paraId="637DD510" w14:textId="77777777" w:rsidR="00F3751F" w:rsidRDefault="00C77840">
            <w:pPr>
              <w:jc w:val="center"/>
              <w:rPr>
                <w:rFonts w:ascii="Calibri" w:eastAsia="Calibri" w:hAnsi="Calibri" w:cs="Calibri"/>
                <w:sz w:val="22"/>
                <w:szCs w:val="22"/>
              </w:rPr>
            </w:pPr>
            <w:r>
              <w:t>1,122.00</w:t>
            </w:r>
          </w:p>
        </w:tc>
      </w:tr>
      <w:tr w:rsidR="00F3751F" w14:paraId="637DD519"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512" w14:textId="77777777" w:rsidR="00F3751F" w:rsidRDefault="00C77840">
            <w:pPr>
              <w:jc w:val="center"/>
              <w:rPr>
                <w:rFonts w:ascii="Calibri" w:eastAsia="Calibri" w:hAnsi="Calibri" w:cs="Calibri"/>
                <w:sz w:val="22"/>
                <w:szCs w:val="22"/>
              </w:rPr>
            </w:pPr>
            <w:r>
              <w:t>Opening Payables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513" w14:textId="77777777" w:rsidR="00F3751F" w:rsidRDefault="00C77840">
            <w:pPr>
              <w:jc w:val="center"/>
              <w:rPr>
                <w:rFonts w:ascii="Calibri" w:eastAsia="Calibri" w:hAnsi="Calibri" w:cs="Calibri"/>
                <w:sz w:val="22"/>
                <w:szCs w:val="22"/>
              </w:rPr>
            </w:pPr>
            <w:r>
              <w:t>I</w:t>
            </w:r>
          </w:p>
        </w:tc>
        <w:tc>
          <w:tcPr>
            <w:tcW w:w="1119" w:type="dxa"/>
            <w:tcBorders>
              <w:top w:val="single" w:sz="6" w:space="0" w:color="CCCCCC"/>
              <w:left w:val="single" w:sz="6" w:space="0" w:color="CCCCCC"/>
              <w:bottom w:val="single" w:sz="6" w:space="0" w:color="000000"/>
              <w:right w:val="single" w:sz="6" w:space="0" w:color="000000"/>
            </w:tcBorders>
            <w:shd w:val="clear" w:color="auto" w:fill="F8888A"/>
            <w:tcMar>
              <w:top w:w="0" w:type="dxa"/>
              <w:left w:w="40" w:type="dxa"/>
              <w:bottom w:w="0" w:type="dxa"/>
              <w:right w:w="40" w:type="dxa"/>
            </w:tcMar>
            <w:vAlign w:val="center"/>
          </w:tcPr>
          <w:p w14:paraId="637DD514" w14:textId="77777777" w:rsidR="00F3751F" w:rsidRDefault="00C77840">
            <w:pPr>
              <w:jc w:val="center"/>
              <w:rPr>
                <w:rFonts w:ascii="Calibri" w:eastAsia="Calibri" w:hAnsi="Calibri" w:cs="Calibri"/>
                <w:sz w:val="22"/>
                <w:szCs w:val="22"/>
              </w:rPr>
            </w:pPr>
            <w:r>
              <w:t>102.00</w:t>
            </w:r>
          </w:p>
        </w:tc>
        <w:tc>
          <w:tcPr>
            <w:tcW w:w="1119" w:type="dxa"/>
            <w:tcBorders>
              <w:top w:val="single" w:sz="6" w:space="0" w:color="CCCCCC"/>
              <w:left w:val="single" w:sz="6" w:space="0" w:color="CCCCCC"/>
              <w:bottom w:val="single" w:sz="6" w:space="0" w:color="000000"/>
              <w:right w:val="single" w:sz="6" w:space="0" w:color="000000"/>
            </w:tcBorders>
            <w:shd w:val="clear" w:color="auto" w:fill="FBFCFF"/>
            <w:tcMar>
              <w:top w:w="0" w:type="dxa"/>
              <w:left w:w="40" w:type="dxa"/>
              <w:bottom w:w="0" w:type="dxa"/>
              <w:right w:w="40" w:type="dxa"/>
            </w:tcMar>
            <w:vAlign w:val="center"/>
          </w:tcPr>
          <w:p w14:paraId="637DD515" w14:textId="77777777" w:rsidR="00F3751F" w:rsidRDefault="00C77840">
            <w:pPr>
              <w:jc w:val="center"/>
              <w:rPr>
                <w:rFonts w:ascii="Calibri" w:eastAsia="Calibri" w:hAnsi="Calibri" w:cs="Calibri"/>
                <w:sz w:val="22"/>
                <w:szCs w:val="22"/>
              </w:rPr>
            </w:pPr>
            <w:r>
              <w:t>523.00</w:t>
            </w:r>
          </w:p>
        </w:tc>
        <w:tc>
          <w:tcPr>
            <w:tcW w:w="1119" w:type="dxa"/>
            <w:tcBorders>
              <w:top w:val="single" w:sz="6" w:space="0" w:color="CCCCCC"/>
              <w:left w:val="single" w:sz="6" w:space="0" w:color="CCCCCC"/>
              <w:bottom w:val="single" w:sz="6" w:space="0" w:color="000000"/>
              <w:right w:val="single" w:sz="6" w:space="0" w:color="000000"/>
            </w:tcBorders>
            <w:shd w:val="clear" w:color="auto" w:fill="FCFCFF"/>
            <w:tcMar>
              <w:top w:w="0" w:type="dxa"/>
              <w:left w:w="40" w:type="dxa"/>
              <w:bottom w:w="0" w:type="dxa"/>
              <w:right w:w="40" w:type="dxa"/>
            </w:tcMar>
            <w:vAlign w:val="center"/>
          </w:tcPr>
          <w:p w14:paraId="637DD516" w14:textId="77777777" w:rsidR="00F3751F" w:rsidRDefault="00C77840">
            <w:pPr>
              <w:jc w:val="center"/>
              <w:rPr>
                <w:rFonts w:ascii="Calibri" w:eastAsia="Calibri" w:hAnsi="Calibri" w:cs="Calibri"/>
                <w:sz w:val="22"/>
                <w:szCs w:val="22"/>
              </w:rPr>
            </w:pPr>
            <w:r>
              <w:t>500.00</w:t>
            </w:r>
          </w:p>
        </w:tc>
        <w:tc>
          <w:tcPr>
            <w:tcW w:w="1270" w:type="dxa"/>
            <w:tcBorders>
              <w:top w:val="single" w:sz="6" w:space="0" w:color="CCCCCC"/>
              <w:left w:val="single" w:sz="6" w:space="0" w:color="CCCCCC"/>
              <w:bottom w:val="single" w:sz="6" w:space="0" w:color="000000"/>
              <w:right w:val="single" w:sz="6" w:space="0" w:color="000000"/>
            </w:tcBorders>
            <w:shd w:val="clear" w:color="auto" w:fill="FCFCFF"/>
            <w:tcMar>
              <w:top w:w="0" w:type="dxa"/>
              <w:left w:w="40" w:type="dxa"/>
              <w:bottom w:w="0" w:type="dxa"/>
              <w:right w:w="40" w:type="dxa"/>
            </w:tcMar>
            <w:vAlign w:val="center"/>
          </w:tcPr>
          <w:p w14:paraId="637DD517" w14:textId="77777777" w:rsidR="00F3751F" w:rsidRDefault="00C77840">
            <w:pPr>
              <w:jc w:val="center"/>
              <w:rPr>
                <w:rFonts w:ascii="Calibri" w:eastAsia="Calibri" w:hAnsi="Calibri" w:cs="Calibri"/>
                <w:sz w:val="22"/>
                <w:szCs w:val="22"/>
              </w:rPr>
            </w:pPr>
            <w:r>
              <w:t>493.00</w:t>
            </w:r>
          </w:p>
        </w:tc>
        <w:tc>
          <w:tcPr>
            <w:tcW w:w="1119" w:type="dxa"/>
            <w:tcBorders>
              <w:top w:val="single" w:sz="6" w:space="0" w:color="CCCCCC"/>
              <w:left w:val="single" w:sz="6" w:space="0" w:color="CCCCCC"/>
              <w:bottom w:val="single" w:sz="6" w:space="0" w:color="000000"/>
              <w:right w:val="single" w:sz="6" w:space="0" w:color="000000"/>
            </w:tcBorders>
            <w:shd w:val="clear" w:color="auto" w:fill="FCFCFF"/>
            <w:tcMar>
              <w:top w:w="0" w:type="dxa"/>
              <w:left w:w="40" w:type="dxa"/>
              <w:bottom w:w="0" w:type="dxa"/>
              <w:right w:w="40" w:type="dxa"/>
            </w:tcMar>
            <w:vAlign w:val="center"/>
          </w:tcPr>
          <w:p w14:paraId="637DD518" w14:textId="77777777" w:rsidR="00F3751F" w:rsidRDefault="00C77840">
            <w:pPr>
              <w:jc w:val="center"/>
              <w:rPr>
                <w:rFonts w:ascii="Calibri" w:eastAsia="Calibri" w:hAnsi="Calibri" w:cs="Calibri"/>
                <w:sz w:val="22"/>
                <w:szCs w:val="22"/>
              </w:rPr>
            </w:pPr>
            <w:r>
              <w:t>475.00</w:t>
            </w:r>
          </w:p>
        </w:tc>
      </w:tr>
      <w:tr w:rsidR="00F3751F" w14:paraId="637DD521"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51A" w14:textId="77777777" w:rsidR="00F3751F" w:rsidRDefault="00C77840">
            <w:pPr>
              <w:jc w:val="center"/>
              <w:rPr>
                <w:rFonts w:ascii="Calibri" w:eastAsia="Calibri" w:hAnsi="Calibri" w:cs="Calibri"/>
                <w:sz w:val="22"/>
                <w:szCs w:val="22"/>
              </w:rPr>
            </w:pPr>
            <w:r>
              <w:t>Closing Payables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51B" w14:textId="77777777" w:rsidR="00F3751F" w:rsidRDefault="00C77840">
            <w:pPr>
              <w:jc w:val="center"/>
              <w:rPr>
                <w:rFonts w:ascii="Calibri" w:eastAsia="Calibri" w:hAnsi="Calibri" w:cs="Calibri"/>
                <w:sz w:val="22"/>
                <w:szCs w:val="22"/>
              </w:rPr>
            </w:pPr>
            <w:r>
              <w:t>J</w:t>
            </w:r>
          </w:p>
        </w:tc>
        <w:tc>
          <w:tcPr>
            <w:tcW w:w="1119" w:type="dxa"/>
            <w:tcBorders>
              <w:top w:val="single" w:sz="6" w:space="0" w:color="CCCCCC"/>
              <w:left w:val="single" w:sz="6" w:space="0" w:color="CCCCCC"/>
              <w:bottom w:val="single" w:sz="6" w:space="0" w:color="000000"/>
              <w:right w:val="single" w:sz="6" w:space="0" w:color="000000"/>
            </w:tcBorders>
            <w:shd w:val="clear" w:color="auto" w:fill="FBFCFF"/>
            <w:tcMar>
              <w:top w:w="0" w:type="dxa"/>
              <w:left w:w="40" w:type="dxa"/>
              <w:bottom w:w="0" w:type="dxa"/>
              <w:right w:w="40" w:type="dxa"/>
            </w:tcMar>
            <w:vAlign w:val="center"/>
          </w:tcPr>
          <w:p w14:paraId="637DD51C" w14:textId="77777777" w:rsidR="00F3751F" w:rsidRDefault="00C77840">
            <w:pPr>
              <w:jc w:val="center"/>
              <w:rPr>
                <w:rFonts w:ascii="Calibri" w:eastAsia="Calibri" w:hAnsi="Calibri" w:cs="Calibri"/>
                <w:sz w:val="22"/>
                <w:szCs w:val="22"/>
              </w:rPr>
            </w:pPr>
            <w:r>
              <w:t>523.00</w:t>
            </w:r>
          </w:p>
        </w:tc>
        <w:tc>
          <w:tcPr>
            <w:tcW w:w="1119" w:type="dxa"/>
            <w:tcBorders>
              <w:top w:val="single" w:sz="6" w:space="0" w:color="CCCCCC"/>
              <w:left w:val="single" w:sz="6" w:space="0" w:color="CCCCCC"/>
              <w:bottom w:val="single" w:sz="6" w:space="0" w:color="000000"/>
              <w:right w:val="single" w:sz="6" w:space="0" w:color="000000"/>
            </w:tcBorders>
            <w:shd w:val="clear" w:color="auto" w:fill="FCFCFF"/>
            <w:tcMar>
              <w:top w:w="0" w:type="dxa"/>
              <w:left w:w="40" w:type="dxa"/>
              <w:bottom w:w="0" w:type="dxa"/>
              <w:right w:w="40" w:type="dxa"/>
            </w:tcMar>
            <w:vAlign w:val="center"/>
          </w:tcPr>
          <w:p w14:paraId="637DD51D" w14:textId="77777777" w:rsidR="00F3751F" w:rsidRDefault="00C77840">
            <w:pPr>
              <w:jc w:val="center"/>
              <w:rPr>
                <w:rFonts w:ascii="Calibri" w:eastAsia="Calibri" w:hAnsi="Calibri" w:cs="Calibri"/>
                <w:sz w:val="22"/>
                <w:szCs w:val="22"/>
              </w:rPr>
            </w:pPr>
            <w:r>
              <w:t>500.00</w:t>
            </w:r>
          </w:p>
        </w:tc>
        <w:tc>
          <w:tcPr>
            <w:tcW w:w="1119" w:type="dxa"/>
            <w:tcBorders>
              <w:top w:val="single" w:sz="6" w:space="0" w:color="CCCCCC"/>
              <w:left w:val="single" w:sz="6" w:space="0" w:color="CCCCCC"/>
              <w:bottom w:val="single" w:sz="6" w:space="0" w:color="000000"/>
              <w:right w:val="single" w:sz="6" w:space="0" w:color="000000"/>
            </w:tcBorders>
            <w:shd w:val="clear" w:color="auto" w:fill="FCFCFF"/>
            <w:tcMar>
              <w:top w:w="0" w:type="dxa"/>
              <w:left w:w="40" w:type="dxa"/>
              <w:bottom w:w="0" w:type="dxa"/>
              <w:right w:w="40" w:type="dxa"/>
            </w:tcMar>
            <w:vAlign w:val="center"/>
          </w:tcPr>
          <w:p w14:paraId="637DD51E" w14:textId="77777777" w:rsidR="00F3751F" w:rsidRDefault="00C77840">
            <w:pPr>
              <w:jc w:val="center"/>
              <w:rPr>
                <w:rFonts w:ascii="Calibri" w:eastAsia="Calibri" w:hAnsi="Calibri" w:cs="Calibri"/>
                <w:sz w:val="22"/>
                <w:szCs w:val="22"/>
              </w:rPr>
            </w:pPr>
            <w:r>
              <w:t>493.00</w:t>
            </w:r>
          </w:p>
        </w:tc>
        <w:tc>
          <w:tcPr>
            <w:tcW w:w="1270" w:type="dxa"/>
            <w:tcBorders>
              <w:top w:val="single" w:sz="6" w:space="0" w:color="CCCCCC"/>
              <w:left w:val="single" w:sz="6" w:space="0" w:color="CCCCCC"/>
              <w:bottom w:val="single" w:sz="6" w:space="0" w:color="000000"/>
              <w:right w:val="single" w:sz="6" w:space="0" w:color="000000"/>
            </w:tcBorders>
            <w:shd w:val="clear" w:color="auto" w:fill="FCFCFF"/>
            <w:tcMar>
              <w:top w:w="0" w:type="dxa"/>
              <w:left w:w="40" w:type="dxa"/>
              <w:bottom w:w="0" w:type="dxa"/>
              <w:right w:w="40" w:type="dxa"/>
            </w:tcMar>
            <w:vAlign w:val="center"/>
          </w:tcPr>
          <w:p w14:paraId="637DD51F" w14:textId="77777777" w:rsidR="00F3751F" w:rsidRDefault="00C77840">
            <w:pPr>
              <w:jc w:val="center"/>
              <w:rPr>
                <w:rFonts w:ascii="Calibri" w:eastAsia="Calibri" w:hAnsi="Calibri" w:cs="Calibri"/>
                <w:sz w:val="22"/>
                <w:szCs w:val="22"/>
              </w:rPr>
            </w:pPr>
            <w:r>
              <w:t>475.00</w:t>
            </w:r>
          </w:p>
        </w:tc>
        <w:tc>
          <w:tcPr>
            <w:tcW w:w="1119" w:type="dxa"/>
            <w:tcBorders>
              <w:top w:val="single" w:sz="6" w:space="0" w:color="CCCCCC"/>
              <w:left w:val="single" w:sz="6" w:space="0" w:color="CCCCCC"/>
              <w:bottom w:val="single" w:sz="6" w:space="0" w:color="000000"/>
              <w:right w:val="single" w:sz="6" w:space="0" w:color="000000"/>
            </w:tcBorders>
            <w:shd w:val="clear" w:color="auto" w:fill="FBF4F7"/>
            <w:tcMar>
              <w:top w:w="0" w:type="dxa"/>
              <w:left w:w="40" w:type="dxa"/>
              <w:bottom w:w="0" w:type="dxa"/>
              <w:right w:w="40" w:type="dxa"/>
            </w:tcMar>
            <w:vAlign w:val="center"/>
          </w:tcPr>
          <w:p w14:paraId="637DD520" w14:textId="77777777" w:rsidR="00F3751F" w:rsidRDefault="00C77840">
            <w:pPr>
              <w:jc w:val="center"/>
              <w:rPr>
                <w:rFonts w:ascii="Calibri" w:eastAsia="Calibri" w:hAnsi="Calibri" w:cs="Calibri"/>
                <w:sz w:val="22"/>
                <w:szCs w:val="22"/>
              </w:rPr>
            </w:pPr>
            <w:r>
              <w:t>451.00</w:t>
            </w:r>
          </w:p>
        </w:tc>
      </w:tr>
      <w:tr w:rsidR="00F3751F" w14:paraId="637DD529"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522" w14:textId="77777777" w:rsidR="00F3751F" w:rsidRDefault="00C77840">
            <w:pPr>
              <w:jc w:val="center"/>
              <w:rPr>
                <w:rFonts w:ascii="Calibri" w:eastAsia="Calibri" w:hAnsi="Calibri" w:cs="Calibri"/>
                <w:sz w:val="22"/>
                <w:szCs w:val="22"/>
              </w:rPr>
            </w:pPr>
            <w:r>
              <w:t>Average Payables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523" w14:textId="77777777" w:rsidR="00F3751F" w:rsidRDefault="00C77840">
            <w:pPr>
              <w:jc w:val="center"/>
              <w:rPr>
                <w:rFonts w:ascii="Calibri" w:eastAsia="Calibri" w:hAnsi="Calibri" w:cs="Calibri"/>
                <w:sz w:val="22"/>
                <w:szCs w:val="22"/>
              </w:rPr>
            </w:pPr>
            <w:r>
              <w:t>K=(I+J)/2</w:t>
            </w:r>
          </w:p>
        </w:tc>
        <w:tc>
          <w:tcPr>
            <w:tcW w:w="1119" w:type="dxa"/>
            <w:tcBorders>
              <w:top w:val="single" w:sz="6" w:space="0" w:color="CCCCCC"/>
              <w:left w:val="single" w:sz="6" w:space="0" w:color="CCCCCC"/>
              <w:bottom w:val="single" w:sz="6" w:space="0" w:color="000000"/>
              <w:right w:val="single" w:sz="6" w:space="0" w:color="000000"/>
            </w:tcBorders>
            <w:shd w:val="clear" w:color="auto" w:fill="FAC9CC"/>
            <w:tcMar>
              <w:top w:w="0" w:type="dxa"/>
              <w:left w:w="40" w:type="dxa"/>
              <w:bottom w:w="0" w:type="dxa"/>
              <w:right w:w="40" w:type="dxa"/>
            </w:tcMar>
            <w:vAlign w:val="center"/>
          </w:tcPr>
          <w:p w14:paraId="637DD524" w14:textId="77777777" w:rsidR="00F3751F" w:rsidRDefault="00C77840">
            <w:pPr>
              <w:jc w:val="center"/>
              <w:rPr>
                <w:rFonts w:ascii="Calibri" w:eastAsia="Calibri" w:hAnsi="Calibri" w:cs="Calibri"/>
                <w:sz w:val="22"/>
                <w:szCs w:val="22"/>
              </w:rPr>
            </w:pPr>
            <w:r>
              <w:t>312.50</w:t>
            </w:r>
          </w:p>
        </w:tc>
        <w:tc>
          <w:tcPr>
            <w:tcW w:w="1119" w:type="dxa"/>
            <w:tcBorders>
              <w:top w:val="single" w:sz="6" w:space="0" w:color="CCCCCC"/>
              <w:left w:val="single" w:sz="6" w:space="0" w:color="CCCCCC"/>
              <w:bottom w:val="single" w:sz="6" w:space="0" w:color="000000"/>
              <w:right w:val="single" w:sz="6" w:space="0" w:color="000000"/>
            </w:tcBorders>
            <w:shd w:val="clear" w:color="auto" w:fill="FCFCFF"/>
            <w:tcMar>
              <w:top w:w="0" w:type="dxa"/>
              <w:left w:w="40" w:type="dxa"/>
              <w:bottom w:w="0" w:type="dxa"/>
              <w:right w:w="40" w:type="dxa"/>
            </w:tcMar>
            <w:vAlign w:val="center"/>
          </w:tcPr>
          <w:p w14:paraId="637DD525" w14:textId="77777777" w:rsidR="00F3751F" w:rsidRDefault="00C77840">
            <w:pPr>
              <w:jc w:val="center"/>
              <w:rPr>
                <w:rFonts w:ascii="Calibri" w:eastAsia="Calibri" w:hAnsi="Calibri" w:cs="Calibri"/>
                <w:sz w:val="22"/>
                <w:szCs w:val="22"/>
              </w:rPr>
            </w:pPr>
            <w:r>
              <w:t>511.50</w:t>
            </w:r>
          </w:p>
        </w:tc>
        <w:tc>
          <w:tcPr>
            <w:tcW w:w="1119" w:type="dxa"/>
            <w:tcBorders>
              <w:top w:val="single" w:sz="6" w:space="0" w:color="CCCCCC"/>
              <w:left w:val="single" w:sz="6" w:space="0" w:color="CCCCCC"/>
              <w:bottom w:val="single" w:sz="6" w:space="0" w:color="000000"/>
              <w:right w:val="single" w:sz="6" w:space="0" w:color="000000"/>
            </w:tcBorders>
            <w:shd w:val="clear" w:color="auto" w:fill="FCFCFF"/>
            <w:tcMar>
              <w:top w:w="0" w:type="dxa"/>
              <w:left w:w="40" w:type="dxa"/>
              <w:bottom w:w="0" w:type="dxa"/>
              <w:right w:w="40" w:type="dxa"/>
            </w:tcMar>
            <w:vAlign w:val="center"/>
          </w:tcPr>
          <w:p w14:paraId="637DD526" w14:textId="77777777" w:rsidR="00F3751F" w:rsidRDefault="00C77840">
            <w:pPr>
              <w:jc w:val="center"/>
              <w:rPr>
                <w:rFonts w:ascii="Calibri" w:eastAsia="Calibri" w:hAnsi="Calibri" w:cs="Calibri"/>
                <w:sz w:val="22"/>
                <w:szCs w:val="22"/>
              </w:rPr>
            </w:pPr>
            <w:r>
              <w:t>496.50</w:t>
            </w:r>
          </w:p>
        </w:tc>
        <w:tc>
          <w:tcPr>
            <w:tcW w:w="1270" w:type="dxa"/>
            <w:tcBorders>
              <w:top w:val="single" w:sz="6" w:space="0" w:color="CCCCCC"/>
              <w:left w:val="single" w:sz="6" w:space="0" w:color="CCCCCC"/>
              <w:bottom w:val="single" w:sz="6" w:space="0" w:color="000000"/>
              <w:right w:val="single" w:sz="6" w:space="0" w:color="000000"/>
            </w:tcBorders>
            <w:shd w:val="clear" w:color="auto" w:fill="FCFCFF"/>
            <w:tcMar>
              <w:top w:w="0" w:type="dxa"/>
              <w:left w:w="40" w:type="dxa"/>
              <w:bottom w:w="0" w:type="dxa"/>
              <w:right w:w="40" w:type="dxa"/>
            </w:tcMar>
            <w:vAlign w:val="center"/>
          </w:tcPr>
          <w:p w14:paraId="637DD527" w14:textId="77777777" w:rsidR="00F3751F" w:rsidRDefault="00C77840">
            <w:pPr>
              <w:jc w:val="center"/>
              <w:rPr>
                <w:rFonts w:ascii="Calibri" w:eastAsia="Calibri" w:hAnsi="Calibri" w:cs="Calibri"/>
                <w:sz w:val="22"/>
                <w:szCs w:val="22"/>
              </w:rPr>
            </w:pPr>
            <w:r>
              <w:t>484.00</w:t>
            </w:r>
          </w:p>
        </w:tc>
        <w:tc>
          <w:tcPr>
            <w:tcW w:w="1119" w:type="dxa"/>
            <w:tcBorders>
              <w:top w:val="single" w:sz="6" w:space="0" w:color="CCCCCC"/>
              <w:left w:val="single" w:sz="6" w:space="0" w:color="CCCCCC"/>
              <w:bottom w:val="single" w:sz="6" w:space="0" w:color="000000"/>
              <w:right w:val="single" w:sz="6" w:space="0" w:color="000000"/>
            </w:tcBorders>
            <w:shd w:val="clear" w:color="auto" w:fill="FBF8FB"/>
            <w:tcMar>
              <w:top w:w="0" w:type="dxa"/>
              <w:left w:w="40" w:type="dxa"/>
              <w:bottom w:w="0" w:type="dxa"/>
              <w:right w:w="40" w:type="dxa"/>
            </w:tcMar>
            <w:vAlign w:val="center"/>
          </w:tcPr>
          <w:p w14:paraId="637DD528" w14:textId="77777777" w:rsidR="00F3751F" w:rsidRDefault="00C77840">
            <w:pPr>
              <w:jc w:val="center"/>
              <w:rPr>
                <w:rFonts w:ascii="Calibri" w:eastAsia="Calibri" w:hAnsi="Calibri" w:cs="Calibri"/>
                <w:sz w:val="22"/>
                <w:szCs w:val="22"/>
              </w:rPr>
            </w:pPr>
            <w:r>
              <w:t>463.00</w:t>
            </w:r>
          </w:p>
        </w:tc>
      </w:tr>
      <w:tr w:rsidR="00F3751F" w14:paraId="637DD531"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52A" w14:textId="77777777" w:rsidR="00F3751F" w:rsidRDefault="00C77840">
            <w:pPr>
              <w:jc w:val="center"/>
              <w:rPr>
                <w:rFonts w:ascii="Calibri" w:eastAsia="Calibri" w:hAnsi="Calibri" w:cs="Calibri"/>
                <w:sz w:val="22"/>
                <w:szCs w:val="22"/>
              </w:rPr>
            </w:pPr>
            <w:r>
              <w:rPr>
                <w:b/>
                <w:bCs/>
              </w:rPr>
              <w:t>Inventory Turnover Days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52B" w14:textId="77777777" w:rsidR="00F3751F" w:rsidRDefault="00C77840">
            <w:pPr>
              <w:jc w:val="center"/>
              <w:rPr>
                <w:rFonts w:ascii="Calibri" w:eastAsia="Calibri" w:hAnsi="Calibri" w:cs="Calibri"/>
                <w:sz w:val="22"/>
                <w:szCs w:val="22"/>
              </w:rPr>
            </w:pPr>
            <w:r>
              <w:rPr>
                <w:b/>
                <w:bCs/>
              </w:rPr>
              <w:t>365/(B/E)</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52C" w14:textId="77777777" w:rsidR="00F3751F" w:rsidRDefault="00C77840">
            <w:pPr>
              <w:jc w:val="center"/>
              <w:rPr>
                <w:rFonts w:ascii="Calibri" w:eastAsia="Calibri" w:hAnsi="Calibri" w:cs="Calibri"/>
                <w:sz w:val="22"/>
                <w:szCs w:val="22"/>
              </w:rPr>
            </w:pPr>
            <w:r>
              <w:rPr>
                <w:b/>
                <w:bCs/>
              </w:rPr>
              <w:t>1</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52D" w14:textId="77777777" w:rsidR="00F3751F" w:rsidRDefault="00C77840">
            <w:pPr>
              <w:jc w:val="center"/>
              <w:rPr>
                <w:rFonts w:ascii="Calibri" w:eastAsia="Calibri" w:hAnsi="Calibri" w:cs="Calibri"/>
                <w:sz w:val="22"/>
                <w:szCs w:val="22"/>
              </w:rPr>
            </w:pPr>
            <w:r>
              <w:rPr>
                <w:b/>
                <w:bCs/>
              </w:rPr>
              <w:t>1</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52E" w14:textId="77777777" w:rsidR="00F3751F" w:rsidRDefault="00C77840">
            <w:pPr>
              <w:jc w:val="center"/>
              <w:rPr>
                <w:rFonts w:ascii="Calibri" w:eastAsia="Calibri" w:hAnsi="Calibri" w:cs="Calibri"/>
                <w:sz w:val="22"/>
                <w:szCs w:val="22"/>
              </w:rPr>
            </w:pPr>
            <w:r>
              <w:rPr>
                <w:b/>
                <w:bCs/>
              </w:rPr>
              <w:t>1</w:t>
            </w:r>
          </w:p>
        </w:tc>
        <w:tc>
          <w:tcPr>
            <w:tcW w:w="1270"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52F" w14:textId="77777777" w:rsidR="00F3751F" w:rsidRDefault="00C77840">
            <w:pPr>
              <w:jc w:val="center"/>
              <w:rPr>
                <w:rFonts w:ascii="Calibri" w:eastAsia="Calibri" w:hAnsi="Calibri" w:cs="Calibri"/>
                <w:sz w:val="22"/>
                <w:szCs w:val="22"/>
              </w:rPr>
            </w:pPr>
            <w:r>
              <w:rPr>
                <w:b/>
                <w:bCs/>
              </w:rPr>
              <w:t>0</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530" w14:textId="77777777" w:rsidR="00F3751F" w:rsidRDefault="00C77840">
            <w:pPr>
              <w:jc w:val="center"/>
              <w:rPr>
                <w:rFonts w:ascii="Calibri" w:eastAsia="Calibri" w:hAnsi="Calibri" w:cs="Calibri"/>
                <w:sz w:val="22"/>
                <w:szCs w:val="22"/>
              </w:rPr>
            </w:pPr>
            <w:r>
              <w:rPr>
                <w:b/>
                <w:bCs/>
              </w:rPr>
              <w:t>0</w:t>
            </w:r>
          </w:p>
        </w:tc>
      </w:tr>
      <w:tr w:rsidR="00F3751F" w14:paraId="637DD539"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532" w14:textId="77777777" w:rsidR="00F3751F" w:rsidRDefault="00C77840">
            <w:pPr>
              <w:jc w:val="center"/>
              <w:rPr>
                <w:rFonts w:ascii="Calibri" w:eastAsia="Calibri" w:hAnsi="Calibri" w:cs="Calibri"/>
                <w:sz w:val="22"/>
                <w:szCs w:val="22"/>
              </w:rPr>
            </w:pPr>
            <w:r>
              <w:rPr>
                <w:b/>
                <w:bCs/>
              </w:rPr>
              <w:t>Receivables Turnover Days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533" w14:textId="77777777" w:rsidR="00F3751F" w:rsidRDefault="00C77840">
            <w:pPr>
              <w:jc w:val="center"/>
              <w:rPr>
                <w:rFonts w:ascii="Calibri" w:eastAsia="Calibri" w:hAnsi="Calibri" w:cs="Calibri"/>
                <w:sz w:val="22"/>
                <w:szCs w:val="22"/>
              </w:rPr>
            </w:pPr>
            <w:r>
              <w:rPr>
                <w:b/>
                <w:bCs/>
              </w:rPr>
              <w:t>365/(A/H)</w:t>
            </w:r>
          </w:p>
        </w:tc>
        <w:tc>
          <w:tcPr>
            <w:tcW w:w="1119" w:type="dxa"/>
            <w:tcBorders>
              <w:top w:val="single" w:sz="6" w:space="0" w:color="CCCCCC"/>
              <w:left w:val="single" w:sz="6" w:space="0" w:color="CCCCCC"/>
              <w:bottom w:val="single" w:sz="6" w:space="0" w:color="000000"/>
              <w:right w:val="single" w:sz="6" w:space="0" w:color="000000"/>
            </w:tcBorders>
            <w:shd w:val="clear" w:color="auto" w:fill="F8797B"/>
            <w:tcMar>
              <w:top w:w="0" w:type="dxa"/>
              <w:left w:w="40" w:type="dxa"/>
              <w:bottom w:w="0" w:type="dxa"/>
              <w:right w:w="40" w:type="dxa"/>
            </w:tcMar>
            <w:vAlign w:val="center"/>
          </w:tcPr>
          <w:p w14:paraId="637DD534" w14:textId="77777777" w:rsidR="00F3751F" w:rsidRDefault="00C77840">
            <w:pPr>
              <w:jc w:val="center"/>
              <w:rPr>
                <w:rFonts w:ascii="Calibri" w:eastAsia="Calibri" w:hAnsi="Calibri" w:cs="Calibri"/>
                <w:sz w:val="22"/>
                <w:szCs w:val="22"/>
              </w:rPr>
            </w:pPr>
            <w:r>
              <w:rPr>
                <w:b/>
                <w:bCs/>
              </w:rPr>
              <w:t>54</w:t>
            </w:r>
          </w:p>
        </w:tc>
        <w:tc>
          <w:tcPr>
            <w:tcW w:w="1119" w:type="dxa"/>
            <w:tcBorders>
              <w:top w:val="single" w:sz="6" w:space="0" w:color="CCCCCC"/>
              <w:left w:val="single" w:sz="6" w:space="0" w:color="CCCCCC"/>
              <w:bottom w:val="single" w:sz="6" w:space="0" w:color="000000"/>
              <w:right w:val="single" w:sz="6" w:space="0" w:color="000000"/>
            </w:tcBorders>
            <w:shd w:val="clear" w:color="auto" w:fill="F87375"/>
            <w:tcMar>
              <w:top w:w="0" w:type="dxa"/>
              <w:left w:w="40" w:type="dxa"/>
              <w:bottom w:w="0" w:type="dxa"/>
              <w:right w:w="40" w:type="dxa"/>
            </w:tcMar>
            <w:vAlign w:val="center"/>
          </w:tcPr>
          <w:p w14:paraId="637DD535" w14:textId="77777777" w:rsidR="00F3751F" w:rsidRDefault="00C77840">
            <w:pPr>
              <w:jc w:val="center"/>
              <w:rPr>
                <w:rFonts w:ascii="Calibri" w:eastAsia="Calibri" w:hAnsi="Calibri" w:cs="Calibri"/>
                <w:sz w:val="22"/>
                <w:szCs w:val="22"/>
              </w:rPr>
            </w:pPr>
            <w:r>
              <w:rPr>
                <w:b/>
                <w:bCs/>
              </w:rPr>
              <w:t>33</w:t>
            </w:r>
          </w:p>
        </w:tc>
        <w:tc>
          <w:tcPr>
            <w:tcW w:w="1119" w:type="dxa"/>
            <w:tcBorders>
              <w:top w:val="single" w:sz="6" w:space="0" w:color="CCCCCC"/>
              <w:left w:val="single" w:sz="6" w:space="0" w:color="CCCCCC"/>
              <w:bottom w:val="single" w:sz="6" w:space="0" w:color="000000"/>
              <w:right w:val="single" w:sz="6" w:space="0" w:color="000000"/>
            </w:tcBorders>
            <w:shd w:val="clear" w:color="auto" w:fill="F87779"/>
            <w:tcMar>
              <w:top w:w="0" w:type="dxa"/>
              <w:left w:w="40" w:type="dxa"/>
              <w:bottom w:w="0" w:type="dxa"/>
              <w:right w:w="40" w:type="dxa"/>
            </w:tcMar>
            <w:vAlign w:val="center"/>
          </w:tcPr>
          <w:p w14:paraId="637DD536" w14:textId="77777777" w:rsidR="00F3751F" w:rsidRDefault="00C77840">
            <w:pPr>
              <w:jc w:val="center"/>
              <w:rPr>
                <w:rFonts w:ascii="Calibri" w:eastAsia="Calibri" w:hAnsi="Calibri" w:cs="Calibri"/>
                <w:sz w:val="22"/>
                <w:szCs w:val="22"/>
              </w:rPr>
            </w:pPr>
            <w:r>
              <w:rPr>
                <w:b/>
                <w:bCs/>
              </w:rPr>
              <w:t>47</w:t>
            </w:r>
          </w:p>
        </w:tc>
        <w:tc>
          <w:tcPr>
            <w:tcW w:w="1270" w:type="dxa"/>
            <w:tcBorders>
              <w:top w:val="single" w:sz="6" w:space="0" w:color="CCCCCC"/>
              <w:left w:val="single" w:sz="6" w:space="0" w:color="CCCCCC"/>
              <w:bottom w:val="single" w:sz="6" w:space="0" w:color="000000"/>
              <w:right w:val="single" w:sz="6" w:space="0" w:color="000000"/>
            </w:tcBorders>
            <w:shd w:val="clear" w:color="auto" w:fill="F8797C"/>
            <w:tcMar>
              <w:top w:w="0" w:type="dxa"/>
              <w:left w:w="40" w:type="dxa"/>
              <w:bottom w:w="0" w:type="dxa"/>
              <w:right w:w="40" w:type="dxa"/>
            </w:tcMar>
            <w:vAlign w:val="center"/>
          </w:tcPr>
          <w:p w14:paraId="637DD537" w14:textId="77777777" w:rsidR="00F3751F" w:rsidRDefault="00C77840">
            <w:pPr>
              <w:jc w:val="center"/>
              <w:rPr>
                <w:rFonts w:ascii="Calibri" w:eastAsia="Calibri" w:hAnsi="Calibri" w:cs="Calibri"/>
                <w:sz w:val="22"/>
                <w:szCs w:val="22"/>
              </w:rPr>
            </w:pPr>
            <w:r>
              <w:rPr>
                <w:b/>
                <w:bCs/>
              </w:rPr>
              <w:t>55</w:t>
            </w:r>
          </w:p>
        </w:tc>
        <w:tc>
          <w:tcPr>
            <w:tcW w:w="1119" w:type="dxa"/>
            <w:tcBorders>
              <w:top w:val="single" w:sz="6" w:space="0" w:color="CCCCCC"/>
              <w:left w:val="single" w:sz="6" w:space="0" w:color="CCCCCC"/>
              <w:bottom w:val="single" w:sz="6" w:space="0" w:color="000000"/>
              <w:right w:val="single" w:sz="6" w:space="0" w:color="000000"/>
            </w:tcBorders>
            <w:shd w:val="clear" w:color="auto" w:fill="F87A7C"/>
            <w:tcMar>
              <w:top w:w="0" w:type="dxa"/>
              <w:left w:w="40" w:type="dxa"/>
              <w:bottom w:w="0" w:type="dxa"/>
              <w:right w:w="40" w:type="dxa"/>
            </w:tcMar>
            <w:vAlign w:val="center"/>
          </w:tcPr>
          <w:p w14:paraId="637DD538" w14:textId="77777777" w:rsidR="00F3751F" w:rsidRDefault="00C77840">
            <w:pPr>
              <w:jc w:val="center"/>
              <w:rPr>
                <w:rFonts w:ascii="Calibri" w:eastAsia="Calibri" w:hAnsi="Calibri" w:cs="Calibri"/>
                <w:sz w:val="22"/>
                <w:szCs w:val="22"/>
              </w:rPr>
            </w:pPr>
            <w:r>
              <w:rPr>
                <w:b/>
                <w:bCs/>
              </w:rPr>
              <w:t>58</w:t>
            </w:r>
          </w:p>
        </w:tc>
      </w:tr>
      <w:tr w:rsidR="00F3751F" w14:paraId="637DD541"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53A" w14:textId="77777777" w:rsidR="00F3751F" w:rsidRDefault="00C77840">
            <w:pPr>
              <w:jc w:val="center"/>
              <w:rPr>
                <w:rFonts w:ascii="Calibri" w:eastAsia="Calibri" w:hAnsi="Calibri" w:cs="Calibri"/>
                <w:sz w:val="22"/>
                <w:szCs w:val="22"/>
              </w:rPr>
            </w:pPr>
            <w:r>
              <w:rPr>
                <w:b/>
                <w:bCs/>
              </w:rPr>
              <w:t>Payables Turnover Days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53B" w14:textId="77777777" w:rsidR="00F3751F" w:rsidRDefault="00C77840">
            <w:pPr>
              <w:jc w:val="center"/>
              <w:rPr>
                <w:rFonts w:ascii="Calibri" w:eastAsia="Calibri" w:hAnsi="Calibri" w:cs="Calibri"/>
                <w:sz w:val="22"/>
                <w:szCs w:val="22"/>
              </w:rPr>
            </w:pPr>
            <w:r>
              <w:rPr>
                <w:b/>
                <w:bCs/>
              </w:rPr>
              <w:t>365/(B/K)</w:t>
            </w:r>
          </w:p>
        </w:tc>
        <w:tc>
          <w:tcPr>
            <w:tcW w:w="1119" w:type="dxa"/>
            <w:tcBorders>
              <w:top w:val="single" w:sz="6" w:space="0" w:color="CCCCCC"/>
              <w:left w:val="single" w:sz="6" w:space="0" w:color="CCCCCC"/>
              <w:bottom w:val="single" w:sz="6" w:space="0" w:color="000000"/>
              <w:right w:val="single" w:sz="6" w:space="0" w:color="000000"/>
            </w:tcBorders>
            <w:shd w:val="clear" w:color="auto" w:fill="F87375"/>
            <w:tcMar>
              <w:top w:w="0" w:type="dxa"/>
              <w:left w:w="40" w:type="dxa"/>
              <w:bottom w:w="0" w:type="dxa"/>
              <w:right w:w="40" w:type="dxa"/>
            </w:tcMar>
            <w:vAlign w:val="center"/>
          </w:tcPr>
          <w:p w14:paraId="637DD53C" w14:textId="77777777" w:rsidR="00F3751F" w:rsidRDefault="00C77840">
            <w:pPr>
              <w:jc w:val="center"/>
              <w:rPr>
                <w:rFonts w:ascii="Calibri" w:eastAsia="Calibri" w:hAnsi="Calibri" w:cs="Calibri"/>
                <w:sz w:val="22"/>
                <w:szCs w:val="22"/>
              </w:rPr>
            </w:pPr>
            <w:r>
              <w:rPr>
                <w:b/>
                <w:bCs/>
              </w:rPr>
              <w:t>35</w:t>
            </w:r>
          </w:p>
        </w:tc>
        <w:tc>
          <w:tcPr>
            <w:tcW w:w="1119" w:type="dxa"/>
            <w:tcBorders>
              <w:top w:val="single" w:sz="6" w:space="0" w:color="CCCCCC"/>
              <w:left w:val="single" w:sz="6" w:space="0" w:color="CCCCCC"/>
              <w:bottom w:val="single" w:sz="6" w:space="0" w:color="000000"/>
              <w:right w:val="single" w:sz="6" w:space="0" w:color="000000"/>
            </w:tcBorders>
            <w:shd w:val="clear" w:color="auto" w:fill="F87375"/>
            <w:tcMar>
              <w:top w:w="0" w:type="dxa"/>
              <w:left w:w="40" w:type="dxa"/>
              <w:bottom w:w="0" w:type="dxa"/>
              <w:right w:w="40" w:type="dxa"/>
            </w:tcMar>
            <w:vAlign w:val="center"/>
          </w:tcPr>
          <w:p w14:paraId="637DD53D" w14:textId="77777777" w:rsidR="00F3751F" w:rsidRDefault="00C77840">
            <w:pPr>
              <w:jc w:val="center"/>
              <w:rPr>
                <w:rFonts w:ascii="Calibri" w:eastAsia="Calibri" w:hAnsi="Calibri" w:cs="Calibri"/>
                <w:sz w:val="22"/>
                <w:szCs w:val="22"/>
              </w:rPr>
            </w:pPr>
            <w:r>
              <w:rPr>
                <w:b/>
                <w:bCs/>
              </w:rPr>
              <w:t>34</w:t>
            </w:r>
          </w:p>
        </w:tc>
        <w:tc>
          <w:tcPr>
            <w:tcW w:w="1119" w:type="dxa"/>
            <w:tcBorders>
              <w:top w:val="single" w:sz="6" w:space="0" w:color="CCCCCC"/>
              <w:left w:val="single" w:sz="6" w:space="0" w:color="CCCCCC"/>
              <w:bottom w:val="single" w:sz="6" w:space="0" w:color="000000"/>
              <w:right w:val="single" w:sz="6" w:space="0" w:color="000000"/>
            </w:tcBorders>
            <w:shd w:val="clear" w:color="auto" w:fill="F87173"/>
            <w:tcMar>
              <w:top w:w="0" w:type="dxa"/>
              <w:left w:w="40" w:type="dxa"/>
              <w:bottom w:w="0" w:type="dxa"/>
              <w:right w:w="40" w:type="dxa"/>
            </w:tcMar>
            <w:vAlign w:val="center"/>
          </w:tcPr>
          <w:p w14:paraId="637DD53E" w14:textId="77777777" w:rsidR="00F3751F" w:rsidRDefault="00C77840">
            <w:pPr>
              <w:jc w:val="center"/>
              <w:rPr>
                <w:rFonts w:ascii="Calibri" w:eastAsia="Calibri" w:hAnsi="Calibri" w:cs="Calibri"/>
                <w:sz w:val="22"/>
                <w:szCs w:val="22"/>
              </w:rPr>
            </w:pPr>
            <w:r>
              <w:rPr>
                <w:b/>
                <w:bCs/>
              </w:rPr>
              <w:t>28</w:t>
            </w:r>
          </w:p>
        </w:tc>
        <w:tc>
          <w:tcPr>
            <w:tcW w:w="1270" w:type="dxa"/>
            <w:tcBorders>
              <w:top w:val="single" w:sz="6" w:space="0" w:color="CCCCCC"/>
              <w:left w:val="single" w:sz="6" w:space="0" w:color="CCCCCC"/>
              <w:bottom w:val="single" w:sz="6" w:space="0" w:color="000000"/>
              <w:right w:val="single" w:sz="6" w:space="0" w:color="000000"/>
            </w:tcBorders>
            <w:shd w:val="clear" w:color="auto" w:fill="F87173"/>
            <w:tcMar>
              <w:top w:w="0" w:type="dxa"/>
              <w:left w:w="40" w:type="dxa"/>
              <w:bottom w:w="0" w:type="dxa"/>
              <w:right w:w="40" w:type="dxa"/>
            </w:tcMar>
            <w:vAlign w:val="center"/>
          </w:tcPr>
          <w:p w14:paraId="637DD53F" w14:textId="77777777" w:rsidR="00F3751F" w:rsidRDefault="00C77840">
            <w:pPr>
              <w:jc w:val="center"/>
              <w:rPr>
                <w:rFonts w:ascii="Calibri" w:eastAsia="Calibri" w:hAnsi="Calibri" w:cs="Calibri"/>
                <w:sz w:val="22"/>
                <w:szCs w:val="22"/>
              </w:rPr>
            </w:pPr>
            <w:r>
              <w:rPr>
                <w:b/>
                <w:bCs/>
              </w:rPr>
              <w:t>28</w:t>
            </w:r>
          </w:p>
        </w:tc>
        <w:tc>
          <w:tcPr>
            <w:tcW w:w="1119" w:type="dxa"/>
            <w:tcBorders>
              <w:top w:val="single" w:sz="6" w:space="0" w:color="CCCCCC"/>
              <w:left w:val="single" w:sz="6" w:space="0" w:color="CCCCCC"/>
              <w:bottom w:val="single" w:sz="6" w:space="0" w:color="000000"/>
              <w:right w:val="single" w:sz="6" w:space="0" w:color="000000"/>
            </w:tcBorders>
            <w:shd w:val="clear" w:color="auto" w:fill="F87072"/>
            <w:tcMar>
              <w:top w:w="0" w:type="dxa"/>
              <w:left w:w="40" w:type="dxa"/>
              <w:bottom w:w="0" w:type="dxa"/>
              <w:right w:w="40" w:type="dxa"/>
            </w:tcMar>
            <w:vAlign w:val="center"/>
          </w:tcPr>
          <w:p w14:paraId="637DD540" w14:textId="77777777" w:rsidR="00F3751F" w:rsidRDefault="00C77840">
            <w:pPr>
              <w:jc w:val="center"/>
              <w:rPr>
                <w:rFonts w:ascii="Calibri" w:eastAsia="Calibri" w:hAnsi="Calibri" w:cs="Calibri"/>
                <w:sz w:val="22"/>
                <w:szCs w:val="22"/>
              </w:rPr>
            </w:pPr>
            <w:r>
              <w:rPr>
                <w:b/>
                <w:bCs/>
              </w:rPr>
              <w:t>25</w:t>
            </w:r>
          </w:p>
        </w:tc>
      </w:tr>
      <w:tr w:rsidR="00F3751F" w14:paraId="637DD549" w14:textId="77777777">
        <w:trPr>
          <w:trHeight w:val="315"/>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542" w14:textId="77777777" w:rsidR="00F3751F" w:rsidRDefault="00F3751F">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543" w14:textId="77777777" w:rsidR="00F3751F" w:rsidRDefault="00F3751F">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544" w14:textId="77777777" w:rsidR="00F3751F" w:rsidRDefault="00F3751F">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545" w14:textId="77777777" w:rsidR="00F3751F" w:rsidRDefault="00F3751F">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546" w14:textId="77777777" w:rsidR="00F3751F" w:rsidRDefault="00F3751F">
            <w:pPr>
              <w:rPr>
                <w:rFonts w:ascii="Calibri" w:eastAsia="Calibri" w:hAnsi="Calibri" w:cs="Calibri"/>
                <w:sz w:val="22"/>
                <w:szCs w:val="22"/>
              </w:rPr>
            </w:pPr>
          </w:p>
        </w:tc>
        <w:tc>
          <w:tcPr>
            <w:tcW w:w="127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547" w14:textId="77777777" w:rsidR="00F3751F" w:rsidRDefault="00F3751F">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548" w14:textId="77777777" w:rsidR="00F3751F" w:rsidRDefault="00F3751F">
            <w:pPr>
              <w:rPr>
                <w:rFonts w:ascii="Calibri" w:eastAsia="Calibri" w:hAnsi="Calibri" w:cs="Calibri"/>
                <w:sz w:val="22"/>
                <w:szCs w:val="22"/>
              </w:rPr>
            </w:pPr>
          </w:p>
        </w:tc>
      </w:tr>
      <w:tr w:rsidR="00F3751F" w14:paraId="637DD54B" w14:textId="77777777">
        <w:trPr>
          <w:trHeight w:val="315"/>
        </w:trPr>
        <w:tc>
          <w:tcPr>
            <w:tcW w:w="9355"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637DD54A" w14:textId="77777777" w:rsidR="00F3751F" w:rsidRDefault="00C77840">
            <w:pPr>
              <w:jc w:val="center"/>
              <w:rPr>
                <w:rFonts w:ascii="Calibri" w:eastAsia="Calibri" w:hAnsi="Calibri" w:cs="Calibri"/>
                <w:sz w:val="22"/>
                <w:szCs w:val="22"/>
              </w:rPr>
            </w:pPr>
            <w:r>
              <w:rPr>
                <w:b/>
                <w:bCs/>
              </w:rPr>
              <w:t>Investment Ratios:-</w:t>
            </w:r>
          </w:p>
        </w:tc>
      </w:tr>
      <w:tr w:rsidR="00F3751F" w14:paraId="637DD553"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54C" w14:textId="77777777" w:rsidR="00F3751F" w:rsidRDefault="00C77840">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54D" w14:textId="77777777" w:rsidR="00F3751F" w:rsidRDefault="00C77840">
            <w:pPr>
              <w:jc w:val="center"/>
              <w:rPr>
                <w:rFonts w:ascii="Calibri" w:eastAsia="Calibri" w:hAnsi="Calibri" w:cs="Calibri"/>
                <w:sz w:val="22"/>
                <w:szCs w:val="22"/>
              </w:rPr>
            </w:pPr>
            <w:r>
              <w:rPr>
                <w:b/>
                <w:bCs/>
              </w:rPr>
              <w:t>Details</w:t>
            </w:r>
          </w:p>
        </w:tc>
        <w:tc>
          <w:tcPr>
            <w:tcW w:w="1119" w:type="dxa"/>
            <w:tcBorders>
              <w:top w:val="single" w:sz="6" w:space="0" w:color="CCCCCC"/>
              <w:left w:val="single" w:sz="6" w:space="0" w:color="CCCCCC"/>
              <w:bottom w:val="single" w:sz="6" w:space="0" w:color="000000"/>
              <w:right w:val="single" w:sz="6" w:space="0" w:color="000000"/>
            </w:tcBorders>
            <w:shd w:val="clear" w:color="auto" w:fill="64BF7C"/>
            <w:tcMar>
              <w:top w:w="0" w:type="dxa"/>
              <w:left w:w="40" w:type="dxa"/>
              <w:bottom w:w="0" w:type="dxa"/>
              <w:right w:w="40" w:type="dxa"/>
            </w:tcMar>
            <w:vAlign w:val="center"/>
          </w:tcPr>
          <w:p w14:paraId="637DD54E" w14:textId="77777777" w:rsidR="00F3751F" w:rsidRDefault="00C77840">
            <w:pPr>
              <w:jc w:val="center"/>
              <w:rPr>
                <w:rFonts w:ascii="Calibri" w:eastAsia="Calibri" w:hAnsi="Calibri" w:cs="Calibri"/>
                <w:sz w:val="22"/>
                <w:szCs w:val="22"/>
              </w:rPr>
            </w:pPr>
            <w:r>
              <w:rPr>
                <w:b/>
                <w:bCs/>
              </w:rPr>
              <w:t>2021</w:t>
            </w:r>
          </w:p>
        </w:tc>
        <w:tc>
          <w:tcPr>
            <w:tcW w:w="1119" w:type="dxa"/>
            <w:tcBorders>
              <w:top w:val="single" w:sz="6" w:space="0" w:color="CCCCCC"/>
              <w:left w:val="single" w:sz="6" w:space="0" w:color="CCCCCC"/>
              <w:bottom w:val="single" w:sz="6" w:space="0" w:color="000000"/>
              <w:right w:val="single" w:sz="6" w:space="0" w:color="000000"/>
            </w:tcBorders>
            <w:shd w:val="clear" w:color="auto" w:fill="64BF7C"/>
            <w:tcMar>
              <w:top w:w="0" w:type="dxa"/>
              <w:left w:w="40" w:type="dxa"/>
              <w:bottom w:w="0" w:type="dxa"/>
              <w:right w:w="40" w:type="dxa"/>
            </w:tcMar>
            <w:vAlign w:val="center"/>
          </w:tcPr>
          <w:p w14:paraId="637DD54F" w14:textId="77777777" w:rsidR="00F3751F" w:rsidRDefault="00C77840">
            <w:pPr>
              <w:jc w:val="center"/>
              <w:rPr>
                <w:rFonts w:ascii="Calibri" w:eastAsia="Calibri" w:hAnsi="Calibri" w:cs="Calibri"/>
                <w:sz w:val="22"/>
                <w:szCs w:val="22"/>
              </w:rPr>
            </w:pPr>
            <w:r>
              <w:rPr>
                <w:b/>
                <w:bCs/>
              </w:rPr>
              <w:t>2022</w:t>
            </w:r>
          </w:p>
        </w:tc>
        <w:tc>
          <w:tcPr>
            <w:tcW w:w="1119" w:type="dxa"/>
            <w:tcBorders>
              <w:top w:val="single" w:sz="6" w:space="0" w:color="CCCCCC"/>
              <w:left w:val="single" w:sz="6" w:space="0" w:color="CCCCCC"/>
              <w:bottom w:val="single" w:sz="6" w:space="0" w:color="000000"/>
              <w:right w:val="single" w:sz="6" w:space="0" w:color="000000"/>
            </w:tcBorders>
            <w:shd w:val="clear" w:color="auto" w:fill="64BF7C"/>
            <w:tcMar>
              <w:top w:w="0" w:type="dxa"/>
              <w:left w:w="40" w:type="dxa"/>
              <w:bottom w:w="0" w:type="dxa"/>
              <w:right w:w="40" w:type="dxa"/>
            </w:tcMar>
            <w:vAlign w:val="center"/>
          </w:tcPr>
          <w:p w14:paraId="637DD550" w14:textId="77777777" w:rsidR="00F3751F" w:rsidRDefault="00C77840">
            <w:pPr>
              <w:jc w:val="center"/>
              <w:rPr>
                <w:rFonts w:ascii="Calibri" w:eastAsia="Calibri" w:hAnsi="Calibri" w:cs="Calibri"/>
                <w:sz w:val="22"/>
                <w:szCs w:val="22"/>
              </w:rPr>
            </w:pPr>
            <w:r>
              <w:rPr>
                <w:b/>
                <w:bCs/>
              </w:rPr>
              <w:t>2023</w:t>
            </w:r>
          </w:p>
        </w:tc>
        <w:tc>
          <w:tcPr>
            <w:tcW w:w="1270" w:type="dxa"/>
            <w:tcBorders>
              <w:top w:val="single" w:sz="6" w:space="0" w:color="CCCCCC"/>
              <w:left w:val="single" w:sz="6" w:space="0" w:color="CCCCCC"/>
              <w:bottom w:val="single" w:sz="6" w:space="0" w:color="000000"/>
              <w:right w:val="single" w:sz="6" w:space="0" w:color="000000"/>
            </w:tcBorders>
            <w:shd w:val="clear" w:color="auto" w:fill="64BF7C"/>
            <w:tcMar>
              <w:top w:w="0" w:type="dxa"/>
              <w:left w:w="40" w:type="dxa"/>
              <w:bottom w:w="0" w:type="dxa"/>
              <w:right w:w="40" w:type="dxa"/>
            </w:tcMar>
            <w:vAlign w:val="center"/>
          </w:tcPr>
          <w:p w14:paraId="637DD551" w14:textId="77777777" w:rsidR="00F3751F" w:rsidRDefault="00C77840">
            <w:pPr>
              <w:jc w:val="center"/>
              <w:rPr>
                <w:rFonts w:ascii="Calibri" w:eastAsia="Calibri" w:hAnsi="Calibri" w:cs="Calibri"/>
                <w:sz w:val="22"/>
                <w:szCs w:val="22"/>
              </w:rPr>
            </w:pPr>
            <w:r>
              <w:rPr>
                <w:b/>
                <w:bCs/>
              </w:rPr>
              <w:t>2024</w:t>
            </w:r>
          </w:p>
        </w:tc>
        <w:tc>
          <w:tcPr>
            <w:tcW w:w="1119" w:type="dxa"/>
            <w:tcBorders>
              <w:top w:val="single" w:sz="6" w:space="0" w:color="CCCCCC"/>
              <w:left w:val="single" w:sz="6" w:space="0" w:color="CCCCCC"/>
              <w:bottom w:val="single" w:sz="6" w:space="0" w:color="000000"/>
              <w:right w:val="single" w:sz="6" w:space="0" w:color="000000"/>
            </w:tcBorders>
            <w:shd w:val="clear" w:color="auto" w:fill="63BE7B"/>
            <w:tcMar>
              <w:top w:w="0" w:type="dxa"/>
              <w:left w:w="40" w:type="dxa"/>
              <w:bottom w:w="0" w:type="dxa"/>
              <w:right w:w="40" w:type="dxa"/>
            </w:tcMar>
            <w:vAlign w:val="center"/>
          </w:tcPr>
          <w:p w14:paraId="637DD552" w14:textId="77777777" w:rsidR="00F3751F" w:rsidRDefault="00C77840">
            <w:pPr>
              <w:jc w:val="center"/>
              <w:rPr>
                <w:rFonts w:ascii="Calibri" w:eastAsia="Calibri" w:hAnsi="Calibri" w:cs="Calibri"/>
                <w:sz w:val="22"/>
                <w:szCs w:val="22"/>
              </w:rPr>
            </w:pPr>
            <w:r>
              <w:rPr>
                <w:b/>
                <w:bCs/>
              </w:rPr>
              <w:t>2025</w:t>
            </w:r>
          </w:p>
        </w:tc>
      </w:tr>
      <w:tr w:rsidR="00F3751F" w14:paraId="637DD55B"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554" w14:textId="77777777" w:rsidR="00F3751F" w:rsidRDefault="00C77840">
            <w:pPr>
              <w:jc w:val="center"/>
              <w:rPr>
                <w:rFonts w:ascii="Calibri" w:eastAsia="Calibri" w:hAnsi="Calibri" w:cs="Calibri"/>
                <w:sz w:val="22"/>
                <w:szCs w:val="22"/>
              </w:rPr>
            </w:pPr>
            <w:r>
              <w:t>No Of Share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555" w14:textId="77777777" w:rsidR="00F3751F" w:rsidRDefault="00C77840">
            <w:pPr>
              <w:jc w:val="center"/>
              <w:rPr>
                <w:rFonts w:ascii="Calibri" w:eastAsia="Calibri" w:hAnsi="Calibri" w:cs="Calibri"/>
                <w:sz w:val="22"/>
                <w:szCs w:val="22"/>
              </w:rPr>
            </w:pPr>
            <w:r>
              <w:t>A</w:t>
            </w:r>
          </w:p>
        </w:tc>
        <w:tc>
          <w:tcPr>
            <w:tcW w:w="1119" w:type="dxa"/>
            <w:tcBorders>
              <w:top w:val="single" w:sz="6" w:space="0" w:color="CCCCCC"/>
              <w:left w:val="single" w:sz="6" w:space="0" w:color="CCCCCC"/>
              <w:bottom w:val="single" w:sz="6" w:space="0" w:color="000000"/>
              <w:right w:val="single" w:sz="6" w:space="0" w:color="000000"/>
            </w:tcBorders>
            <w:shd w:val="clear" w:color="auto" w:fill="FCFCFF"/>
            <w:tcMar>
              <w:top w:w="0" w:type="dxa"/>
              <w:left w:w="40" w:type="dxa"/>
              <w:bottom w:w="0" w:type="dxa"/>
              <w:right w:w="40" w:type="dxa"/>
            </w:tcMar>
            <w:vAlign w:val="center"/>
          </w:tcPr>
          <w:p w14:paraId="637DD556" w14:textId="77777777" w:rsidR="00F3751F" w:rsidRDefault="00C77840">
            <w:pPr>
              <w:jc w:val="center"/>
              <w:rPr>
                <w:rFonts w:ascii="Calibri" w:eastAsia="Calibri" w:hAnsi="Calibri" w:cs="Calibri"/>
                <w:sz w:val="22"/>
                <w:szCs w:val="22"/>
              </w:rPr>
            </w:pPr>
            <w:r>
              <w:t>109.00</w:t>
            </w:r>
          </w:p>
        </w:tc>
        <w:tc>
          <w:tcPr>
            <w:tcW w:w="1119" w:type="dxa"/>
            <w:tcBorders>
              <w:top w:val="single" w:sz="6" w:space="0" w:color="CCCCCC"/>
              <w:left w:val="single" w:sz="6" w:space="0" w:color="CCCCCC"/>
              <w:bottom w:val="single" w:sz="6" w:space="0" w:color="000000"/>
              <w:right w:val="single" w:sz="6" w:space="0" w:color="000000"/>
            </w:tcBorders>
            <w:shd w:val="clear" w:color="auto" w:fill="FCFCFF"/>
            <w:tcMar>
              <w:top w:w="0" w:type="dxa"/>
              <w:left w:w="40" w:type="dxa"/>
              <w:bottom w:w="0" w:type="dxa"/>
              <w:right w:w="40" w:type="dxa"/>
            </w:tcMar>
            <w:vAlign w:val="center"/>
          </w:tcPr>
          <w:p w14:paraId="637DD557" w14:textId="77777777" w:rsidR="00F3751F" w:rsidRDefault="00C77840">
            <w:pPr>
              <w:jc w:val="center"/>
              <w:rPr>
                <w:rFonts w:ascii="Calibri" w:eastAsia="Calibri" w:hAnsi="Calibri" w:cs="Calibri"/>
                <w:sz w:val="22"/>
                <w:szCs w:val="22"/>
              </w:rPr>
            </w:pPr>
            <w:r>
              <w:t>106.00</w:t>
            </w:r>
          </w:p>
        </w:tc>
        <w:tc>
          <w:tcPr>
            <w:tcW w:w="1119" w:type="dxa"/>
            <w:tcBorders>
              <w:top w:val="single" w:sz="6" w:space="0" w:color="CCCCCC"/>
              <w:left w:val="single" w:sz="6" w:space="0" w:color="CCCCCC"/>
              <w:bottom w:val="single" w:sz="6" w:space="0" w:color="000000"/>
              <w:right w:val="single" w:sz="6" w:space="0" w:color="000000"/>
            </w:tcBorders>
            <w:shd w:val="clear" w:color="auto" w:fill="FBFBFE"/>
            <w:tcMar>
              <w:top w:w="0" w:type="dxa"/>
              <w:left w:w="40" w:type="dxa"/>
              <w:bottom w:w="0" w:type="dxa"/>
              <w:right w:w="40" w:type="dxa"/>
            </w:tcMar>
            <w:vAlign w:val="center"/>
          </w:tcPr>
          <w:p w14:paraId="637DD558" w14:textId="77777777" w:rsidR="00F3751F" w:rsidRDefault="00C77840">
            <w:pPr>
              <w:jc w:val="center"/>
              <w:rPr>
                <w:rFonts w:ascii="Calibri" w:eastAsia="Calibri" w:hAnsi="Calibri" w:cs="Calibri"/>
                <w:sz w:val="22"/>
                <w:szCs w:val="22"/>
              </w:rPr>
            </w:pPr>
            <w:r>
              <w:t>103.00</w:t>
            </w:r>
          </w:p>
        </w:tc>
        <w:tc>
          <w:tcPr>
            <w:tcW w:w="1270" w:type="dxa"/>
            <w:tcBorders>
              <w:top w:val="single" w:sz="6" w:space="0" w:color="CCCCCC"/>
              <w:left w:val="single" w:sz="6" w:space="0" w:color="CCCCCC"/>
              <w:bottom w:val="single" w:sz="6" w:space="0" w:color="000000"/>
              <w:right w:val="single" w:sz="6" w:space="0" w:color="000000"/>
            </w:tcBorders>
            <w:shd w:val="clear" w:color="auto" w:fill="FBF8FB"/>
            <w:tcMar>
              <w:top w:w="0" w:type="dxa"/>
              <w:left w:w="40" w:type="dxa"/>
              <w:bottom w:w="0" w:type="dxa"/>
              <w:right w:w="40" w:type="dxa"/>
            </w:tcMar>
            <w:vAlign w:val="center"/>
          </w:tcPr>
          <w:p w14:paraId="637DD559" w14:textId="77777777" w:rsidR="00F3751F" w:rsidRDefault="00C77840">
            <w:pPr>
              <w:jc w:val="center"/>
              <w:rPr>
                <w:rFonts w:ascii="Calibri" w:eastAsia="Calibri" w:hAnsi="Calibri" w:cs="Calibri"/>
                <w:sz w:val="22"/>
                <w:szCs w:val="22"/>
              </w:rPr>
            </w:pPr>
            <w:r>
              <w:t>96.00</w:t>
            </w:r>
          </w:p>
        </w:tc>
        <w:tc>
          <w:tcPr>
            <w:tcW w:w="1119" w:type="dxa"/>
            <w:tcBorders>
              <w:top w:val="single" w:sz="6" w:space="0" w:color="CCCCCC"/>
              <w:left w:val="single" w:sz="6" w:space="0" w:color="CCCCCC"/>
              <w:bottom w:val="single" w:sz="6" w:space="0" w:color="000000"/>
              <w:right w:val="single" w:sz="6" w:space="0" w:color="000000"/>
            </w:tcBorders>
            <w:shd w:val="clear" w:color="auto" w:fill="FBDFE2"/>
            <w:tcMar>
              <w:top w:w="0" w:type="dxa"/>
              <w:left w:w="40" w:type="dxa"/>
              <w:bottom w:w="0" w:type="dxa"/>
              <w:right w:w="40" w:type="dxa"/>
            </w:tcMar>
            <w:vAlign w:val="center"/>
          </w:tcPr>
          <w:p w14:paraId="637DD55A" w14:textId="77777777" w:rsidR="00F3751F" w:rsidRDefault="00C77840">
            <w:pPr>
              <w:jc w:val="center"/>
              <w:rPr>
                <w:rFonts w:ascii="Calibri" w:eastAsia="Calibri" w:hAnsi="Calibri" w:cs="Calibri"/>
                <w:sz w:val="22"/>
                <w:szCs w:val="22"/>
              </w:rPr>
            </w:pPr>
            <w:r>
              <w:t>41.50</w:t>
            </w:r>
          </w:p>
        </w:tc>
      </w:tr>
      <w:tr w:rsidR="00F3751F" w14:paraId="637DD563"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55C" w14:textId="77777777" w:rsidR="00F3751F" w:rsidRDefault="00C77840">
            <w:pPr>
              <w:jc w:val="center"/>
              <w:rPr>
                <w:rFonts w:ascii="Calibri" w:eastAsia="Calibri" w:hAnsi="Calibri" w:cs="Calibri"/>
                <w:sz w:val="22"/>
                <w:szCs w:val="22"/>
              </w:rPr>
            </w:pPr>
            <w:r>
              <w:t>Net Income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55D" w14:textId="77777777" w:rsidR="00F3751F" w:rsidRDefault="00C77840">
            <w:pPr>
              <w:jc w:val="center"/>
              <w:rPr>
                <w:rFonts w:ascii="Calibri" w:eastAsia="Calibri" w:hAnsi="Calibri" w:cs="Calibri"/>
                <w:sz w:val="22"/>
                <w:szCs w:val="22"/>
              </w:rPr>
            </w:pPr>
            <w:r>
              <w:t>B</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55E" w14:textId="77777777" w:rsidR="00F3751F" w:rsidRDefault="00C77840">
            <w:pPr>
              <w:jc w:val="center"/>
              <w:rPr>
                <w:rFonts w:ascii="Calibri" w:eastAsia="Calibri" w:hAnsi="Calibri" w:cs="Calibri"/>
                <w:sz w:val="22"/>
                <w:szCs w:val="22"/>
              </w:rPr>
            </w:pPr>
            <w:r>
              <w:t>(222.00)</w:t>
            </w:r>
          </w:p>
        </w:tc>
        <w:tc>
          <w:tcPr>
            <w:tcW w:w="1119" w:type="dxa"/>
            <w:tcBorders>
              <w:top w:val="single" w:sz="6" w:space="0" w:color="CCCCCC"/>
              <w:left w:val="single" w:sz="6" w:space="0" w:color="CCCCCC"/>
              <w:bottom w:val="single" w:sz="6" w:space="0" w:color="000000"/>
              <w:right w:val="single" w:sz="6" w:space="0" w:color="000000"/>
            </w:tcBorders>
            <w:shd w:val="clear" w:color="auto" w:fill="E1F1E7"/>
            <w:tcMar>
              <w:top w:w="0" w:type="dxa"/>
              <w:left w:w="40" w:type="dxa"/>
              <w:bottom w:w="0" w:type="dxa"/>
              <w:right w:w="40" w:type="dxa"/>
            </w:tcMar>
            <w:vAlign w:val="center"/>
          </w:tcPr>
          <w:p w14:paraId="637DD55F" w14:textId="77777777" w:rsidR="00F3751F" w:rsidRDefault="00C77840">
            <w:pPr>
              <w:jc w:val="center"/>
              <w:rPr>
                <w:rFonts w:ascii="Calibri" w:eastAsia="Calibri" w:hAnsi="Calibri" w:cs="Calibri"/>
                <w:sz w:val="22"/>
                <w:szCs w:val="22"/>
              </w:rPr>
            </w:pPr>
            <w:r>
              <w:t>455.00</w:t>
            </w:r>
          </w:p>
        </w:tc>
        <w:tc>
          <w:tcPr>
            <w:tcW w:w="1119" w:type="dxa"/>
            <w:tcBorders>
              <w:top w:val="single" w:sz="6" w:space="0" w:color="CCCCCC"/>
              <w:left w:val="single" w:sz="6" w:space="0" w:color="CCCCCC"/>
              <w:bottom w:val="single" w:sz="6" w:space="0" w:color="000000"/>
              <w:right w:val="single" w:sz="6" w:space="0" w:color="000000"/>
            </w:tcBorders>
            <w:shd w:val="clear" w:color="auto" w:fill="F3F9F8"/>
            <w:tcMar>
              <w:top w:w="0" w:type="dxa"/>
              <w:left w:w="40" w:type="dxa"/>
              <w:bottom w:w="0" w:type="dxa"/>
              <w:right w:w="40" w:type="dxa"/>
            </w:tcMar>
            <w:vAlign w:val="center"/>
          </w:tcPr>
          <w:p w14:paraId="637DD560" w14:textId="77777777" w:rsidR="00F3751F" w:rsidRDefault="00C77840">
            <w:pPr>
              <w:jc w:val="center"/>
              <w:rPr>
                <w:rFonts w:ascii="Calibri" w:eastAsia="Calibri" w:hAnsi="Calibri" w:cs="Calibri"/>
                <w:sz w:val="22"/>
                <w:szCs w:val="22"/>
              </w:rPr>
            </w:pPr>
            <w:r>
              <w:t>220.00</w:t>
            </w:r>
          </w:p>
        </w:tc>
        <w:tc>
          <w:tcPr>
            <w:tcW w:w="1270" w:type="dxa"/>
            <w:tcBorders>
              <w:top w:val="single" w:sz="6" w:space="0" w:color="CCCCCC"/>
              <w:left w:val="single" w:sz="6" w:space="0" w:color="CCCCCC"/>
              <w:bottom w:val="single" w:sz="6" w:space="0" w:color="000000"/>
              <w:right w:val="single" w:sz="6" w:space="0" w:color="000000"/>
            </w:tcBorders>
            <w:shd w:val="clear" w:color="auto" w:fill="9ED6AE"/>
            <w:tcMar>
              <w:top w:w="0" w:type="dxa"/>
              <w:left w:w="40" w:type="dxa"/>
              <w:bottom w:w="0" w:type="dxa"/>
              <w:right w:w="40" w:type="dxa"/>
            </w:tcMar>
            <w:vAlign w:val="center"/>
          </w:tcPr>
          <w:p w14:paraId="637DD561" w14:textId="77777777" w:rsidR="00F3751F" w:rsidRDefault="00C77840">
            <w:pPr>
              <w:jc w:val="center"/>
              <w:rPr>
                <w:rFonts w:ascii="Calibri" w:eastAsia="Calibri" w:hAnsi="Calibri" w:cs="Calibri"/>
                <w:sz w:val="22"/>
                <w:szCs w:val="22"/>
              </w:rPr>
            </w:pPr>
            <w:r>
              <w:t>1,296.00</w:t>
            </w:r>
          </w:p>
        </w:tc>
        <w:tc>
          <w:tcPr>
            <w:tcW w:w="1119" w:type="dxa"/>
            <w:tcBorders>
              <w:top w:val="single" w:sz="6" w:space="0" w:color="CCCCCC"/>
              <w:left w:val="single" w:sz="6" w:space="0" w:color="CCCCCC"/>
              <w:bottom w:val="single" w:sz="6" w:space="0" w:color="000000"/>
              <w:right w:val="single" w:sz="6" w:space="0" w:color="000000"/>
            </w:tcBorders>
            <w:shd w:val="clear" w:color="auto" w:fill="FAB6B9"/>
            <w:tcMar>
              <w:top w:w="0" w:type="dxa"/>
              <w:left w:w="40" w:type="dxa"/>
              <w:bottom w:w="0" w:type="dxa"/>
              <w:right w:w="40" w:type="dxa"/>
            </w:tcMar>
            <w:vAlign w:val="center"/>
          </w:tcPr>
          <w:p w14:paraId="637DD562" w14:textId="77777777" w:rsidR="00F3751F" w:rsidRDefault="00C77840">
            <w:pPr>
              <w:jc w:val="center"/>
              <w:rPr>
                <w:rFonts w:ascii="Calibri" w:eastAsia="Calibri" w:hAnsi="Calibri" w:cs="Calibri"/>
                <w:sz w:val="22"/>
                <w:szCs w:val="22"/>
              </w:rPr>
            </w:pPr>
            <w:r>
              <w:t>(49.00)</w:t>
            </w:r>
          </w:p>
        </w:tc>
      </w:tr>
      <w:tr w:rsidR="00F3751F" w14:paraId="637DD56B"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564" w14:textId="77777777" w:rsidR="00F3751F" w:rsidRDefault="00C77840">
            <w:pPr>
              <w:jc w:val="center"/>
              <w:rPr>
                <w:rFonts w:ascii="Calibri" w:eastAsia="Calibri" w:hAnsi="Calibri" w:cs="Calibri"/>
                <w:sz w:val="22"/>
                <w:szCs w:val="22"/>
              </w:rPr>
            </w:pPr>
            <w:r>
              <w:rPr>
                <w:b/>
                <w:bCs/>
              </w:rPr>
              <w:t>Earning Per Share</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565" w14:textId="77777777" w:rsidR="00F3751F" w:rsidRDefault="00C77840">
            <w:pPr>
              <w:jc w:val="center"/>
              <w:rPr>
                <w:rFonts w:ascii="Calibri" w:eastAsia="Calibri" w:hAnsi="Calibri" w:cs="Calibri"/>
                <w:sz w:val="22"/>
                <w:szCs w:val="22"/>
              </w:rPr>
            </w:pPr>
            <w:r>
              <w:rPr>
                <w:b/>
                <w:bCs/>
              </w:rPr>
              <w:t>B/A</w:t>
            </w:r>
          </w:p>
        </w:tc>
        <w:tc>
          <w:tcPr>
            <w:tcW w:w="1119" w:type="dxa"/>
            <w:tcBorders>
              <w:top w:val="single" w:sz="6" w:space="0" w:color="CCCCCC"/>
              <w:left w:val="single" w:sz="6" w:space="0" w:color="CCCCCC"/>
              <w:bottom w:val="single" w:sz="6" w:space="0" w:color="000000"/>
              <w:right w:val="single" w:sz="6" w:space="0" w:color="000000"/>
            </w:tcBorders>
            <w:shd w:val="clear" w:color="auto" w:fill="FACCCE"/>
            <w:tcMar>
              <w:top w:w="0" w:type="dxa"/>
              <w:left w:w="40" w:type="dxa"/>
              <w:bottom w:w="0" w:type="dxa"/>
              <w:right w:w="40" w:type="dxa"/>
            </w:tcMar>
            <w:vAlign w:val="center"/>
          </w:tcPr>
          <w:p w14:paraId="637DD566" w14:textId="77777777" w:rsidR="00F3751F" w:rsidRDefault="00C77840">
            <w:pPr>
              <w:jc w:val="center"/>
              <w:rPr>
                <w:rFonts w:ascii="Calibri" w:eastAsia="Calibri" w:hAnsi="Calibri" w:cs="Calibri"/>
                <w:sz w:val="22"/>
                <w:szCs w:val="22"/>
              </w:rPr>
            </w:pPr>
            <w:r>
              <w:rPr>
                <w:b/>
                <w:bCs/>
              </w:rPr>
              <w:t>(2.04)</w:t>
            </w:r>
          </w:p>
        </w:tc>
        <w:tc>
          <w:tcPr>
            <w:tcW w:w="1119" w:type="dxa"/>
            <w:tcBorders>
              <w:top w:val="single" w:sz="6" w:space="0" w:color="CCCCCC"/>
              <w:left w:val="single" w:sz="6" w:space="0" w:color="CCCCCC"/>
              <w:bottom w:val="single" w:sz="6" w:space="0" w:color="000000"/>
              <w:right w:val="single" w:sz="6" w:space="0" w:color="000000"/>
            </w:tcBorders>
            <w:shd w:val="clear" w:color="auto" w:fill="FACED1"/>
            <w:tcMar>
              <w:top w:w="0" w:type="dxa"/>
              <w:left w:w="40" w:type="dxa"/>
              <w:bottom w:w="0" w:type="dxa"/>
              <w:right w:w="40" w:type="dxa"/>
            </w:tcMar>
            <w:vAlign w:val="center"/>
          </w:tcPr>
          <w:p w14:paraId="637DD567" w14:textId="77777777" w:rsidR="00F3751F" w:rsidRDefault="00C77840">
            <w:pPr>
              <w:jc w:val="center"/>
              <w:rPr>
                <w:rFonts w:ascii="Calibri" w:eastAsia="Calibri" w:hAnsi="Calibri" w:cs="Calibri"/>
                <w:sz w:val="22"/>
                <w:szCs w:val="22"/>
              </w:rPr>
            </w:pPr>
            <w:r>
              <w:rPr>
                <w:b/>
                <w:bCs/>
              </w:rPr>
              <w:t>4.29</w:t>
            </w:r>
          </w:p>
        </w:tc>
        <w:tc>
          <w:tcPr>
            <w:tcW w:w="1119" w:type="dxa"/>
            <w:tcBorders>
              <w:top w:val="single" w:sz="6" w:space="0" w:color="CCCCCC"/>
              <w:left w:val="single" w:sz="6" w:space="0" w:color="CCCCCC"/>
              <w:bottom w:val="single" w:sz="6" w:space="0" w:color="000000"/>
              <w:right w:val="single" w:sz="6" w:space="0" w:color="000000"/>
            </w:tcBorders>
            <w:shd w:val="clear" w:color="auto" w:fill="FACDD0"/>
            <w:tcMar>
              <w:top w:w="0" w:type="dxa"/>
              <w:left w:w="40" w:type="dxa"/>
              <w:bottom w:w="0" w:type="dxa"/>
              <w:right w:w="40" w:type="dxa"/>
            </w:tcMar>
            <w:vAlign w:val="center"/>
          </w:tcPr>
          <w:p w14:paraId="637DD568" w14:textId="77777777" w:rsidR="00F3751F" w:rsidRDefault="00C77840">
            <w:pPr>
              <w:jc w:val="center"/>
              <w:rPr>
                <w:rFonts w:ascii="Calibri" w:eastAsia="Calibri" w:hAnsi="Calibri" w:cs="Calibri"/>
                <w:sz w:val="22"/>
                <w:szCs w:val="22"/>
              </w:rPr>
            </w:pPr>
            <w:r>
              <w:rPr>
                <w:b/>
                <w:bCs/>
              </w:rPr>
              <w:t>2.14</w:t>
            </w:r>
          </w:p>
        </w:tc>
        <w:tc>
          <w:tcPr>
            <w:tcW w:w="1270" w:type="dxa"/>
            <w:tcBorders>
              <w:top w:val="single" w:sz="6" w:space="0" w:color="CCCCCC"/>
              <w:left w:val="single" w:sz="6" w:space="0" w:color="CCCCCC"/>
              <w:bottom w:val="single" w:sz="6" w:space="0" w:color="000000"/>
              <w:right w:val="single" w:sz="6" w:space="0" w:color="000000"/>
            </w:tcBorders>
            <w:shd w:val="clear" w:color="auto" w:fill="FAD3D5"/>
            <w:tcMar>
              <w:top w:w="0" w:type="dxa"/>
              <w:left w:w="40" w:type="dxa"/>
              <w:bottom w:w="0" w:type="dxa"/>
              <w:right w:w="40" w:type="dxa"/>
            </w:tcMar>
            <w:vAlign w:val="center"/>
          </w:tcPr>
          <w:p w14:paraId="637DD569" w14:textId="77777777" w:rsidR="00F3751F" w:rsidRDefault="00C77840">
            <w:pPr>
              <w:jc w:val="center"/>
              <w:rPr>
                <w:rFonts w:ascii="Calibri" w:eastAsia="Calibri" w:hAnsi="Calibri" w:cs="Calibri"/>
                <w:sz w:val="22"/>
                <w:szCs w:val="22"/>
              </w:rPr>
            </w:pPr>
            <w:r>
              <w:rPr>
                <w:b/>
                <w:bCs/>
              </w:rPr>
              <w:t>13.50</w:t>
            </w:r>
          </w:p>
        </w:tc>
        <w:tc>
          <w:tcPr>
            <w:tcW w:w="1119" w:type="dxa"/>
            <w:tcBorders>
              <w:top w:val="single" w:sz="6" w:space="0" w:color="CCCCCC"/>
              <w:left w:val="single" w:sz="6" w:space="0" w:color="CCCCCC"/>
              <w:bottom w:val="single" w:sz="6" w:space="0" w:color="000000"/>
              <w:right w:val="single" w:sz="6" w:space="0" w:color="000000"/>
            </w:tcBorders>
            <w:shd w:val="clear" w:color="auto" w:fill="FACCCF"/>
            <w:tcMar>
              <w:top w:w="0" w:type="dxa"/>
              <w:left w:w="40" w:type="dxa"/>
              <w:bottom w:w="0" w:type="dxa"/>
              <w:right w:w="40" w:type="dxa"/>
            </w:tcMar>
            <w:vAlign w:val="center"/>
          </w:tcPr>
          <w:p w14:paraId="637DD56A" w14:textId="77777777" w:rsidR="00F3751F" w:rsidRDefault="00C77840">
            <w:pPr>
              <w:jc w:val="center"/>
              <w:rPr>
                <w:rFonts w:ascii="Calibri" w:eastAsia="Calibri" w:hAnsi="Calibri" w:cs="Calibri"/>
                <w:sz w:val="22"/>
                <w:szCs w:val="22"/>
              </w:rPr>
            </w:pPr>
            <w:r>
              <w:rPr>
                <w:b/>
                <w:bCs/>
              </w:rPr>
              <w:t>(1.18)</w:t>
            </w:r>
          </w:p>
        </w:tc>
      </w:tr>
      <w:tr w:rsidR="00F3751F" w14:paraId="637DD573" w14:textId="77777777">
        <w:trPr>
          <w:trHeight w:val="315"/>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56C" w14:textId="77777777" w:rsidR="00F3751F" w:rsidRDefault="00F3751F">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56D" w14:textId="77777777" w:rsidR="00F3751F" w:rsidRDefault="00F3751F">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56E" w14:textId="77777777" w:rsidR="00F3751F" w:rsidRDefault="00F3751F">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56F" w14:textId="77777777" w:rsidR="00F3751F" w:rsidRDefault="00F3751F">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570" w14:textId="77777777" w:rsidR="00F3751F" w:rsidRDefault="00F3751F">
            <w:pPr>
              <w:rPr>
                <w:rFonts w:ascii="Calibri" w:eastAsia="Calibri" w:hAnsi="Calibri" w:cs="Calibri"/>
                <w:sz w:val="22"/>
                <w:szCs w:val="22"/>
              </w:rPr>
            </w:pPr>
          </w:p>
        </w:tc>
        <w:tc>
          <w:tcPr>
            <w:tcW w:w="127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571" w14:textId="77777777" w:rsidR="00F3751F" w:rsidRDefault="00F3751F">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7DD572" w14:textId="77777777" w:rsidR="00F3751F" w:rsidRDefault="00F3751F">
            <w:pPr>
              <w:rPr>
                <w:rFonts w:ascii="Calibri" w:eastAsia="Calibri" w:hAnsi="Calibri" w:cs="Calibri"/>
                <w:sz w:val="22"/>
                <w:szCs w:val="22"/>
              </w:rPr>
            </w:pPr>
          </w:p>
        </w:tc>
      </w:tr>
      <w:tr w:rsidR="00F3751F" w14:paraId="637DD575" w14:textId="77777777">
        <w:trPr>
          <w:trHeight w:val="315"/>
        </w:trPr>
        <w:tc>
          <w:tcPr>
            <w:tcW w:w="9355"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637DD574" w14:textId="77777777" w:rsidR="00F3751F" w:rsidRDefault="00C77840">
            <w:pPr>
              <w:jc w:val="center"/>
              <w:rPr>
                <w:rFonts w:ascii="Calibri" w:eastAsia="Calibri" w:hAnsi="Calibri" w:cs="Calibri"/>
                <w:sz w:val="22"/>
                <w:szCs w:val="22"/>
              </w:rPr>
            </w:pPr>
            <w:r>
              <w:rPr>
                <w:b/>
                <w:bCs/>
              </w:rPr>
              <w:t>Cash Flow Ratios:-</w:t>
            </w:r>
          </w:p>
        </w:tc>
      </w:tr>
      <w:tr w:rsidR="00F3751F" w14:paraId="637DD57D"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576" w14:textId="77777777" w:rsidR="00F3751F" w:rsidRDefault="00C77840">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577" w14:textId="77777777" w:rsidR="00F3751F" w:rsidRDefault="00C77840">
            <w:pPr>
              <w:jc w:val="center"/>
              <w:rPr>
                <w:rFonts w:ascii="Calibri" w:eastAsia="Calibri" w:hAnsi="Calibri" w:cs="Calibri"/>
                <w:sz w:val="22"/>
                <w:szCs w:val="22"/>
              </w:rPr>
            </w:pPr>
            <w:r>
              <w:rPr>
                <w:b/>
                <w:bCs/>
              </w:rPr>
              <w:t>Details</w:t>
            </w:r>
          </w:p>
        </w:tc>
        <w:tc>
          <w:tcPr>
            <w:tcW w:w="1119" w:type="dxa"/>
            <w:tcBorders>
              <w:top w:val="single" w:sz="6" w:space="0" w:color="CCCCCC"/>
              <w:left w:val="single" w:sz="6" w:space="0" w:color="CCCCCC"/>
              <w:bottom w:val="single" w:sz="6" w:space="0" w:color="000000"/>
              <w:right w:val="single" w:sz="6" w:space="0" w:color="000000"/>
            </w:tcBorders>
            <w:shd w:val="clear" w:color="auto" w:fill="F5FAF9"/>
            <w:tcMar>
              <w:top w:w="0" w:type="dxa"/>
              <w:left w:w="40" w:type="dxa"/>
              <w:bottom w:w="0" w:type="dxa"/>
              <w:right w:w="40" w:type="dxa"/>
            </w:tcMar>
            <w:vAlign w:val="center"/>
          </w:tcPr>
          <w:p w14:paraId="637DD578" w14:textId="77777777" w:rsidR="00F3751F" w:rsidRDefault="00C77840">
            <w:pPr>
              <w:jc w:val="center"/>
              <w:rPr>
                <w:rFonts w:ascii="Calibri" w:eastAsia="Calibri" w:hAnsi="Calibri" w:cs="Calibri"/>
                <w:sz w:val="22"/>
                <w:szCs w:val="22"/>
              </w:rPr>
            </w:pPr>
            <w:r>
              <w:rPr>
                <w:b/>
                <w:bCs/>
              </w:rPr>
              <w:t>2021</w:t>
            </w:r>
          </w:p>
        </w:tc>
        <w:tc>
          <w:tcPr>
            <w:tcW w:w="1119" w:type="dxa"/>
            <w:tcBorders>
              <w:top w:val="single" w:sz="6" w:space="0" w:color="CCCCCC"/>
              <w:left w:val="single" w:sz="6" w:space="0" w:color="CCCCCC"/>
              <w:bottom w:val="single" w:sz="6" w:space="0" w:color="000000"/>
              <w:right w:val="single" w:sz="6" w:space="0" w:color="000000"/>
            </w:tcBorders>
            <w:shd w:val="clear" w:color="auto" w:fill="F5F9F9"/>
            <w:tcMar>
              <w:top w:w="0" w:type="dxa"/>
              <w:left w:w="40" w:type="dxa"/>
              <w:bottom w:w="0" w:type="dxa"/>
              <w:right w:w="40" w:type="dxa"/>
            </w:tcMar>
            <w:vAlign w:val="center"/>
          </w:tcPr>
          <w:p w14:paraId="637DD579" w14:textId="77777777" w:rsidR="00F3751F" w:rsidRDefault="00C77840">
            <w:pPr>
              <w:jc w:val="center"/>
              <w:rPr>
                <w:rFonts w:ascii="Calibri" w:eastAsia="Calibri" w:hAnsi="Calibri" w:cs="Calibri"/>
                <w:sz w:val="22"/>
                <w:szCs w:val="22"/>
              </w:rPr>
            </w:pPr>
            <w:r>
              <w:rPr>
                <w:b/>
                <w:bCs/>
              </w:rPr>
              <w:t>2022</w:t>
            </w:r>
          </w:p>
        </w:tc>
        <w:tc>
          <w:tcPr>
            <w:tcW w:w="1119" w:type="dxa"/>
            <w:tcBorders>
              <w:top w:val="single" w:sz="6" w:space="0" w:color="CCCCCC"/>
              <w:left w:val="single" w:sz="6" w:space="0" w:color="CCCCCC"/>
              <w:bottom w:val="single" w:sz="6" w:space="0" w:color="000000"/>
              <w:right w:val="single" w:sz="6" w:space="0" w:color="000000"/>
            </w:tcBorders>
            <w:shd w:val="clear" w:color="auto" w:fill="F5F9F9"/>
            <w:tcMar>
              <w:top w:w="0" w:type="dxa"/>
              <w:left w:w="40" w:type="dxa"/>
              <w:bottom w:w="0" w:type="dxa"/>
              <w:right w:w="40" w:type="dxa"/>
            </w:tcMar>
            <w:vAlign w:val="center"/>
          </w:tcPr>
          <w:p w14:paraId="637DD57A" w14:textId="77777777" w:rsidR="00F3751F" w:rsidRDefault="00C77840">
            <w:pPr>
              <w:jc w:val="center"/>
              <w:rPr>
                <w:rFonts w:ascii="Calibri" w:eastAsia="Calibri" w:hAnsi="Calibri" w:cs="Calibri"/>
                <w:sz w:val="22"/>
                <w:szCs w:val="22"/>
              </w:rPr>
            </w:pPr>
            <w:r>
              <w:rPr>
                <w:b/>
                <w:bCs/>
              </w:rPr>
              <w:t>2023</w:t>
            </w:r>
          </w:p>
        </w:tc>
        <w:tc>
          <w:tcPr>
            <w:tcW w:w="1270" w:type="dxa"/>
            <w:tcBorders>
              <w:top w:val="single" w:sz="6" w:space="0" w:color="CCCCCC"/>
              <w:left w:val="single" w:sz="6" w:space="0" w:color="CCCCCC"/>
              <w:bottom w:val="single" w:sz="6" w:space="0" w:color="000000"/>
              <w:right w:val="single" w:sz="6" w:space="0" w:color="000000"/>
            </w:tcBorders>
            <w:shd w:val="clear" w:color="auto" w:fill="F5F9F9"/>
            <w:tcMar>
              <w:top w:w="0" w:type="dxa"/>
              <w:left w:w="40" w:type="dxa"/>
              <w:bottom w:w="0" w:type="dxa"/>
              <w:right w:w="40" w:type="dxa"/>
            </w:tcMar>
            <w:vAlign w:val="center"/>
          </w:tcPr>
          <w:p w14:paraId="637DD57B" w14:textId="77777777" w:rsidR="00F3751F" w:rsidRDefault="00C77840">
            <w:pPr>
              <w:jc w:val="center"/>
              <w:rPr>
                <w:rFonts w:ascii="Calibri" w:eastAsia="Calibri" w:hAnsi="Calibri" w:cs="Calibri"/>
                <w:sz w:val="22"/>
                <w:szCs w:val="22"/>
              </w:rPr>
            </w:pPr>
            <w:r>
              <w:rPr>
                <w:b/>
                <w:bCs/>
              </w:rPr>
              <w:t>2024</w:t>
            </w:r>
          </w:p>
        </w:tc>
        <w:tc>
          <w:tcPr>
            <w:tcW w:w="1119" w:type="dxa"/>
            <w:tcBorders>
              <w:top w:val="single" w:sz="6" w:space="0" w:color="CCCCCC"/>
              <w:left w:val="single" w:sz="6" w:space="0" w:color="CCCCCC"/>
              <w:bottom w:val="single" w:sz="6" w:space="0" w:color="000000"/>
              <w:right w:val="single" w:sz="6" w:space="0" w:color="000000"/>
            </w:tcBorders>
            <w:shd w:val="clear" w:color="auto" w:fill="F5F9F9"/>
            <w:tcMar>
              <w:top w:w="0" w:type="dxa"/>
              <w:left w:w="40" w:type="dxa"/>
              <w:bottom w:w="0" w:type="dxa"/>
              <w:right w:w="40" w:type="dxa"/>
            </w:tcMar>
            <w:vAlign w:val="center"/>
          </w:tcPr>
          <w:p w14:paraId="637DD57C" w14:textId="77777777" w:rsidR="00F3751F" w:rsidRDefault="00C77840">
            <w:pPr>
              <w:jc w:val="center"/>
              <w:rPr>
                <w:rFonts w:ascii="Calibri" w:eastAsia="Calibri" w:hAnsi="Calibri" w:cs="Calibri"/>
                <w:sz w:val="22"/>
                <w:szCs w:val="22"/>
              </w:rPr>
            </w:pPr>
            <w:r>
              <w:rPr>
                <w:b/>
                <w:bCs/>
              </w:rPr>
              <w:t>2025</w:t>
            </w:r>
          </w:p>
        </w:tc>
      </w:tr>
      <w:tr w:rsidR="00F3751F" w14:paraId="637DD585"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57E" w14:textId="77777777" w:rsidR="00F3751F" w:rsidRDefault="00C77840">
            <w:pPr>
              <w:jc w:val="center"/>
              <w:rPr>
                <w:rFonts w:ascii="Calibri" w:eastAsia="Calibri" w:hAnsi="Calibri" w:cs="Calibri"/>
                <w:sz w:val="22"/>
                <w:szCs w:val="22"/>
              </w:rPr>
            </w:pPr>
            <w:r>
              <w:t>Cash Flow From Operation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57F" w14:textId="77777777" w:rsidR="00F3751F" w:rsidRDefault="00C77840">
            <w:pPr>
              <w:jc w:val="center"/>
              <w:rPr>
                <w:rFonts w:ascii="Calibri" w:eastAsia="Calibri" w:hAnsi="Calibri" w:cs="Calibri"/>
                <w:sz w:val="22"/>
                <w:szCs w:val="22"/>
              </w:rPr>
            </w:pPr>
            <w:r>
              <w:t>A</w:t>
            </w:r>
          </w:p>
        </w:tc>
        <w:tc>
          <w:tcPr>
            <w:tcW w:w="1119" w:type="dxa"/>
            <w:tcBorders>
              <w:top w:val="single" w:sz="6" w:space="0" w:color="CCCCCC"/>
              <w:left w:val="single" w:sz="6" w:space="0" w:color="CCCCCC"/>
              <w:bottom w:val="single" w:sz="6" w:space="0" w:color="000000"/>
              <w:right w:val="single" w:sz="6" w:space="0" w:color="000000"/>
            </w:tcBorders>
            <w:shd w:val="clear" w:color="auto" w:fill="F8898C"/>
            <w:tcMar>
              <w:top w:w="0" w:type="dxa"/>
              <w:left w:w="40" w:type="dxa"/>
              <w:bottom w:w="0" w:type="dxa"/>
              <w:right w:w="40" w:type="dxa"/>
            </w:tcMar>
            <w:vAlign w:val="center"/>
          </w:tcPr>
          <w:p w14:paraId="637DD580" w14:textId="77777777" w:rsidR="00F3751F" w:rsidRDefault="00C77840">
            <w:pPr>
              <w:jc w:val="center"/>
              <w:rPr>
                <w:rFonts w:ascii="Calibri" w:eastAsia="Calibri" w:hAnsi="Calibri" w:cs="Calibri"/>
                <w:sz w:val="22"/>
                <w:szCs w:val="22"/>
              </w:rPr>
            </w:pPr>
            <w:r>
              <w:t>315.00</w:t>
            </w:r>
          </w:p>
        </w:tc>
        <w:tc>
          <w:tcPr>
            <w:tcW w:w="1119" w:type="dxa"/>
            <w:tcBorders>
              <w:top w:val="single" w:sz="6" w:space="0" w:color="CCCCCC"/>
              <w:left w:val="single" w:sz="6" w:space="0" w:color="CCCCCC"/>
              <w:bottom w:val="single" w:sz="6" w:space="0" w:color="000000"/>
              <w:right w:val="single" w:sz="6" w:space="0" w:color="000000"/>
            </w:tcBorders>
            <w:shd w:val="clear" w:color="auto" w:fill="F9AFB1"/>
            <w:tcMar>
              <w:top w:w="0" w:type="dxa"/>
              <w:left w:w="40" w:type="dxa"/>
              <w:bottom w:w="0" w:type="dxa"/>
              <w:right w:w="40" w:type="dxa"/>
            </w:tcMar>
            <w:vAlign w:val="center"/>
          </w:tcPr>
          <w:p w14:paraId="637DD581" w14:textId="77777777" w:rsidR="00F3751F" w:rsidRDefault="00C77840">
            <w:pPr>
              <w:jc w:val="center"/>
              <w:rPr>
                <w:rFonts w:ascii="Calibri" w:eastAsia="Calibri" w:hAnsi="Calibri" w:cs="Calibri"/>
                <w:sz w:val="22"/>
                <w:szCs w:val="22"/>
              </w:rPr>
            </w:pPr>
            <w:r>
              <w:t>674.00</w:t>
            </w:r>
          </w:p>
        </w:tc>
        <w:tc>
          <w:tcPr>
            <w:tcW w:w="1119" w:type="dxa"/>
            <w:tcBorders>
              <w:top w:val="single" w:sz="6" w:space="0" w:color="CCCCCC"/>
              <w:left w:val="single" w:sz="6" w:space="0" w:color="CCCCCC"/>
              <w:bottom w:val="single" w:sz="6" w:space="0" w:color="000000"/>
              <w:right w:val="single" w:sz="6" w:space="0" w:color="000000"/>
            </w:tcBorders>
            <w:shd w:val="clear" w:color="auto" w:fill="FABCBE"/>
            <w:tcMar>
              <w:top w:w="0" w:type="dxa"/>
              <w:left w:w="40" w:type="dxa"/>
              <w:bottom w:w="0" w:type="dxa"/>
              <w:right w:w="40" w:type="dxa"/>
            </w:tcMar>
            <w:vAlign w:val="center"/>
          </w:tcPr>
          <w:p w14:paraId="637DD582" w14:textId="77777777" w:rsidR="00F3751F" w:rsidRDefault="00C77840">
            <w:pPr>
              <w:jc w:val="center"/>
              <w:rPr>
                <w:rFonts w:ascii="Calibri" w:eastAsia="Calibri" w:hAnsi="Calibri" w:cs="Calibri"/>
                <w:sz w:val="22"/>
                <w:szCs w:val="22"/>
              </w:rPr>
            </w:pPr>
            <w:r>
              <w:t>800.00</w:t>
            </w:r>
          </w:p>
        </w:tc>
        <w:tc>
          <w:tcPr>
            <w:tcW w:w="1270" w:type="dxa"/>
            <w:tcBorders>
              <w:top w:val="single" w:sz="6" w:space="0" w:color="CCCCCC"/>
              <w:left w:val="single" w:sz="6" w:space="0" w:color="CCCCCC"/>
              <w:bottom w:val="single" w:sz="6" w:space="0" w:color="000000"/>
              <w:right w:val="single" w:sz="6" w:space="0" w:color="000000"/>
            </w:tcBorders>
            <w:shd w:val="clear" w:color="auto" w:fill="F9AAAD"/>
            <w:tcMar>
              <w:top w:w="0" w:type="dxa"/>
              <w:left w:w="40" w:type="dxa"/>
              <w:bottom w:w="0" w:type="dxa"/>
              <w:right w:w="40" w:type="dxa"/>
            </w:tcMar>
            <w:vAlign w:val="center"/>
          </w:tcPr>
          <w:p w14:paraId="637DD583" w14:textId="77777777" w:rsidR="00F3751F" w:rsidRDefault="00C77840">
            <w:pPr>
              <w:jc w:val="center"/>
              <w:rPr>
                <w:rFonts w:ascii="Calibri" w:eastAsia="Calibri" w:hAnsi="Calibri" w:cs="Calibri"/>
                <w:sz w:val="22"/>
                <w:szCs w:val="22"/>
              </w:rPr>
            </w:pPr>
            <w:r>
              <w:t>633.00</w:t>
            </w:r>
          </w:p>
        </w:tc>
        <w:tc>
          <w:tcPr>
            <w:tcW w:w="1119" w:type="dxa"/>
            <w:tcBorders>
              <w:top w:val="single" w:sz="6" w:space="0" w:color="CCCCCC"/>
              <w:left w:val="single" w:sz="6" w:space="0" w:color="CCCCCC"/>
              <w:bottom w:val="single" w:sz="6" w:space="0" w:color="000000"/>
              <w:right w:val="single" w:sz="6" w:space="0" w:color="000000"/>
            </w:tcBorders>
            <w:shd w:val="clear" w:color="auto" w:fill="F99092"/>
            <w:tcMar>
              <w:top w:w="0" w:type="dxa"/>
              <w:left w:w="40" w:type="dxa"/>
              <w:bottom w:w="0" w:type="dxa"/>
              <w:right w:w="40" w:type="dxa"/>
            </w:tcMar>
            <w:vAlign w:val="center"/>
          </w:tcPr>
          <w:p w14:paraId="637DD584" w14:textId="77777777" w:rsidR="00F3751F" w:rsidRDefault="00C77840">
            <w:pPr>
              <w:jc w:val="center"/>
              <w:rPr>
                <w:rFonts w:ascii="Calibri" w:eastAsia="Calibri" w:hAnsi="Calibri" w:cs="Calibri"/>
                <w:sz w:val="22"/>
                <w:szCs w:val="22"/>
              </w:rPr>
            </w:pPr>
            <w:r>
              <w:t>379.00</w:t>
            </w:r>
          </w:p>
        </w:tc>
      </w:tr>
      <w:tr w:rsidR="00F3751F" w14:paraId="637DD58D"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586" w14:textId="77777777" w:rsidR="00F3751F" w:rsidRDefault="00C77840">
            <w:pPr>
              <w:jc w:val="center"/>
              <w:rPr>
                <w:rFonts w:ascii="Calibri" w:eastAsia="Calibri" w:hAnsi="Calibri" w:cs="Calibri"/>
                <w:sz w:val="22"/>
                <w:szCs w:val="22"/>
              </w:rPr>
            </w:pPr>
            <w:r>
              <w:t>Current Liabilities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587" w14:textId="77777777" w:rsidR="00F3751F" w:rsidRDefault="00C77840">
            <w:pPr>
              <w:jc w:val="center"/>
              <w:rPr>
                <w:rFonts w:ascii="Calibri" w:eastAsia="Calibri" w:hAnsi="Calibri" w:cs="Calibri"/>
                <w:sz w:val="22"/>
                <w:szCs w:val="22"/>
              </w:rPr>
            </w:pPr>
            <w:r>
              <w:t>B</w:t>
            </w:r>
          </w:p>
        </w:tc>
        <w:tc>
          <w:tcPr>
            <w:tcW w:w="1119" w:type="dxa"/>
            <w:tcBorders>
              <w:top w:val="single" w:sz="6" w:space="0" w:color="CCCCCC"/>
              <w:left w:val="single" w:sz="6" w:space="0" w:color="CCCCCC"/>
              <w:bottom w:val="single" w:sz="6" w:space="0" w:color="000000"/>
              <w:right w:val="single" w:sz="6" w:space="0" w:color="000000"/>
            </w:tcBorders>
            <w:shd w:val="clear" w:color="auto" w:fill="F3F8F7"/>
            <w:tcMar>
              <w:top w:w="0" w:type="dxa"/>
              <w:left w:w="40" w:type="dxa"/>
              <w:bottom w:w="0" w:type="dxa"/>
              <w:right w:w="40" w:type="dxa"/>
            </w:tcMar>
            <w:vAlign w:val="center"/>
          </w:tcPr>
          <w:p w14:paraId="637DD588" w14:textId="77777777" w:rsidR="00F3751F" w:rsidRDefault="00C77840">
            <w:pPr>
              <w:jc w:val="center"/>
              <w:rPr>
                <w:rFonts w:ascii="Calibri" w:eastAsia="Calibri" w:hAnsi="Calibri" w:cs="Calibri"/>
                <w:sz w:val="22"/>
                <w:szCs w:val="22"/>
              </w:rPr>
            </w:pPr>
            <w:r>
              <w:t>2,232.00</w:t>
            </w:r>
          </w:p>
        </w:tc>
        <w:tc>
          <w:tcPr>
            <w:tcW w:w="1119" w:type="dxa"/>
            <w:tcBorders>
              <w:top w:val="single" w:sz="6" w:space="0" w:color="CCCCCC"/>
              <w:left w:val="single" w:sz="6" w:space="0" w:color="CCCCCC"/>
              <w:bottom w:val="single" w:sz="6" w:space="0" w:color="000000"/>
              <w:right w:val="single" w:sz="6" w:space="0" w:color="000000"/>
            </w:tcBorders>
            <w:shd w:val="clear" w:color="auto" w:fill="E6F3EC"/>
            <w:tcMar>
              <w:top w:w="0" w:type="dxa"/>
              <w:left w:w="40" w:type="dxa"/>
              <w:bottom w:w="0" w:type="dxa"/>
              <w:right w:w="40" w:type="dxa"/>
            </w:tcMar>
            <w:vAlign w:val="center"/>
          </w:tcPr>
          <w:p w14:paraId="637DD589" w14:textId="77777777" w:rsidR="00F3751F" w:rsidRDefault="00C77840">
            <w:pPr>
              <w:jc w:val="center"/>
              <w:rPr>
                <w:rFonts w:ascii="Calibri" w:eastAsia="Calibri" w:hAnsi="Calibri" w:cs="Calibri"/>
                <w:sz w:val="22"/>
                <w:szCs w:val="22"/>
              </w:rPr>
            </w:pPr>
            <w:r>
              <w:t>3,287.00</w:t>
            </w:r>
          </w:p>
        </w:tc>
        <w:tc>
          <w:tcPr>
            <w:tcW w:w="1119" w:type="dxa"/>
            <w:tcBorders>
              <w:top w:val="single" w:sz="6" w:space="0" w:color="CCCCCC"/>
              <w:left w:val="single" w:sz="6" w:space="0" w:color="CCCCCC"/>
              <w:bottom w:val="single" w:sz="6" w:space="0" w:color="000000"/>
              <w:right w:val="single" w:sz="6" w:space="0" w:color="000000"/>
            </w:tcBorders>
            <w:shd w:val="clear" w:color="auto" w:fill="E2F2E9"/>
            <w:tcMar>
              <w:top w:w="0" w:type="dxa"/>
              <w:left w:w="40" w:type="dxa"/>
              <w:bottom w:w="0" w:type="dxa"/>
              <w:right w:w="40" w:type="dxa"/>
            </w:tcMar>
            <w:vAlign w:val="center"/>
          </w:tcPr>
          <w:p w14:paraId="637DD58A" w14:textId="77777777" w:rsidR="00F3751F" w:rsidRDefault="00C77840">
            <w:pPr>
              <w:jc w:val="center"/>
              <w:rPr>
                <w:rFonts w:ascii="Calibri" w:eastAsia="Calibri" w:hAnsi="Calibri" w:cs="Calibri"/>
                <w:sz w:val="22"/>
                <w:szCs w:val="22"/>
              </w:rPr>
            </w:pPr>
            <w:r>
              <w:t>3,578.00</w:t>
            </w:r>
          </w:p>
        </w:tc>
        <w:tc>
          <w:tcPr>
            <w:tcW w:w="1270" w:type="dxa"/>
            <w:tcBorders>
              <w:top w:val="single" w:sz="6" w:space="0" w:color="CCCCCC"/>
              <w:left w:val="single" w:sz="6" w:space="0" w:color="CCCCCC"/>
              <w:bottom w:val="single" w:sz="6" w:space="0" w:color="000000"/>
              <w:right w:val="single" w:sz="6" w:space="0" w:color="000000"/>
            </w:tcBorders>
            <w:shd w:val="clear" w:color="auto" w:fill="E6F3EC"/>
            <w:tcMar>
              <w:top w:w="0" w:type="dxa"/>
              <w:left w:w="40" w:type="dxa"/>
              <w:bottom w:w="0" w:type="dxa"/>
              <w:right w:w="40" w:type="dxa"/>
            </w:tcMar>
            <w:vAlign w:val="center"/>
          </w:tcPr>
          <w:p w14:paraId="637DD58B" w14:textId="77777777" w:rsidR="00F3751F" w:rsidRDefault="00C77840">
            <w:pPr>
              <w:jc w:val="center"/>
              <w:rPr>
                <w:rFonts w:ascii="Calibri" w:eastAsia="Calibri" w:hAnsi="Calibri" w:cs="Calibri"/>
                <w:sz w:val="22"/>
                <w:szCs w:val="22"/>
              </w:rPr>
            </w:pPr>
            <w:r>
              <w:t>3,274.00</w:t>
            </w:r>
          </w:p>
        </w:tc>
        <w:tc>
          <w:tcPr>
            <w:tcW w:w="1119" w:type="dxa"/>
            <w:tcBorders>
              <w:top w:val="single" w:sz="6" w:space="0" w:color="CCCCCC"/>
              <w:left w:val="single" w:sz="6" w:space="0" w:color="CCCCCC"/>
              <w:bottom w:val="single" w:sz="6" w:space="0" w:color="000000"/>
              <w:right w:val="single" w:sz="6" w:space="0" w:color="000000"/>
            </w:tcBorders>
            <w:shd w:val="clear" w:color="auto" w:fill="EBF5F0"/>
            <w:tcMar>
              <w:top w:w="0" w:type="dxa"/>
              <w:left w:w="40" w:type="dxa"/>
              <w:bottom w:w="0" w:type="dxa"/>
              <w:right w:w="40" w:type="dxa"/>
            </w:tcMar>
            <w:vAlign w:val="center"/>
          </w:tcPr>
          <w:p w14:paraId="637DD58C" w14:textId="77777777" w:rsidR="00F3751F" w:rsidRDefault="00C77840">
            <w:pPr>
              <w:jc w:val="center"/>
              <w:rPr>
                <w:rFonts w:ascii="Calibri" w:eastAsia="Calibri" w:hAnsi="Calibri" w:cs="Calibri"/>
                <w:sz w:val="22"/>
                <w:szCs w:val="22"/>
              </w:rPr>
            </w:pPr>
            <w:r>
              <w:t>2,894.00</w:t>
            </w:r>
          </w:p>
        </w:tc>
      </w:tr>
      <w:tr w:rsidR="00F3751F" w14:paraId="637DD595"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58E" w14:textId="77777777" w:rsidR="00F3751F" w:rsidRDefault="00C77840">
            <w:pPr>
              <w:jc w:val="center"/>
              <w:rPr>
                <w:rFonts w:ascii="Calibri" w:eastAsia="Calibri" w:hAnsi="Calibri" w:cs="Calibri"/>
                <w:sz w:val="22"/>
                <w:szCs w:val="22"/>
              </w:rPr>
            </w:pPr>
            <w:r>
              <w:t>Total Assets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58F" w14:textId="77777777" w:rsidR="00F3751F" w:rsidRDefault="00C77840">
            <w:pPr>
              <w:jc w:val="center"/>
              <w:rPr>
                <w:rFonts w:ascii="Calibri" w:eastAsia="Calibri" w:hAnsi="Calibri" w:cs="Calibri"/>
                <w:sz w:val="22"/>
                <w:szCs w:val="22"/>
              </w:rPr>
            </w:pPr>
            <w:r>
              <w:t>C</w:t>
            </w:r>
          </w:p>
        </w:tc>
        <w:tc>
          <w:tcPr>
            <w:tcW w:w="1119" w:type="dxa"/>
            <w:tcBorders>
              <w:top w:val="single" w:sz="6" w:space="0" w:color="CCCCCC"/>
              <w:left w:val="single" w:sz="6" w:space="0" w:color="CCCCCC"/>
              <w:bottom w:val="single" w:sz="6" w:space="0" w:color="000000"/>
              <w:right w:val="single" w:sz="6" w:space="0" w:color="000000"/>
            </w:tcBorders>
            <w:shd w:val="clear" w:color="auto" w:fill="75C68A"/>
            <w:tcMar>
              <w:top w:w="0" w:type="dxa"/>
              <w:left w:w="40" w:type="dxa"/>
              <w:bottom w:w="0" w:type="dxa"/>
              <w:right w:w="40" w:type="dxa"/>
            </w:tcMar>
            <w:vAlign w:val="center"/>
          </w:tcPr>
          <w:p w14:paraId="637DD590" w14:textId="77777777" w:rsidR="00F3751F" w:rsidRDefault="00C77840">
            <w:pPr>
              <w:jc w:val="center"/>
              <w:rPr>
                <w:rFonts w:ascii="Calibri" w:eastAsia="Calibri" w:hAnsi="Calibri" w:cs="Calibri"/>
                <w:sz w:val="22"/>
                <w:szCs w:val="22"/>
              </w:rPr>
            </w:pPr>
            <w:r>
              <w:t>12,603.00</w:t>
            </w:r>
          </w:p>
        </w:tc>
        <w:tc>
          <w:tcPr>
            <w:tcW w:w="1119" w:type="dxa"/>
            <w:tcBorders>
              <w:top w:val="single" w:sz="6" w:space="0" w:color="CCCCCC"/>
              <w:left w:val="single" w:sz="6" w:space="0" w:color="CCCCCC"/>
              <w:bottom w:val="single" w:sz="6" w:space="0" w:color="000000"/>
              <w:right w:val="single" w:sz="6" w:space="0" w:color="000000"/>
            </w:tcBorders>
            <w:shd w:val="clear" w:color="auto" w:fill="78C78E"/>
            <w:tcMar>
              <w:top w:w="0" w:type="dxa"/>
              <w:left w:w="40" w:type="dxa"/>
              <w:bottom w:w="0" w:type="dxa"/>
              <w:right w:w="40" w:type="dxa"/>
            </w:tcMar>
            <w:vAlign w:val="center"/>
          </w:tcPr>
          <w:p w14:paraId="637DD591" w14:textId="77777777" w:rsidR="00F3751F" w:rsidRDefault="00C77840">
            <w:pPr>
              <w:jc w:val="center"/>
              <w:rPr>
                <w:rFonts w:ascii="Calibri" w:eastAsia="Calibri" w:hAnsi="Calibri" w:cs="Calibri"/>
                <w:sz w:val="22"/>
                <w:szCs w:val="22"/>
              </w:rPr>
            </w:pPr>
            <w:r>
              <w:t>12,312.00</w:t>
            </w:r>
          </w:p>
        </w:tc>
        <w:tc>
          <w:tcPr>
            <w:tcW w:w="1119" w:type="dxa"/>
            <w:tcBorders>
              <w:top w:val="single" w:sz="6" w:space="0" w:color="CCCCCC"/>
              <w:left w:val="single" w:sz="6" w:space="0" w:color="CCCCCC"/>
              <w:bottom w:val="single" w:sz="6" w:space="0" w:color="000000"/>
              <w:right w:val="single" w:sz="6" w:space="0" w:color="000000"/>
            </w:tcBorders>
            <w:shd w:val="clear" w:color="auto" w:fill="72C488"/>
            <w:tcMar>
              <w:top w:w="0" w:type="dxa"/>
              <w:left w:w="40" w:type="dxa"/>
              <w:bottom w:w="0" w:type="dxa"/>
              <w:right w:w="40" w:type="dxa"/>
            </w:tcMar>
            <w:vAlign w:val="center"/>
          </w:tcPr>
          <w:p w14:paraId="637DD592" w14:textId="77777777" w:rsidR="00F3751F" w:rsidRDefault="00C77840">
            <w:pPr>
              <w:jc w:val="center"/>
              <w:rPr>
                <w:rFonts w:ascii="Calibri" w:eastAsia="Calibri" w:hAnsi="Calibri" w:cs="Calibri"/>
                <w:sz w:val="22"/>
                <w:szCs w:val="22"/>
              </w:rPr>
            </w:pPr>
            <w:r>
              <w:t>12,833.00</w:t>
            </w:r>
          </w:p>
        </w:tc>
        <w:tc>
          <w:tcPr>
            <w:tcW w:w="1270" w:type="dxa"/>
            <w:tcBorders>
              <w:top w:val="single" w:sz="6" w:space="0" w:color="CCCCCC"/>
              <w:left w:val="single" w:sz="6" w:space="0" w:color="CCCCCC"/>
              <w:bottom w:val="single" w:sz="6" w:space="0" w:color="000000"/>
              <w:right w:val="single" w:sz="6" w:space="0" w:color="000000"/>
            </w:tcBorders>
            <w:shd w:val="clear" w:color="auto" w:fill="6CC283"/>
            <w:tcMar>
              <w:top w:w="0" w:type="dxa"/>
              <w:left w:w="40" w:type="dxa"/>
              <w:bottom w:w="0" w:type="dxa"/>
              <w:right w:w="40" w:type="dxa"/>
            </w:tcMar>
            <w:vAlign w:val="center"/>
          </w:tcPr>
          <w:p w14:paraId="637DD593" w14:textId="77777777" w:rsidR="00F3751F" w:rsidRDefault="00C77840">
            <w:pPr>
              <w:jc w:val="center"/>
              <w:rPr>
                <w:rFonts w:ascii="Calibri" w:eastAsia="Calibri" w:hAnsi="Calibri" w:cs="Calibri"/>
                <w:sz w:val="22"/>
                <w:szCs w:val="22"/>
              </w:rPr>
            </w:pPr>
            <w:r>
              <w:t>13,324.00</w:t>
            </w:r>
          </w:p>
        </w:tc>
        <w:tc>
          <w:tcPr>
            <w:tcW w:w="1119" w:type="dxa"/>
            <w:tcBorders>
              <w:top w:val="single" w:sz="6" w:space="0" w:color="CCCCCC"/>
              <w:left w:val="single" w:sz="6" w:space="0" w:color="CCCCCC"/>
              <w:bottom w:val="single" w:sz="6" w:space="0" w:color="000000"/>
              <w:right w:val="single" w:sz="6" w:space="0" w:color="000000"/>
            </w:tcBorders>
            <w:shd w:val="clear" w:color="auto" w:fill="63BE7B"/>
            <w:tcMar>
              <w:top w:w="0" w:type="dxa"/>
              <w:left w:w="40" w:type="dxa"/>
              <w:bottom w:w="0" w:type="dxa"/>
              <w:right w:w="40" w:type="dxa"/>
            </w:tcMar>
            <w:vAlign w:val="center"/>
          </w:tcPr>
          <w:p w14:paraId="637DD594" w14:textId="77777777" w:rsidR="00F3751F" w:rsidRDefault="00C77840">
            <w:pPr>
              <w:jc w:val="center"/>
              <w:rPr>
                <w:rFonts w:ascii="Calibri" w:eastAsia="Calibri" w:hAnsi="Calibri" w:cs="Calibri"/>
                <w:sz w:val="22"/>
                <w:szCs w:val="22"/>
              </w:rPr>
            </w:pPr>
            <w:r>
              <w:t>14,036.00</w:t>
            </w:r>
          </w:p>
        </w:tc>
      </w:tr>
      <w:tr w:rsidR="00F3751F" w14:paraId="637DD59D"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596" w14:textId="77777777" w:rsidR="00F3751F" w:rsidRDefault="00C77840">
            <w:pPr>
              <w:jc w:val="center"/>
              <w:rPr>
                <w:rFonts w:ascii="Calibri" w:eastAsia="Calibri" w:hAnsi="Calibri" w:cs="Calibri"/>
                <w:sz w:val="22"/>
                <w:szCs w:val="22"/>
              </w:rPr>
            </w:pPr>
            <w:r>
              <w:rPr>
                <w:b/>
                <w:bCs/>
              </w:rPr>
              <w:t>Operating Cash Flow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597" w14:textId="77777777" w:rsidR="00F3751F" w:rsidRDefault="00C77840">
            <w:pPr>
              <w:jc w:val="center"/>
              <w:rPr>
                <w:rFonts w:ascii="Calibri" w:eastAsia="Calibri" w:hAnsi="Calibri" w:cs="Calibri"/>
                <w:sz w:val="22"/>
                <w:szCs w:val="22"/>
              </w:rPr>
            </w:pPr>
            <w:r>
              <w:rPr>
                <w:b/>
                <w:bCs/>
              </w:rPr>
              <w:t>A/B</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598" w14:textId="77777777" w:rsidR="00F3751F" w:rsidRDefault="00C77840">
            <w:pPr>
              <w:jc w:val="center"/>
              <w:rPr>
                <w:rFonts w:ascii="Calibri" w:eastAsia="Calibri" w:hAnsi="Calibri" w:cs="Calibri"/>
                <w:sz w:val="22"/>
                <w:szCs w:val="22"/>
              </w:rPr>
            </w:pPr>
            <w:r>
              <w:rPr>
                <w:b/>
                <w:bCs/>
              </w:rPr>
              <w:t>0.14</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599" w14:textId="77777777" w:rsidR="00F3751F" w:rsidRDefault="00C77840">
            <w:pPr>
              <w:jc w:val="center"/>
              <w:rPr>
                <w:rFonts w:ascii="Calibri" w:eastAsia="Calibri" w:hAnsi="Calibri" w:cs="Calibri"/>
                <w:sz w:val="22"/>
                <w:szCs w:val="22"/>
              </w:rPr>
            </w:pPr>
            <w:r>
              <w:rPr>
                <w:b/>
                <w:bCs/>
              </w:rPr>
              <w:t>0.21</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59A" w14:textId="77777777" w:rsidR="00F3751F" w:rsidRDefault="00C77840">
            <w:pPr>
              <w:jc w:val="center"/>
              <w:rPr>
                <w:rFonts w:ascii="Calibri" w:eastAsia="Calibri" w:hAnsi="Calibri" w:cs="Calibri"/>
                <w:sz w:val="22"/>
                <w:szCs w:val="22"/>
              </w:rPr>
            </w:pPr>
            <w:r>
              <w:rPr>
                <w:b/>
                <w:bCs/>
              </w:rPr>
              <w:t>0.22</w:t>
            </w:r>
          </w:p>
        </w:tc>
        <w:tc>
          <w:tcPr>
            <w:tcW w:w="1270"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59B" w14:textId="77777777" w:rsidR="00F3751F" w:rsidRDefault="00C77840">
            <w:pPr>
              <w:jc w:val="center"/>
              <w:rPr>
                <w:rFonts w:ascii="Calibri" w:eastAsia="Calibri" w:hAnsi="Calibri" w:cs="Calibri"/>
                <w:sz w:val="22"/>
                <w:szCs w:val="22"/>
              </w:rPr>
            </w:pPr>
            <w:r>
              <w:rPr>
                <w:b/>
                <w:bCs/>
              </w:rPr>
              <w:t>0.19</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59C" w14:textId="77777777" w:rsidR="00F3751F" w:rsidRDefault="00C77840">
            <w:pPr>
              <w:jc w:val="center"/>
              <w:rPr>
                <w:rFonts w:ascii="Calibri" w:eastAsia="Calibri" w:hAnsi="Calibri" w:cs="Calibri"/>
                <w:sz w:val="22"/>
                <w:szCs w:val="22"/>
              </w:rPr>
            </w:pPr>
            <w:r>
              <w:rPr>
                <w:b/>
                <w:bCs/>
              </w:rPr>
              <w:t>0.13</w:t>
            </w:r>
          </w:p>
        </w:tc>
      </w:tr>
      <w:tr w:rsidR="00F3751F" w14:paraId="637DD5A5"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7DD59E" w14:textId="77777777" w:rsidR="00F3751F" w:rsidRDefault="00C77840">
            <w:pPr>
              <w:jc w:val="center"/>
              <w:rPr>
                <w:rFonts w:ascii="Calibri" w:eastAsia="Calibri" w:hAnsi="Calibri" w:cs="Calibri"/>
                <w:sz w:val="22"/>
                <w:szCs w:val="22"/>
              </w:rPr>
            </w:pPr>
            <w:r>
              <w:rPr>
                <w:b/>
                <w:bCs/>
              </w:rPr>
              <w:t>Cash Return On Assets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7DD59F" w14:textId="77777777" w:rsidR="00F3751F" w:rsidRDefault="00C77840">
            <w:pPr>
              <w:jc w:val="center"/>
              <w:rPr>
                <w:rFonts w:ascii="Calibri" w:eastAsia="Calibri" w:hAnsi="Calibri" w:cs="Calibri"/>
                <w:sz w:val="22"/>
                <w:szCs w:val="22"/>
              </w:rPr>
            </w:pPr>
            <w:r>
              <w:rPr>
                <w:b/>
                <w:bCs/>
              </w:rPr>
              <w:t>A/C</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5A0" w14:textId="77777777" w:rsidR="00F3751F" w:rsidRDefault="00C77840">
            <w:pPr>
              <w:jc w:val="center"/>
              <w:rPr>
                <w:rFonts w:ascii="Calibri" w:eastAsia="Calibri" w:hAnsi="Calibri" w:cs="Calibri"/>
                <w:sz w:val="22"/>
                <w:szCs w:val="22"/>
              </w:rPr>
            </w:pPr>
            <w:r>
              <w:rPr>
                <w:b/>
                <w:bCs/>
              </w:rPr>
              <w:t>0.02</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5A1" w14:textId="77777777" w:rsidR="00F3751F" w:rsidRDefault="00C77840">
            <w:pPr>
              <w:jc w:val="center"/>
              <w:rPr>
                <w:rFonts w:ascii="Calibri" w:eastAsia="Calibri" w:hAnsi="Calibri" w:cs="Calibri"/>
                <w:sz w:val="22"/>
                <w:szCs w:val="22"/>
              </w:rPr>
            </w:pPr>
            <w:r>
              <w:rPr>
                <w:b/>
                <w:bCs/>
              </w:rPr>
              <w:t>0.05</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5A2" w14:textId="77777777" w:rsidR="00F3751F" w:rsidRDefault="00C77840">
            <w:pPr>
              <w:jc w:val="center"/>
              <w:rPr>
                <w:rFonts w:ascii="Calibri" w:eastAsia="Calibri" w:hAnsi="Calibri" w:cs="Calibri"/>
                <w:sz w:val="22"/>
                <w:szCs w:val="22"/>
              </w:rPr>
            </w:pPr>
            <w:r>
              <w:rPr>
                <w:b/>
                <w:bCs/>
              </w:rPr>
              <w:t>0.06</w:t>
            </w:r>
          </w:p>
        </w:tc>
        <w:tc>
          <w:tcPr>
            <w:tcW w:w="1270"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5A3" w14:textId="77777777" w:rsidR="00F3751F" w:rsidRDefault="00C77840">
            <w:pPr>
              <w:jc w:val="center"/>
              <w:rPr>
                <w:rFonts w:ascii="Calibri" w:eastAsia="Calibri" w:hAnsi="Calibri" w:cs="Calibri"/>
                <w:sz w:val="22"/>
                <w:szCs w:val="22"/>
              </w:rPr>
            </w:pPr>
            <w:r>
              <w:rPr>
                <w:b/>
                <w:bCs/>
              </w:rPr>
              <w:t>0.05</w:t>
            </w:r>
          </w:p>
        </w:tc>
        <w:tc>
          <w:tcPr>
            <w:tcW w:w="1119" w:type="dxa"/>
            <w:tcBorders>
              <w:top w:val="single" w:sz="6" w:space="0" w:color="CCCCCC"/>
              <w:left w:val="single" w:sz="6" w:space="0" w:color="CCCCCC"/>
              <w:bottom w:val="single" w:sz="6" w:space="0" w:color="000000"/>
              <w:right w:val="single" w:sz="6" w:space="0" w:color="000000"/>
            </w:tcBorders>
            <w:shd w:val="clear" w:color="auto" w:fill="F8696B"/>
            <w:tcMar>
              <w:top w:w="0" w:type="dxa"/>
              <w:left w:w="40" w:type="dxa"/>
              <w:bottom w:w="0" w:type="dxa"/>
              <w:right w:w="40" w:type="dxa"/>
            </w:tcMar>
            <w:vAlign w:val="center"/>
          </w:tcPr>
          <w:p w14:paraId="637DD5A4" w14:textId="77777777" w:rsidR="00F3751F" w:rsidRDefault="00C77840">
            <w:pPr>
              <w:jc w:val="center"/>
              <w:rPr>
                <w:rFonts w:ascii="Calibri" w:eastAsia="Calibri" w:hAnsi="Calibri" w:cs="Calibri"/>
                <w:sz w:val="22"/>
                <w:szCs w:val="22"/>
              </w:rPr>
            </w:pPr>
            <w:r>
              <w:rPr>
                <w:b/>
                <w:bCs/>
              </w:rPr>
              <w:t>0.03</w:t>
            </w:r>
          </w:p>
        </w:tc>
      </w:tr>
    </w:tbl>
    <w:p w14:paraId="637DD5A6" w14:textId="77777777" w:rsidR="00F3751F" w:rsidRDefault="00C77840">
      <w:r>
        <w:tab/>
      </w:r>
    </w:p>
    <w:p w14:paraId="637DD5A7" w14:textId="77777777" w:rsidR="00F3751F" w:rsidRDefault="00C77840">
      <w:pPr>
        <w:pStyle w:val="Heading2"/>
      </w:pPr>
      <w:bookmarkStart w:id="69" w:name="_rs0tm3iuj38k" w:colFirst="0" w:colLast="0"/>
      <w:bookmarkEnd w:id="69"/>
      <w:r>
        <w:br w:type="page"/>
      </w:r>
    </w:p>
    <w:p w14:paraId="637DD5A8" w14:textId="77777777" w:rsidR="00F3751F" w:rsidRDefault="00C77840">
      <w:pPr>
        <w:pStyle w:val="Heading2"/>
      </w:pPr>
      <w:bookmarkStart w:id="70" w:name="_Toc235293174"/>
      <w:r>
        <w:t>Appendix 2: Capital rationing</w:t>
      </w:r>
      <w:bookmarkEnd w:id="70"/>
      <w:r>
        <w:t xml:space="preserve"> </w:t>
      </w:r>
    </w:p>
    <w:tbl>
      <w:tblPr>
        <w:tblStyle w:val="a0"/>
        <w:tblW w:w="94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40"/>
        <w:gridCol w:w="1695"/>
        <w:gridCol w:w="2010"/>
        <w:gridCol w:w="1380"/>
        <w:gridCol w:w="2310"/>
      </w:tblGrid>
      <w:tr w:rsidR="00F3751F" w14:paraId="637DD5AE" w14:textId="77777777">
        <w:trPr>
          <w:trHeight w:val="500"/>
        </w:trPr>
        <w:tc>
          <w:tcPr>
            <w:tcW w:w="2040" w:type="dxa"/>
            <w:tcBorders>
              <w:top w:val="single" w:sz="6" w:space="0" w:color="000000"/>
              <w:left w:val="single" w:sz="6" w:space="0" w:color="000000"/>
              <w:bottom w:val="single" w:sz="6" w:space="0" w:color="000000"/>
              <w:right w:val="single" w:sz="6" w:space="0" w:color="000000"/>
            </w:tcBorders>
            <w:shd w:val="clear" w:color="auto" w:fill="4DD0E1"/>
            <w:tcMar>
              <w:top w:w="100" w:type="dxa"/>
              <w:left w:w="100" w:type="dxa"/>
              <w:bottom w:w="100" w:type="dxa"/>
              <w:right w:w="100" w:type="dxa"/>
            </w:tcMar>
          </w:tcPr>
          <w:p w14:paraId="637DD5A9" w14:textId="77777777" w:rsidR="00F3751F" w:rsidRDefault="00C77840">
            <w:r>
              <w:rPr>
                <w:rFonts w:ascii="Calibri" w:eastAsia="Calibri" w:hAnsi="Calibri" w:cs="Calibri"/>
                <w:b/>
                <w:bCs/>
                <w:sz w:val="22"/>
                <w:szCs w:val="22"/>
              </w:rPr>
              <w:t>Project Combination</w:t>
            </w:r>
          </w:p>
        </w:tc>
        <w:tc>
          <w:tcPr>
            <w:tcW w:w="1695" w:type="dxa"/>
            <w:tcBorders>
              <w:top w:val="single" w:sz="6" w:space="0" w:color="000000"/>
              <w:left w:val="single" w:sz="6" w:space="0" w:color="000000"/>
              <w:bottom w:val="single" w:sz="6" w:space="0" w:color="000000"/>
              <w:right w:val="single" w:sz="6" w:space="0" w:color="000000"/>
            </w:tcBorders>
            <w:shd w:val="clear" w:color="auto" w:fill="4DD0E1"/>
            <w:tcMar>
              <w:top w:w="100" w:type="dxa"/>
              <w:left w:w="100" w:type="dxa"/>
              <w:bottom w:w="100" w:type="dxa"/>
              <w:right w:w="100" w:type="dxa"/>
            </w:tcMar>
          </w:tcPr>
          <w:p w14:paraId="637DD5AA" w14:textId="77777777" w:rsidR="00F3751F" w:rsidRDefault="00C77840">
            <w:r>
              <w:rPr>
                <w:rFonts w:ascii="Calibri" w:eastAsia="Calibri" w:hAnsi="Calibri" w:cs="Calibri"/>
                <w:b/>
                <w:bCs/>
                <w:sz w:val="22"/>
                <w:szCs w:val="22"/>
              </w:rPr>
              <w:t>Investment (£m)</w:t>
            </w:r>
          </w:p>
        </w:tc>
        <w:tc>
          <w:tcPr>
            <w:tcW w:w="2010" w:type="dxa"/>
            <w:tcBorders>
              <w:top w:val="single" w:sz="6" w:space="0" w:color="000000"/>
              <w:left w:val="single" w:sz="6" w:space="0" w:color="000000"/>
              <w:bottom w:val="single" w:sz="6" w:space="0" w:color="000000"/>
              <w:right w:val="single" w:sz="6" w:space="0" w:color="000000"/>
            </w:tcBorders>
            <w:shd w:val="clear" w:color="auto" w:fill="4DD0E1"/>
            <w:tcMar>
              <w:top w:w="100" w:type="dxa"/>
              <w:left w:w="100" w:type="dxa"/>
              <w:bottom w:w="100" w:type="dxa"/>
              <w:right w:w="100" w:type="dxa"/>
            </w:tcMar>
          </w:tcPr>
          <w:p w14:paraId="637DD5AB" w14:textId="77777777" w:rsidR="00F3751F" w:rsidRDefault="00C77840">
            <w:r>
              <w:rPr>
                <w:rFonts w:ascii="Calibri" w:eastAsia="Calibri" w:hAnsi="Calibri" w:cs="Calibri"/>
                <w:b/>
                <w:bCs/>
                <w:sz w:val="22"/>
                <w:szCs w:val="22"/>
              </w:rPr>
              <w:t>Combined NPV (£m)</w:t>
            </w:r>
          </w:p>
        </w:tc>
        <w:tc>
          <w:tcPr>
            <w:tcW w:w="1380" w:type="dxa"/>
            <w:tcBorders>
              <w:top w:val="single" w:sz="6" w:space="0" w:color="000000"/>
              <w:left w:val="single" w:sz="6" w:space="0" w:color="000000"/>
              <w:bottom w:val="single" w:sz="6" w:space="0" w:color="000000"/>
              <w:right w:val="single" w:sz="6" w:space="0" w:color="000000"/>
            </w:tcBorders>
            <w:shd w:val="clear" w:color="auto" w:fill="4DD0E1"/>
            <w:tcMar>
              <w:top w:w="100" w:type="dxa"/>
              <w:left w:w="100" w:type="dxa"/>
              <w:bottom w:w="100" w:type="dxa"/>
              <w:right w:w="100" w:type="dxa"/>
            </w:tcMar>
          </w:tcPr>
          <w:p w14:paraId="637DD5AC" w14:textId="77777777" w:rsidR="00F3751F" w:rsidRDefault="00C77840">
            <w:r>
              <w:rPr>
                <w:rFonts w:ascii="Calibri" w:eastAsia="Calibri" w:hAnsi="Calibri" w:cs="Calibri"/>
                <w:b/>
                <w:bCs/>
                <w:sz w:val="22"/>
                <w:szCs w:val="22"/>
              </w:rPr>
              <w:t>Combined PI</w:t>
            </w:r>
          </w:p>
        </w:tc>
        <w:tc>
          <w:tcPr>
            <w:tcW w:w="2310" w:type="dxa"/>
            <w:tcBorders>
              <w:top w:val="single" w:sz="6" w:space="0" w:color="000000"/>
              <w:left w:val="single" w:sz="6" w:space="0" w:color="000000"/>
              <w:bottom w:val="single" w:sz="6" w:space="0" w:color="000000"/>
              <w:right w:val="single" w:sz="6" w:space="0" w:color="000000"/>
            </w:tcBorders>
            <w:shd w:val="clear" w:color="auto" w:fill="4DD0E1"/>
            <w:tcMar>
              <w:top w:w="100" w:type="dxa"/>
              <w:left w:w="100" w:type="dxa"/>
              <w:bottom w:w="100" w:type="dxa"/>
              <w:right w:w="100" w:type="dxa"/>
            </w:tcMar>
          </w:tcPr>
          <w:p w14:paraId="637DD5AD" w14:textId="77777777" w:rsidR="00F3751F" w:rsidRDefault="00C77840">
            <w:r>
              <w:rPr>
                <w:rFonts w:ascii="Calibri" w:eastAsia="Calibri" w:hAnsi="Calibri" w:cs="Calibri"/>
                <w:b/>
                <w:bCs/>
                <w:sz w:val="22"/>
                <w:szCs w:val="22"/>
              </w:rPr>
              <w:t>Recommendation</w:t>
            </w:r>
          </w:p>
        </w:tc>
      </w:tr>
      <w:tr w:rsidR="00F3751F" w14:paraId="637DD5B4" w14:textId="77777777">
        <w:trPr>
          <w:trHeight w:val="500"/>
        </w:trPr>
        <w:tc>
          <w:tcPr>
            <w:tcW w:w="2040" w:type="dxa"/>
            <w:tcBorders>
              <w:top w:val="single" w:sz="6" w:space="0" w:color="000000"/>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tcPr>
          <w:p w14:paraId="637DD5AF" w14:textId="77777777" w:rsidR="00F3751F" w:rsidRDefault="00C77840">
            <w:r>
              <w:rPr>
                <w:rFonts w:ascii="Calibri" w:eastAsia="Calibri" w:hAnsi="Calibri" w:cs="Calibri"/>
                <w:sz w:val="22"/>
                <w:szCs w:val="22"/>
              </w:rPr>
              <w:t>Project A + Project B</w:t>
            </w:r>
          </w:p>
        </w:tc>
        <w:tc>
          <w:tcPr>
            <w:tcW w:w="1695" w:type="dxa"/>
            <w:tcBorders>
              <w:top w:val="single" w:sz="6" w:space="0" w:color="000000"/>
              <w:left w:val="single" w:sz="6" w:space="0" w:color="000000"/>
              <w:bottom w:val="single" w:sz="6" w:space="0" w:color="000000"/>
              <w:right w:val="single" w:sz="6" w:space="0" w:color="000000"/>
            </w:tcBorders>
            <w:shd w:val="clear" w:color="auto" w:fill="63BE7B"/>
            <w:tcMar>
              <w:top w:w="100" w:type="dxa"/>
              <w:left w:w="100" w:type="dxa"/>
              <w:bottom w:w="100" w:type="dxa"/>
              <w:right w:w="100" w:type="dxa"/>
            </w:tcMar>
          </w:tcPr>
          <w:p w14:paraId="637DD5B0" w14:textId="77777777" w:rsidR="00F3751F" w:rsidRDefault="00C77840">
            <w:r>
              <w:rPr>
                <w:rFonts w:ascii="Calibri" w:eastAsia="Calibri" w:hAnsi="Calibri" w:cs="Calibri"/>
                <w:sz w:val="22"/>
                <w:szCs w:val="22"/>
              </w:rPr>
              <w:t>100</w:t>
            </w:r>
          </w:p>
        </w:tc>
        <w:tc>
          <w:tcPr>
            <w:tcW w:w="2010" w:type="dxa"/>
            <w:tcBorders>
              <w:top w:val="single" w:sz="6" w:space="0" w:color="000000"/>
              <w:left w:val="single" w:sz="6" w:space="0" w:color="000000"/>
              <w:bottom w:val="single" w:sz="6" w:space="0" w:color="000000"/>
              <w:right w:val="single" w:sz="6" w:space="0" w:color="000000"/>
            </w:tcBorders>
            <w:shd w:val="clear" w:color="auto" w:fill="F8696B"/>
            <w:tcMar>
              <w:top w:w="100" w:type="dxa"/>
              <w:left w:w="100" w:type="dxa"/>
              <w:bottom w:w="100" w:type="dxa"/>
              <w:right w:w="100" w:type="dxa"/>
            </w:tcMar>
          </w:tcPr>
          <w:p w14:paraId="637DD5B1" w14:textId="77777777" w:rsidR="00F3751F" w:rsidRDefault="00C77840">
            <w:r>
              <w:rPr>
                <w:rFonts w:ascii="Calibri" w:eastAsia="Calibri" w:hAnsi="Calibri" w:cs="Calibri"/>
                <w:sz w:val="22"/>
                <w:szCs w:val="22"/>
              </w:rPr>
              <w:t>-12.61</w:t>
            </w:r>
          </w:p>
        </w:tc>
        <w:tc>
          <w:tcPr>
            <w:tcW w:w="1380" w:type="dxa"/>
            <w:tcBorders>
              <w:top w:val="single" w:sz="6" w:space="0" w:color="000000"/>
              <w:left w:val="single" w:sz="6" w:space="0" w:color="000000"/>
              <w:bottom w:val="single" w:sz="6" w:space="0" w:color="000000"/>
              <w:right w:val="single" w:sz="6" w:space="0" w:color="000000"/>
            </w:tcBorders>
            <w:shd w:val="clear" w:color="auto" w:fill="FBFAFD"/>
            <w:tcMar>
              <w:top w:w="100" w:type="dxa"/>
              <w:left w:w="100" w:type="dxa"/>
              <w:bottom w:w="100" w:type="dxa"/>
              <w:right w:w="100" w:type="dxa"/>
            </w:tcMar>
          </w:tcPr>
          <w:p w14:paraId="637DD5B2" w14:textId="77777777" w:rsidR="00F3751F" w:rsidRDefault="00C77840">
            <w:r>
              <w:rPr>
                <w:rFonts w:ascii="Calibri" w:eastAsia="Calibri" w:hAnsi="Calibri" w:cs="Calibri"/>
                <w:sz w:val="22"/>
                <w:szCs w:val="22"/>
              </w:rPr>
              <w:t>1.75</w:t>
            </w:r>
          </w:p>
        </w:tc>
        <w:tc>
          <w:tcPr>
            <w:tcW w:w="2310" w:type="dxa"/>
            <w:tcBorders>
              <w:top w:val="single" w:sz="6" w:space="0" w:color="000000"/>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tcPr>
          <w:p w14:paraId="637DD5B3" w14:textId="77777777" w:rsidR="00F3751F" w:rsidRDefault="00C77840">
            <w:r>
              <w:rPr>
                <w:rFonts w:ascii="Calibri" w:eastAsia="Calibri" w:hAnsi="Calibri" w:cs="Calibri"/>
                <w:sz w:val="22"/>
                <w:szCs w:val="22"/>
              </w:rPr>
              <w:t>Reject</w:t>
            </w:r>
          </w:p>
        </w:tc>
      </w:tr>
      <w:tr w:rsidR="00F3751F" w14:paraId="637DD5BA" w14:textId="77777777">
        <w:trPr>
          <w:trHeight w:val="500"/>
        </w:trPr>
        <w:tc>
          <w:tcPr>
            <w:tcW w:w="2040" w:type="dxa"/>
            <w:tcBorders>
              <w:top w:val="single" w:sz="6" w:space="0" w:color="000000"/>
              <w:left w:val="single" w:sz="6" w:space="0" w:color="000000"/>
              <w:bottom w:val="single" w:sz="6" w:space="0" w:color="000000"/>
              <w:right w:val="single" w:sz="6" w:space="0" w:color="000000"/>
            </w:tcBorders>
            <w:shd w:val="clear" w:color="auto" w:fill="E0F7FA"/>
            <w:tcMar>
              <w:top w:w="100" w:type="dxa"/>
              <w:left w:w="100" w:type="dxa"/>
              <w:bottom w:w="100" w:type="dxa"/>
              <w:right w:w="100" w:type="dxa"/>
            </w:tcMar>
          </w:tcPr>
          <w:p w14:paraId="637DD5B5" w14:textId="77777777" w:rsidR="00F3751F" w:rsidRDefault="00C77840">
            <w:r>
              <w:rPr>
                <w:rFonts w:ascii="Calibri" w:eastAsia="Calibri" w:hAnsi="Calibri" w:cs="Calibri"/>
                <w:sz w:val="22"/>
                <w:szCs w:val="22"/>
              </w:rPr>
              <w:t>Project A + Project C</w:t>
            </w:r>
          </w:p>
        </w:tc>
        <w:tc>
          <w:tcPr>
            <w:tcW w:w="1695" w:type="dxa"/>
            <w:tcBorders>
              <w:top w:val="single" w:sz="6" w:space="0" w:color="000000"/>
              <w:left w:val="single" w:sz="6" w:space="0" w:color="000000"/>
              <w:bottom w:val="single" w:sz="6" w:space="0" w:color="000000"/>
              <w:right w:val="single" w:sz="6" w:space="0" w:color="000000"/>
            </w:tcBorders>
            <w:shd w:val="clear" w:color="auto" w:fill="63BE7B"/>
            <w:tcMar>
              <w:top w:w="100" w:type="dxa"/>
              <w:left w:w="100" w:type="dxa"/>
              <w:bottom w:w="100" w:type="dxa"/>
              <w:right w:w="100" w:type="dxa"/>
            </w:tcMar>
          </w:tcPr>
          <w:p w14:paraId="637DD5B6" w14:textId="77777777" w:rsidR="00F3751F" w:rsidRDefault="00C77840">
            <w:r>
              <w:rPr>
                <w:rFonts w:ascii="Calibri" w:eastAsia="Calibri" w:hAnsi="Calibri" w:cs="Calibri"/>
                <w:sz w:val="22"/>
                <w:szCs w:val="22"/>
              </w:rPr>
              <w:t>100</w:t>
            </w:r>
          </w:p>
        </w:tc>
        <w:tc>
          <w:tcPr>
            <w:tcW w:w="2010" w:type="dxa"/>
            <w:tcBorders>
              <w:top w:val="single" w:sz="6" w:space="0" w:color="000000"/>
              <w:left w:val="single" w:sz="6" w:space="0" w:color="000000"/>
              <w:bottom w:val="single" w:sz="6" w:space="0" w:color="000000"/>
              <w:right w:val="single" w:sz="6" w:space="0" w:color="000000"/>
            </w:tcBorders>
            <w:shd w:val="clear" w:color="auto" w:fill="F9AFB1"/>
            <w:tcMar>
              <w:top w:w="100" w:type="dxa"/>
              <w:left w:w="100" w:type="dxa"/>
              <w:bottom w:w="100" w:type="dxa"/>
              <w:right w:w="100" w:type="dxa"/>
            </w:tcMar>
          </w:tcPr>
          <w:p w14:paraId="637DD5B7" w14:textId="77777777" w:rsidR="00F3751F" w:rsidRDefault="00C77840">
            <w:r>
              <w:rPr>
                <w:rFonts w:ascii="Calibri" w:eastAsia="Calibri" w:hAnsi="Calibri" w:cs="Calibri"/>
                <w:sz w:val="22"/>
                <w:szCs w:val="22"/>
              </w:rPr>
              <w:t>-5.67</w:t>
            </w:r>
          </w:p>
        </w:tc>
        <w:tc>
          <w:tcPr>
            <w:tcW w:w="1380" w:type="dxa"/>
            <w:tcBorders>
              <w:top w:val="single" w:sz="6" w:space="0" w:color="000000"/>
              <w:left w:val="single" w:sz="6" w:space="0" w:color="000000"/>
              <w:bottom w:val="single" w:sz="6" w:space="0" w:color="000000"/>
              <w:right w:val="single" w:sz="6" w:space="0" w:color="000000"/>
            </w:tcBorders>
            <w:shd w:val="clear" w:color="auto" w:fill="FCFCFF"/>
            <w:tcMar>
              <w:top w:w="100" w:type="dxa"/>
              <w:left w:w="100" w:type="dxa"/>
              <w:bottom w:w="100" w:type="dxa"/>
              <w:right w:w="100" w:type="dxa"/>
            </w:tcMar>
          </w:tcPr>
          <w:p w14:paraId="637DD5B8" w14:textId="77777777" w:rsidR="00F3751F" w:rsidRDefault="00C77840">
            <w:r>
              <w:rPr>
                <w:rFonts w:ascii="Calibri" w:eastAsia="Calibri" w:hAnsi="Calibri" w:cs="Calibri"/>
                <w:sz w:val="22"/>
                <w:szCs w:val="22"/>
              </w:rPr>
              <w:t>1.89</w:t>
            </w:r>
          </w:p>
        </w:tc>
        <w:tc>
          <w:tcPr>
            <w:tcW w:w="2310" w:type="dxa"/>
            <w:tcBorders>
              <w:top w:val="single" w:sz="6" w:space="0" w:color="000000"/>
              <w:left w:val="single" w:sz="6" w:space="0" w:color="000000"/>
              <w:bottom w:val="single" w:sz="6" w:space="0" w:color="000000"/>
              <w:right w:val="single" w:sz="6" w:space="0" w:color="000000"/>
            </w:tcBorders>
            <w:shd w:val="clear" w:color="auto" w:fill="E0F7FA"/>
            <w:tcMar>
              <w:top w:w="100" w:type="dxa"/>
              <w:left w:w="100" w:type="dxa"/>
              <w:bottom w:w="100" w:type="dxa"/>
              <w:right w:w="100" w:type="dxa"/>
            </w:tcMar>
          </w:tcPr>
          <w:p w14:paraId="637DD5B9" w14:textId="77777777" w:rsidR="00F3751F" w:rsidRDefault="00C77840">
            <w:r>
              <w:rPr>
                <w:rFonts w:ascii="Calibri" w:eastAsia="Calibri" w:hAnsi="Calibri" w:cs="Calibri"/>
                <w:sz w:val="22"/>
                <w:szCs w:val="22"/>
              </w:rPr>
              <w:t>Reject</w:t>
            </w:r>
          </w:p>
        </w:tc>
      </w:tr>
      <w:tr w:rsidR="00F3751F" w14:paraId="637DD5C0" w14:textId="77777777">
        <w:trPr>
          <w:trHeight w:val="655"/>
        </w:trPr>
        <w:tc>
          <w:tcPr>
            <w:tcW w:w="2040" w:type="dxa"/>
            <w:tcBorders>
              <w:top w:val="single" w:sz="6" w:space="0" w:color="000000"/>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tcPr>
          <w:p w14:paraId="637DD5BB" w14:textId="77777777" w:rsidR="00F3751F" w:rsidRDefault="00C77840">
            <w:r>
              <w:rPr>
                <w:rFonts w:ascii="Calibri" w:eastAsia="Calibri" w:hAnsi="Calibri" w:cs="Calibri"/>
                <w:sz w:val="22"/>
                <w:szCs w:val="22"/>
              </w:rPr>
              <w:t>Project B + Project C</w:t>
            </w:r>
          </w:p>
        </w:tc>
        <w:tc>
          <w:tcPr>
            <w:tcW w:w="1695" w:type="dxa"/>
            <w:tcBorders>
              <w:top w:val="single" w:sz="6" w:space="0" w:color="000000"/>
              <w:left w:val="single" w:sz="6" w:space="0" w:color="000000"/>
              <w:bottom w:val="single" w:sz="6" w:space="0" w:color="000000"/>
              <w:right w:val="single" w:sz="6" w:space="0" w:color="000000"/>
            </w:tcBorders>
            <w:shd w:val="clear" w:color="auto" w:fill="63BE7B"/>
            <w:tcMar>
              <w:top w:w="100" w:type="dxa"/>
              <w:left w:w="100" w:type="dxa"/>
              <w:bottom w:w="100" w:type="dxa"/>
              <w:right w:w="100" w:type="dxa"/>
            </w:tcMar>
          </w:tcPr>
          <w:p w14:paraId="637DD5BC" w14:textId="77777777" w:rsidR="00F3751F" w:rsidRDefault="00C77840">
            <w:r>
              <w:rPr>
                <w:rFonts w:ascii="Calibri" w:eastAsia="Calibri" w:hAnsi="Calibri" w:cs="Calibri"/>
                <w:sz w:val="22"/>
                <w:szCs w:val="22"/>
              </w:rPr>
              <w:t>100</w:t>
            </w:r>
          </w:p>
        </w:tc>
        <w:tc>
          <w:tcPr>
            <w:tcW w:w="2010" w:type="dxa"/>
            <w:tcBorders>
              <w:top w:val="single" w:sz="6" w:space="0" w:color="000000"/>
              <w:left w:val="single" w:sz="6" w:space="0" w:color="000000"/>
              <w:bottom w:val="single" w:sz="6" w:space="0" w:color="000000"/>
              <w:right w:val="single" w:sz="6" w:space="0" w:color="000000"/>
            </w:tcBorders>
            <w:shd w:val="clear" w:color="auto" w:fill="FAB4B6"/>
            <w:tcMar>
              <w:top w:w="100" w:type="dxa"/>
              <w:left w:w="100" w:type="dxa"/>
              <w:bottom w:w="100" w:type="dxa"/>
              <w:right w:w="100" w:type="dxa"/>
            </w:tcMar>
          </w:tcPr>
          <w:p w14:paraId="637DD5BD" w14:textId="77777777" w:rsidR="00F3751F" w:rsidRDefault="00C77840">
            <w:r>
              <w:rPr>
                <w:rFonts w:ascii="Calibri" w:eastAsia="Calibri" w:hAnsi="Calibri" w:cs="Calibri"/>
                <w:sz w:val="22"/>
                <w:szCs w:val="22"/>
              </w:rPr>
              <w:t>-5.2</w:t>
            </w:r>
          </w:p>
        </w:tc>
        <w:tc>
          <w:tcPr>
            <w:tcW w:w="1380" w:type="dxa"/>
            <w:tcBorders>
              <w:top w:val="single" w:sz="6" w:space="0" w:color="000000"/>
              <w:left w:val="single" w:sz="6" w:space="0" w:color="000000"/>
              <w:bottom w:val="single" w:sz="6" w:space="0" w:color="000000"/>
              <w:right w:val="single" w:sz="6" w:space="0" w:color="000000"/>
            </w:tcBorders>
            <w:shd w:val="clear" w:color="auto" w:fill="FCFCFF"/>
            <w:tcMar>
              <w:top w:w="100" w:type="dxa"/>
              <w:left w:w="100" w:type="dxa"/>
              <w:bottom w:w="100" w:type="dxa"/>
              <w:right w:w="100" w:type="dxa"/>
            </w:tcMar>
          </w:tcPr>
          <w:p w14:paraId="637DD5BE" w14:textId="77777777" w:rsidR="00F3751F" w:rsidRDefault="00C77840">
            <w:r>
              <w:rPr>
                <w:rFonts w:ascii="Calibri" w:eastAsia="Calibri" w:hAnsi="Calibri" w:cs="Calibri"/>
                <w:sz w:val="22"/>
                <w:szCs w:val="22"/>
              </w:rPr>
              <w:t>1.9</w:t>
            </w:r>
          </w:p>
        </w:tc>
        <w:tc>
          <w:tcPr>
            <w:tcW w:w="2310" w:type="dxa"/>
            <w:tcBorders>
              <w:top w:val="single" w:sz="6" w:space="0" w:color="000000"/>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tcPr>
          <w:p w14:paraId="637DD5BF" w14:textId="77777777" w:rsidR="00F3751F" w:rsidRDefault="00C77840">
            <w:r>
              <w:rPr>
                <w:rFonts w:ascii="Calibri" w:eastAsia="Calibri" w:hAnsi="Calibri" w:cs="Calibri"/>
                <w:sz w:val="22"/>
                <w:szCs w:val="22"/>
              </w:rPr>
              <w:t>Best Combination under £100m Budget</w:t>
            </w:r>
          </w:p>
        </w:tc>
      </w:tr>
    </w:tbl>
    <w:p w14:paraId="637DD5C1" w14:textId="77777777" w:rsidR="00F3751F" w:rsidRDefault="00F3751F"/>
    <w:p w14:paraId="637DD5C2" w14:textId="77777777" w:rsidR="00F3751F" w:rsidRDefault="00C77840">
      <w:pPr>
        <w:pStyle w:val="Heading2"/>
      </w:pPr>
      <w:bookmarkStart w:id="71" w:name="_85k5dwj01vix" w:colFirst="0" w:colLast="0"/>
      <w:bookmarkEnd w:id="71"/>
      <w:r>
        <w:br w:type="page"/>
      </w:r>
    </w:p>
    <w:p w14:paraId="637DD5C3" w14:textId="77777777" w:rsidR="00F3751F" w:rsidRDefault="00C77840">
      <w:pPr>
        <w:pStyle w:val="Heading2"/>
      </w:pPr>
      <w:bookmarkStart w:id="72" w:name="_Toc235293175"/>
      <w:r>
        <w:t>Appendix 3: Income Statement of 2021, 2022 and 2023</w:t>
      </w:r>
      <w:bookmarkEnd w:id="72"/>
    </w:p>
    <w:p w14:paraId="637DD5C4" w14:textId="77777777" w:rsidR="00F3751F" w:rsidRDefault="00C77840">
      <w:r>
        <w:rPr>
          <w:noProof/>
        </w:rPr>
        <w:drawing>
          <wp:inline distT="114300" distB="114300" distL="114300" distR="114300" wp14:anchorId="637DD620" wp14:editId="637DD621">
            <wp:extent cx="5943600" cy="3009900"/>
            <wp:effectExtent l="0" t="0" r="0" b="0"/>
            <wp:docPr id="1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51"/>
                    <a:srcRect/>
                    <a:stretch>
                      <a:fillRect/>
                    </a:stretch>
                  </pic:blipFill>
                  <pic:spPr>
                    <a:xfrm>
                      <a:off x="0" y="0"/>
                      <a:ext cx="5943600" cy="3009900"/>
                    </a:xfrm>
                    <a:prstGeom prst="rect">
                      <a:avLst/>
                    </a:prstGeom>
                    <a:ln/>
                  </pic:spPr>
                </pic:pic>
              </a:graphicData>
            </a:graphic>
          </wp:inline>
        </w:drawing>
      </w:r>
    </w:p>
    <w:p w14:paraId="637DD5C5" w14:textId="77777777" w:rsidR="00F3751F" w:rsidRDefault="00C77840">
      <w:pPr>
        <w:pStyle w:val="Heading2"/>
      </w:pPr>
      <w:bookmarkStart w:id="73" w:name="_5d3o9642eca5" w:colFirst="0" w:colLast="0"/>
      <w:bookmarkEnd w:id="73"/>
      <w:r>
        <w:br w:type="page"/>
      </w:r>
    </w:p>
    <w:p w14:paraId="637DD5C6" w14:textId="77777777" w:rsidR="00F3751F" w:rsidRDefault="00C77840">
      <w:pPr>
        <w:pStyle w:val="Heading2"/>
      </w:pPr>
      <w:bookmarkStart w:id="74" w:name="_Toc235293176"/>
      <w:r>
        <w:t>Appendix 4: Income Statement of 2024 and 2025</w:t>
      </w:r>
      <w:bookmarkEnd w:id="74"/>
      <w:r>
        <w:t xml:space="preserve"> </w:t>
      </w:r>
    </w:p>
    <w:p w14:paraId="637DD5C7" w14:textId="77777777" w:rsidR="00F3751F" w:rsidRDefault="00C77840">
      <w:r>
        <w:rPr>
          <w:noProof/>
        </w:rPr>
        <w:drawing>
          <wp:inline distT="114300" distB="114300" distL="114300" distR="114300" wp14:anchorId="637DD622" wp14:editId="637DD623">
            <wp:extent cx="5943600" cy="4140200"/>
            <wp:effectExtent l="0" t="0" r="0" b="0"/>
            <wp:docPr id="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52"/>
                    <a:srcRect/>
                    <a:stretch>
                      <a:fillRect/>
                    </a:stretch>
                  </pic:blipFill>
                  <pic:spPr>
                    <a:xfrm>
                      <a:off x="0" y="0"/>
                      <a:ext cx="5943600" cy="4140200"/>
                    </a:xfrm>
                    <a:prstGeom prst="rect">
                      <a:avLst/>
                    </a:prstGeom>
                    <a:ln/>
                  </pic:spPr>
                </pic:pic>
              </a:graphicData>
            </a:graphic>
          </wp:inline>
        </w:drawing>
      </w:r>
    </w:p>
    <w:p w14:paraId="637DD5C8" w14:textId="77777777" w:rsidR="00F3751F" w:rsidRDefault="00F3751F"/>
    <w:p w14:paraId="637DD5C9" w14:textId="77777777" w:rsidR="00F3751F" w:rsidRDefault="00F3751F"/>
    <w:sectPr w:rsidR="00F3751F" w:rsidSect="000C29BD">
      <w:headerReference w:type="even" r:id="rId53"/>
      <w:headerReference w:type="default" r:id="rId54"/>
      <w:footerReference w:type="even" r:id="rId55"/>
      <w:footerReference w:type="default" r:id="rId56"/>
      <w:headerReference w:type="first" r:id="rId57"/>
      <w:footerReference w:type="first" r:id="rId58"/>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ABF9E0" w14:textId="77777777" w:rsidR="003E3A41" w:rsidRDefault="003E3A41">
      <w:pPr>
        <w:spacing w:line="240" w:lineRule="auto"/>
      </w:pPr>
      <w:r>
        <w:separator/>
      </w:r>
    </w:p>
  </w:endnote>
  <w:endnote w:type="continuationSeparator" w:id="0">
    <w:p w14:paraId="62950E49" w14:textId="77777777" w:rsidR="003E3A41" w:rsidRDefault="003E3A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11BB4737-DA60-3245-ADD7-71C05E88BCA1}"/>
  </w:font>
  <w:font w:name="Arial Unicode MS">
    <w:altName w:val="Arial"/>
    <w:panose1 w:val="020B0604020202020204"/>
    <w:charset w:val="00"/>
    <w:family w:val="auto"/>
    <w:pitch w:val="default"/>
  </w:font>
  <w:font w:name="Calibri">
    <w:panose1 w:val="020F0502020204030204"/>
    <w:charset w:val="00"/>
    <w:family w:val="swiss"/>
    <w:pitch w:val="variable"/>
    <w:sig w:usb0="E4002EFF" w:usb1="C200ACFF" w:usb2="00000009" w:usb3="00000000" w:csb0="000001FF" w:csb1="00000000"/>
    <w:embedRegular r:id="rId2" w:fontKey="{F5768AC3-151E-4051-8F4A-7CE24D4AF8BE}"/>
    <w:embedBold r:id="rId3" w:fontKey="{A57A3E4C-EB1D-4BA0-BA2C-C553273256D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226E13" w14:textId="77777777" w:rsidR="00ED3F76" w:rsidRDefault="00ED3F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7DD636" w14:textId="663942E8" w:rsidR="00F3751F" w:rsidRDefault="00C77840">
    <w:pPr>
      <w:jc w:val="right"/>
    </w:pPr>
    <w:r>
      <w:fldChar w:fldCharType="begin"/>
    </w:r>
    <w:r>
      <w:instrText>PAGE</w:instrText>
    </w:r>
    <w:r>
      <w:fldChar w:fldCharType="separate"/>
    </w:r>
    <w:r w:rsidR="000C29BD">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7DD638" w14:textId="77777777" w:rsidR="00F3751F" w:rsidRDefault="00F3751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89297D" w14:textId="77777777" w:rsidR="003E3A41" w:rsidRDefault="003E3A41">
      <w:pPr>
        <w:spacing w:line="240" w:lineRule="auto"/>
      </w:pPr>
      <w:r>
        <w:separator/>
      </w:r>
    </w:p>
  </w:footnote>
  <w:footnote w:type="continuationSeparator" w:id="0">
    <w:p w14:paraId="30EC45BB" w14:textId="77777777" w:rsidR="003E3A41" w:rsidRDefault="003E3A4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2149DD" w14:textId="77777777" w:rsidR="00ED3F76" w:rsidRDefault="00ED3F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6DB158" w14:textId="77777777" w:rsidR="00ED3F76" w:rsidRDefault="00ED3F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7DD637" w14:textId="77777777" w:rsidR="00F3751F" w:rsidRDefault="00F3751F"/>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1"/>
  <w:displayBackgroundShape/>
  <w:embedTrueTypeFonts/>
  <w:revisionView w:inkAnnotation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751F"/>
    <w:rsid w:val="000C29BD"/>
    <w:rsid w:val="00170E55"/>
    <w:rsid w:val="002A2F78"/>
    <w:rsid w:val="003E3A41"/>
    <w:rsid w:val="00563B31"/>
    <w:rsid w:val="005D6AE1"/>
    <w:rsid w:val="007735A8"/>
    <w:rsid w:val="008336BD"/>
    <w:rsid w:val="00A675E9"/>
    <w:rsid w:val="00AC5E80"/>
    <w:rsid w:val="00C77840"/>
    <w:rsid w:val="00EB23CF"/>
    <w:rsid w:val="00ED3F76"/>
    <w:rsid w:val="00F375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7DD229"/>
  <w15:docId w15:val="{2DB4A56D-B670-45AA-B656-E77EAC5E3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0C29BD"/>
    <w:pPr>
      <w:spacing w:after="100"/>
    </w:pPr>
  </w:style>
  <w:style w:type="paragraph" w:styleId="TOC2">
    <w:name w:val="toc 2"/>
    <w:basedOn w:val="Normal"/>
    <w:next w:val="Normal"/>
    <w:autoRedefine/>
    <w:uiPriority w:val="39"/>
    <w:unhideWhenUsed/>
    <w:rsid w:val="000C29BD"/>
    <w:pPr>
      <w:spacing w:after="100"/>
      <w:ind w:left="240"/>
    </w:pPr>
  </w:style>
  <w:style w:type="paragraph" w:styleId="TOC3">
    <w:name w:val="toc 3"/>
    <w:basedOn w:val="Normal"/>
    <w:next w:val="Normal"/>
    <w:autoRedefine/>
    <w:uiPriority w:val="39"/>
    <w:unhideWhenUsed/>
    <w:rsid w:val="000C29BD"/>
    <w:pPr>
      <w:spacing w:after="100"/>
      <w:ind w:left="480"/>
    </w:pPr>
  </w:style>
  <w:style w:type="character" w:styleId="Hyperlink">
    <w:name w:val="Hyperlink"/>
    <w:basedOn w:val="DefaultParagraphFont"/>
    <w:uiPriority w:val="99"/>
    <w:unhideWhenUsed/>
    <w:rsid w:val="000C29BD"/>
    <w:rPr>
      <w:color w:val="0000FF" w:themeColor="hyperlink"/>
      <w:u w:val="single"/>
    </w:rPr>
  </w:style>
  <w:style w:type="paragraph" w:styleId="Header">
    <w:name w:val="header"/>
    <w:basedOn w:val="Normal"/>
    <w:link w:val="HeaderChar"/>
    <w:uiPriority w:val="99"/>
    <w:unhideWhenUsed/>
    <w:rsid w:val="00ED3F76"/>
    <w:pPr>
      <w:tabs>
        <w:tab w:val="center" w:pos="4513"/>
        <w:tab w:val="right" w:pos="9026"/>
      </w:tabs>
      <w:spacing w:line="240" w:lineRule="auto"/>
    </w:pPr>
  </w:style>
  <w:style w:type="character" w:customStyle="1" w:styleId="HeaderChar">
    <w:name w:val="Header Char"/>
    <w:basedOn w:val="DefaultParagraphFont"/>
    <w:link w:val="Header"/>
    <w:uiPriority w:val="99"/>
    <w:rsid w:val="00ED3F76"/>
  </w:style>
  <w:style w:type="paragraph" w:styleId="Footer">
    <w:name w:val="footer"/>
    <w:basedOn w:val="Normal"/>
    <w:link w:val="FooterChar"/>
    <w:uiPriority w:val="99"/>
    <w:unhideWhenUsed/>
    <w:rsid w:val="00ED3F76"/>
    <w:pPr>
      <w:tabs>
        <w:tab w:val="center" w:pos="4513"/>
        <w:tab w:val="right" w:pos="9026"/>
      </w:tabs>
      <w:spacing w:line="240" w:lineRule="auto"/>
    </w:pPr>
  </w:style>
  <w:style w:type="character" w:customStyle="1" w:styleId="FooterChar">
    <w:name w:val="Footer Char"/>
    <w:basedOn w:val="DefaultParagraphFont"/>
    <w:link w:val="Footer"/>
    <w:uiPriority w:val="99"/>
    <w:rsid w:val="00ED3F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8.png" /><Relationship Id="rId18" Type="http://schemas.openxmlformats.org/officeDocument/2006/relationships/image" Target="media/image13.png" /><Relationship Id="rId26" Type="http://schemas.openxmlformats.org/officeDocument/2006/relationships/image" Target="media/image21.png" /><Relationship Id="rId39" Type="http://schemas.openxmlformats.org/officeDocument/2006/relationships/image" Target="media/image34.png" /><Relationship Id="rId21" Type="http://schemas.openxmlformats.org/officeDocument/2006/relationships/image" Target="media/image16.png" /><Relationship Id="rId34" Type="http://schemas.openxmlformats.org/officeDocument/2006/relationships/image" Target="media/image29.png" /><Relationship Id="rId42" Type="http://schemas.openxmlformats.org/officeDocument/2006/relationships/image" Target="media/image37.png" /><Relationship Id="rId47" Type="http://schemas.openxmlformats.org/officeDocument/2006/relationships/image" Target="media/image42.png" /><Relationship Id="rId50" Type="http://schemas.openxmlformats.org/officeDocument/2006/relationships/hyperlink" Target="https://www.hyatt.com/loyalty/en-US" TargetMode="External" /><Relationship Id="rId55" Type="http://schemas.openxmlformats.org/officeDocument/2006/relationships/footer" Target="footer1.xml" /><Relationship Id="rId7" Type="http://schemas.openxmlformats.org/officeDocument/2006/relationships/image" Target="media/image2.png" /><Relationship Id="rId12" Type="http://schemas.openxmlformats.org/officeDocument/2006/relationships/image" Target="media/image7.png" /><Relationship Id="rId17" Type="http://schemas.openxmlformats.org/officeDocument/2006/relationships/image" Target="media/image12.png" /><Relationship Id="rId25" Type="http://schemas.openxmlformats.org/officeDocument/2006/relationships/image" Target="media/image20.png" /><Relationship Id="rId33" Type="http://schemas.openxmlformats.org/officeDocument/2006/relationships/image" Target="media/image28.png" /><Relationship Id="rId38" Type="http://schemas.openxmlformats.org/officeDocument/2006/relationships/image" Target="media/image33.png" /><Relationship Id="rId46" Type="http://schemas.openxmlformats.org/officeDocument/2006/relationships/image" Target="media/image41.png" /><Relationship Id="rId59" Type="http://schemas.openxmlformats.org/officeDocument/2006/relationships/fontTable" Target="fontTable.xml" /><Relationship Id="rId2" Type="http://schemas.openxmlformats.org/officeDocument/2006/relationships/settings" Target="settings.xml" /><Relationship Id="rId16" Type="http://schemas.openxmlformats.org/officeDocument/2006/relationships/image" Target="media/image11.png" /><Relationship Id="rId20" Type="http://schemas.openxmlformats.org/officeDocument/2006/relationships/image" Target="media/image15.png" /><Relationship Id="rId29" Type="http://schemas.openxmlformats.org/officeDocument/2006/relationships/image" Target="media/image24.png" /><Relationship Id="rId41" Type="http://schemas.openxmlformats.org/officeDocument/2006/relationships/image" Target="media/image36.png" /><Relationship Id="rId54" Type="http://schemas.openxmlformats.org/officeDocument/2006/relationships/header" Target="header2.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image" Target="media/image6.png" /><Relationship Id="rId24" Type="http://schemas.openxmlformats.org/officeDocument/2006/relationships/image" Target="media/image19.png" /><Relationship Id="rId32" Type="http://schemas.openxmlformats.org/officeDocument/2006/relationships/image" Target="media/image27.png" /><Relationship Id="rId37" Type="http://schemas.openxmlformats.org/officeDocument/2006/relationships/image" Target="media/image32.png" /><Relationship Id="rId40" Type="http://schemas.openxmlformats.org/officeDocument/2006/relationships/image" Target="media/image35.png" /><Relationship Id="rId45" Type="http://schemas.openxmlformats.org/officeDocument/2006/relationships/image" Target="media/image40.png" /><Relationship Id="rId53" Type="http://schemas.openxmlformats.org/officeDocument/2006/relationships/header" Target="header1.xml" /><Relationship Id="rId58" Type="http://schemas.openxmlformats.org/officeDocument/2006/relationships/footer" Target="footer3.xml" /><Relationship Id="rId5" Type="http://schemas.openxmlformats.org/officeDocument/2006/relationships/endnotes" Target="endnotes.xml" /><Relationship Id="rId15" Type="http://schemas.openxmlformats.org/officeDocument/2006/relationships/image" Target="media/image10.png" /><Relationship Id="rId23" Type="http://schemas.openxmlformats.org/officeDocument/2006/relationships/image" Target="media/image18.png" /><Relationship Id="rId28" Type="http://schemas.openxmlformats.org/officeDocument/2006/relationships/image" Target="media/image23.png" /><Relationship Id="rId36" Type="http://schemas.openxmlformats.org/officeDocument/2006/relationships/image" Target="media/image31.png" /><Relationship Id="rId49" Type="http://schemas.openxmlformats.org/officeDocument/2006/relationships/hyperlink" Target="https://www.journaldespalaces.com/en/pressrelease-78563-hyatt-reaches-global-risehy-goal-surpassing-10000-hires-and-progressing-toward-15000-hires-by-the-end-of-2028" TargetMode="External" /><Relationship Id="rId57" Type="http://schemas.openxmlformats.org/officeDocument/2006/relationships/header" Target="header3.xml" /><Relationship Id="rId10" Type="http://schemas.openxmlformats.org/officeDocument/2006/relationships/image" Target="media/image5.png" /><Relationship Id="rId19" Type="http://schemas.openxmlformats.org/officeDocument/2006/relationships/image" Target="media/image14.png" /><Relationship Id="rId31" Type="http://schemas.openxmlformats.org/officeDocument/2006/relationships/image" Target="media/image26.png" /><Relationship Id="rId44" Type="http://schemas.openxmlformats.org/officeDocument/2006/relationships/image" Target="media/image39.png" /><Relationship Id="rId52" Type="http://schemas.openxmlformats.org/officeDocument/2006/relationships/image" Target="media/image45.png" /><Relationship Id="rId60"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image" Target="media/image9.png" /><Relationship Id="rId22" Type="http://schemas.openxmlformats.org/officeDocument/2006/relationships/image" Target="media/image17.png" /><Relationship Id="rId27" Type="http://schemas.openxmlformats.org/officeDocument/2006/relationships/image" Target="media/image22.png" /><Relationship Id="rId30" Type="http://schemas.openxmlformats.org/officeDocument/2006/relationships/image" Target="media/image25.png" /><Relationship Id="rId35" Type="http://schemas.openxmlformats.org/officeDocument/2006/relationships/image" Target="media/image30.png" /><Relationship Id="rId43" Type="http://schemas.openxmlformats.org/officeDocument/2006/relationships/image" Target="media/image38.png" /><Relationship Id="rId48" Type="http://schemas.openxmlformats.org/officeDocument/2006/relationships/image" Target="media/image43.png" /><Relationship Id="rId56" Type="http://schemas.openxmlformats.org/officeDocument/2006/relationships/footer" Target="footer2.xml" /><Relationship Id="rId8" Type="http://schemas.openxmlformats.org/officeDocument/2006/relationships/image" Target="media/image3.png" /><Relationship Id="rId51" Type="http://schemas.openxmlformats.org/officeDocument/2006/relationships/image" Target="media/image44.png" /><Relationship Id="rId3" Type="http://schemas.openxmlformats.org/officeDocument/2006/relationships/webSettings" Target="webSettings.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8472</Words>
  <Characters>48294</Characters>
  <Application>Microsoft Office Word</Application>
  <DocSecurity>0</DocSecurity>
  <Lines>402</Lines>
  <Paragraphs>113</Paragraphs>
  <ScaleCrop>false</ScaleCrop>
  <Company/>
  <LinksUpToDate>false</LinksUpToDate>
  <CharactersWithSpaces>56653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patel Dhruv</dc:creator>
  <cp:lastModifiedBy>Shiv Kalsariya</cp:lastModifiedBy>
  <cp:revision>2</cp:revision>
  <dcterms:created xsi:type="dcterms:W3CDTF">2026-08-13T08:57:00Z</dcterms:created>
  <dcterms:modified xsi:type="dcterms:W3CDTF">2026-08-13T08:57:00Z</dcterms:modified>
</cp:coreProperties>
</file>