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E3F6E"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The Cambridge Primary Review stated that children’s, ‘opportunities to express themselves creatively had been eroded in the past 20 years...with stifled enjoyment, creativity and imagination in primary education.’ (Alexander, 2010, p.99) With Donaldson (2015) asserting this to external forces, and subsequently leaving a void of local creativity and responsiveness to the needs of learners. </w:t>
      </w:r>
    </w:p>
    <w:p w14:paraId="6F140F4A"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However, with the first curriculum documents to be published in March 2019, ‘Successful Futures’ (2015) intends to bring change, a platform for new expression, engagement and  innovative teaching and creative learning to develop learners prepared for this new age. </w:t>
      </w:r>
      <w:bookmarkStart w:id="0" w:name="_GoBack"/>
      <w:bookmarkEnd w:id="0"/>
      <w:r w:rsidRPr="0038297E">
        <w:rPr>
          <w:rFonts w:ascii="Times New Roman" w:hAnsi="Times New Roman" w:cs="Times New Roman"/>
          <w:sz w:val="24"/>
          <w:szCs w:val="24"/>
        </w:rPr>
        <w:t xml:space="preserve">Furthermore, Robinson (2015) argues that the future depends on the creative capabilities of learners as raising academic standards will not suffice; in line with Our National Mission. (Williams, 2017). </w:t>
      </w:r>
    </w:p>
    <w:p w14:paraId="6F9B69CA"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Wyse, Ferrari (2015), </w:t>
      </w:r>
      <w:proofErr w:type="spellStart"/>
      <w:r w:rsidRPr="0038297E">
        <w:rPr>
          <w:rFonts w:ascii="Times New Roman" w:hAnsi="Times New Roman" w:cs="Times New Roman"/>
          <w:sz w:val="24"/>
          <w:szCs w:val="24"/>
        </w:rPr>
        <w:t>Shaheen</w:t>
      </w:r>
      <w:proofErr w:type="spellEnd"/>
      <w:r w:rsidRPr="0038297E">
        <w:rPr>
          <w:rFonts w:ascii="Times New Roman" w:hAnsi="Times New Roman" w:cs="Times New Roman"/>
          <w:sz w:val="24"/>
          <w:szCs w:val="24"/>
        </w:rPr>
        <w:t xml:space="preserve"> (2010) and Craft (1999) all agree that fostering creativity is a life skill, key competency and component of economic prosperity that will create resilience, innovation that will address the demands of a fast-changing world; with these skills developing characteristics of entrepreneurs (Loughan,2014). Teachers will have to equip these learners;  be themselves innovators, passionate about leading and responding to changing society (Furlong, 2015)</w:t>
      </w:r>
    </w:p>
    <w:p w14:paraId="383665CA"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Through research and personal reflection this essay will articulate a definition of creativity and enterprise within an educational context and through discussion critically analyse the benefits, challenges and tensions that exist concerning creativity and innovation. The </w:t>
      </w:r>
      <w:proofErr w:type="spellStart"/>
      <w:r w:rsidRPr="0038297E">
        <w:rPr>
          <w:rFonts w:ascii="Times New Roman" w:hAnsi="Times New Roman" w:cs="Times New Roman"/>
          <w:sz w:val="24"/>
          <w:szCs w:val="24"/>
        </w:rPr>
        <w:t>Entrecomp</w:t>
      </w:r>
      <w:proofErr w:type="spellEnd"/>
      <w:r w:rsidRPr="0038297E">
        <w:rPr>
          <w:rFonts w:ascii="Times New Roman" w:hAnsi="Times New Roman" w:cs="Times New Roman"/>
          <w:sz w:val="24"/>
          <w:szCs w:val="24"/>
        </w:rPr>
        <w:t xml:space="preserve"> Framework (</w:t>
      </w:r>
      <w:proofErr w:type="spellStart"/>
      <w:r w:rsidRPr="0038297E">
        <w:rPr>
          <w:rFonts w:ascii="Times New Roman" w:hAnsi="Times New Roman" w:cs="Times New Roman"/>
          <w:sz w:val="24"/>
          <w:szCs w:val="24"/>
        </w:rPr>
        <w:t>Bacigalupo</w:t>
      </w:r>
      <w:proofErr w:type="spellEnd"/>
      <w:r w:rsidRPr="0038297E">
        <w:rPr>
          <w:rFonts w:ascii="Times New Roman" w:hAnsi="Times New Roman" w:cs="Times New Roman"/>
          <w:sz w:val="24"/>
          <w:szCs w:val="24"/>
        </w:rPr>
        <w:t xml:space="preserve"> et al, 2016) will be used for personal evaluation focusing on two strands; creativity and risk taking and make future recommendations in order to develop these skills and pedagogy within learners.</w:t>
      </w:r>
    </w:p>
    <w:p w14:paraId="19EBD685"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With Creativity in both thinking and learning established as a crucial life skills be nurtured encouraged in education (Dobbins, 2009), Ofsted (2015, p. 7) still found that the definitions of creativity differed ranging from, ‘an innate attribute to an approach and set of skills that could be cultivated.’ Furthermore, Leggett (2017) ascertained that mis-interpretation of creativity was a key issue in progression with Runco (2003, 2016)  arguing that it could be overlooked if the only creativity recognised was that which was seen and tested.</w:t>
      </w:r>
    </w:p>
    <w:p w14:paraId="07916185" w14:textId="77777777" w:rsidR="0038297E" w:rsidRPr="0038297E" w:rsidRDefault="0038297E" w:rsidP="0038297E">
      <w:pPr>
        <w:spacing w:line="360" w:lineRule="auto"/>
        <w:jc w:val="both"/>
        <w:rPr>
          <w:rFonts w:ascii="Times New Roman" w:hAnsi="Times New Roman" w:cs="Times New Roman"/>
          <w:sz w:val="24"/>
          <w:szCs w:val="24"/>
        </w:rPr>
      </w:pPr>
      <w:bookmarkStart w:id="1" w:name="_Hlk536043741"/>
      <w:r w:rsidRPr="0038297E">
        <w:rPr>
          <w:rFonts w:ascii="Times New Roman" w:hAnsi="Times New Roman" w:cs="Times New Roman"/>
          <w:sz w:val="24"/>
          <w:szCs w:val="24"/>
        </w:rPr>
        <w:t xml:space="preserve">This is imperative, as Kapadia (2015) argues that critical thinking, problem solving, collaboration and imagination through the arts can support creativity, In contrast, however, viewing creativity in this context alone can prevent the foreseen potential across all domains </w:t>
      </w:r>
      <w:r w:rsidRPr="0038297E">
        <w:rPr>
          <w:rFonts w:ascii="Times New Roman" w:hAnsi="Times New Roman" w:cs="Times New Roman"/>
          <w:sz w:val="24"/>
          <w:szCs w:val="24"/>
        </w:rPr>
        <w:lastRenderedPageBreak/>
        <w:t xml:space="preserve">and contexts (Robinson Report, 1999).  In addition, Craft, Jeffrey and </w:t>
      </w:r>
      <w:proofErr w:type="spellStart"/>
      <w:r w:rsidRPr="0038297E">
        <w:rPr>
          <w:rFonts w:ascii="Times New Roman" w:hAnsi="Times New Roman" w:cs="Times New Roman"/>
          <w:sz w:val="24"/>
          <w:szCs w:val="24"/>
        </w:rPr>
        <w:t>Leibling</w:t>
      </w:r>
      <w:proofErr w:type="spellEnd"/>
      <w:r w:rsidRPr="0038297E">
        <w:rPr>
          <w:rFonts w:ascii="Times New Roman" w:hAnsi="Times New Roman" w:cs="Times New Roman"/>
          <w:sz w:val="24"/>
          <w:szCs w:val="24"/>
        </w:rPr>
        <w:t xml:space="preserve"> (2001) found that within some schools perceiving creativity which focussed on intellectual aspects and problem-solving left creative learners unable to fulfil their potential. Leadership and stakeholders involved in planning and policy hold the key to making</w:t>
      </w:r>
      <w:bookmarkEnd w:id="1"/>
      <w:r w:rsidRPr="0038297E">
        <w:rPr>
          <w:rFonts w:ascii="Times New Roman" w:hAnsi="Times New Roman" w:cs="Times New Roman"/>
          <w:sz w:val="24"/>
          <w:szCs w:val="24"/>
        </w:rPr>
        <w:t xml:space="preserve"> important decisions impacting potential entrepreneurship.</w:t>
      </w:r>
    </w:p>
    <w:p w14:paraId="6F56DD71"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NACCCE (1999)  made distinctions between teaching creatively and teaching for creativity. With the emphasis firstly on the teacher using appropriate approaches to engage and interest learners and secondly the teacher using their own creativity and pedagogy to foster creative thinking within learners (Woods and Jeffrey, 1996 and Davies et al, 2014). Sharp (2004) suggests that the balance of both are equally important,  however, within the new curriculum, learners will begin to move forward, away from pedagogy advancing to Heutagogy as they become more autonomous, knowing how to learn and innovate and acquire competencies and capabilities, enhancing more opportunities for creativity to flourish. </w:t>
      </w:r>
    </w:p>
    <w:p w14:paraId="727A25BE" w14:textId="77777777" w:rsidR="0038297E" w:rsidRPr="0038297E" w:rsidRDefault="0038297E" w:rsidP="0038297E">
      <w:pPr>
        <w:spacing w:line="360" w:lineRule="auto"/>
        <w:jc w:val="both"/>
        <w:rPr>
          <w:rFonts w:ascii="Times New Roman" w:hAnsi="Times New Roman" w:cs="Times New Roman"/>
          <w:b/>
          <w:sz w:val="24"/>
          <w:szCs w:val="24"/>
        </w:rPr>
      </w:pPr>
      <w:r w:rsidRPr="0038297E">
        <w:rPr>
          <w:rFonts w:ascii="Times New Roman" w:hAnsi="Times New Roman" w:cs="Times New Roman"/>
          <w:sz w:val="24"/>
          <w:szCs w:val="24"/>
        </w:rPr>
        <w:t xml:space="preserve">Much research suggests that creativity is understood to be a process or imaginative activity that produces both originality and value (NACCCE, 1999; Wyse and Ferrari, 2014; Robinson, 2015, and Craft, </w:t>
      </w:r>
      <w:proofErr w:type="spellStart"/>
      <w:r w:rsidRPr="0038297E">
        <w:rPr>
          <w:rFonts w:ascii="Times New Roman" w:hAnsi="Times New Roman" w:cs="Times New Roman"/>
          <w:sz w:val="24"/>
          <w:szCs w:val="24"/>
        </w:rPr>
        <w:t>Cremlin</w:t>
      </w:r>
      <w:proofErr w:type="spellEnd"/>
      <w:r w:rsidRPr="0038297E">
        <w:rPr>
          <w:rFonts w:ascii="Times New Roman" w:hAnsi="Times New Roman" w:cs="Times New Roman"/>
          <w:sz w:val="24"/>
          <w:szCs w:val="24"/>
        </w:rPr>
        <w:t xml:space="preserve"> and Burnard, 2008). In addition, Fisher and Williams (2006) and Runco (2016)  suggest its value must be personal, offering a sense of self-enlightenment and satisfaction, in comparison to Hewitt and Tarrant (2015) who argue that the ideas that generate value are for someone other than oneself. However, </w:t>
      </w:r>
      <w:proofErr w:type="spellStart"/>
      <w:r w:rsidRPr="0038297E">
        <w:rPr>
          <w:rFonts w:ascii="Times New Roman" w:hAnsi="Times New Roman" w:cs="Times New Roman"/>
          <w:sz w:val="24"/>
          <w:szCs w:val="24"/>
        </w:rPr>
        <w:t>Gardners</w:t>
      </w:r>
      <w:proofErr w:type="spellEnd"/>
      <w:r w:rsidRPr="0038297E">
        <w:rPr>
          <w:rFonts w:ascii="Times New Roman" w:hAnsi="Times New Roman" w:cs="Times New Roman"/>
          <w:sz w:val="24"/>
          <w:szCs w:val="24"/>
        </w:rPr>
        <w:t>’ (1999) view argued that truly creative people make an impact on the world.</w:t>
      </w:r>
    </w:p>
    <w:p w14:paraId="5306E73A"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Many characteristics of creativity and the creative process can be found; from Cognitive skills, personality, motivation (Amabile, 1996; Runco, 2003 and Desailly, 2015), imaginative activity and  thinking, (NACCCE, 1999) to innovation, control, relevance, and ownership, (Jeffery and Woods, 2003). In addition ,Wyse and Ferrari (2015) argue that thinking skills relating to reasoning, enquiry and discovery underpin the creative process. Furthermore, it is the bond between divergent and convergent thinking that is the powerful aspect that transpires the creativity (Leggett, 2017 and Robinson, 2015).</w:t>
      </w:r>
    </w:p>
    <w:p w14:paraId="4AE189FD"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An  understanding that brings further depth states that the creative process also involves refining, testing and seeing new connections and relationships constructing new meaning  (Torrance,1969; Koestler,1964; Oliver, 2006; Pound and Lee, 2015 and Runco, 2003). Both Goleman (2015) and Pink (2006) argue that this combination of unrelated ideas and implementation is the innovative part of the creative process. It is the outcome of wonder,  curiosity and knowledge that produces this outcome according to </w:t>
      </w:r>
      <w:proofErr w:type="spellStart"/>
      <w:r w:rsidRPr="0038297E">
        <w:rPr>
          <w:rFonts w:ascii="Times New Roman" w:hAnsi="Times New Roman" w:cs="Times New Roman"/>
          <w:sz w:val="24"/>
          <w:szCs w:val="24"/>
        </w:rPr>
        <w:t>Tahirsylaj</w:t>
      </w:r>
      <w:proofErr w:type="spellEnd"/>
      <w:r w:rsidRPr="0038297E">
        <w:rPr>
          <w:rFonts w:ascii="Times New Roman" w:hAnsi="Times New Roman" w:cs="Times New Roman"/>
          <w:sz w:val="24"/>
          <w:szCs w:val="24"/>
        </w:rPr>
        <w:t xml:space="preserve"> (2012). This therefore suggests that all learners have the potential to be creative; it can be developed and learnt. (NACCEE, 1999; Esquivel, 1995 and </w:t>
      </w:r>
      <w:proofErr w:type="spellStart"/>
      <w:r w:rsidRPr="0038297E">
        <w:rPr>
          <w:rFonts w:ascii="Times New Roman" w:hAnsi="Times New Roman" w:cs="Times New Roman"/>
          <w:sz w:val="24"/>
          <w:szCs w:val="24"/>
        </w:rPr>
        <w:t>Blamires</w:t>
      </w:r>
      <w:proofErr w:type="spellEnd"/>
      <w:r w:rsidRPr="0038297E">
        <w:rPr>
          <w:rFonts w:ascii="Times New Roman" w:hAnsi="Times New Roman" w:cs="Times New Roman"/>
          <w:sz w:val="24"/>
          <w:szCs w:val="24"/>
        </w:rPr>
        <w:t xml:space="preserve"> and Peterson, 2014). For teachers, research, critical reflection, sharing good practice and careful planning is therefore essential; aspects agreed by Ofsted (2010)</w:t>
      </w:r>
    </w:p>
    <w:p w14:paraId="49779AA8"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bCs/>
          <w:iCs/>
          <w:sz w:val="24"/>
          <w:szCs w:val="24"/>
        </w:rPr>
        <w:t xml:space="preserve">The term innovation is used as such in sociology, as ‘Entrepreneurship and enterprise, in an economic environment, and in education mostly referred to as creativity (Craft, Jeffrey and </w:t>
      </w:r>
      <w:proofErr w:type="spellStart"/>
      <w:r w:rsidRPr="0038297E">
        <w:rPr>
          <w:rFonts w:ascii="Times New Roman" w:hAnsi="Times New Roman" w:cs="Times New Roman"/>
          <w:bCs/>
          <w:iCs/>
          <w:sz w:val="24"/>
          <w:szCs w:val="24"/>
        </w:rPr>
        <w:t>Leibling</w:t>
      </w:r>
      <w:proofErr w:type="spellEnd"/>
      <w:r w:rsidRPr="0038297E">
        <w:rPr>
          <w:rFonts w:ascii="Times New Roman" w:hAnsi="Times New Roman" w:cs="Times New Roman"/>
          <w:bCs/>
          <w:iCs/>
          <w:sz w:val="24"/>
          <w:szCs w:val="24"/>
        </w:rPr>
        <w:t xml:space="preserve">, 2001). However, the </w:t>
      </w:r>
      <w:proofErr w:type="spellStart"/>
      <w:r w:rsidRPr="0038297E">
        <w:rPr>
          <w:rFonts w:ascii="Times New Roman" w:hAnsi="Times New Roman" w:cs="Times New Roman"/>
          <w:bCs/>
          <w:iCs/>
          <w:sz w:val="24"/>
          <w:szCs w:val="24"/>
        </w:rPr>
        <w:t>Entrecomp</w:t>
      </w:r>
      <w:proofErr w:type="spellEnd"/>
      <w:r w:rsidRPr="0038297E">
        <w:rPr>
          <w:rFonts w:ascii="Times New Roman" w:hAnsi="Times New Roman" w:cs="Times New Roman"/>
          <w:bCs/>
          <w:iCs/>
          <w:sz w:val="24"/>
          <w:szCs w:val="24"/>
        </w:rPr>
        <w:t xml:space="preserve"> Framework defines entrepreneurship as,‘</w:t>
      </w:r>
      <w:r w:rsidRPr="0038297E">
        <w:rPr>
          <w:rFonts w:ascii="Times New Roman" w:hAnsi="Times New Roman" w:cs="Times New Roman"/>
          <w:sz w:val="24"/>
          <w:szCs w:val="24"/>
        </w:rPr>
        <w:t xml:space="preserve"> a transversal competence, which applies to all spheres of life: from nurturing personal development, to actively participating in society’ (</w:t>
      </w:r>
      <w:proofErr w:type="spellStart"/>
      <w:r w:rsidRPr="0038297E">
        <w:rPr>
          <w:rFonts w:ascii="Times New Roman" w:hAnsi="Times New Roman" w:cs="Times New Roman"/>
          <w:sz w:val="24"/>
          <w:szCs w:val="24"/>
        </w:rPr>
        <w:t>Bacigalupo,et</w:t>
      </w:r>
      <w:proofErr w:type="spellEnd"/>
      <w:r w:rsidRPr="0038297E">
        <w:rPr>
          <w:rFonts w:ascii="Times New Roman" w:hAnsi="Times New Roman" w:cs="Times New Roman"/>
          <w:sz w:val="24"/>
          <w:szCs w:val="24"/>
        </w:rPr>
        <w:t xml:space="preserve"> al, 2016).</w:t>
      </w:r>
    </w:p>
    <w:p w14:paraId="0C750084"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Whatever the definition, creativity can be understood to be multi-dimensional, with </w:t>
      </w:r>
      <w:proofErr w:type="spellStart"/>
      <w:r w:rsidRPr="0038297E">
        <w:rPr>
          <w:rFonts w:ascii="Times New Roman" w:hAnsi="Times New Roman" w:cs="Times New Roman"/>
          <w:sz w:val="24"/>
          <w:szCs w:val="24"/>
        </w:rPr>
        <w:t>Khatena</w:t>
      </w:r>
      <w:proofErr w:type="spellEnd"/>
      <w:r w:rsidRPr="0038297E">
        <w:rPr>
          <w:rFonts w:ascii="Times New Roman" w:hAnsi="Times New Roman" w:cs="Times New Roman"/>
          <w:sz w:val="24"/>
          <w:szCs w:val="24"/>
        </w:rPr>
        <w:t xml:space="preserve"> (1982) arguing that this consists of the individual, environment and cosmos, whereas, Seelig (2012) indicates that both attitude, imagination and knowledge and resources, culture, and habitat are all equal components interlinked to culture creativity. However, </w:t>
      </w:r>
      <w:proofErr w:type="spellStart"/>
      <w:r w:rsidRPr="0038297E">
        <w:rPr>
          <w:rFonts w:ascii="Times New Roman" w:hAnsi="Times New Roman" w:cs="Times New Roman"/>
          <w:sz w:val="24"/>
          <w:szCs w:val="24"/>
        </w:rPr>
        <w:t>Beghetto</w:t>
      </w:r>
      <w:proofErr w:type="spellEnd"/>
      <w:r w:rsidRPr="0038297E">
        <w:rPr>
          <w:rFonts w:ascii="Times New Roman" w:hAnsi="Times New Roman" w:cs="Times New Roman"/>
          <w:sz w:val="24"/>
          <w:szCs w:val="24"/>
        </w:rPr>
        <w:t xml:space="preserve"> and Kaufman (2009) would argue that intrinsic and extrinsic motivation has the most impact to  shape creativity. In comparison, however, Robinson (2015) places more importance on divergent thinking. </w:t>
      </w:r>
    </w:p>
    <w:p w14:paraId="7FA1877D" w14:textId="77777777" w:rsidR="0038297E" w:rsidRPr="0038297E" w:rsidRDefault="0038297E" w:rsidP="0038297E">
      <w:pPr>
        <w:spacing w:line="360" w:lineRule="auto"/>
        <w:jc w:val="both"/>
      </w:pPr>
      <w:r w:rsidRPr="0038297E">
        <w:rPr>
          <w:rFonts w:ascii="Times New Roman" w:hAnsi="Times New Roman" w:cs="Times New Roman"/>
          <w:sz w:val="24"/>
          <w:szCs w:val="24"/>
        </w:rPr>
        <w:t>The importance of fostering creative and enterprise skills is imperative in order to thrive in the diversity and challenges of the 21</w:t>
      </w:r>
      <w:r w:rsidRPr="0038297E">
        <w:rPr>
          <w:rFonts w:ascii="Times New Roman" w:hAnsi="Times New Roman" w:cs="Times New Roman"/>
          <w:sz w:val="24"/>
          <w:szCs w:val="24"/>
          <w:vertAlign w:val="superscript"/>
        </w:rPr>
        <w:t>st</w:t>
      </w:r>
      <w:r w:rsidRPr="0038297E">
        <w:rPr>
          <w:rFonts w:ascii="Times New Roman" w:hAnsi="Times New Roman" w:cs="Times New Roman"/>
          <w:sz w:val="24"/>
          <w:szCs w:val="24"/>
        </w:rPr>
        <w:t xml:space="preserve"> Century. The new curriculum will develop creative skills through critically evaluating information, making connections, solving complex problems and transferring both knowledge and skills to new situations. This will help children and young people on their journey to become enterprising, creative contributors (Donaldson, 2015) and to equip children to have resilience to thrive and flourish and to develop emotional literacy to have the skills to cope with new situations and challenges (Goleman, 1995). Furthermore, fostering creativity in learners can be advantageous as it establishes understanding, empathy and inventiveness (Pink, 2006), with these skills offering society individuals who are innovative, adaptable and flexible, which are key assets for businesses. (Quality Assurance Agency,  2012) In addition it can also enhance  academic performance according to  Geist and Horn (2009) and Sternberg (1999), however </w:t>
      </w:r>
      <w:proofErr w:type="spellStart"/>
      <w:r w:rsidRPr="0038297E">
        <w:rPr>
          <w:rFonts w:ascii="Times New Roman" w:hAnsi="Times New Roman" w:cs="Times New Roman"/>
          <w:sz w:val="24"/>
          <w:szCs w:val="24"/>
        </w:rPr>
        <w:t>Namia</w:t>
      </w:r>
      <w:proofErr w:type="spellEnd"/>
      <w:r w:rsidRPr="0038297E">
        <w:rPr>
          <w:rFonts w:ascii="Times New Roman" w:hAnsi="Times New Roman" w:cs="Times New Roman"/>
          <w:sz w:val="24"/>
          <w:szCs w:val="24"/>
        </w:rPr>
        <w:t xml:space="preserve">, Hossein and </w:t>
      </w:r>
      <w:proofErr w:type="spellStart"/>
      <w:r w:rsidRPr="0038297E">
        <w:rPr>
          <w:rFonts w:ascii="Times New Roman" w:hAnsi="Times New Roman" w:cs="Times New Roman"/>
          <w:sz w:val="24"/>
          <w:szCs w:val="24"/>
        </w:rPr>
        <w:t>Ashouri</w:t>
      </w:r>
      <w:proofErr w:type="spellEnd"/>
      <w:r w:rsidRPr="0038297E">
        <w:rPr>
          <w:rFonts w:ascii="Times New Roman" w:hAnsi="Times New Roman" w:cs="Times New Roman"/>
          <w:sz w:val="24"/>
          <w:szCs w:val="24"/>
        </w:rPr>
        <w:t xml:space="preserve"> (2013)</w:t>
      </w:r>
      <w:r w:rsidRPr="0038297E">
        <w:t xml:space="preserve"> disagree.</w:t>
      </w:r>
    </w:p>
    <w:p w14:paraId="72D7C7CF"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For teachers, fostering personal creativity will translate into their planning and pedagogy, consequentially creating a resurgence of passion, a sense of resilience, persistence, grit and motivation for those restrained by the curriculum (Dacey and Lennon, 2000). These restraints, due to a sense of conformity established, time restraints and a fear of inspection (Hayes, 2004;  </w:t>
      </w:r>
      <w:proofErr w:type="spellStart"/>
      <w:r w:rsidRPr="0038297E">
        <w:rPr>
          <w:rFonts w:ascii="Times New Roman" w:hAnsi="Times New Roman" w:cs="Times New Roman"/>
          <w:sz w:val="24"/>
          <w:szCs w:val="24"/>
        </w:rPr>
        <w:t>Mishrab</w:t>
      </w:r>
      <w:proofErr w:type="spellEnd"/>
      <w:r w:rsidRPr="0038297E">
        <w:rPr>
          <w:rFonts w:ascii="Times New Roman" w:hAnsi="Times New Roman" w:cs="Times New Roman"/>
          <w:sz w:val="24"/>
          <w:szCs w:val="24"/>
        </w:rPr>
        <w:t xml:space="preserve"> and Richardson, 2018; and Dobbins, 2009). However, Jeffery and Wood (2003) state that even in such curriclum practices schools can still foster creativity. This requires a whole school approach and strong leadership  with vision, that welcomes innovation,  qualities not always evident. The Welsh Government have allocated funds for teachers to ensure sufficient time for them to understand  and interpret the new curriculum, (Williams, 2018) which will support and alleviate much anxiety and prepare teachers to be active agents of change.</w:t>
      </w:r>
    </w:p>
    <w:p w14:paraId="5B1944B6"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The challenge remains, however, with assessment; that we are killing creativity. (Robinson, 2015; </w:t>
      </w:r>
      <w:proofErr w:type="spellStart"/>
      <w:r w:rsidRPr="0038297E">
        <w:rPr>
          <w:rFonts w:ascii="Times New Roman" w:hAnsi="Times New Roman" w:cs="Times New Roman"/>
          <w:sz w:val="24"/>
          <w:szCs w:val="24"/>
        </w:rPr>
        <w:t>Beghetto</w:t>
      </w:r>
      <w:proofErr w:type="spellEnd"/>
      <w:r w:rsidRPr="0038297E">
        <w:rPr>
          <w:rFonts w:ascii="Times New Roman" w:hAnsi="Times New Roman" w:cs="Times New Roman"/>
          <w:sz w:val="24"/>
          <w:szCs w:val="24"/>
        </w:rPr>
        <w:t xml:space="preserve">, 2005) Objectivity becomes an issue, with an un comparable personal idea or product (Runco, 2003).  However, Ofsted (2015, p. 3) stated that, ‘Assessment that is used to encourage, guide and evaluate creative learning was highlighted as a priority in our survey visits.’ In addition, </w:t>
      </w:r>
      <w:proofErr w:type="spellStart"/>
      <w:r w:rsidRPr="0038297E">
        <w:rPr>
          <w:rFonts w:ascii="Times New Roman" w:hAnsi="Times New Roman" w:cs="Times New Roman"/>
          <w:sz w:val="24"/>
          <w:szCs w:val="24"/>
        </w:rPr>
        <w:t>Beghetto</w:t>
      </w:r>
      <w:proofErr w:type="spellEnd"/>
      <w:r w:rsidRPr="0038297E">
        <w:rPr>
          <w:rFonts w:ascii="Times New Roman" w:hAnsi="Times New Roman" w:cs="Times New Roman"/>
          <w:sz w:val="24"/>
          <w:szCs w:val="24"/>
        </w:rPr>
        <w:t xml:space="preserve"> (2005) emphasises the importance of using high-quality feedback;  formative assessment to motivate learners in order for their creativity to thrive, a  key message</w:t>
      </w:r>
      <w:r w:rsidRPr="0038297E">
        <w:t xml:space="preserve"> </w:t>
      </w:r>
      <w:r w:rsidRPr="0038297E">
        <w:rPr>
          <w:rFonts w:ascii="Times New Roman" w:hAnsi="Times New Roman" w:cs="Times New Roman"/>
          <w:sz w:val="24"/>
          <w:szCs w:val="24"/>
        </w:rPr>
        <w:t xml:space="preserve">from Donaldson (2015).   </w:t>
      </w:r>
    </w:p>
    <w:p w14:paraId="736DE556"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The </w:t>
      </w:r>
      <w:proofErr w:type="spellStart"/>
      <w:r w:rsidRPr="0038297E">
        <w:rPr>
          <w:rFonts w:ascii="Times New Roman" w:hAnsi="Times New Roman" w:cs="Times New Roman"/>
          <w:sz w:val="24"/>
          <w:szCs w:val="24"/>
        </w:rPr>
        <w:t>Entrecomp</w:t>
      </w:r>
      <w:proofErr w:type="spellEnd"/>
      <w:r w:rsidRPr="0038297E">
        <w:rPr>
          <w:rFonts w:ascii="Times New Roman" w:hAnsi="Times New Roman" w:cs="Times New Roman"/>
          <w:sz w:val="24"/>
          <w:szCs w:val="24"/>
        </w:rPr>
        <w:t xml:space="preserve"> Framework has been developed as a tool of reference to develop entrepreneurial skills and support the teacher in understanding and assessing their current levels and identify the next steps for progression. This is a critical component as OECD (2018) argue that teachers </w:t>
      </w:r>
      <w:proofErr w:type="gramStart"/>
      <w:r w:rsidRPr="0038297E">
        <w:rPr>
          <w:rFonts w:ascii="Times New Roman" w:hAnsi="Times New Roman" w:cs="Times New Roman"/>
          <w:sz w:val="24"/>
          <w:szCs w:val="24"/>
        </w:rPr>
        <w:t>lack of</w:t>
      </w:r>
      <w:proofErr w:type="gramEnd"/>
      <w:r w:rsidRPr="0038297E">
        <w:rPr>
          <w:rFonts w:ascii="Times New Roman" w:hAnsi="Times New Roman" w:cs="Times New Roman"/>
          <w:sz w:val="24"/>
          <w:szCs w:val="24"/>
        </w:rPr>
        <w:t xml:space="preserve"> understanding leads to barriers to assessing progress. Synthesising the framework for a classroom context has been challenging as there are many elements to decipher, also acknowledging that it has not been tested in any actual setting thus far (</w:t>
      </w:r>
      <w:proofErr w:type="spellStart"/>
      <w:r w:rsidRPr="0038297E">
        <w:rPr>
          <w:rFonts w:ascii="Times New Roman" w:hAnsi="Times New Roman" w:cs="Times New Roman"/>
          <w:sz w:val="24"/>
          <w:szCs w:val="24"/>
        </w:rPr>
        <w:t>Bacigalupo</w:t>
      </w:r>
      <w:proofErr w:type="spellEnd"/>
      <w:r w:rsidRPr="0038297E">
        <w:rPr>
          <w:rFonts w:ascii="Times New Roman" w:hAnsi="Times New Roman" w:cs="Times New Roman"/>
          <w:sz w:val="24"/>
          <w:szCs w:val="24"/>
        </w:rPr>
        <w:t xml:space="preserve">, 2016),  however, it could be used alongside the OECD (2012) ‘The Five Creative Dispositions Model and the </w:t>
      </w:r>
      <w:bookmarkStart w:id="2" w:name="_Hlk535592042"/>
      <w:r w:rsidRPr="0038297E">
        <w:rPr>
          <w:rFonts w:ascii="Times New Roman" w:hAnsi="Times New Roman" w:cs="Times New Roman"/>
          <w:sz w:val="24"/>
          <w:szCs w:val="24"/>
        </w:rPr>
        <w:t xml:space="preserve">current Skills Framework for 3-19 years in Wales (WAG, 2008). </w:t>
      </w:r>
    </w:p>
    <w:bookmarkEnd w:id="2"/>
    <w:p w14:paraId="5A0411AC"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Schools have the ability to ether foster or hinder an environment of creativity, with the learning environment being essential to support creativity (</w:t>
      </w:r>
      <w:proofErr w:type="spellStart"/>
      <w:r w:rsidRPr="0038297E">
        <w:rPr>
          <w:rFonts w:ascii="Times New Roman" w:hAnsi="Times New Roman" w:cs="Times New Roman"/>
          <w:sz w:val="24"/>
          <w:szCs w:val="24"/>
        </w:rPr>
        <w:t>Mishrab</w:t>
      </w:r>
      <w:proofErr w:type="spellEnd"/>
      <w:r w:rsidRPr="0038297E">
        <w:rPr>
          <w:rFonts w:ascii="Times New Roman" w:hAnsi="Times New Roman" w:cs="Times New Roman"/>
          <w:sz w:val="24"/>
          <w:szCs w:val="24"/>
        </w:rPr>
        <w:t xml:space="preserve"> and Richardson, 2018; </w:t>
      </w:r>
      <w:proofErr w:type="spellStart"/>
      <w:r w:rsidRPr="0038297E">
        <w:rPr>
          <w:rFonts w:ascii="Times New Roman" w:hAnsi="Times New Roman" w:cs="Times New Roman"/>
          <w:sz w:val="24"/>
          <w:szCs w:val="24"/>
        </w:rPr>
        <w:t>Beghetto</w:t>
      </w:r>
      <w:proofErr w:type="spellEnd"/>
      <w:r w:rsidRPr="0038297E">
        <w:rPr>
          <w:rFonts w:ascii="Times New Roman" w:hAnsi="Times New Roman" w:cs="Times New Roman"/>
          <w:sz w:val="24"/>
          <w:szCs w:val="24"/>
        </w:rPr>
        <w:t xml:space="preserve"> and Kaufman, 2009 and Sternberg, 2010). The role of the teacher in creating an atmosphere in which their own creativity abilities are engaged with passion and fun,  impacts the responsive creative abilities of the learners (Craft and Jeffrey, 2004). Furthermore, creativity is fostered where the conditions are favourable; motivation is high, emotions are stable and inclusion and encouragement (see appendix 1) draw the best from learners (</w:t>
      </w:r>
      <w:proofErr w:type="spellStart"/>
      <w:r w:rsidRPr="0038297E">
        <w:rPr>
          <w:rFonts w:ascii="Times New Roman" w:hAnsi="Times New Roman" w:cs="Times New Roman"/>
          <w:sz w:val="24"/>
          <w:szCs w:val="24"/>
        </w:rPr>
        <w:t>Cowley</w:t>
      </w:r>
      <w:proofErr w:type="spellEnd"/>
      <w:r w:rsidRPr="0038297E">
        <w:rPr>
          <w:rFonts w:ascii="Times New Roman" w:hAnsi="Times New Roman" w:cs="Times New Roman"/>
          <w:sz w:val="24"/>
          <w:szCs w:val="24"/>
        </w:rPr>
        <w:t xml:space="preserve">, 2005 and Craft, </w:t>
      </w:r>
      <w:proofErr w:type="spellStart"/>
      <w:r w:rsidRPr="0038297E">
        <w:rPr>
          <w:rFonts w:ascii="Times New Roman" w:hAnsi="Times New Roman" w:cs="Times New Roman"/>
          <w:sz w:val="24"/>
          <w:szCs w:val="24"/>
        </w:rPr>
        <w:t>Cremlin</w:t>
      </w:r>
      <w:proofErr w:type="spellEnd"/>
      <w:r w:rsidRPr="0038297E">
        <w:rPr>
          <w:rFonts w:ascii="Times New Roman" w:hAnsi="Times New Roman" w:cs="Times New Roman"/>
          <w:sz w:val="24"/>
          <w:szCs w:val="24"/>
        </w:rPr>
        <w:t xml:space="preserve"> and Burnard, 2008). A curriculum and pedagogy that fosters play as central to child development and offers opportunity to develop and apply imagination (</w:t>
      </w:r>
      <w:proofErr w:type="spellStart"/>
      <w:r w:rsidRPr="0038297E">
        <w:rPr>
          <w:rFonts w:ascii="Times New Roman" w:hAnsi="Times New Roman" w:cs="Times New Roman"/>
          <w:sz w:val="24"/>
          <w:szCs w:val="24"/>
        </w:rPr>
        <w:t>Fumoto</w:t>
      </w:r>
      <w:proofErr w:type="spellEnd"/>
      <w:r w:rsidRPr="0038297E">
        <w:rPr>
          <w:rFonts w:ascii="Times New Roman" w:hAnsi="Times New Roman" w:cs="Times New Roman"/>
          <w:sz w:val="24"/>
          <w:szCs w:val="24"/>
        </w:rPr>
        <w:t xml:space="preserve"> et al, 2012) in which time and resources are provided  as children  have a natural tendency to fantasise and explore their environment (See appendix 2) will also foster creativity (Sharp 2004, Root-Bernstein, 2006). This highlights the teacher’s role as observational and participative, encouraging independence and autonomy and knowing which approach is most appropriate to employ and when. This allows the children to work uninterrupted, making choices spontaneously and independently, all elements that can support creativity (Oliver, 2006). </w:t>
      </w:r>
    </w:p>
    <w:p w14:paraId="6926D005"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On reflection, experience in the classroom has shown evidence that the author has the ability to use personal creativity through her pedagogy to develop the creative skills in learners in a natural way (see appendix 3) However, supporting them to develop their creativity into innovation and enterprise within learners requires further development.</w:t>
      </w:r>
    </w:p>
    <w:p w14:paraId="1107362C" w14:textId="77777777" w:rsidR="0038297E" w:rsidRPr="0038297E" w:rsidRDefault="0038297E" w:rsidP="0038297E">
      <w:pPr>
        <w:spacing w:line="360" w:lineRule="auto"/>
        <w:jc w:val="both"/>
        <w:rPr>
          <w:rFonts w:ascii="Times New Roman" w:hAnsi="Times New Roman" w:cs="Times New Roman"/>
          <w:sz w:val="24"/>
          <w:szCs w:val="24"/>
        </w:rPr>
      </w:pPr>
      <w:bookmarkStart w:id="3" w:name="_Hlk536109632"/>
      <w:r w:rsidRPr="0038297E">
        <w:rPr>
          <w:rFonts w:ascii="Times New Roman" w:hAnsi="Times New Roman" w:cs="Times New Roman"/>
          <w:sz w:val="24"/>
          <w:szCs w:val="24"/>
        </w:rPr>
        <w:t>‘Coping with uncertainty, ambiguity and risk;’ is a competence within the Framework within the thread to,</w:t>
      </w:r>
      <w:r w:rsidRPr="0038297E">
        <w:rPr>
          <w:rFonts w:ascii="Times New Roman" w:hAnsi="Times New Roman" w:cs="Times New Roman"/>
          <w:b/>
          <w:sz w:val="24"/>
          <w:szCs w:val="24"/>
        </w:rPr>
        <w:t xml:space="preserve"> </w:t>
      </w:r>
      <w:r w:rsidRPr="0038297E">
        <w:rPr>
          <w:rFonts w:ascii="Times New Roman" w:hAnsi="Times New Roman" w:cs="Times New Roman"/>
          <w:sz w:val="24"/>
          <w:szCs w:val="24"/>
        </w:rPr>
        <w:t xml:space="preserve">‘Make decisions dealing with uncertainty, ambiguity and risk’ ( </w:t>
      </w:r>
      <w:proofErr w:type="spellStart"/>
      <w:r w:rsidRPr="0038297E">
        <w:rPr>
          <w:rFonts w:ascii="Times New Roman" w:hAnsi="Times New Roman" w:cs="Times New Roman"/>
          <w:sz w:val="24"/>
          <w:szCs w:val="24"/>
        </w:rPr>
        <w:t>Bacigalupo</w:t>
      </w:r>
      <w:proofErr w:type="spellEnd"/>
      <w:r w:rsidRPr="0038297E">
        <w:rPr>
          <w:rFonts w:ascii="Times New Roman" w:hAnsi="Times New Roman" w:cs="Times New Roman"/>
          <w:sz w:val="24"/>
          <w:szCs w:val="24"/>
        </w:rPr>
        <w:t xml:space="preserve"> et al, 2016). A judgement of Level 5 has been attributed to the teacher (see appendix 4).</w:t>
      </w:r>
      <w:bookmarkEnd w:id="3"/>
      <w:r w:rsidRPr="0038297E">
        <w:rPr>
          <w:rFonts w:ascii="Times New Roman" w:hAnsi="Times New Roman" w:cs="Times New Roman"/>
          <w:sz w:val="24"/>
          <w:szCs w:val="24"/>
        </w:rPr>
        <w:t>A year four lesson  (see appendix 5) undertaken supported an opportunity to foster creativity through a collaborative approach within a rich literacy lesson  which promoted this competency in both teacher and learner.</w:t>
      </w:r>
    </w:p>
    <w:p w14:paraId="5CB5EE1B"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The teacher modelled divergent and convergent thinking as the learners were asked to spend the first five minutes thinking and sharing ideas on large sheets of paper on their tables before discussing their arguments. By hot seating one member from each group representing a person from the production line, questions and arguments were hotly debated as learner’s problem solved to choose which individual deserved to be paid the most and offering reasons for their response. </w:t>
      </w:r>
    </w:p>
    <w:p w14:paraId="4A7C5D85"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The  personal reflection (see appendix 6) and teacher observational assessment (see appendix 7)  indicated that the planning had been thoroughly researched utilising appropriate prepared  resources. The physical environment had been organised to ensure all groups had room to collaborate in problem solving and that through the imaginative, positive and persistent attitude the learning had been planned for any eventuality; with the desire to follow the lead of the children in their debate. An important aspect to encouraging creativity supported by Seelig (2012). On reflection, creativity of the teacher was reflected in the ethos of all aspects of the environment, and their approach. </w:t>
      </w:r>
    </w:p>
    <w:p w14:paraId="201C9DBF"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In fostering creativity within learners,  Csikszentmihalyi (2013), </w:t>
      </w:r>
      <w:proofErr w:type="spellStart"/>
      <w:r w:rsidRPr="0038297E">
        <w:rPr>
          <w:rFonts w:ascii="Times New Roman" w:hAnsi="Times New Roman" w:cs="Times New Roman"/>
          <w:sz w:val="24"/>
          <w:szCs w:val="24"/>
        </w:rPr>
        <w:t>Acar</w:t>
      </w:r>
      <w:proofErr w:type="spellEnd"/>
      <w:r w:rsidRPr="0038297E">
        <w:rPr>
          <w:rFonts w:ascii="Times New Roman" w:hAnsi="Times New Roman" w:cs="Times New Roman"/>
          <w:sz w:val="24"/>
          <w:szCs w:val="24"/>
        </w:rPr>
        <w:t xml:space="preserve"> and </w:t>
      </w:r>
      <w:proofErr w:type="spellStart"/>
      <w:r w:rsidRPr="0038297E">
        <w:rPr>
          <w:rFonts w:ascii="Times New Roman" w:hAnsi="Times New Roman" w:cs="Times New Roman"/>
          <w:sz w:val="24"/>
          <w:szCs w:val="24"/>
        </w:rPr>
        <w:t>Ucus</w:t>
      </w:r>
      <w:proofErr w:type="spellEnd"/>
      <w:r w:rsidRPr="0038297E">
        <w:rPr>
          <w:rFonts w:ascii="Times New Roman" w:hAnsi="Times New Roman" w:cs="Times New Roman"/>
          <w:sz w:val="24"/>
          <w:szCs w:val="24"/>
        </w:rPr>
        <w:t xml:space="preserve">  (2018)  believe that talent may be less important than encouragement and that in time, encouragement from adults, children develop creative talents, thus ensuring the pastoral role of the teacher is paramount, ensuring encouragement and patience, supporting the learners to try new things creating a positive mindset (Dweck, 2012). In addition, Craft et al  (2009) and </w:t>
      </w:r>
      <w:proofErr w:type="spellStart"/>
      <w:r w:rsidRPr="0038297E">
        <w:rPr>
          <w:rFonts w:ascii="Times New Roman" w:hAnsi="Times New Roman" w:cs="Times New Roman"/>
          <w:sz w:val="24"/>
          <w:szCs w:val="24"/>
        </w:rPr>
        <w:t>Cremlin</w:t>
      </w:r>
      <w:proofErr w:type="spellEnd"/>
      <w:r w:rsidRPr="0038297E">
        <w:rPr>
          <w:rFonts w:ascii="Times New Roman" w:hAnsi="Times New Roman" w:cs="Times New Roman"/>
          <w:sz w:val="24"/>
          <w:szCs w:val="24"/>
        </w:rPr>
        <w:t>, Burnard and craft (2004) agree that through their planning creative teachers afford risk taking, ownership, and autonomy. However, Ofsted (2003) reported that creativity observed in pupils is a willingness to listen, observe and support learners to develop their ideas, and not some new pedagogy.</w:t>
      </w:r>
    </w:p>
    <w:p w14:paraId="04DC677B" w14:textId="77777777" w:rsidR="0038297E" w:rsidRPr="0038297E" w:rsidRDefault="0038297E" w:rsidP="0038297E">
      <w:pPr>
        <w:spacing w:line="360" w:lineRule="auto"/>
        <w:jc w:val="both"/>
        <w:rPr>
          <w:rFonts w:ascii="Times New Roman" w:hAnsi="Times New Roman" w:cs="Times New Roman"/>
          <w:b/>
          <w:sz w:val="24"/>
          <w:szCs w:val="24"/>
        </w:rPr>
      </w:pPr>
      <w:r w:rsidRPr="0038297E">
        <w:rPr>
          <w:rFonts w:ascii="Times New Roman" w:hAnsi="Times New Roman" w:cs="Times New Roman"/>
          <w:sz w:val="24"/>
          <w:szCs w:val="24"/>
        </w:rPr>
        <w:t xml:space="preserve">To foster creativity in learners, the classroom environment must be one that is non-judgemental and allows for opportunities without fear of making mistakes (Craft, 2009 and Fisher and Williams, 2006). Moreover, risk taking is an essential component in order to succeed, as it means refining, testing and evaluating in order to move forwards which also fosters ownership (Hartford, 2011;  Robinson, 2015; Kapadia, 2015; </w:t>
      </w:r>
      <w:proofErr w:type="spellStart"/>
      <w:r w:rsidRPr="0038297E">
        <w:rPr>
          <w:rFonts w:ascii="Times New Roman" w:hAnsi="Times New Roman" w:cs="Times New Roman"/>
          <w:sz w:val="24"/>
          <w:szCs w:val="24"/>
        </w:rPr>
        <w:t>Beghetto</w:t>
      </w:r>
      <w:proofErr w:type="spellEnd"/>
      <w:r w:rsidRPr="0038297E">
        <w:rPr>
          <w:rFonts w:ascii="Times New Roman" w:hAnsi="Times New Roman" w:cs="Times New Roman"/>
          <w:sz w:val="24"/>
          <w:szCs w:val="24"/>
        </w:rPr>
        <w:t xml:space="preserve">, </w:t>
      </w:r>
      <w:proofErr w:type="spellStart"/>
      <w:r w:rsidRPr="0038297E">
        <w:rPr>
          <w:rFonts w:ascii="Times New Roman" w:hAnsi="Times New Roman" w:cs="Times New Roman"/>
          <w:sz w:val="24"/>
          <w:szCs w:val="24"/>
        </w:rPr>
        <w:t>Plucker</w:t>
      </w:r>
      <w:proofErr w:type="spellEnd"/>
      <w:r w:rsidRPr="0038297E">
        <w:rPr>
          <w:rFonts w:ascii="Times New Roman" w:hAnsi="Times New Roman" w:cs="Times New Roman"/>
          <w:sz w:val="24"/>
          <w:szCs w:val="24"/>
        </w:rPr>
        <w:t xml:space="preserve"> and Dow, 2004). This may cause the </w:t>
      </w:r>
      <w:bookmarkStart w:id="4" w:name="_Hlk535584353"/>
      <w:r w:rsidRPr="0038297E">
        <w:rPr>
          <w:rFonts w:ascii="Times New Roman" w:hAnsi="Times New Roman" w:cs="Times New Roman"/>
          <w:sz w:val="24"/>
          <w:szCs w:val="24"/>
        </w:rPr>
        <w:t>child to become anxious, (Sharp, 2004) so the teacher must therefore know the children in order to know when and how to promote risk, but also culture resilience.</w:t>
      </w:r>
    </w:p>
    <w:bookmarkEnd w:id="4"/>
    <w:p w14:paraId="167A8AEA"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In Estyn’s good practice Ysgol Cynwyd Sant (2016) encouraged a growth mindset in staff and pupils to remove the fear of being wrong. This is part of the natural ethos that has been taken into all classrooms during teaching practice,  with a natural pastoral role being  foundational to create such a culture</w:t>
      </w:r>
      <w:bookmarkStart w:id="5" w:name="_Hlk535565589"/>
      <w:r w:rsidRPr="0038297E">
        <w:rPr>
          <w:rFonts w:ascii="Times New Roman" w:hAnsi="Times New Roman" w:cs="Times New Roman"/>
          <w:sz w:val="24"/>
          <w:szCs w:val="24"/>
        </w:rPr>
        <w:t>. This climate of positive wellbeing generates creative learning on all levels (Barnes, 2015).</w:t>
      </w:r>
    </w:p>
    <w:bookmarkEnd w:id="5"/>
    <w:p w14:paraId="762FF371"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This collaborative approach within this active lesson, placed a strong emphasis on open, exploratory space which are essential for enabling creativity. (</w:t>
      </w:r>
      <w:proofErr w:type="spellStart"/>
      <w:r w:rsidRPr="0038297E">
        <w:rPr>
          <w:rFonts w:ascii="Times New Roman" w:hAnsi="Times New Roman" w:cs="Times New Roman"/>
          <w:sz w:val="24"/>
          <w:szCs w:val="24"/>
        </w:rPr>
        <w:t>Cremlin</w:t>
      </w:r>
      <w:proofErr w:type="spellEnd"/>
      <w:r w:rsidRPr="0038297E">
        <w:rPr>
          <w:rFonts w:ascii="Times New Roman" w:hAnsi="Times New Roman" w:cs="Times New Roman"/>
          <w:sz w:val="24"/>
          <w:szCs w:val="24"/>
        </w:rPr>
        <w:t xml:space="preserve">, Burnard and Craft 2004; Craft and Jeffrey, 2004 and </w:t>
      </w:r>
      <w:proofErr w:type="spellStart"/>
      <w:r w:rsidRPr="0038297E">
        <w:rPr>
          <w:rFonts w:ascii="Times New Roman" w:hAnsi="Times New Roman" w:cs="Times New Roman"/>
          <w:sz w:val="24"/>
          <w:szCs w:val="24"/>
        </w:rPr>
        <w:t>Blamires</w:t>
      </w:r>
      <w:proofErr w:type="spellEnd"/>
      <w:r w:rsidRPr="0038297E">
        <w:rPr>
          <w:rFonts w:ascii="Times New Roman" w:hAnsi="Times New Roman" w:cs="Times New Roman"/>
          <w:sz w:val="24"/>
          <w:szCs w:val="24"/>
        </w:rPr>
        <w:t xml:space="preserve"> and Peterson, 2014). Furthermore, the social constructionist theory would highlight this as a powerful learning environment unlike (See appendix 8)  De Bono (2015) who argues that creativity need not be a group process, as individuals can be creative on their own which supports Piaget’s theory of independent learning  (1952).  However, Jones and Wyse (2004) state that both individual and collaborative learning foster creative autonomous learners of which theorists Montessori (1907) and Emilia (1970) would agree both foster creativity. The Teachers role therefore becomes one  of coach, facilitator, acting spontaneously and flowing with the learner’s interests (Sharp, 2004, </w:t>
      </w:r>
      <w:proofErr w:type="spellStart"/>
      <w:r w:rsidRPr="0038297E">
        <w:rPr>
          <w:rFonts w:ascii="Times New Roman" w:hAnsi="Times New Roman" w:cs="Times New Roman"/>
          <w:sz w:val="24"/>
          <w:szCs w:val="24"/>
        </w:rPr>
        <w:t>Acar</w:t>
      </w:r>
      <w:proofErr w:type="spellEnd"/>
      <w:r w:rsidRPr="0038297E">
        <w:rPr>
          <w:rFonts w:ascii="Times New Roman" w:hAnsi="Times New Roman" w:cs="Times New Roman"/>
          <w:sz w:val="24"/>
          <w:szCs w:val="24"/>
        </w:rPr>
        <w:t xml:space="preserve"> and </w:t>
      </w:r>
      <w:proofErr w:type="spellStart"/>
      <w:r w:rsidRPr="0038297E">
        <w:rPr>
          <w:rFonts w:ascii="Times New Roman" w:hAnsi="Times New Roman" w:cs="Times New Roman"/>
          <w:sz w:val="24"/>
          <w:szCs w:val="24"/>
        </w:rPr>
        <w:t>Ucus</w:t>
      </w:r>
      <w:proofErr w:type="spellEnd"/>
      <w:r w:rsidRPr="0038297E">
        <w:rPr>
          <w:rFonts w:ascii="Times New Roman" w:hAnsi="Times New Roman" w:cs="Times New Roman"/>
          <w:sz w:val="24"/>
          <w:szCs w:val="24"/>
        </w:rPr>
        <w:t xml:space="preserve"> 2018). </w:t>
      </w:r>
    </w:p>
    <w:p w14:paraId="289B3E59"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To ensure progression and further cultivate creativity, level 6 in the framework suggests, ‘finding ways of making decisions when the information is incomplete.’ On reflection, </w:t>
      </w:r>
      <w:proofErr w:type="gramStart"/>
      <w:r w:rsidRPr="0038297E">
        <w:rPr>
          <w:rFonts w:ascii="Times New Roman" w:hAnsi="Times New Roman" w:cs="Times New Roman"/>
          <w:sz w:val="24"/>
          <w:szCs w:val="24"/>
        </w:rPr>
        <w:t>risk was taken by the teacher</w:t>
      </w:r>
      <w:proofErr w:type="gramEnd"/>
      <w:r w:rsidRPr="0038297E">
        <w:rPr>
          <w:rFonts w:ascii="Times New Roman" w:hAnsi="Times New Roman" w:cs="Times New Roman"/>
          <w:sz w:val="24"/>
          <w:szCs w:val="24"/>
        </w:rPr>
        <w:t xml:space="preserve"> to promote active, progressive creativity amongst the learners in an environment that had only been known for a few weeks. However, the strategies used were effective as assessed in the teacher’s formative assessment (appendix 7). In future, the teacher would identify how creativity can be encouraged further in a cross curricular approach, and encouraging persistence allowing the children to continue if they are in flow (Csikszentmihalyi, 1990) instead of having to stop due to curriculum timetable restraints. This wold have to be a collaborative approach with school staff. Further development of personal pedagogy using other strategies such as De Bono’s thinking hats may also stimulate creative and innovation thinking at depth (Costa, and </w:t>
      </w:r>
      <w:proofErr w:type="spellStart"/>
      <w:r w:rsidRPr="0038297E">
        <w:rPr>
          <w:rFonts w:ascii="Times New Roman" w:hAnsi="Times New Roman" w:cs="Times New Roman"/>
          <w:sz w:val="24"/>
          <w:szCs w:val="24"/>
        </w:rPr>
        <w:t>Kallick</w:t>
      </w:r>
      <w:proofErr w:type="spellEnd"/>
      <w:r w:rsidRPr="0038297E">
        <w:rPr>
          <w:rFonts w:ascii="Times New Roman" w:hAnsi="Times New Roman" w:cs="Times New Roman"/>
          <w:sz w:val="24"/>
          <w:szCs w:val="24"/>
        </w:rPr>
        <w:t>, 2008).</w:t>
      </w:r>
    </w:p>
    <w:p w14:paraId="66B39F64"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Within the Creative competence in The </w:t>
      </w:r>
      <w:proofErr w:type="spellStart"/>
      <w:r w:rsidRPr="0038297E">
        <w:rPr>
          <w:rFonts w:ascii="Times New Roman" w:hAnsi="Times New Roman" w:cs="Times New Roman"/>
          <w:sz w:val="24"/>
          <w:szCs w:val="24"/>
        </w:rPr>
        <w:t>Entrecomp</w:t>
      </w:r>
      <w:proofErr w:type="spellEnd"/>
      <w:r w:rsidRPr="0038297E">
        <w:rPr>
          <w:rFonts w:ascii="Times New Roman" w:hAnsi="Times New Roman" w:cs="Times New Roman"/>
          <w:sz w:val="24"/>
          <w:szCs w:val="24"/>
        </w:rPr>
        <w:t xml:space="preserve"> Framework model (</w:t>
      </w:r>
      <w:proofErr w:type="spellStart"/>
      <w:r w:rsidRPr="0038297E">
        <w:rPr>
          <w:rFonts w:ascii="Times New Roman" w:hAnsi="Times New Roman" w:cs="Times New Roman"/>
          <w:sz w:val="24"/>
          <w:szCs w:val="24"/>
        </w:rPr>
        <w:t>Bacigalupo</w:t>
      </w:r>
      <w:proofErr w:type="spellEnd"/>
      <w:r w:rsidRPr="0038297E">
        <w:rPr>
          <w:rFonts w:ascii="Times New Roman" w:hAnsi="Times New Roman" w:cs="Times New Roman"/>
          <w:sz w:val="24"/>
          <w:szCs w:val="24"/>
        </w:rPr>
        <w:t>, 2016), ‘being curious and open’ thread, the teacher has been assessed at level five (see appendix 8). A lesson planned and taught  in a Foundation Phase reception class supported an opportunity in which to foster and develop creativity in mathematics (see appendix 9). The learners were in groups, collaborating and using problem solving skills as detectives on an outdoor shape hunt (appendix 10) The planning included researching how to use the environment to stimulate and create opportunities that, ‘improve the value-creating opportunities’ for the learners to use imagination, collaboration, and thinking skills. Knowledge of Foundation Phase pedagogy informed the planning as the outdoors was used to extend the learners to use and apply their knowledge in a real-life experiential  context creating an authentic memorable experience, theory supported by Montessori (1907), Piaget (1952) and Dewey (1916).</w:t>
      </w:r>
    </w:p>
    <w:p w14:paraId="13F6AEF9"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The Resources provided supported the children in their experience, engaging them in the outdoor space, promoting and fostering their creative development (Davies et al, 2013) </w:t>
      </w:r>
    </w:p>
    <w:p w14:paraId="79A352A8"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The social context planned by the teacher is important in fostering active learning experiences and opportunities for collaboration and independent play (see appendix). In addition, this social constructionist approach (Vygotsky, 1978 and  Bruner, 1957)  offers the teacher an understanding of how these opportunities where knowledge is co-constructed and processing and creative skills are acquired (Sternberg, 2005). </w:t>
      </w:r>
    </w:p>
    <w:p w14:paraId="09A6ECD2"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In order to maximise their divergent and convergent thinking, the teacher used an AFL strategy; think, pair share, which allowed the learners time to think independently and then share with partners.  Runco (1991), Leggett (2017) and Davies et al (2014)  argue that modelling creativity by thinking divergently can support children to solve problems and evaluate ideas and see creativity can be valued. This was modelled to pairs of children as the teacher moved between the children. The investigative and experimental outdoors environment also gave children sustained periods of time to develop their creative thoughts (Sharp, 2004) (see appendix 11). This creative process needs to be nurtured in an atmosphere, tone and culture that fosters thinking and inspires creativity, which is key to fostering self-belief (Thorne, 2007). This is crucial as some of the children in the class had little </w:t>
      </w:r>
      <w:proofErr w:type="spellStart"/>
      <w:r w:rsidRPr="0038297E">
        <w:rPr>
          <w:rFonts w:ascii="Times New Roman" w:hAnsi="Times New Roman" w:cs="Times New Roman"/>
          <w:sz w:val="24"/>
          <w:szCs w:val="24"/>
        </w:rPr>
        <w:t>self confidence</w:t>
      </w:r>
      <w:proofErr w:type="spellEnd"/>
      <w:r w:rsidRPr="0038297E">
        <w:rPr>
          <w:rFonts w:ascii="Times New Roman" w:hAnsi="Times New Roman" w:cs="Times New Roman"/>
          <w:sz w:val="24"/>
          <w:szCs w:val="24"/>
        </w:rPr>
        <w:t xml:space="preserve"> and needed extra support and encouragement to develop creative skills more than others. An important responsibility of the teacher as argued by Sharp (2010). In addition, individual creativity can be hindered by criticism (Craft, </w:t>
      </w:r>
      <w:proofErr w:type="spellStart"/>
      <w:r w:rsidRPr="0038297E">
        <w:rPr>
          <w:rFonts w:ascii="Times New Roman" w:hAnsi="Times New Roman" w:cs="Times New Roman"/>
          <w:sz w:val="24"/>
          <w:szCs w:val="24"/>
        </w:rPr>
        <w:t>Cremlin</w:t>
      </w:r>
      <w:proofErr w:type="spellEnd"/>
      <w:r w:rsidRPr="0038297E">
        <w:rPr>
          <w:rFonts w:ascii="Times New Roman" w:hAnsi="Times New Roman" w:cs="Times New Roman"/>
          <w:sz w:val="24"/>
          <w:szCs w:val="24"/>
        </w:rPr>
        <w:t xml:space="preserve"> and Burnard, 2008). On reflection, ensuring all support staff know this is also critical, along with clear understanding for learners of what constitutes peer assessment. </w:t>
      </w:r>
    </w:p>
    <w:p w14:paraId="63D7FC71"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The use of higher order questioning (Blooms Taxonomy, 1956) and peer assessment during the lesson promoted independent thinking and also supported mathematical reasoning, and conceptual understanding (Driscoll, </w:t>
      </w:r>
      <w:proofErr w:type="spellStart"/>
      <w:r w:rsidRPr="0038297E">
        <w:rPr>
          <w:rFonts w:ascii="Times New Roman" w:hAnsi="Times New Roman" w:cs="Times New Roman"/>
          <w:sz w:val="24"/>
          <w:szCs w:val="24"/>
        </w:rPr>
        <w:t>Lambirth</w:t>
      </w:r>
      <w:proofErr w:type="spellEnd"/>
      <w:r w:rsidRPr="0038297E">
        <w:rPr>
          <w:rFonts w:ascii="Times New Roman" w:hAnsi="Times New Roman" w:cs="Times New Roman"/>
          <w:sz w:val="24"/>
          <w:szCs w:val="24"/>
        </w:rPr>
        <w:t xml:space="preserve">, and </w:t>
      </w:r>
      <w:proofErr w:type="spellStart"/>
      <w:r w:rsidRPr="0038297E">
        <w:rPr>
          <w:rFonts w:ascii="Times New Roman" w:hAnsi="Times New Roman" w:cs="Times New Roman"/>
          <w:sz w:val="24"/>
          <w:szCs w:val="24"/>
        </w:rPr>
        <w:t>Roden</w:t>
      </w:r>
      <w:proofErr w:type="spellEnd"/>
      <w:r w:rsidRPr="0038297E">
        <w:rPr>
          <w:rFonts w:ascii="Times New Roman" w:hAnsi="Times New Roman" w:cs="Times New Roman"/>
          <w:sz w:val="24"/>
          <w:szCs w:val="24"/>
        </w:rPr>
        <w:t>, 2015</w:t>
      </w:r>
      <w:bookmarkStart w:id="6" w:name="_Hlk535504481"/>
      <w:r w:rsidRPr="0038297E">
        <w:rPr>
          <w:rFonts w:ascii="Times New Roman" w:hAnsi="Times New Roman" w:cs="Times New Roman"/>
          <w:sz w:val="24"/>
          <w:szCs w:val="24"/>
        </w:rPr>
        <w:t>). Ofsted (2015) highlighted that open- ended questions was an effective strategy for teaching and learning whereby Teachers promoted creative learning through questioning, challenging ideas, making connections and encouraging critical refection on ideas, actions and results.  However, they also found that occasionally, teachers, ‘failed to grasp that creative learning was not simply a question of allowing pupils to follow their interests; careful planning was needed for enquiry, debate, speculation, experimentation, review and presentation to be productive</w:t>
      </w:r>
      <w:bookmarkEnd w:id="6"/>
      <w:r w:rsidRPr="0038297E">
        <w:rPr>
          <w:rFonts w:ascii="Times New Roman" w:hAnsi="Times New Roman" w:cs="Times New Roman"/>
          <w:sz w:val="24"/>
          <w:szCs w:val="24"/>
        </w:rPr>
        <w:t xml:space="preserve">’ (Ofsted, 2015, p.9). </w:t>
      </w:r>
    </w:p>
    <w:p w14:paraId="6FFC782E"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To ensure progression and further personal creativity in order to foster it in the classroom, level 6 in the framework suggests, ‘combining my understanding of different context to transfer knowledge, ideas and solutions across different areas’ (</w:t>
      </w:r>
      <w:proofErr w:type="spellStart"/>
      <w:r w:rsidRPr="0038297E">
        <w:rPr>
          <w:rFonts w:ascii="Times New Roman" w:hAnsi="Times New Roman" w:cs="Times New Roman"/>
          <w:sz w:val="24"/>
          <w:szCs w:val="24"/>
        </w:rPr>
        <w:t>Bacigalupo</w:t>
      </w:r>
      <w:proofErr w:type="spellEnd"/>
      <w:r w:rsidRPr="0038297E">
        <w:rPr>
          <w:rFonts w:ascii="Times New Roman" w:hAnsi="Times New Roman" w:cs="Times New Roman"/>
          <w:sz w:val="24"/>
          <w:szCs w:val="24"/>
        </w:rPr>
        <w:t>, 2016).  By collaborating with other staff, which is a professional standard in the new framework (WAG, 2017b), sharing resources and looking at best practice, further strategies could be identified to support creative opportunities across the curriculum. Estyn best practice Ysgol Aberystwyth (2016)  utilise a triad method to  include peer observations in order to refine their practice. This would support development in understanding how to teach enterprise skills and inspire innovation.</w:t>
      </w:r>
    </w:p>
    <w:p w14:paraId="439B6396"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To conclude, The Qualifications and Curriculum Authority (QCA, 2005) suggest that the need with Creativity is to, ‘find it, promote it, use it.’  The skills within reflect in the pedagogy used to enhance…and develop creativity with the learners.</w:t>
      </w:r>
    </w:p>
    <w:p w14:paraId="3B485A78"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The research has fuelled the desire to ensure that future personal recommendations consist of searching for opportunities for creativity to be unleashed, to take measured risks, try new pedagogical strategies, and to empower the learners to think. ‘outside the box,’ to provide the tools that encourage innovation and enterprise skills amongst learners.</w:t>
      </w:r>
    </w:p>
    <w:p w14:paraId="61C3736D"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For the profession, OECD (2018)  are currently preparing a Rubric which teachers could use to develop creativity in learners which will provide them with resources and assessments. This will do doubt give them confidence and  a revitalised spirit to not only face the curriculum challenges but inspire them to foster creativity and innovation as foundational to all that they do.</w:t>
      </w:r>
    </w:p>
    <w:p w14:paraId="22300187" w14:textId="77777777" w:rsidR="0038297E" w:rsidRPr="0038297E" w:rsidRDefault="0038297E" w:rsidP="0038297E">
      <w:pPr>
        <w:spacing w:line="360" w:lineRule="auto"/>
        <w:jc w:val="both"/>
        <w:rPr>
          <w:rFonts w:ascii="Times New Roman" w:hAnsi="Times New Roman" w:cs="Times New Roman"/>
          <w:sz w:val="24"/>
          <w:szCs w:val="24"/>
        </w:rPr>
      </w:pPr>
      <w:r w:rsidRPr="0038297E">
        <w:rPr>
          <w:rFonts w:ascii="Times New Roman" w:hAnsi="Times New Roman" w:cs="Times New Roman"/>
          <w:sz w:val="24"/>
          <w:szCs w:val="24"/>
        </w:rPr>
        <w:t xml:space="preserve"> </w:t>
      </w:r>
    </w:p>
    <w:p w14:paraId="26B76539" w14:textId="77777777" w:rsidR="0038297E" w:rsidRPr="0038297E" w:rsidRDefault="0038297E" w:rsidP="0038297E">
      <w:pPr>
        <w:spacing w:line="360" w:lineRule="auto"/>
        <w:jc w:val="both"/>
        <w:rPr>
          <w:rFonts w:ascii="Times New Roman" w:hAnsi="Times New Roman" w:cs="Times New Roman"/>
          <w:b/>
          <w:sz w:val="24"/>
          <w:szCs w:val="24"/>
        </w:rPr>
      </w:pPr>
      <w:r w:rsidRPr="0038297E">
        <w:rPr>
          <w:rFonts w:ascii="Times New Roman" w:hAnsi="Times New Roman" w:cs="Times New Roman"/>
          <w:b/>
          <w:sz w:val="24"/>
          <w:szCs w:val="24"/>
        </w:rPr>
        <w:t>Word Count 3300</w:t>
      </w:r>
    </w:p>
    <w:p w14:paraId="64B2F2A1" w14:textId="77777777" w:rsidR="0038297E" w:rsidRPr="0038297E" w:rsidRDefault="0038297E" w:rsidP="0038297E">
      <w:pPr>
        <w:rPr>
          <w:rFonts w:ascii="Times New Roman" w:hAnsi="Times New Roman" w:cs="Times New Roman"/>
          <w:sz w:val="24"/>
          <w:szCs w:val="24"/>
        </w:rPr>
      </w:pPr>
    </w:p>
    <w:p w14:paraId="4012E9CC" w14:textId="77777777" w:rsidR="0038297E" w:rsidRPr="0038297E" w:rsidRDefault="0038297E" w:rsidP="0038297E">
      <w:pPr>
        <w:rPr>
          <w:rFonts w:ascii="Times New Roman" w:hAnsi="Times New Roman" w:cs="Times New Roman"/>
          <w:sz w:val="24"/>
          <w:szCs w:val="24"/>
        </w:rPr>
      </w:pPr>
    </w:p>
    <w:p w14:paraId="0D05811C" w14:textId="77777777" w:rsidR="0038297E" w:rsidRDefault="0038297E"/>
    <w:sectPr w:rsidR="003829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75C90"/>
    <w:multiLevelType w:val="hybridMultilevel"/>
    <w:tmpl w:val="975886BA"/>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73AC0"/>
    <w:multiLevelType w:val="multilevel"/>
    <w:tmpl w:val="37D4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EE7D10"/>
    <w:multiLevelType w:val="multilevel"/>
    <w:tmpl w:val="5CCE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696FFE"/>
    <w:multiLevelType w:val="hybridMultilevel"/>
    <w:tmpl w:val="39DAA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8E238A"/>
    <w:multiLevelType w:val="multilevel"/>
    <w:tmpl w:val="55F6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97E"/>
    <w:rsid w:val="00382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A5578"/>
  <w15:chartTrackingRefBased/>
  <w15:docId w15:val="{86CC0255-252A-4423-B702-3E779208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829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3829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97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8297E"/>
    <w:rPr>
      <w:rFonts w:asciiTheme="majorHAnsi" w:eastAsiaTheme="majorEastAsia" w:hAnsiTheme="majorHAnsi" w:cstheme="majorBidi"/>
      <w:color w:val="2F5496" w:themeColor="accent1" w:themeShade="BF"/>
      <w:sz w:val="26"/>
      <w:szCs w:val="26"/>
    </w:rPr>
  </w:style>
  <w:style w:type="numbering" w:customStyle="1" w:styleId="NoList1">
    <w:name w:val="No List1"/>
    <w:next w:val="NoList"/>
    <w:uiPriority w:val="99"/>
    <w:semiHidden/>
    <w:unhideWhenUsed/>
    <w:rsid w:val="0038297E"/>
  </w:style>
  <w:style w:type="paragraph" w:styleId="ListParagraph">
    <w:name w:val="List Paragraph"/>
    <w:basedOn w:val="Normal"/>
    <w:uiPriority w:val="34"/>
    <w:qFormat/>
    <w:rsid w:val="0038297E"/>
    <w:pPr>
      <w:spacing w:after="0" w:line="240" w:lineRule="auto"/>
      <w:ind w:left="720"/>
      <w:contextualSpacing/>
    </w:pPr>
    <w:rPr>
      <w:rFonts w:eastAsiaTheme="minorEastAsia"/>
      <w:lang w:eastAsia="en-GB"/>
    </w:rPr>
  </w:style>
  <w:style w:type="character" w:styleId="Hyperlink">
    <w:name w:val="Hyperlink"/>
    <w:basedOn w:val="DefaultParagraphFont"/>
    <w:uiPriority w:val="99"/>
    <w:unhideWhenUsed/>
    <w:rsid w:val="0038297E"/>
    <w:rPr>
      <w:color w:val="0563C1" w:themeColor="hyperlink"/>
      <w:u w:val="single"/>
    </w:rPr>
  </w:style>
  <w:style w:type="character" w:styleId="UnresolvedMention">
    <w:name w:val="Unresolved Mention"/>
    <w:basedOn w:val="DefaultParagraphFont"/>
    <w:uiPriority w:val="99"/>
    <w:semiHidden/>
    <w:unhideWhenUsed/>
    <w:rsid w:val="0038297E"/>
    <w:rPr>
      <w:color w:val="605E5C"/>
      <w:shd w:val="clear" w:color="auto" w:fill="E1DFDD"/>
    </w:rPr>
  </w:style>
  <w:style w:type="character" w:styleId="Emphasis">
    <w:name w:val="Emphasis"/>
    <w:basedOn w:val="DefaultParagraphFont"/>
    <w:uiPriority w:val="20"/>
    <w:qFormat/>
    <w:rsid w:val="0038297E"/>
    <w:rPr>
      <w:i/>
      <w:iCs/>
    </w:rPr>
  </w:style>
  <w:style w:type="character" w:customStyle="1" w:styleId="titleauthoretc">
    <w:name w:val="titleauthoretc"/>
    <w:basedOn w:val="DefaultParagraphFont"/>
    <w:rsid w:val="0038297E"/>
  </w:style>
  <w:style w:type="character" w:styleId="Strong">
    <w:name w:val="Strong"/>
    <w:basedOn w:val="DefaultParagraphFont"/>
    <w:uiPriority w:val="22"/>
    <w:qFormat/>
    <w:rsid w:val="0038297E"/>
    <w:rPr>
      <w:b/>
      <w:bCs/>
    </w:rPr>
  </w:style>
  <w:style w:type="paragraph" w:styleId="Header">
    <w:name w:val="header"/>
    <w:basedOn w:val="Normal"/>
    <w:link w:val="HeaderChar"/>
    <w:uiPriority w:val="99"/>
    <w:unhideWhenUsed/>
    <w:rsid w:val="00382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97E"/>
  </w:style>
  <w:style w:type="paragraph" w:styleId="Footer">
    <w:name w:val="footer"/>
    <w:basedOn w:val="Normal"/>
    <w:link w:val="FooterChar"/>
    <w:uiPriority w:val="99"/>
    <w:unhideWhenUsed/>
    <w:rsid w:val="00382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97E"/>
  </w:style>
  <w:style w:type="character" w:styleId="CommentReference">
    <w:name w:val="annotation reference"/>
    <w:basedOn w:val="DefaultParagraphFont"/>
    <w:uiPriority w:val="99"/>
    <w:semiHidden/>
    <w:unhideWhenUsed/>
    <w:rsid w:val="0038297E"/>
    <w:rPr>
      <w:sz w:val="16"/>
      <w:szCs w:val="16"/>
    </w:rPr>
  </w:style>
  <w:style w:type="paragraph" w:styleId="CommentText">
    <w:name w:val="annotation text"/>
    <w:basedOn w:val="Normal"/>
    <w:link w:val="CommentTextChar"/>
    <w:uiPriority w:val="99"/>
    <w:semiHidden/>
    <w:unhideWhenUsed/>
    <w:rsid w:val="0038297E"/>
    <w:pPr>
      <w:spacing w:line="240" w:lineRule="auto"/>
    </w:pPr>
    <w:rPr>
      <w:sz w:val="20"/>
      <w:szCs w:val="20"/>
    </w:rPr>
  </w:style>
  <w:style w:type="character" w:customStyle="1" w:styleId="CommentTextChar">
    <w:name w:val="Comment Text Char"/>
    <w:basedOn w:val="DefaultParagraphFont"/>
    <w:link w:val="CommentText"/>
    <w:uiPriority w:val="99"/>
    <w:semiHidden/>
    <w:rsid w:val="0038297E"/>
    <w:rPr>
      <w:sz w:val="20"/>
      <w:szCs w:val="20"/>
    </w:rPr>
  </w:style>
  <w:style w:type="paragraph" w:styleId="CommentSubject">
    <w:name w:val="annotation subject"/>
    <w:basedOn w:val="CommentText"/>
    <w:next w:val="CommentText"/>
    <w:link w:val="CommentSubjectChar"/>
    <w:uiPriority w:val="99"/>
    <w:semiHidden/>
    <w:unhideWhenUsed/>
    <w:rsid w:val="0038297E"/>
    <w:rPr>
      <w:b/>
      <w:bCs/>
    </w:rPr>
  </w:style>
  <w:style w:type="character" w:customStyle="1" w:styleId="CommentSubjectChar">
    <w:name w:val="Comment Subject Char"/>
    <w:basedOn w:val="CommentTextChar"/>
    <w:link w:val="CommentSubject"/>
    <w:uiPriority w:val="99"/>
    <w:semiHidden/>
    <w:rsid w:val="0038297E"/>
    <w:rPr>
      <w:b/>
      <w:bCs/>
      <w:sz w:val="20"/>
      <w:szCs w:val="20"/>
    </w:rPr>
  </w:style>
  <w:style w:type="paragraph" w:styleId="BalloonText">
    <w:name w:val="Balloon Text"/>
    <w:basedOn w:val="Normal"/>
    <w:link w:val="BalloonTextChar"/>
    <w:uiPriority w:val="99"/>
    <w:semiHidden/>
    <w:unhideWhenUsed/>
    <w:rsid w:val="003829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97E"/>
    <w:rPr>
      <w:rFonts w:ascii="Segoe UI" w:hAnsi="Segoe UI" w:cs="Segoe UI"/>
      <w:sz w:val="18"/>
      <w:szCs w:val="18"/>
    </w:rPr>
  </w:style>
  <w:style w:type="character" w:styleId="FollowedHyperlink">
    <w:name w:val="FollowedHyperlink"/>
    <w:basedOn w:val="DefaultParagraphFont"/>
    <w:uiPriority w:val="99"/>
    <w:semiHidden/>
    <w:unhideWhenUsed/>
    <w:rsid w:val="003829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3387</Words>
  <Characters>19307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duquemin</dc:creator>
  <cp:keywords/>
  <dc:description/>
  <cp:lastModifiedBy>elizabeth duquemin</cp:lastModifiedBy>
  <cp:revision>1</cp:revision>
  <dcterms:created xsi:type="dcterms:W3CDTF">2019-01-26T14:06:00Z</dcterms:created>
  <dcterms:modified xsi:type="dcterms:W3CDTF">2019-01-26T14:09:00Z</dcterms:modified>
</cp:coreProperties>
</file>