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CF3E20" w14:textId="2849AD27" w:rsidR="007D7AE9" w:rsidRPr="004C1A94" w:rsidRDefault="007D7AE9" w:rsidP="007D7AE9">
      <w:pPr>
        <w:rPr>
          <w:rFonts w:asciiTheme="majorBidi" w:hAnsiTheme="majorBidi" w:cstheme="majorBidi"/>
          <w:sz w:val="28"/>
          <w:szCs w:val="28"/>
        </w:rPr>
      </w:pPr>
      <w:r w:rsidRPr="004C1A94">
        <w:rPr>
          <w:rFonts w:asciiTheme="majorBidi" w:hAnsiTheme="majorBidi" w:cstheme="majorBidi"/>
          <w:sz w:val="28"/>
          <w:szCs w:val="28"/>
        </w:rPr>
        <w:t>You must complete all sections of a psychology report using APA format.</w:t>
      </w:r>
    </w:p>
    <w:p w14:paraId="5949F3FF" w14:textId="77777777" w:rsidR="007D7AE9" w:rsidRPr="00B07D21" w:rsidRDefault="007D7AE9" w:rsidP="007D7AE9">
      <w:pPr>
        <w:rPr>
          <w:rFonts w:asciiTheme="majorBidi" w:hAnsiTheme="majorBidi" w:cstheme="majorBidi"/>
          <w:sz w:val="24"/>
          <w:szCs w:val="24"/>
        </w:rPr>
      </w:pPr>
    </w:p>
    <w:p w14:paraId="296C2F3F" w14:textId="478F234C" w:rsidR="007D7AE9" w:rsidRPr="00B07D21" w:rsidRDefault="007D7AE9" w:rsidP="007D7AE9">
      <w:pPr>
        <w:rPr>
          <w:rFonts w:asciiTheme="majorBidi" w:hAnsiTheme="majorBidi" w:cstheme="majorBidi"/>
          <w:sz w:val="24"/>
          <w:szCs w:val="24"/>
        </w:rPr>
      </w:pPr>
      <w:r w:rsidRPr="00B07D21">
        <w:rPr>
          <w:rFonts w:asciiTheme="majorBidi" w:hAnsiTheme="majorBidi" w:cstheme="majorBidi"/>
          <w:color w:val="FF0000"/>
          <w:sz w:val="24"/>
          <w:szCs w:val="24"/>
        </w:rPr>
        <w:t>Abstract</w:t>
      </w:r>
      <w:r w:rsidRPr="00B07D21">
        <w:rPr>
          <w:rFonts w:asciiTheme="majorBidi" w:hAnsiTheme="majorBidi" w:cstheme="majorBidi"/>
          <w:sz w:val="24"/>
          <w:szCs w:val="24"/>
        </w:rPr>
        <w:t xml:space="preserve"> </w:t>
      </w:r>
    </w:p>
    <w:p w14:paraId="365D3A23" w14:textId="77777777" w:rsidR="007D7AE9" w:rsidRPr="00B07D21" w:rsidRDefault="007D7AE9" w:rsidP="007D7AE9">
      <w:pPr>
        <w:rPr>
          <w:rFonts w:asciiTheme="majorBidi" w:hAnsiTheme="majorBidi" w:cstheme="majorBidi"/>
          <w:sz w:val="24"/>
          <w:szCs w:val="24"/>
        </w:rPr>
      </w:pPr>
      <w:r w:rsidRPr="00B07D21">
        <w:rPr>
          <w:rFonts w:asciiTheme="majorBidi" w:hAnsiTheme="majorBidi" w:cstheme="majorBidi"/>
          <w:sz w:val="24"/>
          <w:szCs w:val="24"/>
        </w:rPr>
        <w:t xml:space="preserve">Introduction </w:t>
      </w:r>
    </w:p>
    <w:p w14:paraId="4B140D47" w14:textId="771F4877" w:rsidR="007D7AE9" w:rsidRPr="00B07D21" w:rsidRDefault="007D7AE9" w:rsidP="00C60C4E">
      <w:pPr>
        <w:rPr>
          <w:rFonts w:asciiTheme="majorBidi" w:hAnsiTheme="majorBidi" w:cstheme="majorBidi"/>
          <w:color w:val="FF0000"/>
          <w:sz w:val="24"/>
          <w:szCs w:val="24"/>
        </w:rPr>
      </w:pPr>
      <w:r w:rsidRPr="00B07D21">
        <w:rPr>
          <w:rFonts w:asciiTheme="majorBidi" w:hAnsiTheme="majorBidi" w:cstheme="majorBidi"/>
          <w:color w:val="FF0000"/>
          <w:sz w:val="24"/>
          <w:szCs w:val="24"/>
        </w:rPr>
        <w:t>Method</w:t>
      </w:r>
      <w:r w:rsidR="00C60C4E" w:rsidRPr="00B07D21">
        <w:rPr>
          <w:rFonts w:asciiTheme="majorBidi" w:hAnsiTheme="majorBidi" w:cstheme="majorBidi"/>
          <w:color w:val="FF0000"/>
          <w:sz w:val="24"/>
          <w:szCs w:val="24"/>
        </w:rPr>
        <w:t xml:space="preserve">: </w:t>
      </w:r>
      <w:r w:rsidRPr="00B07D21">
        <w:rPr>
          <w:rFonts w:asciiTheme="majorBidi" w:hAnsiTheme="majorBidi" w:cstheme="majorBidi"/>
          <w:color w:val="FF0000"/>
          <w:sz w:val="24"/>
          <w:szCs w:val="24"/>
        </w:rPr>
        <w:t>Participants</w:t>
      </w:r>
      <w:r w:rsidR="00C60C4E" w:rsidRPr="00B07D21">
        <w:rPr>
          <w:rFonts w:asciiTheme="majorBidi" w:hAnsiTheme="majorBidi" w:cstheme="majorBidi"/>
          <w:color w:val="FF0000"/>
          <w:sz w:val="24"/>
          <w:szCs w:val="24"/>
        </w:rPr>
        <w:t xml:space="preserve">: </w:t>
      </w:r>
      <w:r w:rsidRPr="00B07D21">
        <w:rPr>
          <w:rFonts w:asciiTheme="majorBidi" w:hAnsiTheme="majorBidi" w:cstheme="majorBidi"/>
          <w:color w:val="FF0000"/>
          <w:sz w:val="24"/>
          <w:szCs w:val="24"/>
        </w:rPr>
        <w:t xml:space="preserve">Data Collection </w:t>
      </w:r>
      <w:r w:rsidR="00C60C4E" w:rsidRPr="00B07D21">
        <w:rPr>
          <w:rFonts w:asciiTheme="majorBidi" w:hAnsiTheme="majorBidi" w:cstheme="majorBidi"/>
          <w:color w:val="FF0000"/>
          <w:sz w:val="24"/>
          <w:szCs w:val="24"/>
        </w:rPr>
        <w:t xml:space="preserve">and </w:t>
      </w:r>
      <w:r w:rsidRPr="00B07D21">
        <w:rPr>
          <w:rFonts w:asciiTheme="majorBidi" w:hAnsiTheme="majorBidi" w:cstheme="majorBidi"/>
          <w:color w:val="FF0000"/>
          <w:sz w:val="24"/>
          <w:szCs w:val="24"/>
        </w:rPr>
        <w:t xml:space="preserve">Data Analysis </w:t>
      </w:r>
    </w:p>
    <w:p w14:paraId="5B4E2DA4" w14:textId="77777777" w:rsidR="007D7AE9" w:rsidRPr="00B07D21" w:rsidRDefault="007D7AE9" w:rsidP="007D7AE9">
      <w:pPr>
        <w:rPr>
          <w:rFonts w:asciiTheme="majorBidi" w:hAnsiTheme="majorBidi" w:cstheme="majorBidi"/>
          <w:sz w:val="24"/>
          <w:szCs w:val="24"/>
        </w:rPr>
      </w:pPr>
      <w:r w:rsidRPr="00B07D21">
        <w:rPr>
          <w:rFonts w:asciiTheme="majorBidi" w:hAnsiTheme="majorBidi" w:cstheme="majorBidi"/>
          <w:sz w:val="24"/>
          <w:szCs w:val="24"/>
        </w:rPr>
        <w:t xml:space="preserve">Results </w:t>
      </w:r>
    </w:p>
    <w:p w14:paraId="6139C60A" w14:textId="77777777" w:rsidR="007D7AE9" w:rsidRPr="00B07D21" w:rsidRDefault="007D7AE9" w:rsidP="007D7AE9">
      <w:pPr>
        <w:rPr>
          <w:rFonts w:asciiTheme="majorBidi" w:hAnsiTheme="majorBidi" w:cstheme="majorBidi"/>
          <w:sz w:val="24"/>
          <w:szCs w:val="24"/>
        </w:rPr>
      </w:pPr>
      <w:r w:rsidRPr="00B07D21">
        <w:rPr>
          <w:rFonts w:asciiTheme="majorBidi" w:hAnsiTheme="majorBidi" w:cstheme="majorBidi"/>
          <w:sz w:val="24"/>
          <w:szCs w:val="24"/>
        </w:rPr>
        <w:t>Discussion</w:t>
      </w:r>
    </w:p>
    <w:p w14:paraId="006F6932" w14:textId="0BA85521" w:rsidR="007D7AE9" w:rsidRPr="00B07D21" w:rsidRDefault="007D7AE9" w:rsidP="007D7AE9">
      <w:pPr>
        <w:rPr>
          <w:rFonts w:asciiTheme="majorBidi" w:hAnsiTheme="majorBidi" w:cstheme="majorBidi"/>
          <w:color w:val="FF0000"/>
          <w:sz w:val="24"/>
          <w:szCs w:val="24"/>
        </w:rPr>
      </w:pPr>
      <w:r w:rsidRPr="00B07D21">
        <w:rPr>
          <w:rFonts w:asciiTheme="majorBidi" w:hAnsiTheme="majorBidi" w:cstheme="majorBidi"/>
          <w:color w:val="FF0000"/>
          <w:sz w:val="24"/>
          <w:szCs w:val="24"/>
        </w:rPr>
        <w:t xml:space="preserve">Reference List </w:t>
      </w:r>
    </w:p>
    <w:p w14:paraId="1444DBE6" w14:textId="4D23446F" w:rsidR="007D7AE9" w:rsidRPr="00B07D21" w:rsidRDefault="007D7AE9" w:rsidP="007D7AE9">
      <w:pPr>
        <w:rPr>
          <w:rFonts w:asciiTheme="majorBidi" w:hAnsiTheme="majorBidi" w:cstheme="majorBidi"/>
          <w:color w:val="FF0000"/>
          <w:sz w:val="24"/>
          <w:szCs w:val="24"/>
        </w:rPr>
      </w:pPr>
      <w:r w:rsidRPr="00B07D21">
        <w:rPr>
          <w:rFonts w:asciiTheme="majorBidi" w:hAnsiTheme="majorBidi" w:cstheme="majorBidi"/>
          <w:color w:val="FF0000"/>
          <w:sz w:val="24"/>
          <w:szCs w:val="24"/>
        </w:rPr>
        <w:t>Appendices</w:t>
      </w:r>
    </w:p>
    <w:p w14:paraId="306771EA" w14:textId="77777777" w:rsidR="007D7AE9" w:rsidRPr="00B07D21" w:rsidRDefault="007D7AE9">
      <w:pPr>
        <w:rPr>
          <w:rFonts w:asciiTheme="majorBidi" w:hAnsiTheme="majorBidi" w:cstheme="majorBidi"/>
          <w:sz w:val="24"/>
          <w:szCs w:val="24"/>
        </w:rPr>
      </w:pPr>
    </w:p>
    <w:p w14:paraId="46E4D248" w14:textId="641F5C3B" w:rsidR="007D7AE9" w:rsidRPr="00B07D21" w:rsidRDefault="007D7AE9">
      <w:pPr>
        <w:rPr>
          <w:rFonts w:asciiTheme="majorBidi" w:hAnsiTheme="majorBidi" w:cstheme="majorBidi"/>
          <w:sz w:val="24"/>
          <w:szCs w:val="24"/>
        </w:rPr>
      </w:pPr>
      <w:r w:rsidRPr="00B07D21">
        <w:rPr>
          <w:rFonts w:asciiTheme="majorBidi" w:hAnsiTheme="majorBidi" w:cstheme="majorBidi"/>
          <w:sz w:val="24"/>
          <w:szCs w:val="24"/>
        </w:rPr>
        <w:t xml:space="preserve">Sections </w:t>
      </w:r>
      <w:r w:rsidRPr="00B07D21">
        <w:rPr>
          <w:rFonts w:asciiTheme="majorBidi" w:hAnsiTheme="majorBidi" w:cstheme="majorBidi"/>
          <w:b/>
          <w:bCs/>
          <w:sz w:val="24"/>
          <w:szCs w:val="24"/>
        </w:rPr>
        <w:t>not</w:t>
      </w:r>
      <w:r w:rsidRPr="00B07D21">
        <w:rPr>
          <w:rFonts w:asciiTheme="majorBidi" w:hAnsiTheme="majorBidi" w:cstheme="majorBidi"/>
          <w:sz w:val="24"/>
          <w:szCs w:val="24"/>
        </w:rPr>
        <w:t xml:space="preserve"> included in the 2,000 words are in red. Therefore, the introduction, results and discussion only.</w:t>
      </w:r>
    </w:p>
    <w:p w14:paraId="16E2DD64" w14:textId="77777777" w:rsidR="007D7AE9" w:rsidRPr="00B07D21" w:rsidRDefault="007D7AE9">
      <w:pPr>
        <w:rPr>
          <w:rFonts w:asciiTheme="majorBidi" w:hAnsiTheme="majorBidi" w:cstheme="majorBidi"/>
          <w:sz w:val="24"/>
          <w:szCs w:val="24"/>
        </w:rPr>
      </w:pPr>
    </w:p>
    <w:p w14:paraId="3BFE9C3A" w14:textId="31BA47B3" w:rsidR="00DF3F64" w:rsidRPr="00B07D21" w:rsidRDefault="007D7AE9" w:rsidP="00BF7C26">
      <w:pPr>
        <w:rPr>
          <w:rFonts w:asciiTheme="majorBidi" w:hAnsiTheme="majorBidi" w:cstheme="majorBidi"/>
          <w:sz w:val="24"/>
          <w:szCs w:val="24"/>
        </w:rPr>
      </w:pPr>
      <w:r w:rsidRPr="00B07D21">
        <w:rPr>
          <w:rFonts w:asciiTheme="majorBidi" w:hAnsiTheme="majorBidi" w:cstheme="majorBidi"/>
          <w:sz w:val="24"/>
          <w:szCs w:val="24"/>
        </w:rPr>
        <w:t>The</w:t>
      </w:r>
      <w:r w:rsidR="007933B8" w:rsidRPr="00B07D21">
        <w:rPr>
          <w:rFonts w:asciiTheme="majorBidi" w:hAnsiTheme="majorBidi" w:cstheme="majorBidi"/>
          <w:sz w:val="24"/>
          <w:szCs w:val="24"/>
        </w:rPr>
        <w:t xml:space="preserve"> method section has already been </w:t>
      </w:r>
      <w:r w:rsidR="007B081D" w:rsidRPr="00B07D21">
        <w:rPr>
          <w:rFonts w:asciiTheme="majorBidi" w:hAnsiTheme="majorBidi" w:cstheme="majorBidi"/>
          <w:sz w:val="24"/>
          <w:szCs w:val="24"/>
        </w:rPr>
        <w:t xml:space="preserve">written – </w:t>
      </w:r>
      <w:r w:rsidR="00BF7C26" w:rsidRPr="00B07D21">
        <w:rPr>
          <w:rFonts w:asciiTheme="majorBidi" w:hAnsiTheme="majorBidi" w:cstheme="majorBidi"/>
          <w:sz w:val="24"/>
          <w:szCs w:val="24"/>
        </w:rPr>
        <w:t xml:space="preserve">do not </w:t>
      </w:r>
      <w:r w:rsidR="00130C3E">
        <w:rPr>
          <w:rFonts w:asciiTheme="majorBidi" w:hAnsiTheme="majorBidi" w:cstheme="majorBidi"/>
          <w:sz w:val="24"/>
          <w:szCs w:val="24"/>
        </w:rPr>
        <w:t>change this</w:t>
      </w:r>
      <w:r w:rsidR="00BF7C26" w:rsidRPr="00B07D21">
        <w:rPr>
          <w:rFonts w:asciiTheme="majorBidi" w:hAnsiTheme="majorBidi" w:cstheme="majorBidi"/>
          <w:sz w:val="24"/>
          <w:szCs w:val="24"/>
        </w:rPr>
        <w:t>.</w:t>
      </w:r>
    </w:p>
    <w:p w14:paraId="335FEA8D" w14:textId="77777777" w:rsidR="00774D13" w:rsidRPr="00B07D21" w:rsidRDefault="00774D13" w:rsidP="00BF7C26">
      <w:pPr>
        <w:rPr>
          <w:rFonts w:asciiTheme="majorBidi" w:hAnsiTheme="majorBidi" w:cstheme="majorBidi"/>
          <w:sz w:val="24"/>
          <w:szCs w:val="24"/>
        </w:rPr>
      </w:pPr>
    </w:p>
    <w:p w14:paraId="1A34D59B" w14:textId="62008F0C" w:rsidR="00DF3F64" w:rsidRPr="00B07D21" w:rsidRDefault="00DF3F64">
      <w:pPr>
        <w:rPr>
          <w:rFonts w:asciiTheme="majorBidi" w:hAnsiTheme="majorBidi" w:cstheme="majorBidi"/>
          <w:sz w:val="24"/>
          <w:szCs w:val="24"/>
        </w:rPr>
      </w:pPr>
      <w:r w:rsidRPr="00B07D21">
        <w:rPr>
          <w:rFonts w:asciiTheme="majorBidi" w:hAnsiTheme="majorBidi" w:cstheme="majorBidi"/>
          <w:sz w:val="24"/>
          <w:szCs w:val="24"/>
        </w:rPr>
        <w:t xml:space="preserve">The results require a </w:t>
      </w:r>
      <w:r w:rsidR="000426C0" w:rsidRPr="00B07D21">
        <w:rPr>
          <w:rFonts w:asciiTheme="majorBidi" w:hAnsiTheme="majorBidi" w:cstheme="majorBidi"/>
          <w:sz w:val="24"/>
          <w:szCs w:val="24"/>
        </w:rPr>
        <w:t>theme/subtheme table</w:t>
      </w:r>
      <w:r w:rsidR="00177E5B">
        <w:rPr>
          <w:rFonts w:asciiTheme="majorBidi" w:hAnsiTheme="majorBidi" w:cstheme="majorBidi"/>
          <w:sz w:val="24"/>
          <w:szCs w:val="24"/>
        </w:rPr>
        <w:t xml:space="preserve">, followed by </w:t>
      </w:r>
      <w:r w:rsidR="00AC3725">
        <w:rPr>
          <w:rFonts w:asciiTheme="majorBidi" w:hAnsiTheme="majorBidi" w:cstheme="majorBidi"/>
          <w:sz w:val="24"/>
          <w:szCs w:val="24"/>
        </w:rPr>
        <w:t>your interpretation and quotes to support your narrative -</w:t>
      </w:r>
      <w:r w:rsidR="00AC3725" w:rsidRPr="00AC3725">
        <w:rPr>
          <w:rFonts w:asciiTheme="majorBidi" w:hAnsiTheme="majorBidi" w:cstheme="majorBidi"/>
          <w:sz w:val="24"/>
          <w:szCs w:val="24"/>
        </w:rPr>
        <w:t xml:space="preserve"> see below</w:t>
      </w:r>
      <w:r w:rsidR="00AC3725">
        <w:rPr>
          <w:rFonts w:asciiTheme="majorBidi" w:hAnsiTheme="majorBidi" w:cstheme="majorBidi"/>
          <w:sz w:val="24"/>
          <w:szCs w:val="24"/>
        </w:rPr>
        <w:t>.</w:t>
      </w:r>
    </w:p>
    <w:p w14:paraId="61A61929" w14:textId="77777777" w:rsidR="000426C0" w:rsidRPr="00B07D21" w:rsidRDefault="000426C0">
      <w:pPr>
        <w:rPr>
          <w:rFonts w:asciiTheme="majorBidi" w:hAnsiTheme="majorBidi" w:cstheme="majorBidi"/>
          <w:sz w:val="24"/>
          <w:szCs w:val="24"/>
        </w:rPr>
      </w:pPr>
    </w:p>
    <w:p w14:paraId="07872372" w14:textId="77777777" w:rsidR="00114409" w:rsidRPr="00114409" w:rsidRDefault="00114409" w:rsidP="00114409">
      <w:pPr>
        <w:rPr>
          <w:rFonts w:asciiTheme="majorBidi" w:hAnsiTheme="majorBidi" w:cstheme="majorBidi"/>
          <w:sz w:val="24"/>
          <w:szCs w:val="24"/>
        </w:rPr>
      </w:pPr>
      <w:bookmarkStart w:id="0" w:name="_Toc161763881"/>
      <w:r w:rsidRPr="00114409">
        <w:rPr>
          <w:rFonts w:asciiTheme="majorBidi" w:hAnsiTheme="majorBidi" w:cstheme="majorBidi"/>
          <w:sz w:val="24"/>
          <w:szCs w:val="24"/>
        </w:rPr>
        <w:t>Table 1</w:t>
      </w:r>
      <w:bookmarkEnd w:id="0"/>
    </w:p>
    <w:p w14:paraId="2E905DBF" w14:textId="77777777" w:rsidR="00114409" w:rsidRPr="00114409" w:rsidRDefault="00114409" w:rsidP="00114409">
      <w:pPr>
        <w:rPr>
          <w:rFonts w:asciiTheme="majorBidi" w:hAnsiTheme="majorBidi" w:cstheme="majorBidi"/>
          <w:i/>
          <w:iCs/>
          <w:sz w:val="24"/>
          <w:szCs w:val="24"/>
        </w:rPr>
      </w:pPr>
      <w:r w:rsidRPr="00114409">
        <w:rPr>
          <w:rFonts w:asciiTheme="majorBidi" w:hAnsiTheme="majorBidi" w:cstheme="majorBidi"/>
          <w:i/>
          <w:iCs/>
          <w:sz w:val="24"/>
          <w:szCs w:val="24"/>
        </w:rPr>
        <w:t xml:space="preserve">Themes and quotes depicting the impact of ADHD on the lives of adolescents  </w:t>
      </w:r>
    </w:p>
    <w:tbl>
      <w:tblPr>
        <w:tblStyle w:val="TableGrid"/>
        <w:tblpPr w:leftFromText="181" w:rightFromText="181" w:vertAnchor="text" w:horzAnchor="margin" w:tblpXSpec="center" w:tblpY="59"/>
        <w:tblOverlap w:val="never"/>
        <w:tblW w:w="8930" w:type="dxa"/>
        <w:tblLook w:val="04A0" w:firstRow="1" w:lastRow="0" w:firstColumn="1" w:lastColumn="0" w:noHBand="0" w:noVBand="1"/>
      </w:tblPr>
      <w:tblGrid>
        <w:gridCol w:w="2127"/>
        <w:gridCol w:w="2692"/>
        <w:gridCol w:w="4111"/>
      </w:tblGrid>
      <w:tr w:rsidR="00114409" w:rsidRPr="00114409" w14:paraId="4E55E189" w14:textId="77777777" w:rsidTr="000C14E1">
        <w:trPr>
          <w:trHeight w:val="270"/>
        </w:trPr>
        <w:tc>
          <w:tcPr>
            <w:tcW w:w="2127" w:type="dxa"/>
            <w:tcBorders>
              <w:left w:val="nil"/>
              <w:bottom w:val="single" w:sz="4" w:space="0" w:color="auto"/>
              <w:right w:val="nil"/>
            </w:tcBorders>
          </w:tcPr>
          <w:p w14:paraId="7369405A" w14:textId="77777777" w:rsidR="00114409" w:rsidRPr="00114409" w:rsidRDefault="00114409" w:rsidP="00114409">
            <w:pPr>
              <w:rPr>
                <w:rFonts w:asciiTheme="majorBidi" w:hAnsiTheme="majorBidi" w:cstheme="majorBidi"/>
              </w:rPr>
            </w:pPr>
            <w:r w:rsidRPr="00114409">
              <w:rPr>
                <w:rFonts w:asciiTheme="majorBidi" w:hAnsiTheme="majorBidi" w:cstheme="majorBidi"/>
              </w:rPr>
              <w:t>Theme</w:t>
            </w:r>
          </w:p>
        </w:tc>
        <w:tc>
          <w:tcPr>
            <w:tcW w:w="2692" w:type="dxa"/>
            <w:tcBorders>
              <w:left w:val="nil"/>
              <w:bottom w:val="single" w:sz="4" w:space="0" w:color="auto"/>
              <w:right w:val="nil"/>
            </w:tcBorders>
          </w:tcPr>
          <w:p w14:paraId="27D69FFA" w14:textId="77777777" w:rsidR="00114409" w:rsidRPr="00114409" w:rsidRDefault="00114409" w:rsidP="00114409">
            <w:pPr>
              <w:rPr>
                <w:rFonts w:asciiTheme="majorBidi" w:hAnsiTheme="majorBidi" w:cstheme="majorBidi"/>
              </w:rPr>
            </w:pPr>
            <w:r w:rsidRPr="00114409">
              <w:rPr>
                <w:rFonts w:asciiTheme="majorBidi" w:hAnsiTheme="majorBidi" w:cstheme="majorBidi"/>
              </w:rPr>
              <w:t>Sub-theme</w:t>
            </w:r>
          </w:p>
        </w:tc>
        <w:tc>
          <w:tcPr>
            <w:tcW w:w="4111" w:type="dxa"/>
            <w:tcBorders>
              <w:left w:val="nil"/>
              <w:bottom w:val="single" w:sz="4" w:space="0" w:color="auto"/>
              <w:right w:val="nil"/>
            </w:tcBorders>
          </w:tcPr>
          <w:p w14:paraId="6FC40738" w14:textId="77777777" w:rsidR="00114409" w:rsidRPr="00114409" w:rsidRDefault="00114409" w:rsidP="00114409">
            <w:pPr>
              <w:rPr>
                <w:rFonts w:asciiTheme="majorBidi" w:hAnsiTheme="majorBidi" w:cstheme="majorBidi"/>
              </w:rPr>
            </w:pPr>
            <w:r w:rsidRPr="00114409">
              <w:rPr>
                <w:rFonts w:asciiTheme="majorBidi" w:hAnsiTheme="majorBidi" w:cstheme="majorBidi"/>
              </w:rPr>
              <w:t xml:space="preserve">Quote </w:t>
            </w:r>
          </w:p>
        </w:tc>
      </w:tr>
      <w:tr w:rsidR="00114409" w:rsidRPr="00114409" w14:paraId="262EF74C" w14:textId="77777777" w:rsidTr="000C14E1">
        <w:trPr>
          <w:trHeight w:val="1233"/>
        </w:trPr>
        <w:tc>
          <w:tcPr>
            <w:tcW w:w="2127" w:type="dxa"/>
            <w:tcBorders>
              <w:left w:val="nil"/>
              <w:right w:val="single" w:sz="4" w:space="0" w:color="auto"/>
            </w:tcBorders>
          </w:tcPr>
          <w:p w14:paraId="2637F2D9" w14:textId="77777777" w:rsidR="000C14E1" w:rsidRPr="00B07D21" w:rsidRDefault="00114409" w:rsidP="000C14E1">
            <w:pPr>
              <w:rPr>
                <w:rFonts w:asciiTheme="majorBidi" w:hAnsiTheme="majorBidi" w:cstheme="majorBidi"/>
              </w:rPr>
            </w:pPr>
            <w:r w:rsidRPr="00114409">
              <w:rPr>
                <w:rFonts w:asciiTheme="majorBidi" w:hAnsiTheme="majorBidi" w:cstheme="majorBidi"/>
              </w:rPr>
              <w:t>The negative effects of living with ADHD</w:t>
            </w:r>
          </w:p>
          <w:p w14:paraId="11865EAE" w14:textId="77777777" w:rsidR="000C14E1" w:rsidRPr="00B07D21" w:rsidRDefault="000C14E1" w:rsidP="000C14E1">
            <w:pPr>
              <w:rPr>
                <w:rFonts w:asciiTheme="majorBidi" w:hAnsiTheme="majorBidi" w:cstheme="majorBidi"/>
              </w:rPr>
            </w:pPr>
          </w:p>
          <w:p w14:paraId="537B171B" w14:textId="77777777" w:rsidR="000C14E1" w:rsidRPr="00B07D21" w:rsidRDefault="000C14E1" w:rsidP="000C14E1">
            <w:pPr>
              <w:rPr>
                <w:rFonts w:asciiTheme="majorBidi" w:hAnsiTheme="majorBidi" w:cstheme="majorBidi"/>
              </w:rPr>
            </w:pPr>
          </w:p>
          <w:p w14:paraId="089BDE53" w14:textId="77777777" w:rsidR="000C14E1" w:rsidRPr="00B07D21" w:rsidRDefault="000C14E1" w:rsidP="000C14E1">
            <w:pPr>
              <w:rPr>
                <w:rFonts w:asciiTheme="majorBidi" w:hAnsiTheme="majorBidi" w:cstheme="majorBidi"/>
              </w:rPr>
            </w:pPr>
          </w:p>
          <w:p w14:paraId="23CBCDAA" w14:textId="77777777" w:rsidR="000C14E1" w:rsidRPr="00B07D21" w:rsidRDefault="000C14E1" w:rsidP="000C14E1">
            <w:pPr>
              <w:rPr>
                <w:rFonts w:asciiTheme="majorBidi" w:hAnsiTheme="majorBidi" w:cstheme="majorBidi"/>
              </w:rPr>
            </w:pPr>
          </w:p>
          <w:p w14:paraId="2AE77077" w14:textId="77777777" w:rsidR="000C14E1" w:rsidRPr="00B07D21" w:rsidRDefault="000C14E1" w:rsidP="000C14E1">
            <w:pPr>
              <w:rPr>
                <w:rFonts w:asciiTheme="majorBidi" w:hAnsiTheme="majorBidi" w:cstheme="majorBidi"/>
              </w:rPr>
            </w:pPr>
          </w:p>
          <w:p w14:paraId="1E516156" w14:textId="77777777" w:rsidR="000C14E1" w:rsidRPr="00B07D21" w:rsidRDefault="000C14E1" w:rsidP="000C14E1">
            <w:pPr>
              <w:rPr>
                <w:rFonts w:asciiTheme="majorBidi" w:hAnsiTheme="majorBidi" w:cstheme="majorBidi"/>
              </w:rPr>
            </w:pPr>
          </w:p>
          <w:p w14:paraId="052DDDFF" w14:textId="77777777" w:rsidR="000C14E1" w:rsidRPr="00B07D21" w:rsidRDefault="000C14E1" w:rsidP="000C14E1">
            <w:pPr>
              <w:rPr>
                <w:rFonts w:asciiTheme="majorBidi" w:hAnsiTheme="majorBidi" w:cstheme="majorBidi"/>
              </w:rPr>
            </w:pPr>
          </w:p>
          <w:p w14:paraId="5C7A6591" w14:textId="77777777" w:rsidR="000C14E1" w:rsidRPr="00B07D21" w:rsidRDefault="000C14E1" w:rsidP="000C14E1">
            <w:pPr>
              <w:rPr>
                <w:rFonts w:asciiTheme="majorBidi" w:hAnsiTheme="majorBidi" w:cstheme="majorBidi"/>
              </w:rPr>
            </w:pPr>
          </w:p>
          <w:p w14:paraId="6E2A156A" w14:textId="77777777" w:rsidR="000C14E1" w:rsidRPr="00B07D21" w:rsidRDefault="000C14E1" w:rsidP="000C14E1">
            <w:pPr>
              <w:rPr>
                <w:rFonts w:asciiTheme="majorBidi" w:hAnsiTheme="majorBidi" w:cstheme="majorBidi"/>
              </w:rPr>
            </w:pPr>
          </w:p>
          <w:p w14:paraId="76201881" w14:textId="77777777" w:rsidR="000C14E1" w:rsidRDefault="000C14E1" w:rsidP="000C14E1">
            <w:pPr>
              <w:rPr>
                <w:rFonts w:asciiTheme="majorBidi" w:hAnsiTheme="majorBidi" w:cstheme="majorBidi"/>
              </w:rPr>
            </w:pPr>
          </w:p>
          <w:p w14:paraId="576A616C" w14:textId="77777777" w:rsidR="00403B5F" w:rsidRPr="00B07D21" w:rsidRDefault="00403B5F" w:rsidP="000C14E1">
            <w:pPr>
              <w:rPr>
                <w:rFonts w:asciiTheme="majorBidi" w:hAnsiTheme="majorBidi" w:cstheme="majorBidi"/>
              </w:rPr>
            </w:pPr>
          </w:p>
          <w:p w14:paraId="19F586C2" w14:textId="77777777" w:rsidR="000C14E1" w:rsidRPr="00B07D21" w:rsidRDefault="000C14E1" w:rsidP="000C14E1">
            <w:pPr>
              <w:rPr>
                <w:rFonts w:asciiTheme="majorBidi" w:hAnsiTheme="majorBidi" w:cstheme="majorBidi"/>
              </w:rPr>
            </w:pPr>
          </w:p>
          <w:p w14:paraId="33FDD942" w14:textId="7CF9C259" w:rsidR="000C14E1" w:rsidRPr="00114409" w:rsidRDefault="000C14E1" w:rsidP="000C14E1">
            <w:pPr>
              <w:rPr>
                <w:rFonts w:asciiTheme="majorBidi" w:hAnsiTheme="majorBidi" w:cstheme="majorBidi"/>
              </w:rPr>
            </w:pPr>
            <w:r w:rsidRPr="00114409">
              <w:rPr>
                <w:rFonts w:asciiTheme="majorBidi" w:hAnsiTheme="majorBidi" w:cstheme="majorBidi"/>
              </w:rPr>
              <w:t xml:space="preserve">Difficulty with the academic environment </w:t>
            </w:r>
          </w:p>
          <w:p w14:paraId="26257350" w14:textId="77777777" w:rsidR="001152B1" w:rsidRPr="00B07D21" w:rsidRDefault="001152B1" w:rsidP="00114409">
            <w:pPr>
              <w:rPr>
                <w:rFonts w:asciiTheme="majorBidi" w:hAnsiTheme="majorBidi" w:cstheme="majorBidi"/>
              </w:rPr>
            </w:pPr>
          </w:p>
          <w:p w14:paraId="050329BD" w14:textId="77777777" w:rsidR="001152B1" w:rsidRPr="00B07D21" w:rsidRDefault="001152B1" w:rsidP="00114409">
            <w:pPr>
              <w:rPr>
                <w:rFonts w:asciiTheme="majorBidi" w:hAnsiTheme="majorBidi" w:cstheme="majorBidi"/>
              </w:rPr>
            </w:pPr>
          </w:p>
          <w:p w14:paraId="6A83BC0F" w14:textId="77777777" w:rsidR="001152B1" w:rsidRPr="00B07D21" w:rsidRDefault="001152B1" w:rsidP="00114409">
            <w:pPr>
              <w:rPr>
                <w:rFonts w:asciiTheme="majorBidi" w:hAnsiTheme="majorBidi" w:cstheme="majorBidi"/>
              </w:rPr>
            </w:pPr>
          </w:p>
          <w:p w14:paraId="577B7769" w14:textId="77777777" w:rsidR="001152B1" w:rsidRPr="00B07D21" w:rsidRDefault="001152B1" w:rsidP="00114409">
            <w:pPr>
              <w:rPr>
                <w:rFonts w:asciiTheme="majorBidi" w:hAnsiTheme="majorBidi" w:cstheme="majorBidi"/>
              </w:rPr>
            </w:pPr>
          </w:p>
          <w:p w14:paraId="561BBB93" w14:textId="77777777" w:rsidR="001152B1" w:rsidRPr="00B07D21" w:rsidRDefault="001152B1" w:rsidP="00114409">
            <w:pPr>
              <w:rPr>
                <w:rFonts w:asciiTheme="majorBidi" w:hAnsiTheme="majorBidi" w:cstheme="majorBidi"/>
              </w:rPr>
            </w:pPr>
          </w:p>
          <w:p w14:paraId="68E25D9A" w14:textId="77777777" w:rsidR="001152B1" w:rsidRPr="00B07D21" w:rsidRDefault="001152B1" w:rsidP="00114409">
            <w:pPr>
              <w:rPr>
                <w:rFonts w:asciiTheme="majorBidi" w:hAnsiTheme="majorBidi" w:cstheme="majorBidi"/>
              </w:rPr>
            </w:pPr>
          </w:p>
          <w:p w14:paraId="404711D0" w14:textId="77777777" w:rsidR="001152B1" w:rsidRDefault="001152B1" w:rsidP="00114409">
            <w:pPr>
              <w:rPr>
                <w:rFonts w:asciiTheme="majorBidi" w:hAnsiTheme="majorBidi" w:cstheme="majorBidi"/>
              </w:rPr>
            </w:pPr>
          </w:p>
          <w:p w14:paraId="6EE2DC22" w14:textId="77777777" w:rsidR="00403B5F" w:rsidRPr="00B07D21" w:rsidRDefault="00403B5F" w:rsidP="00114409">
            <w:pPr>
              <w:rPr>
                <w:rFonts w:asciiTheme="majorBidi" w:hAnsiTheme="majorBidi" w:cstheme="majorBidi"/>
              </w:rPr>
            </w:pPr>
          </w:p>
          <w:p w14:paraId="4FBA17B7" w14:textId="00F7DF88" w:rsidR="00114409" w:rsidRPr="00114409" w:rsidRDefault="001152B1" w:rsidP="00114409">
            <w:pPr>
              <w:rPr>
                <w:rFonts w:asciiTheme="majorBidi" w:hAnsiTheme="majorBidi" w:cstheme="majorBidi"/>
              </w:rPr>
            </w:pPr>
            <w:r w:rsidRPr="00114409">
              <w:rPr>
                <w:rFonts w:asciiTheme="majorBidi" w:hAnsiTheme="majorBidi" w:cstheme="majorBidi"/>
              </w:rPr>
              <w:t>The impact of ADHD on self-perception</w:t>
            </w:r>
          </w:p>
        </w:tc>
        <w:tc>
          <w:tcPr>
            <w:tcW w:w="2692" w:type="dxa"/>
            <w:tcBorders>
              <w:left w:val="single" w:sz="4" w:space="0" w:color="auto"/>
              <w:right w:val="single" w:sz="4" w:space="0" w:color="auto"/>
            </w:tcBorders>
          </w:tcPr>
          <w:p w14:paraId="312CA43E" w14:textId="77777777" w:rsidR="00114409" w:rsidRPr="00114409" w:rsidRDefault="00114409" w:rsidP="00114409">
            <w:pPr>
              <w:rPr>
                <w:rFonts w:asciiTheme="majorBidi" w:hAnsiTheme="majorBidi" w:cstheme="majorBidi"/>
              </w:rPr>
            </w:pPr>
            <w:r w:rsidRPr="00114409">
              <w:rPr>
                <w:rFonts w:asciiTheme="majorBidi" w:hAnsiTheme="majorBidi" w:cstheme="majorBidi"/>
              </w:rPr>
              <w:t xml:space="preserve">Impact of ADHD symptoms on functioning </w:t>
            </w:r>
          </w:p>
          <w:p w14:paraId="18A5B36B" w14:textId="77777777" w:rsidR="00114409" w:rsidRPr="00114409" w:rsidRDefault="00114409" w:rsidP="00114409">
            <w:pPr>
              <w:rPr>
                <w:rFonts w:asciiTheme="majorBidi" w:hAnsiTheme="majorBidi" w:cstheme="majorBidi"/>
              </w:rPr>
            </w:pPr>
          </w:p>
          <w:p w14:paraId="27E0E1FF" w14:textId="77777777" w:rsidR="00114409" w:rsidRPr="00114409" w:rsidRDefault="00114409" w:rsidP="00114409">
            <w:pPr>
              <w:rPr>
                <w:rFonts w:asciiTheme="majorBidi" w:hAnsiTheme="majorBidi" w:cstheme="majorBidi"/>
              </w:rPr>
            </w:pPr>
          </w:p>
          <w:p w14:paraId="794AAA1B" w14:textId="77777777" w:rsidR="00114409" w:rsidRPr="00114409" w:rsidRDefault="00114409" w:rsidP="00114409">
            <w:pPr>
              <w:rPr>
                <w:rFonts w:asciiTheme="majorBidi" w:hAnsiTheme="majorBidi" w:cstheme="majorBidi"/>
              </w:rPr>
            </w:pPr>
          </w:p>
          <w:p w14:paraId="406CD009" w14:textId="77777777" w:rsidR="00114409" w:rsidRPr="00114409" w:rsidRDefault="00114409" w:rsidP="00114409">
            <w:pPr>
              <w:rPr>
                <w:rFonts w:asciiTheme="majorBidi" w:hAnsiTheme="majorBidi" w:cstheme="majorBidi"/>
              </w:rPr>
            </w:pPr>
          </w:p>
          <w:p w14:paraId="2975B76C" w14:textId="77777777" w:rsidR="00114409" w:rsidRPr="00114409" w:rsidRDefault="00114409" w:rsidP="00114409">
            <w:pPr>
              <w:rPr>
                <w:rFonts w:asciiTheme="majorBidi" w:hAnsiTheme="majorBidi" w:cstheme="majorBidi"/>
              </w:rPr>
            </w:pPr>
            <w:r w:rsidRPr="00114409">
              <w:rPr>
                <w:rFonts w:asciiTheme="majorBidi" w:hAnsiTheme="majorBidi" w:cstheme="majorBidi"/>
              </w:rPr>
              <w:t xml:space="preserve">Attitudes and treatment from others </w:t>
            </w:r>
            <w:r w:rsidRPr="00114409">
              <w:rPr>
                <w:rFonts w:asciiTheme="majorBidi" w:hAnsiTheme="majorBidi" w:cstheme="majorBidi"/>
              </w:rPr>
              <w:tab/>
            </w:r>
          </w:p>
          <w:p w14:paraId="240A6F05" w14:textId="77777777" w:rsidR="00114409" w:rsidRPr="00114409" w:rsidRDefault="00114409" w:rsidP="00114409">
            <w:pPr>
              <w:rPr>
                <w:rFonts w:asciiTheme="majorBidi" w:hAnsiTheme="majorBidi" w:cstheme="majorBidi"/>
              </w:rPr>
            </w:pPr>
          </w:p>
          <w:p w14:paraId="3F51E2EA" w14:textId="77777777" w:rsidR="00114409" w:rsidRPr="00114409" w:rsidRDefault="00114409" w:rsidP="00114409">
            <w:pPr>
              <w:rPr>
                <w:rFonts w:asciiTheme="majorBidi" w:hAnsiTheme="majorBidi" w:cstheme="majorBidi"/>
              </w:rPr>
            </w:pPr>
          </w:p>
          <w:p w14:paraId="437B0B84" w14:textId="77777777" w:rsidR="00114409" w:rsidRPr="00114409" w:rsidRDefault="00114409" w:rsidP="00114409">
            <w:pPr>
              <w:rPr>
                <w:rFonts w:asciiTheme="majorBidi" w:hAnsiTheme="majorBidi" w:cstheme="majorBidi"/>
              </w:rPr>
            </w:pPr>
          </w:p>
          <w:p w14:paraId="62759EFE" w14:textId="77777777" w:rsidR="00114409" w:rsidRDefault="00114409" w:rsidP="00114409">
            <w:pPr>
              <w:rPr>
                <w:rFonts w:asciiTheme="majorBidi" w:hAnsiTheme="majorBidi" w:cstheme="majorBidi"/>
              </w:rPr>
            </w:pPr>
          </w:p>
          <w:p w14:paraId="51D558E3" w14:textId="77777777" w:rsidR="00403B5F" w:rsidRPr="00114409" w:rsidRDefault="00403B5F" w:rsidP="00114409">
            <w:pPr>
              <w:rPr>
                <w:rFonts w:asciiTheme="majorBidi" w:hAnsiTheme="majorBidi" w:cstheme="majorBidi"/>
              </w:rPr>
            </w:pPr>
          </w:p>
          <w:p w14:paraId="55616085" w14:textId="77777777" w:rsidR="00114409" w:rsidRPr="00114409" w:rsidRDefault="00114409" w:rsidP="00114409">
            <w:pPr>
              <w:rPr>
                <w:rFonts w:asciiTheme="majorBidi" w:hAnsiTheme="majorBidi" w:cstheme="majorBidi"/>
              </w:rPr>
            </w:pPr>
          </w:p>
          <w:p w14:paraId="1BE5E253" w14:textId="4F04C4B8" w:rsidR="000C14E1" w:rsidRPr="00114409" w:rsidRDefault="000C14E1" w:rsidP="000C14E1">
            <w:pPr>
              <w:rPr>
                <w:rFonts w:asciiTheme="majorBidi" w:hAnsiTheme="majorBidi" w:cstheme="majorBidi"/>
              </w:rPr>
            </w:pPr>
            <w:r w:rsidRPr="00114409">
              <w:rPr>
                <w:rFonts w:asciiTheme="majorBidi" w:hAnsiTheme="majorBidi" w:cstheme="majorBidi"/>
              </w:rPr>
              <w:t>Teachers’ knowledge and attitudes</w:t>
            </w:r>
          </w:p>
          <w:p w14:paraId="5D283D41" w14:textId="77777777" w:rsidR="000C14E1" w:rsidRPr="00B07D21" w:rsidRDefault="000C14E1" w:rsidP="000C14E1">
            <w:pPr>
              <w:rPr>
                <w:rFonts w:asciiTheme="majorBidi" w:hAnsiTheme="majorBidi" w:cstheme="majorBidi"/>
              </w:rPr>
            </w:pPr>
          </w:p>
          <w:p w14:paraId="018EFCB2" w14:textId="77777777" w:rsidR="001152B1" w:rsidRPr="00114409" w:rsidRDefault="001152B1" w:rsidP="000C14E1">
            <w:pPr>
              <w:rPr>
                <w:rFonts w:asciiTheme="majorBidi" w:hAnsiTheme="majorBidi" w:cstheme="majorBidi"/>
              </w:rPr>
            </w:pPr>
          </w:p>
          <w:p w14:paraId="28ABBBD5" w14:textId="77777777" w:rsidR="000C14E1" w:rsidRPr="00114409" w:rsidRDefault="000C14E1" w:rsidP="000C14E1">
            <w:pPr>
              <w:rPr>
                <w:rFonts w:asciiTheme="majorBidi" w:hAnsiTheme="majorBidi" w:cstheme="majorBidi"/>
              </w:rPr>
            </w:pPr>
            <w:r w:rsidRPr="00114409">
              <w:rPr>
                <w:rFonts w:asciiTheme="majorBidi" w:hAnsiTheme="majorBidi" w:cstheme="majorBidi"/>
              </w:rPr>
              <w:t>Functioning within the academic environment</w:t>
            </w:r>
          </w:p>
          <w:p w14:paraId="0F868319" w14:textId="77777777" w:rsidR="001152B1" w:rsidRPr="00B07D21" w:rsidRDefault="001152B1" w:rsidP="001152B1">
            <w:pPr>
              <w:rPr>
                <w:rFonts w:asciiTheme="majorBidi" w:hAnsiTheme="majorBidi" w:cstheme="majorBidi"/>
              </w:rPr>
            </w:pPr>
          </w:p>
          <w:p w14:paraId="1EBA34D8" w14:textId="77777777" w:rsidR="001152B1" w:rsidRPr="00B07D21" w:rsidRDefault="001152B1" w:rsidP="001152B1">
            <w:pPr>
              <w:rPr>
                <w:rFonts w:asciiTheme="majorBidi" w:hAnsiTheme="majorBidi" w:cstheme="majorBidi"/>
              </w:rPr>
            </w:pPr>
          </w:p>
          <w:p w14:paraId="14C05C22" w14:textId="77777777" w:rsidR="001152B1" w:rsidRDefault="001152B1" w:rsidP="001152B1">
            <w:pPr>
              <w:rPr>
                <w:rFonts w:asciiTheme="majorBidi" w:hAnsiTheme="majorBidi" w:cstheme="majorBidi"/>
              </w:rPr>
            </w:pPr>
          </w:p>
          <w:p w14:paraId="50739178" w14:textId="77777777" w:rsidR="00403B5F" w:rsidRPr="00B07D21" w:rsidRDefault="00403B5F" w:rsidP="001152B1">
            <w:pPr>
              <w:rPr>
                <w:rFonts w:asciiTheme="majorBidi" w:hAnsiTheme="majorBidi" w:cstheme="majorBidi"/>
              </w:rPr>
            </w:pPr>
          </w:p>
          <w:p w14:paraId="520DD0F5" w14:textId="688A17CF" w:rsidR="001152B1" w:rsidRPr="00B07D21" w:rsidRDefault="001152B1" w:rsidP="001152B1">
            <w:pPr>
              <w:rPr>
                <w:rFonts w:asciiTheme="majorBidi" w:hAnsiTheme="majorBidi" w:cstheme="majorBidi"/>
              </w:rPr>
            </w:pPr>
            <w:r w:rsidRPr="00114409">
              <w:rPr>
                <w:rFonts w:asciiTheme="majorBidi" w:hAnsiTheme="majorBidi" w:cstheme="majorBidi"/>
              </w:rPr>
              <w:t xml:space="preserve">Positive impact on self-perception </w:t>
            </w:r>
          </w:p>
          <w:p w14:paraId="6BFF5130" w14:textId="77777777" w:rsidR="00BF7C26" w:rsidRPr="00B07D21" w:rsidRDefault="00BF7C26" w:rsidP="001152B1">
            <w:pPr>
              <w:rPr>
                <w:rFonts w:asciiTheme="majorBidi" w:hAnsiTheme="majorBidi" w:cstheme="majorBidi"/>
              </w:rPr>
            </w:pPr>
          </w:p>
          <w:p w14:paraId="28F9776E" w14:textId="77777777" w:rsidR="00BF7C26" w:rsidRPr="00114409" w:rsidRDefault="00BF7C26" w:rsidP="001152B1">
            <w:pPr>
              <w:rPr>
                <w:rFonts w:asciiTheme="majorBidi" w:hAnsiTheme="majorBidi" w:cstheme="majorBidi"/>
              </w:rPr>
            </w:pPr>
          </w:p>
          <w:p w14:paraId="2866BF97" w14:textId="77777777" w:rsidR="001152B1" w:rsidRPr="00114409" w:rsidRDefault="001152B1" w:rsidP="001152B1">
            <w:pPr>
              <w:rPr>
                <w:rFonts w:asciiTheme="majorBidi" w:hAnsiTheme="majorBidi" w:cstheme="majorBidi"/>
              </w:rPr>
            </w:pPr>
          </w:p>
          <w:p w14:paraId="08D0C0A0" w14:textId="77777777" w:rsidR="001152B1" w:rsidRPr="00114409" w:rsidRDefault="001152B1" w:rsidP="001152B1">
            <w:pPr>
              <w:rPr>
                <w:rFonts w:asciiTheme="majorBidi" w:hAnsiTheme="majorBidi" w:cstheme="majorBidi"/>
              </w:rPr>
            </w:pPr>
            <w:r w:rsidRPr="00114409">
              <w:rPr>
                <w:rFonts w:asciiTheme="majorBidi" w:hAnsiTheme="majorBidi" w:cstheme="majorBidi"/>
              </w:rPr>
              <w:t>Negative impact on self-perception</w:t>
            </w:r>
          </w:p>
          <w:p w14:paraId="13C0BDE3" w14:textId="5F51A6BB" w:rsidR="00114409" w:rsidRPr="00114409" w:rsidRDefault="00114409" w:rsidP="00114409">
            <w:pPr>
              <w:rPr>
                <w:rFonts w:asciiTheme="majorBidi" w:hAnsiTheme="majorBidi" w:cstheme="majorBidi"/>
                <w:i/>
                <w:iCs/>
              </w:rPr>
            </w:pPr>
          </w:p>
        </w:tc>
        <w:tc>
          <w:tcPr>
            <w:tcW w:w="4111" w:type="dxa"/>
            <w:tcBorders>
              <w:left w:val="single" w:sz="4" w:space="0" w:color="auto"/>
              <w:right w:val="nil"/>
            </w:tcBorders>
          </w:tcPr>
          <w:p w14:paraId="644172B2" w14:textId="77777777" w:rsidR="00114409" w:rsidRPr="00114409" w:rsidRDefault="00114409" w:rsidP="00114409">
            <w:pPr>
              <w:rPr>
                <w:rFonts w:asciiTheme="majorBidi" w:hAnsiTheme="majorBidi" w:cstheme="majorBidi"/>
                <w:i/>
                <w:iCs/>
              </w:rPr>
            </w:pPr>
            <w:r w:rsidRPr="00114409">
              <w:rPr>
                <w:rFonts w:asciiTheme="majorBidi" w:hAnsiTheme="majorBidi" w:cstheme="majorBidi"/>
                <w:i/>
                <w:iCs/>
              </w:rPr>
              <w:t xml:space="preserve">“I’ll get distracted and forget what I’m supposed to be doing” (P1). </w:t>
            </w:r>
          </w:p>
          <w:p w14:paraId="3DDA1093" w14:textId="77777777" w:rsidR="00114409" w:rsidRPr="00114409" w:rsidRDefault="00114409" w:rsidP="00114409">
            <w:pPr>
              <w:rPr>
                <w:rFonts w:asciiTheme="majorBidi" w:hAnsiTheme="majorBidi" w:cstheme="majorBidi"/>
                <w:i/>
                <w:iCs/>
              </w:rPr>
            </w:pPr>
          </w:p>
          <w:p w14:paraId="71BA9F2E" w14:textId="77777777" w:rsidR="00114409" w:rsidRPr="00114409" w:rsidRDefault="00114409" w:rsidP="00114409">
            <w:pPr>
              <w:rPr>
                <w:rFonts w:asciiTheme="majorBidi" w:hAnsiTheme="majorBidi" w:cstheme="majorBidi"/>
                <w:i/>
                <w:iCs/>
              </w:rPr>
            </w:pPr>
            <w:r w:rsidRPr="00114409">
              <w:rPr>
                <w:rFonts w:asciiTheme="majorBidi" w:hAnsiTheme="majorBidi" w:cstheme="majorBidi"/>
                <w:i/>
                <w:iCs/>
              </w:rPr>
              <w:t>“I don’t see risks like other people” (P3).</w:t>
            </w:r>
          </w:p>
          <w:p w14:paraId="1F79A85D" w14:textId="77777777" w:rsidR="00114409" w:rsidRPr="00114409" w:rsidRDefault="00114409" w:rsidP="00114409">
            <w:pPr>
              <w:rPr>
                <w:rFonts w:asciiTheme="majorBidi" w:hAnsiTheme="majorBidi" w:cstheme="majorBidi"/>
                <w:i/>
                <w:iCs/>
              </w:rPr>
            </w:pPr>
          </w:p>
          <w:p w14:paraId="193CCCFB" w14:textId="77777777" w:rsidR="00114409" w:rsidRPr="00114409" w:rsidRDefault="00114409" w:rsidP="00114409">
            <w:pPr>
              <w:rPr>
                <w:rFonts w:asciiTheme="majorBidi" w:hAnsiTheme="majorBidi" w:cstheme="majorBidi"/>
                <w:i/>
                <w:iCs/>
              </w:rPr>
            </w:pPr>
          </w:p>
          <w:p w14:paraId="4C9080D1" w14:textId="77777777" w:rsidR="00114409" w:rsidRPr="00114409" w:rsidRDefault="00114409" w:rsidP="00114409">
            <w:pPr>
              <w:rPr>
                <w:rFonts w:asciiTheme="majorBidi" w:hAnsiTheme="majorBidi" w:cstheme="majorBidi"/>
                <w:i/>
                <w:iCs/>
              </w:rPr>
            </w:pPr>
            <w:r w:rsidRPr="00114409">
              <w:rPr>
                <w:rFonts w:asciiTheme="majorBidi" w:hAnsiTheme="majorBidi" w:cstheme="majorBidi"/>
                <w:i/>
                <w:iCs/>
              </w:rPr>
              <w:t>“Generally, people don’t have patience with me, so their reactions are negative” (P2).</w:t>
            </w:r>
          </w:p>
          <w:p w14:paraId="5EAA9E47" w14:textId="77777777" w:rsidR="00114409" w:rsidRPr="00114409" w:rsidRDefault="00114409" w:rsidP="00114409">
            <w:pPr>
              <w:rPr>
                <w:rFonts w:asciiTheme="majorBidi" w:hAnsiTheme="majorBidi" w:cstheme="majorBidi"/>
                <w:i/>
                <w:iCs/>
              </w:rPr>
            </w:pPr>
          </w:p>
          <w:p w14:paraId="5286E727" w14:textId="77777777" w:rsidR="00114409" w:rsidRPr="00114409" w:rsidRDefault="00114409" w:rsidP="00114409">
            <w:pPr>
              <w:rPr>
                <w:rFonts w:asciiTheme="majorBidi" w:hAnsiTheme="majorBidi" w:cstheme="majorBidi"/>
                <w:i/>
                <w:iCs/>
              </w:rPr>
            </w:pPr>
            <w:r w:rsidRPr="00114409">
              <w:rPr>
                <w:rFonts w:asciiTheme="majorBidi" w:hAnsiTheme="majorBidi" w:cstheme="majorBidi"/>
                <w:i/>
                <w:iCs/>
              </w:rPr>
              <w:t>“Some of the boys laugh and think it’s funny. Well, it’s not really” (P4).</w:t>
            </w:r>
          </w:p>
          <w:p w14:paraId="1C5EA973" w14:textId="77777777" w:rsidR="00114409" w:rsidRPr="00B07D21" w:rsidRDefault="00114409" w:rsidP="00114409">
            <w:pPr>
              <w:rPr>
                <w:rFonts w:asciiTheme="majorBidi" w:hAnsiTheme="majorBidi" w:cstheme="majorBidi"/>
                <w:i/>
                <w:iCs/>
              </w:rPr>
            </w:pPr>
          </w:p>
          <w:p w14:paraId="271136A0" w14:textId="77777777" w:rsidR="00767717" w:rsidRDefault="00767717" w:rsidP="00114409">
            <w:pPr>
              <w:rPr>
                <w:rFonts w:asciiTheme="majorBidi" w:hAnsiTheme="majorBidi" w:cstheme="majorBidi"/>
                <w:i/>
                <w:iCs/>
              </w:rPr>
            </w:pPr>
          </w:p>
          <w:p w14:paraId="5E6733A6" w14:textId="77777777" w:rsidR="00403B5F" w:rsidRPr="00114409" w:rsidRDefault="00403B5F" w:rsidP="00114409">
            <w:pPr>
              <w:rPr>
                <w:rFonts w:asciiTheme="majorBidi" w:hAnsiTheme="majorBidi" w:cstheme="majorBidi"/>
                <w:i/>
                <w:iCs/>
              </w:rPr>
            </w:pPr>
          </w:p>
          <w:p w14:paraId="7DEE3B3D" w14:textId="77777777" w:rsidR="00767717" w:rsidRPr="00114409" w:rsidRDefault="00767717" w:rsidP="00767717">
            <w:pPr>
              <w:rPr>
                <w:rFonts w:asciiTheme="majorBidi" w:hAnsiTheme="majorBidi" w:cstheme="majorBidi"/>
                <w:i/>
                <w:iCs/>
              </w:rPr>
            </w:pPr>
            <w:r w:rsidRPr="00114409">
              <w:rPr>
                <w:rFonts w:asciiTheme="majorBidi" w:hAnsiTheme="majorBidi" w:cstheme="majorBidi"/>
                <w:i/>
                <w:iCs/>
              </w:rPr>
              <w:t>“Getting chucked out of the class, teachers shouting at me” (P4).</w:t>
            </w:r>
          </w:p>
          <w:p w14:paraId="37638F78" w14:textId="77777777" w:rsidR="00767717" w:rsidRPr="00B07D21" w:rsidRDefault="00767717" w:rsidP="00767717">
            <w:pPr>
              <w:rPr>
                <w:rFonts w:asciiTheme="majorBidi" w:hAnsiTheme="majorBidi" w:cstheme="majorBidi"/>
              </w:rPr>
            </w:pPr>
          </w:p>
          <w:p w14:paraId="1CAB215E" w14:textId="77777777" w:rsidR="001152B1" w:rsidRPr="00114409" w:rsidRDefault="001152B1" w:rsidP="00767717">
            <w:pPr>
              <w:rPr>
                <w:rFonts w:asciiTheme="majorBidi" w:hAnsiTheme="majorBidi" w:cstheme="majorBidi"/>
              </w:rPr>
            </w:pPr>
          </w:p>
          <w:p w14:paraId="0183AF43" w14:textId="77777777" w:rsidR="00767717" w:rsidRPr="00114409" w:rsidRDefault="00767717" w:rsidP="00767717">
            <w:pPr>
              <w:rPr>
                <w:rFonts w:asciiTheme="majorBidi" w:hAnsiTheme="majorBidi" w:cstheme="majorBidi"/>
                <w:i/>
                <w:iCs/>
              </w:rPr>
            </w:pPr>
            <w:r w:rsidRPr="00114409">
              <w:rPr>
                <w:rFonts w:asciiTheme="majorBidi" w:hAnsiTheme="majorBidi" w:cstheme="majorBidi"/>
                <w:i/>
                <w:iCs/>
              </w:rPr>
              <w:t>“I lose concentration really quickly” (P1).</w:t>
            </w:r>
          </w:p>
          <w:p w14:paraId="33E74773" w14:textId="77777777" w:rsidR="00767717" w:rsidRPr="00114409" w:rsidRDefault="00767717" w:rsidP="00767717">
            <w:pPr>
              <w:rPr>
                <w:rFonts w:asciiTheme="majorBidi" w:hAnsiTheme="majorBidi" w:cstheme="majorBidi"/>
              </w:rPr>
            </w:pPr>
          </w:p>
          <w:p w14:paraId="4AACE3C4" w14:textId="1A273220" w:rsidR="00767717" w:rsidRPr="00114409" w:rsidRDefault="00767717" w:rsidP="00767717">
            <w:pPr>
              <w:rPr>
                <w:rFonts w:asciiTheme="majorBidi" w:hAnsiTheme="majorBidi" w:cstheme="majorBidi"/>
                <w:i/>
                <w:iCs/>
              </w:rPr>
            </w:pPr>
            <w:r w:rsidRPr="00114409">
              <w:rPr>
                <w:rFonts w:asciiTheme="majorBidi" w:hAnsiTheme="majorBidi" w:cstheme="majorBidi"/>
                <w:i/>
                <w:iCs/>
              </w:rPr>
              <w:t>“Once I’m hyperactive</w:t>
            </w:r>
            <w:r w:rsidR="001152B1" w:rsidRPr="00B07D21">
              <w:rPr>
                <w:rFonts w:asciiTheme="majorBidi" w:hAnsiTheme="majorBidi" w:cstheme="majorBidi"/>
                <w:i/>
                <w:iCs/>
              </w:rPr>
              <w:t>,</w:t>
            </w:r>
            <w:r w:rsidRPr="00114409">
              <w:rPr>
                <w:rFonts w:asciiTheme="majorBidi" w:hAnsiTheme="majorBidi" w:cstheme="majorBidi"/>
                <w:i/>
                <w:iCs/>
              </w:rPr>
              <w:t xml:space="preserve"> I find it really hard to come down” (P3). </w:t>
            </w:r>
          </w:p>
          <w:p w14:paraId="6BA5F3B4" w14:textId="77777777" w:rsidR="000C14E1" w:rsidRPr="00B07D21" w:rsidRDefault="000C14E1" w:rsidP="00114409">
            <w:pPr>
              <w:rPr>
                <w:rFonts w:asciiTheme="majorBidi" w:hAnsiTheme="majorBidi" w:cstheme="majorBidi"/>
                <w:i/>
                <w:iCs/>
              </w:rPr>
            </w:pPr>
          </w:p>
          <w:p w14:paraId="0606DF61" w14:textId="77777777" w:rsidR="004C1A94" w:rsidRDefault="004C1A94" w:rsidP="001152B1">
            <w:pPr>
              <w:rPr>
                <w:rFonts w:asciiTheme="majorBidi" w:hAnsiTheme="majorBidi" w:cstheme="majorBidi"/>
                <w:i/>
                <w:iCs/>
              </w:rPr>
            </w:pPr>
          </w:p>
          <w:p w14:paraId="4D321F11" w14:textId="4B0B27E8" w:rsidR="001152B1" w:rsidRPr="00B07D21" w:rsidRDefault="001152B1" w:rsidP="001152B1">
            <w:pPr>
              <w:rPr>
                <w:rFonts w:asciiTheme="majorBidi" w:hAnsiTheme="majorBidi" w:cstheme="majorBidi"/>
                <w:i/>
                <w:iCs/>
              </w:rPr>
            </w:pPr>
            <w:r w:rsidRPr="00B07D21">
              <w:rPr>
                <w:rFonts w:asciiTheme="majorBidi" w:hAnsiTheme="majorBidi" w:cstheme="majorBidi"/>
                <w:i/>
                <w:iCs/>
              </w:rPr>
              <w:t>“I was much braver… I wasn’t scared at all” (P3).</w:t>
            </w:r>
          </w:p>
          <w:p w14:paraId="16DEBB13" w14:textId="77777777" w:rsidR="001152B1" w:rsidRPr="00B07D21" w:rsidRDefault="001152B1" w:rsidP="001152B1">
            <w:pPr>
              <w:rPr>
                <w:rFonts w:asciiTheme="majorBidi" w:hAnsiTheme="majorBidi" w:cstheme="majorBidi"/>
                <w:i/>
                <w:iCs/>
              </w:rPr>
            </w:pPr>
          </w:p>
          <w:p w14:paraId="79BB90F4" w14:textId="77777777" w:rsidR="001152B1" w:rsidRPr="00B07D21" w:rsidRDefault="001152B1" w:rsidP="001152B1">
            <w:pPr>
              <w:rPr>
                <w:rFonts w:asciiTheme="majorBidi" w:hAnsiTheme="majorBidi" w:cstheme="majorBidi"/>
                <w:i/>
                <w:iCs/>
              </w:rPr>
            </w:pPr>
            <w:r w:rsidRPr="00B07D21">
              <w:rPr>
                <w:rFonts w:asciiTheme="majorBidi" w:hAnsiTheme="majorBidi" w:cstheme="majorBidi"/>
                <w:i/>
                <w:iCs/>
              </w:rPr>
              <w:t>“Fed up and frustrated, I just wish I could finish things” (P2).</w:t>
            </w:r>
          </w:p>
          <w:p w14:paraId="2BB4E4AA" w14:textId="77777777" w:rsidR="001152B1" w:rsidRPr="00B07D21" w:rsidRDefault="001152B1" w:rsidP="001152B1">
            <w:pPr>
              <w:rPr>
                <w:rFonts w:asciiTheme="majorBidi" w:hAnsiTheme="majorBidi" w:cstheme="majorBidi"/>
                <w:i/>
                <w:iCs/>
              </w:rPr>
            </w:pPr>
          </w:p>
          <w:p w14:paraId="769751ED" w14:textId="55B529B2" w:rsidR="000C14E1" w:rsidRPr="00114409" w:rsidRDefault="001152B1" w:rsidP="001152B1">
            <w:pPr>
              <w:rPr>
                <w:rFonts w:asciiTheme="majorBidi" w:hAnsiTheme="majorBidi" w:cstheme="majorBidi"/>
                <w:i/>
                <w:iCs/>
              </w:rPr>
            </w:pPr>
            <w:r w:rsidRPr="00B07D21">
              <w:rPr>
                <w:rFonts w:asciiTheme="majorBidi" w:hAnsiTheme="majorBidi" w:cstheme="majorBidi"/>
                <w:i/>
                <w:iCs/>
              </w:rPr>
              <w:t>“I’m never going to do well in school because I can never finish anything (P4).</w:t>
            </w:r>
          </w:p>
        </w:tc>
      </w:tr>
    </w:tbl>
    <w:p w14:paraId="7099B0F1" w14:textId="77777777" w:rsidR="00403B5F" w:rsidRDefault="00403B5F">
      <w:pPr>
        <w:rPr>
          <w:rFonts w:asciiTheme="majorBidi" w:hAnsiTheme="majorBidi" w:cstheme="majorBidi"/>
          <w:sz w:val="24"/>
          <w:szCs w:val="24"/>
        </w:rPr>
      </w:pPr>
    </w:p>
    <w:p w14:paraId="71D705BA" w14:textId="77777777" w:rsidR="00403B5F" w:rsidRDefault="00403B5F">
      <w:pPr>
        <w:rPr>
          <w:rFonts w:asciiTheme="majorBidi" w:hAnsiTheme="majorBidi" w:cstheme="majorBidi"/>
          <w:sz w:val="24"/>
          <w:szCs w:val="24"/>
        </w:rPr>
      </w:pPr>
    </w:p>
    <w:p w14:paraId="306862C0" w14:textId="77777777" w:rsidR="00D62393" w:rsidRPr="00D62393" w:rsidRDefault="00D62393" w:rsidP="00D62393">
      <w:pPr>
        <w:spacing w:line="360" w:lineRule="auto"/>
        <w:rPr>
          <w:rFonts w:eastAsia="Aptos"/>
          <w:b/>
          <w:bCs/>
          <w:sz w:val="24"/>
          <w:szCs w:val="24"/>
          <w:lang w:eastAsia="en-US"/>
        </w:rPr>
      </w:pPr>
      <w:r w:rsidRPr="00D62393">
        <w:rPr>
          <w:rFonts w:eastAsia="Aptos"/>
          <w:b/>
          <w:bCs/>
          <w:sz w:val="24"/>
          <w:szCs w:val="24"/>
          <w:lang w:eastAsia="en-US"/>
        </w:rPr>
        <w:lastRenderedPageBreak/>
        <w:t>The negative effects of living with ADHD</w:t>
      </w:r>
    </w:p>
    <w:p w14:paraId="762F6152" w14:textId="720AFB97" w:rsidR="00A24015" w:rsidRDefault="00A24015" w:rsidP="00D62393">
      <w:pPr>
        <w:spacing w:line="360" w:lineRule="auto"/>
        <w:rPr>
          <w:rFonts w:eastAsia="Aptos"/>
          <w:sz w:val="24"/>
          <w:szCs w:val="24"/>
          <w:lang w:eastAsia="en-US"/>
        </w:rPr>
      </w:pPr>
      <w:r w:rsidRPr="00D62393">
        <w:rPr>
          <w:rFonts w:eastAsia="Aptos"/>
          <w:sz w:val="24"/>
          <w:szCs w:val="24"/>
          <w:lang w:eastAsia="en-US"/>
        </w:rPr>
        <w:t xml:space="preserve">The </w:t>
      </w:r>
      <w:r>
        <w:rPr>
          <w:rFonts w:eastAsia="Aptos"/>
          <w:sz w:val="24"/>
          <w:szCs w:val="24"/>
          <w:lang w:eastAsia="en-US"/>
        </w:rPr>
        <w:t>findings</w:t>
      </w:r>
      <w:r w:rsidRPr="00D62393">
        <w:rPr>
          <w:rFonts w:eastAsia="Aptos"/>
          <w:sz w:val="24"/>
          <w:szCs w:val="24"/>
          <w:lang w:eastAsia="en-US"/>
        </w:rPr>
        <w:t xml:space="preserve"> suggest that for adolescents living with ADHD, the effects of the disorder are deemed largely negative based on the codes and themes extracted from the dataset</w:t>
      </w:r>
      <w:r w:rsidR="001C5ABB">
        <w:rPr>
          <w:rFonts w:eastAsia="Aptos"/>
          <w:sz w:val="24"/>
          <w:szCs w:val="24"/>
          <w:lang w:eastAsia="en-US"/>
        </w:rPr>
        <w:t>, including</w:t>
      </w:r>
      <w:r w:rsidRPr="00D62393">
        <w:rPr>
          <w:rFonts w:eastAsia="Aptos"/>
          <w:sz w:val="24"/>
          <w:szCs w:val="24"/>
          <w:lang w:eastAsia="en-US"/>
        </w:rPr>
        <w:t xml:space="preserve"> the undesirable impact that the condition has on their everyday functioning, negative attitudes towards ADHD, unpleasant treatment from others and strained relationships in the adolescents’ lives.</w:t>
      </w:r>
    </w:p>
    <w:p w14:paraId="4FDFC6DD" w14:textId="77777777" w:rsidR="001C5ABB" w:rsidRDefault="001C5ABB" w:rsidP="00D62393">
      <w:pPr>
        <w:spacing w:line="360" w:lineRule="auto"/>
        <w:rPr>
          <w:rFonts w:eastAsia="Aptos"/>
          <w:sz w:val="24"/>
          <w:szCs w:val="24"/>
          <w:lang w:eastAsia="en-US"/>
        </w:rPr>
      </w:pPr>
    </w:p>
    <w:p w14:paraId="2FA12F66" w14:textId="12F804E0" w:rsidR="00D62393" w:rsidRPr="00D62393" w:rsidRDefault="00D62393" w:rsidP="00D62393">
      <w:pPr>
        <w:spacing w:line="360" w:lineRule="auto"/>
        <w:rPr>
          <w:rFonts w:eastAsia="Aptos"/>
          <w:i/>
          <w:iCs/>
          <w:sz w:val="24"/>
          <w:szCs w:val="24"/>
          <w:lang w:eastAsia="en-US"/>
        </w:rPr>
      </w:pPr>
      <w:r w:rsidRPr="00D62393">
        <w:rPr>
          <w:rFonts w:eastAsia="Aptos"/>
          <w:i/>
          <w:iCs/>
          <w:sz w:val="24"/>
          <w:szCs w:val="24"/>
          <w:lang w:eastAsia="en-US"/>
        </w:rPr>
        <w:t xml:space="preserve">Impact of ADHD symptoms on functioning </w:t>
      </w:r>
    </w:p>
    <w:p w14:paraId="55A4391D" w14:textId="2A62BDC7" w:rsidR="00D62393" w:rsidRPr="00D62393" w:rsidRDefault="00D62393" w:rsidP="00D62393">
      <w:pPr>
        <w:spacing w:line="360" w:lineRule="auto"/>
        <w:rPr>
          <w:rFonts w:eastAsia="Aptos"/>
          <w:i/>
          <w:iCs/>
          <w:sz w:val="24"/>
          <w:szCs w:val="24"/>
          <w:highlight w:val="yellow"/>
          <w:lang w:eastAsia="en-US"/>
        </w:rPr>
      </w:pPr>
      <w:r w:rsidRPr="00D62393">
        <w:rPr>
          <w:rFonts w:eastAsia="Aptos"/>
          <w:sz w:val="24"/>
          <w:szCs w:val="24"/>
          <w:lang w:eastAsia="en-US"/>
        </w:rPr>
        <w:t>Cognition was specified as an area of difficulty, particularly concerning executive functioning such as inattentiveness, forgetfulness, confusion, limited motivational and attentional capacity, and poor memory: “</w:t>
      </w:r>
      <w:r w:rsidRPr="00D62393">
        <w:rPr>
          <w:rFonts w:eastAsia="Aptos"/>
          <w:i/>
          <w:iCs/>
          <w:sz w:val="24"/>
          <w:szCs w:val="24"/>
          <w:lang w:eastAsia="en-US"/>
        </w:rPr>
        <w:t>Mum might give me instructions, and I’ll get distracted and forget what I’m supposed to be doing</w:t>
      </w:r>
      <w:r w:rsidRPr="00D62393">
        <w:rPr>
          <w:rFonts w:eastAsia="Aptos"/>
          <w:sz w:val="24"/>
          <w:szCs w:val="24"/>
          <w:lang w:eastAsia="en-US"/>
        </w:rPr>
        <w:t>” (</w:t>
      </w:r>
      <w:r w:rsidRPr="00D62393">
        <w:rPr>
          <w:rFonts w:eastAsia="Aptos"/>
          <w:i/>
          <w:iCs/>
          <w:sz w:val="24"/>
          <w:szCs w:val="24"/>
          <w:lang w:eastAsia="en-US"/>
        </w:rPr>
        <w:t>Participant 1)</w:t>
      </w:r>
      <w:r w:rsidRPr="00D62393">
        <w:rPr>
          <w:rFonts w:eastAsia="Aptos"/>
          <w:sz w:val="24"/>
          <w:szCs w:val="24"/>
          <w:lang w:eastAsia="en-US"/>
        </w:rPr>
        <w:t>. The impact these symptoms caused for individuals were frustration, anger, and needing support to function during the completion of tasks to redirect their focus away from distractions. Symptoms of ADHD were articulated as being problematic to manage, with some participants claiming they had no control whatsoever over the influence that ADHD symptoms bore on their functioning: “…</w:t>
      </w:r>
      <w:r w:rsidRPr="00D62393">
        <w:rPr>
          <w:rFonts w:eastAsia="Aptos"/>
          <w:i/>
          <w:iCs/>
          <w:sz w:val="24"/>
          <w:szCs w:val="24"/>
          <w:lang w:eastAsia="en-US"/>
        </w:rPr>
        <w:t xml:space="preserve">it’s not like I choose not to listen…” (Participant 1). </w:t>
      </w:r>
      <w:r w:rsidRPr="00D62393">
        <w:rPr>
          <w:rFonts w:eastAsia="Aptos"/>
          <w:sz w:val="24"/>
          <w:szCs w:val="24"/>
          <w:lang w:eastAsia="en-US"/>
        </w:rPr>
        <w:t>Even when undergoing pharmacological treatment: “</w:t>
      </w:r>
      <w:r w:rsidRPr="00D62393">
        <w:rPr>
          <w:rFonts w:eastAsia="Aptos"/>
          <w:i/>
          <w:iCs/>
          <w:sz w:val="24"/>
          <w:szCs w:val="24"/>
          <w:lang w:eastAsia="en-US"/>
        </w:rPr>
        <w:t xml:space="preserve">I’m on medication but it doesn’t seem to calm me down as much as I’d like” (Participant 4). </w:t>
      </w:r>
      <w:r w:rsidRPr="00D62393">
        <w:rPr>
          <w:rFonts w:eastAsia="Aptos"/>
          <w:sz w:val="24"/>
          <w:szCs w:val="24"/>
          <w:lang w:eastAsia="en-US"/>
        </w:rPr>
        <w:t xml:space="preserve">Despite the difficulty to inhibit these behaviours, others seemingly endorsed negative attitudes towards them and appeared to misinterpret symptoms of ADHD displayed by adolescents. This caused negative cyclical effects to them that they felt were inescapable, highlighting potential concerns over their well-being. </w:t>
      </w:r>
    </w:p>
    <w:p w14:paraId="182FFE4E" w14:textId="77777777" w:rsidR="00D62393" w:rsidRPr="00D62393" w:rsidRDefault="00D62393" w:rsidP="00D62393">
      <w:pPr>
        <w:spacing w:line="360" w:lineRule="auto"/>
        <w:rPr>
          <w:rFonts w:eastAsia="Aptos"/>
          <w:i/>
          <w:iCs/>
          <w:sz w:val="24"/>
          <w:szCs w:val="24"/>
          <w:lang w:eastAsia="en-US"/>
        </w:rPr>
      </w:pPr>
    </w:p>
    <w:p w14:paraId="043BB7FA" w14:textId="77777777" w:rsidR="00D62393" w:rsidRPr="00D62393" w:rsidRDefault="00D62393" w:rsidP="00D62393">
      <w:pPr>
        <w:spacing w:line="360" w:lineRule="auto"/>
        <w:rPr>
          <w:rFonts w:eastAsia="Aptos"/>
          <w:i/>
          <w:iCs/>
          <w:sz w:val="24"/>
          <w:szCs w:val="24"/>
          <w:lang w:eastAsia="en-US"/>
        </w:rPr>
      </w:pPr>
      <w:r w:rsidRPr="00D62393">
        <w:rPr>
          <w:rFonts w:eastAsia="Aptos"/>
          <w:i/>
          <w:iCs/>
          <w:sz w:val="24"/>
          <w:szCs w:val="24"/>
          <w:lang w:eastAsia="en-US"/>
        </w:rPr>
        <w:t xml:space="preserve">Attitudes and treatment from others </w:t>
      </w:r>
      <w:r w:rsidRPr="00D62393">
        <w:rPr>
          <w:rFonts w:eastAsia="Aptos"/>
          <w:i/>
          <w:iCs/>
          <w:sz w:val="24"/>
          <w:szCs w:val="24"/>
          <w:lang w:eastAsia="en-US"/>
        </w:rPr>
        <w:tab/>
      </w:r>
      <w:r w:rsidRPr="00D62393">
        <w:rPr>
          <w:rFonts w:eastAsia="Aptos"/>
          <w:i/>
          <w:iCs/>
          <w:sz w:val="24"/>
          <w:szCs w:val="24"/>
          <w:lang w:eastAsia="en-US"/>
        </w:rPr>
        <w:tab/>
      </w:r>
      <w:r w:rsidRPr="00D62393">
        <w:rPr>
          <w:rFonts w:eastAsia="Aptos"/>
          <w:i/>
          <w:iCs/>
          <w:sz w:val="24"/>
          <w:szCs w:val="24"/>
          <w:lang w:eastAsia="en-US"/>
        </w:rPr>
        <w:tab/>
      </w:r>
      <w:r w:rsidRPr="00D62393">
        <w:rPr>
          <w:rFonts w:eastAsia="Aptos"/>
          <w:i/>
          <w:iCs/>
          <w:sz w:val="24"/>
          <w:szCs w:val="24"/>
          <w:lang w:eastAsia="en-US"/>
        </w:rPr>
        <w:tab/>
      </w:r>
      <w:r w:rsidRPr="00D62393">
        <w:rPr>
          <w:rFonts w:eastAsia="Aptos"/>
          <w:i/>
          <w:iCs/>
          <w:sz w:val="24"/>
          <w:szCs w:val="24"/>
          <w:lang w:eastAsia="en-US"/>
        </w:rPr>
        <w:tab/>
      </w:r>
    </w:p>
    <w:p w14:paraId="020DA9CC" w14:textId="77777777" w:rsidR="00D62393" w:rsidRPr="00D62393" w:rsidRDefault="00D62393" w:rsidP="00D62393">
      <w:pPr>
        <w:spacing w:line="360" w:lineRule="auto"/>
        <w:rPr>
          <w:rFonts w:eastAsia="Aptos"/>
          <w:sz w:val="24"/>
          <w:szCs w:val="24"/>
          <w:lang w:eastAsia="en-US"/>
        </w:rPr>
      </w:pPr>
      <w:r w:rsidRPr="00D62393">
        <w:rPr>
          <w:rFonts w:eastAsia="Aptos"/>
          <w:sz w:val="24"/>
          <w:szCs w:val="24"/>
          <w:lang w:eastAsia="en-US"/>
        </w:rPr>
        <w:t xml:space="preserve">Attitudes and treatment from others were another explicitly negative aspect described by participants. Individuals included in this range were parents, siblings, peers, and teachers. </w:t>
      </w:r>
      <w:r w:rsidRPr="00D62393">
        <w:rPr>
          <w:rFonts w:eastAsia="Aptos"/>
          <w:i/>
          <w:iCs/>
          <w:sz w:val="24"/>
          <w:szCs w:val="24"/>
          <w:lang w:eastAsia="en-US"/>
        </w:rPr>
        <w:t>“Generally, people don’t have patience with me, so their reactions are negative”</w:t>
      </w:r>
      <w:r w:rsidRPr="00D62393">
        <w:rPr>
          <w:rFonts w:eastAsia="Aptos"/>
          <w:sz w:val="24"/>
          <w:szCs w:val="24"/>
          <w:lang w:eastAsia="en-US"/>
        </w:rPr>
        <w:t xml:space="preserve"> </w:t>
      </w:r>
      <w:r w:rsidRPr="00D62393">
        <w:rPr>
          <w:rFonts w:eastAsia="Aptos"/>
          <w:i/>
          <w:iCs/>
          <w:sz w:val="24"/>
          <w:szCs w:val="24"/>
          <w:lang w:eastAsia="en-US"/>
        </w:rPr>
        <w:t xml:space="preserve">(Participant 2). </w:t>
      </w:r>
      <w:r w:rsidRPr="00D62393">
        <w:rPr>
          <w:rFonts w:eastAsia="Aptos"/>
          <w:sz w:val="24"/>
          <w:szCs w:val="24"/>
          <w:lang w:eastAsia="en-US"/>
        </w:rPr>
        <w:t>A lack of understanding and knowledge of how the environment may impact individuals with ADHD and their functioning was also present. Behaviours and abilities listed by participants that they viewed as their strengths, others criticised and compared across contexts:</w:t>
      </w:r>
      <w:r w:rsidRPr="00D62393">
        <w:rPr>
          <w:rFonts w:eastAsia="Aptos"/>
          <w:i/>
          <w:iCs/>
          <w:sz w:val="24"/>
          <w:szCs w:val="24"/>
          <w:lang w:eastAsia="en-US"/>
        </w:rPr>
        <w:t xml:space="preserve"> “People say, ‘If you can concentrate on running then why can’t you concentrate in class” (Participant 4).</w:t>
      </w:r>
      <w:r w:rsidRPr="00D62393">
        <w:rPr>
          <w:rFonts w:eastAsia="Aptos"/>
          <w:sz w:val="24"/>
          <w:szCs w:val="24"/>
          <w:lang w:eastAsia="en-US"/>
        </w:rPr>
        <w:t xml:space="preserve"> Signifying a lack of comprehensive knowledge of ADHD by challenging individuals’ capabilities and suggesting an element of choice in the expressions of their symptoms. Causing negative attitudes towards the adolescents and </w:t>
      </w:r>
      <w:r w:rsidRPr="00D62393">
        <w:rPr>
          <w:rFonts w:eastAsia="Aptos"/>
          <w:sz w:val="24"/>
          <w:szCs w:val="24"/>
          <w:lang w:eastAsia="en-US"/>
        </w:rPr>
        <w:lastRenderedPageBreak/>
        <w:t>behaviours they may display. That said, participants also demonstrated negative attitudes towards their own ADHD and that of others. Such as</w:t>
      </w:r>
      <w:r w:rsidRPr="00D62393">
        <w:rPr>
          <w:rFonts w:eastAsia="Aptos"/>
          <w:i/>
          <w:iCs/>
          <w:sz w:val="24"/>
          <w:szCs w:val="24"/>
          <w:lang w:eastAsia="en-US"/>
        </w:rPr>
        <w:t xml:space="preserve"> “I hate ADHD” (Participant 4) </w:t>
      </w:r>
      <w:r w:rsidRPr="00D62393">
        <w:rPr>
          <w:rFonts w:eastAsia="Aptos"/>
          <w:sz w:val="24"/>
          <w:szCs w:val="24"/>
          <w:lang w:eastAsia="en-US"/>
        </w:rPr>
        <w:t>and</w:t>
      </w:r>
      <w:r w:rsidRPr="00D62393">
        <w:rPr>
          <w:rFonts w:eastAsia="Aptos"/>
          <w:i/>
          <w:iCs/>
          <w:sz w:val="24"/>
          <w:szCs w:val="24"/>
          <w:lang w:eastAsia="en-US"/>
        </w:rPr>
        <w:t xml:space="preserve"> “I know other people with ADHD that have it much worse than me… I’m glad that’s not my ADHD” (Participant 5).</w:t>
      </w:r>
      <w:r w:rsidRPr="00D62393">
        <w:rPr>
          <w:rFonts w:eastAsia="Aptos"/>
          <w:sz w:val="24"/>
          <w:szCs w:val="24"/>
          <w:lang w:eastAsia="en-US"/>
        </w:rPr>
        <w:t xml:space="preserve"> This effect apparently caused self-stigma among adolescents with ADHD, low self-esteem, and internalised ableism, particularly relating to teachers and education: </w:t>
      </w:r>
      <w:r w:rsidRPr="00D62393">
        <w:rPr>
          <w:rFonts w:eastAsia="Aptos"/>
          <w:i/>
          <w:iCs/>
          <w:sz w:val="24"/>
          <w:szCs w:val="24"/>
          <w:lang w:eastAsia="en-US"/>
        </w:rPr>
        <w:t xml:space="preserve">“I’m so loud and aggressive… I don’t think they have a clue what to do with me” (Participant 3). </w:t>
      </w:r>
      <w:r w:rsidRPr="00D62393">
        <w:rPr>
          <w:rFonts w:eastAsia="Aptos"/>
          <w:sz w:val="24"/>
          <w:szCs w:val="24"/>
          <w:lang w:eastAsia="en-US"/>
        </w:rPr>
        <w:t>This affected confidence levels in their academic capabilities and overall well-being.</w:t>
      </w:r>
      <w:r w:rsidRPr="00D62393">
        <w:rPr>
          <w:rFonts w:eastAsia="Aptos"/>
          <w:sz w:val="24"/>
          <w:szCs w:val="24"/>
          <w:lang w:eastAsia="en-US"/>
        </w:rPr>
        <w:tab/>
      </w:r>
      <w:r w:rsidRPr="00D62393">
        <w:rPr>
          <w:rFonts w:eastAsia="Aptos"/>
          <w:sz w:val="24"/>
          <w:szCs w:val="24"/>
          <w:lang w:eastAsia="en-US"/>
        </w:rPr>
        <w:tab/>
      </w:r>
      <w:r w:rsidRPr="00D62393">
        <w:rPr>
          <w:rFonts w:eastAsia="Aptos"/>
          <w:sz w:val="24"/>
          <w:szCs w:val="24"/>
          <w:lang w:eastAsia="en-US"/>
        </w:rPr>
        <w:tab/>
      </w:r>
      <w:r w:rsidRPr="00D62393">
        <w:rPr>
          <w:rFonts w:eastAsia="Aptos"/>
          <w:sz w:val="24"/>
          <w:szCs w:val="24"/>
          <w:lang w:eastAsia="en-US"/>
        </w:rPr>
        <w:tab/>
      </w:r>
      <w:r w:rsidRPr="00D62393">
        <w:rPr>
          <w:rFonts w:eastAsia="Aptos"/>
          <w:sz w:val="24"/>
          <w:szCs w:val="24"/>
          <w:lang w:eastAsia="en-US"/>
        </w:rPr>
        <w:tab/>
      </w:r>
      <w:r w:rsidRPr="00D62393">
        <w:rPr>
          <w:rFonts w:eastAsia="Aptos"/>
          <w:sz w:val="24"/>
          <w:szCs w:val="24"/>
          <w:lang w:eastAsia="en-US"/>
        </w:rPr>
        <w:tab/>
      </w:r>
      <w:r w:rsidRPr="00D62393">
        <w:rPr>
          <w:rFonts w:eastAsia="Aptos"/>
          <w:sz w:val="24"/>
          <w:szCs w:val="24"/>
          <w:lang w:eastAsia="en-US"/>
        </w:rPr>
        <w:tab/>
      </w:r>
      <w:r w:rsidRPr="00D62393">
        <w:rPr>
          <w:rFonts w:eastAsia="Aptos"/>
          <w:sz w:val="24"/>
          <w:szCs w:val="24"/>
          <w:lang w:eastAsia="en-US"/>
        </w:rPr>
        <w:tab/>
      </w:r>
      <w:r w:rsidRPr="00D62393">
        <w:rPr>
          <w:rFonts w:eastAsia="Aptos"/>
          <w:sz w:val="24"/>
          <w:szCs w:val="24"/>
          <w:lang w:eastAsia="en-US"/>
        </w:rPr>
        <w:tab/>
      </w:r>
      <w:r w:rsidRPr="00D62393">
        <w:rPr>
          <w:rFonts w:eastAsia="Aptos"/>
          <w:sz w:val="24"/>
          <w:szCs w:val="24"/>
          <w:lang w:eastAsia="en-US"/>
        </w:rPr>
        <w:tab/>
      </w:r>
      <w:r w:rsidRPr="00D62393">
        <w:rPr>
          <w:rFonts w:eastAsia="Aptos"/>
          <w:sz w:val="24"/>
          <w:szCs w:val="24"/>
          <w:lang w:eastAsia="en-US"/>
        </w:rPr>
        <w:tab/>
      </w:r>
      <w:r w:rsidRPr="00D62393">
        <w:rPr>
          <w:rFonts w:eastAsia="Aptos"/>
          <w:sz w:val="24"/>
          <w:szCs w:val="24"/>
          <w:lang w:eastAsia="en-US"/>
        </w:rPr>
        <w:tab/>
        <w:t>Likewise, participants expressed being negatively treated by academic staff and, in some cases, their parents:</w:t>
      </w:r>
      <w:r w:rsidRPr="00D62393">
        <w:rPr>
          <w:rFonts w:eastAsia="Aptos"/>
          <w:i/>
          <w:iCs/>
          <w:sz w:val="24"/>
          <w:szCs w:val="24"/>
          <w:lang w:eastAsia="en-US"/>
        </w:rPr>
        <w:t xml:space="preserve"> “Teachers shouting at me, parents giving up on me” (Participant 4). </w:t>
      </w:r>
      <w:r w:rsidRPr="00D62393">
        <w:rPr>
          <w:rFonts w:eastAsia="Aptos"/>
          <w:sz w:val="24"/>
          <w:szCs w:val="24"/>
          <w:lang w:eastAsia="en-US"/>
        </w:rPr>
        <w:t>Feelings of being misconstrued and even ridiculed because of the behaviours they displayed were also expressed. Once again, conveying little authority over the externalisation of their ADHD symptoms and its impact on functioning. Nearly all participants longed to be understood by others and felt they were socially misinterpreted. This suggests a need for wider awareness of how ADHD affects individuals across multiple dimensions and effective support strategies that could provide beneficial properties to cognitive performance and behavioural presentation.</w:t>
      </w:r>
    </w:p>
    <w:p w14:paraId="61379E85" w14:textId="77777777" w:rsidR="00D62393" w:rsidRPr="00D62393" w:rsidRDefault="00D62393" w:rsidP="00D62393">
      <w:pPr>
        <w:spacing w:line="360" w:lineRule="auto"/>
        <w:rPr>
          <w:rFonts w:eastAsia="Aptos"/>
          <w:i/>
          <w:iCs/>
          <w:sz w:val="24"/>
          <w:szCs w:val="24"/>
          <w:lang w:eastAsia="en-US"/>
        </w:rPr>
      </w:pPr>
    </w:p>
    <w:p w14:paraId="23147BEF" w14:textId="77777777" w:rsidR="0034737E" w:rsidRDefault="0034737E" w:rsidP="0034737E">
      <w:pPr>
        <w:spacing w:line="360" w:lineRule="auto"/>
        <w:rPr>
          <w:rFonts w:asciiTheme="majorBidi" w:hAnsiTheme="majorBidi" w:cstheme="majorBidi"/>
          <w:b/>
          <w:bCs/>
          <w:sz w:val="24"/>
          <w:szCs w:val="24"/>
        </w:rPr>
      </w:pPr>
      <w:r>
        <w:rPr>
          <w:rFonts w:asciiTheme="majorBidi" w:hAnsiTheme="majorBidi" w:cstheme="majorBidi"/>
          <w:b/>
          <w:bCs/>
          <w:sz w:val="24"/>
          <w:szCs w:val="24"/>
        </w:rPr>
        <w:t>Di</w:t>
      </w:r>
      <w:r w:rsidR="00B8499C" w:rsidRPr="00B8499C">
        <w:rPr>
          <w:rFonts w:asciiTheme="majorBidi" w:hAnsiTheme="majorBidi" w:cstheme="majorBidi"/>
          <w:b/>
          <w:bCs/>
          <w:sz w:val="24"/>
          <w:szCs w:val="24"/>
        </w:rPr>
        <w:t>scussion</w:t>
      </w:r>
    </w:p>
    <w:p w14:paraId="428D1A53" w14:textId="7E767FDF" w:rsidR="00B8499C" w:rsidRPr="00B8499C" w:rsidRDefault="00B8499C" w:rsidP="0034737E">
      <w:pPr>
        <w:spacing w:line="360" w:lineRule="auto"/>
        <w:rPr>
          <w:rFonts w:asciiTheme="majorBidi" w:hAnsiTheme="majorBidi" w:cstheme="majorBidi"/>
          <w:sz w:val="24"/>
          <w:szCs w:val="24"/>
        </w:rPr>
      </w:pPr>
      <w:r w:rsidRPr="00B8499C">
        <w:rPr>
          <w:rFonts w:asciiTheme="majorBidi" w:hAnsiTheme="majorBidi" w:cstheme="majorBidi"/>
          <w:sz w:val="24"/>
          <w:szCs w:val="24"/>
        </w:rPr>
        <w:t>The findings from this study highlight the overwhelmingly negative impact that living with ADHD has on adolescents, encompassing difficulties with cognitive functioning, adverse attitudes and treatment from others, and strained relationships. These experiences are consistent with existing literature, which emphasizes the profound challenges that adolescents with ADHD face in various domains of their lives (Barkley, 2015; Hinshaw, 2020).</w:t>
      </w:r>
    </w:p>
    <w:p w14:paraId="30F3AF11" w14:textId="77777777" w:rsidR="00926D25" w:rsidRDefault="00926D25" w:rsidP="0034737E">
      <w:pPr>
        <w:spacing w:line="360" w:lineRule="auto"/>
        <w:rPr>
          <w:rFonts w:asciiTheme="majorBidi" w:hAnsiTheme="majorBidi" w:cstheme="majorBidi"/>
          <w:b/>
          <w:bCs/>
          <w:sz w:val="24"/>
          <w:szCs w:val="24"/>
        </w:rPr>
      </w:pPr>
    </w:p>
    <w:p w14:paraId="0428D3FF" w14:textId="478722B3" w:rsidR="00B8499C" w:rsidRPr="00B8499C" w:rsidRDefault="00B8499C" w:rsidP="0034737E">
      <w:pPr>
        <w:spacing w:line="360" w:lineRule="auto"/>
        <w:rPr>
          <w:rFonts w:asciiTheme="majorBidi" w:hAnsiTheme="majorBidi" w:cstheme="majorBidi"/>
          <w:sz w:val="24"/>
          <w:szCs w:val="24"/>
        </w:rPr>
      </w:pPr>
      <w:r w:rsidRPr="00B8499C">
        <w:rPr>
          <w:rFonts w:asciiTheme="majorBidi" w:hAnsiTheme="majorBidi" w:cstheme="majorBidi"/>
          <w:sz w:val="24"/>
          <w:szCs w:val="24"/>
        </w:rPr>
        <w:t>The cognitive struggles described by participants, particularly with executive functioning—such as inattentiveness, forgetfulness, poor memory, and difficulties with motivation—are in line with previous research. Adolescents with ADHD often experience deficits in working memory, impulse control, and sustained attention (Willcutt et al., 2012), which can lead to frustration and a diminished sense of autonomy. The feeling of having little control over these symptoms, echoes findings from Evans et al. (2021), who noted that adolescents with ADHD frequently internali</w:t>
      </w:r>
      <w:r w:rsidR="0035618B">
        <w:rPr>
          <w:rFonts w:asciiTheme="majorBidi" w:hAnsiTheme="majorBidi" w:cstheme="majorBidi"/>
          <w:sz w:val="24"/>
          <w:szCs w:val="24"/>
        </w:rPr>
        <w:t>s</w:t>
      </w:r>
      <w:r w:rsidRPr="00B8499C">
        <w:rPr>
          <w:rFonts w:asciiTheme="majorBidi" w:hAnsiTheme="majorBidi" w:cstheme="majorBidi"/>
          <w:sz w:val="24"/>
          <w:szCs w:val="24"/>
        </w:rPr>
        <w:t xml:space="preserve">e blame for </w:t>
      </w:r>
      <w:r w:rsidR="0035618B" w:rsidRPr="00B8499C">
        <w:rPr>
          <w:rFonts w:asciiTheme="majorBidi" w:hAnsiTheme="majorBidi" w:cstheme="majorBidi"/>
          <w:sz w:val="24"/>
          <w:szCs w:val="24"/>
        </w:rPr>
        <w:t>behaviours</w:t>
      </w:r>
      <w:r w:rsidRPr="00B8499C">
        <w:rPr>
          <w:rFonts w:asciiTheme="majorBidi" w:hAnsiTheme="majorBidi" w:cstheme="majorBidi"/>
          <w:sz w:val="24"/>
          <w:szCs w:val="24"/>
        </w:rPr>
        <w:t xml:space="preserve"> they cannot control, contributing to feelings of inadequacy and helplessness.</w:t>
      </w:r>
    </w:p>
    <w:p w14:paraId="2D5994EF" w14:textId="15316C26" w:rsidR="00B8499C" w:rsidRPr="00B8499C" w:rsidRDefault="00B8499C" w:rsidP="0034737E">
      <w:pPr>
        <w:spacing w:line="360" w:lineRule="auto"/>
        <w:rPr>
          <w:rFonts w:asciiTheme="majorBidi" w:hAnsiTheme="majorBidi" w:cstheme="majorBidi"/>
          <w:sz w:val="24"/>
          <w:szCs w:val="24"/>
        </w:rPr>
      </w:pPr>
      <w:r w:rsidRPr="00B8499C">
        <w:rPr>
          <w:rFonts w:asciiTheme="majorBidi" w:hAnsiTheme="majorBidi" w:cstheme="majorBidi"/>
          <w:sz w:val="24"/>
          <w:szCs w:val="24"/>
        </w:rPr>
        <w:lastRenderedPageBreak/>
        <w:t>Pharmacological treatment, while often effective in alleviating some symptoms, was not perceived as sufficiently mitigating these challenges</w:t>
      </w:r>
      <w:r w:rsidR="00571336">
        <w:rPr>
          <w:rFonts w:asciiTheme="majorBidi" w:hAnsiTheme="majorBidi" w:cstheme="majorBidi"/>
          <w:sz w:val="24"/>
          <w:szCs w:val="24"/>
        </w:rPr>
        <w:t xml:space="preserve">. </w:t>
      </w:r>
      <w:r w:rsidRPr="00B8499C">
        <w:rPr>
          <w:rFonts w:asciiTheme="majorBidi" w:hAnsiTheme="majorBidi" w:cstheme="majorBidi"/>
          <w:sz w:val="24"/>
          <w:szCs w:val="24"/>
        </w:rPr>
        <w:t>This aligns with research by Swanson et al. (2017), who emphasi</w:t>
      </w:r>
      <w:r w:rsidR="00571336">
        <w:rPr>
          <w:rFonts w:asciiTheme="majorBidi" w:hAnsiTheme="majorBidi" w:cstheme="majorBidi"/>
          <w:sz w:val="24"/>
          <w:szCs w:val="24"/>
        </w:rPr>
        <w:t>s</w:t>
      </w:r>
      <w:r w:rsidRPr="00B8499C">
        <w:rPr>
          <w:rFonts w:asciiTheme="majorBidi" w:hAnsiTheme="majorBidi" w:cstheme="majorBidi"/>
          <w:sz w:val="24"/>
          <w:szCs w:val="24"/>
        </w:rPr>
        <w:t>e that while medication can reduce hyperactivity and improve attention, it may not address the emotional and social difficulties associated with ADHD, highlighting the need for more comprehensive treatment approaches that integrate psychosocial support.</w:t>
      </w:r>
    </w:p>
    <w:p w14:paraId="64523B2B" w14:textId="77777777" w:rsidR="00571336" w:rsidRDefault="00571336" w:rsidP="0034737E">
      <w:pPr>
        <w:spacing w:line="360" w:lineRule="auto"/>
        <w:rPr>
          <w:rFonts w:asciiTheme="majorBidi" w:hAnsiTheme="majorBidi" w:cstheme="majorBidi"/>
          <w:b/>
          <w:bCs/>
          <w:sz w:val="24"/>
          <w:szCs w:val="24"/>
        </w:rPr>
      </w:pPr>
    </w:p>
    <w:p w14:paraId="5166B382" w14:textId="37C4C505" w:rsidR="00B8499C" w:rsidRPr="00B8499C" w:rsidRDefault="00B8499C" w:rsidP="00685A31">
      <w:pPr>
        <w:spacing w:line="360" w:lineRule="auto"/>
        <w:rPr>
          <w:rFonts w:asciiTheme="majorBidi" w:hAnsiTheme="majorBidi" w:cstheme="majorBidi"/>
          <w:sz w:val="24"/>
          <w:szCs w:val="24"/>
        </w:rPr>
      </w:pPr>
      <w:r w:rsidRPr="00B8499C">
        <w:rPr>
          <w:rFonts w:asciiTheme="majorBidi" w:hAnsiTheme="majorBidi" w:cstheme="majorBidi"/>
          <w:sz w:val="24"/>
          <w:szCs w:val="24"/>
        </w:rPr>
        <w:t>Adolescents in this study expressed experiencing negative attitudes and treatment from parents, peers, siblings, and teachers, often stemming from a lack of understanding about ADHD and its impact. This corresponds with research by Mikami et al. (2010), which highlights how the stigma surrounding ADHD contributes to negative peer perceptions and social rejection. The frustration of being misunderstood</w:t>
      </w:r>
      <w:r w:rsidR="00685A31">
        <w:rPr>
          <w:rFonts w:asciiTheme="majorBidi" w:hAnsiTheme="majorBidi" w:cstheme="majorBidi"/>
          <w:sz w:val="24"/>
          <w:szCs w:val="24"/>
        </w:rPr>
        <w:t xml:space="preserve"> </w:t>
      </w:r>
      <w:r w:rsidRPr="00B8499C">
        <w:rPr>
          <w:rFonts w:asciiTheme="majorBidi" w:hAnsiTheme="majorBidi" w:cstheme="majorBidi"/>
          <w:sz w:val="24"/>
          <w:szCs w:val="24"/>
        </w:rPr>
        <w:t>points to the misconception that ADHD-related challenges are a matter of choice or effort rather than neurological differences.</w:t>
      </w:r>
      <w:r w:rsidR="00685A31">
        <w:rPr>
          <w:rFonts w:asciiTheme="majorBidi" w:hAnsiTheme="majorBidi" w:cstheme="majorBidi"/>
          <w:sz w:val="24"/>
          <w:szCs w:val="24"/>
        </w:rPr>
        <w:t xml:space="preserve"> </w:t>
      </w:r>
      <w:r w:rsidRPr="00B8499C">
        <w:rPr>
          <w:rFonts w:asciiTheme="majorBidi" w:hAnsiTheme="majorBidi" w:cstheme="majorBidi"/>
          <w:sz w:val="24"/>
          <w:szCs w:val="24"/>
        </w:rPr>
        <w:t>Furthermore, the internalization of negative attitudes towards ADHD</w:t>
      </w:r>
      <w:r w:rsidR="00685A31">
        <w:rPr>
          <w:rFonts w:asciiTheme="majorBidi" w:hAnsiTheme="majorBidi" w:cstheme="majorBidi"/>
          <w:sz w:val="24"/>
          <w:szCs w:val="24"/>
        </w:rPr>
        <w:t xml:space="preserve"> </w:t>
      </w:r>
      <w:r w:rsidRPr="00B8499C">
        <w:rPr>
          <w:rFonts w:asciiTheme="majorBidi" w:hAnsiTheme="majorBidi" w:cstheme="majorBidi"/>
          <w:sz w:val="24"/>
          <w:szCs w:val="24"/>
        </w:rPr>
        <w:t xml:space="preserve">reflects self-stigma and internalized ableism, which has been documented in research by </w:t>
      </w:r>
      <w:proofErr w:type="spellStart"/>
      <w:r w:rsidRPr="00B8499C">
        <w:rPr>
          <w:rFonts w:asciiTheme="majorBidi" w:hAnsiTheme="majorBidi" w:cstheme="majorBidi"/>
          <w:sz w:val="24"/>
          <w:szCs w:val="24"/>
        </w:rPr>
        <w:t>Kooij</w:t>
      </w:r>
      <w:proofErr w:type="spellEnd"/>
      <w:r w:rsidRPr="00B8499C">
        <w:rPr>
          <w:rFonts w:asciiTheme="majorBidi" w:hAnsiTheme="majorBidi" w:cstheme="majorBidi"/>
          <w:sz w:val="24"/>
          <w:szCs w:val="24"/>
        </w:rPr>
        <w:t xml:space="preserve"> et al. (2019). Adolescents who experience repeated criticism and misunderstanding often develop low self-esteem and feelings of inadequacy, which can hinder their academic performance and social development. The negative attitudes of teachers, as reported by participants, exacerbate these difficulties. Studies by Moore et al. (2020) found that punitive responses from educators, such as shouting or public reprimands, further marginalize students with ADHD and contribute to negative self-perceptions.</w:t>
      </w:r>
    </w:p>
    <w:p w14:paraId="76CFFCF3" w14:textId="77777777" w:rsidR="00A853D4" w:rsidRDefault="00A853D4" w:rsidP="00A853D4">
      <w:pPr>
        <w:spacing w:line="360" w:lineRule="auto"/>
        <w:rPr>
          <w:rFonts w:asciiTheme="majorBidi" w:hAnsiTheme="majorBidi" w:cstheme="majorBidi"/>
          <w:b/>
          <w:bCs/>
          <w:sz w:val="24"/>
          <w:szCs w:val="24"/>
        </w:rPr>
      </w:pPr>
    </w:p>
    <w:p w14:paraId="70557010" w14:textId="15F8C7FA" w:rsidR="00701224" w:rsidRDefault="00A853D4" w:rsidP="00476627">
      <w:pPr>
        <w:spacing w:line="360" w:lineRule="auto"/>
        <w:rPr>
          <w:rFonts w:asciiTheme="majorBidi" w:hAnsiTheme="majorBidi" w:cstheme="majorBidi"/>
          <w:sz w:val="24"/>
          <w:szCs w:val="24"/>
        </w:rPr>
      </w:pPr>
      <w:r w:rsidRPr="00A853D4">
        <w:rPr>
          <w:rFonts w:asciiTheme="majorBidi" w:hAnsiTheme="majorBidi" w:cstheme="majorBidi"/>
          <w:sz w:val="24"/>
          <w:szCs w:val="24"/>
        </w:rPr>
        <w:t xml:space="preserve">While the focus group findings provide valuable insights into the experiences of adolescents living with ADHD, several </w:t>
      </w:r>
      <w:r w:rsidRPr="001045F0">
        <w:rPr>
          <w:rFonts w:asciiTheme="majorBidi" w:hAnsiTheme="majorBidi" w:cstheme="majorBidi"/>
          <w:b/>
          <w:bCs/>
          <w:sz w:val="24"/>
          <w:szCs w:val="24"/>
        </w:rPr>
        <w:t>limitations</w:t>
      </w:r>
      <w:r w:rsidRPr="00A853D4">
        <w:rPr>
          <w:rFonts w:asciiTheme="majorBidi" w:hAnsiTheme="majorBidi" w:cstheme="majorBidi"/>
          <w:sz w:val="24"/>
          <w:szCs w:val="24"/>
        </w:rPr>
        <w:t xml:space="preserve"> should be acknowledged. First, the sample size was relatively small, which may limit the generali</w:t>
      </w:r>
      <w:r w:rsidR="00F439FC">
        <w:rPr>
          <w:rFonts w:asciiTheme="majorBidi" w:hAnsiTheme="majorBidi" w:cstheme="majorBidi"/>
          <w:sz w:val="24"/>
          <w:szCs w:val="24"/>
        </w:rPr>
        <w:t>s</w:t>
      </w:r>
      <w:r w:rsidRPr="00A853D4">
        <w:rPr>
          <w:rFonts w:asciiTheme="majorBidi" w:hAnsiTheme="majorBidi" w:cstheme="majorBidi"/>
          <w:sz w:val="24"/>
          <w:szCs w:val="24"/>
        </w:rPr>
        <w:t xml:space="preserve">ability of the findings to a broader population of adolescents with ADHD. Additionally, the </w:t>
      </w:r>
      <w:r w:rsidR="00F439FC">
        <w:rPr>
          <w:rFonts w:asciiTheme="majorBidi" w:hAnsiTheme="majorBidi" w:cstheme="majorBidi"/>
          <w:sz w:val="24"/>
          <w:szCs w:val="24"/>
        </w:rPr>
        <w:t>participant’s</w:t>
      </w:r>
      <w:r w:rsidRPr="00A853D4">
        <w:rPr>
          <w:rFonts w:asciiTheme="majorBidi" w:hAnsiTheme="majorBidi" w:cstheme="majorBidi"/>
          <w:sz w:val="24"/>
          <w:szCs w:val="24"/>
        </w:rPr>
        <w:t xml:space="preserve"> willingness to share their experiences may have been influenced by social desirability bias, where they expressed views they believed were expected rather than their genuine feelings. Furthermore, the findings primarily capture subjective perceptions, which, while important, may not fully reflect objective measures of ADHD-related difficulties. Lastly, the demographic diversity of the sample (e.g., gender, socioeconomic status, and cultural background) was not extensively explored, potentially limiting the applicability of the findings across different contexts. Future research could address these limitations by incorporating larger, more diverse samples </w:t>
      </w:r>
      <w:r w:rsidRPr="00A853D4">
        <w:rPr>
          <w:rFonts w:asciiTheme="majorBidi" w:hAnsiTheme="majorBidi" w:cstheme="majorBidi"/>
          <w:sz w:val="24"/>
          <w:szCs w:val="24"/>
        </w:rPr>
        <w:lastRenderedPageBreak/>
        <w:t>and employing mixed-method approaches to gain a more comprehensive understanding of adolescents’ experiences with ADHD.</w:t>
      </w:r>
    </w:p>
    <w:p w14:paraId="2DA0447E" w14:textId="77777777" w:rsidR="00A853D4" w:rsidRPr="00A853D4" w:rsidRDefault="00A853D4" w:rsidP="00A853D4">
      <w:pPr>
        <w:spacing w:line="360" w:lineRule="auto"/>
        <w:rPr>
          <w:rFonts w:asciiTheme="majorBidi" w:hAnsiTheme="majorBidi" w:cstheme="majorBidi"/>
          <w:sz w:val="24"/>
          <w:szCs w:val="24"/>
        </w:rPr>
      </w:pPr>
    </w:p>
    <w:p w14:paraId="64AD0C07" w14:textId="792A8C4D" w:rsidR="00B8499C" w:rsidRPr="00B8499C" w:rsidRDefault="00B8499C" w:rsidP="003A7374">
      <w:pPr>
        <w:spacing w:line="360" w:lineRule="auto"/>
        <w:rPr>
          <w:rFonts w:asciiTheme="majorBidi" w:hAnsiTheme="majorBidi" w:cstheme="majorBidi"/>
          <w:sz w:val="24"/>
          <w:szCs w:val="24"/>
        </w:rPr>
      </w:pPr>
      <w:r w:rsidRPr="00B8499C">
        <w:rPr>
          <w:rFonts w:asciiTheme="majorBidi" w:hAnsiTheme="majorBidi" w:cstheme="majorBidi"/>
          <w:sz w:val="24"/>
          <w:szCs w:val="24"/>
        </w:rPr>
        <w:t xml:space="preserve">The findings of this study underscore </w:t>
      </w:r>
      <w:r w:rsidR="00D4553F">
        <w:rPr>
          <w:rFonts w:asciiTheme="majorBidi" w:hAnsiTheme="majorBidi" w:cstheme="majorBidi"/>
          <w:sz w:val="24"/>
          <w:szCs w:val="24"/>
        </w:rPr>
        <w:t xml:space="preserve">a number of </w:t>
      </w:r>
      <w:r w:rsidR="00D4553F" w:rsidRPr="00A853D4">
        <w:rPr>
          <w:rFonts w:asciiTheme="majorBidi" w:hAnsiTheme="majorBidi" w:cstheme="majorBidi"/>
          <w:b/>
          <w:bCs/>
          <w:sz w:val="24"/>
          <w:szCs w:val="24"/>
        </w:rPr>
        <w:t>implications for policy and practice</w:t>
      </w:r>
      <w:r w:rsidR="00D4553F">
        <w:rPr>
          <w:rFonts w:asciiTheme="majorBidi" w:hAnsiTheme="majorBidi" w:cstheme="majorBidi"/>
          <w:sz w:val="24"/>
          <w:szCs w:val="24"/>
        </w:rPr>
        <w:t xml:space="preserve"> and </w:t>
      </w:r>
      <w:r w:rsidRPr="00B8499C">
        <w:rPr>
          <w:rFonts w:asciiTheme="majorBidi" w:hAnsiTheme="majorBidi" w:cstheme="majorBidi"/>
          <w:sz w:val="24"/>
          <w:szCs w:val="24"/>
        </w:rPr>
        <w:t xml:space="preserve">the critical need for increased awareness and understanding of ADHD among educators, parents, and peers to create a more supportive environment for adolescents. Professional development programs that equip teachers with strategies to manage ADHD-related </w:t>
      </w:r>
      <w:r w:rsidR="003A7374" w:rsidRPr="00B8499C">
        <w:rPr>
          <w:rFonts w:asciiTheme="majorBidi" w:hAnsiTheme="majorBidi" w:cstheme="majorBidi"/>
          <w:sz w:val="24"/>
          <w:szCs w:val="24"/>
        </w:rPr>
        <w:t>behaviours</w:t>
      </w:r>
      <w:r w:rsidRPr="00B8499C">
        <w:rPr>
          <w:rFonts w:asciiTheme="majorBidi" w:hAnsiTheme="majorBidi" w:cstheme="majorBidi"/>
          <w:sz w:val="24"/>
          <w:szCs w:val="24"/>
        </w:rPr>
        <w:t xml:space="preserve"> with empathy and patience could reduce the negative attitudes that adolescents encounter in educational settings. Research suggests that implementing inclusive practices, such as </w:t>
      </w:r>
      <w:r w:rsidR="003A7374" w:rsidRPr="00B8499C">
        <w:rPr>
          <w:rFonts w:asciiTheme="majorBidi" w:hAnsiTheme="majorBidi" w:cstheme="majorBidi"/>
          <w:sz w:val="24"/>
          <w:szCs w:val="24"/>
        </w:rPr>
        <w:t>individualised</w:t>
      </w:r>
      <w:r w:rsidRPr="00B8499C">
        <w:rPr>
          <w:rFonts w:asciiTheme="majorBidi" w:hAnsiTheme="majorBidi" w:cstheme="majorBidi"/>
          <w:sz w:val="24"/>
          <w:szCs w:val="24"/>
        </w:rPr>
        <w:t xml:space="preserve"> education plans (IEPs) and classroom accommodations, can improve academic outcomes and emotional well-being for students with ADHD (Sibley et al., 2014).</w:t>
      </w:r>
      <w:r w:rsidR="003A7374">
        <w:rPr>
          <w:rFonts w:asciiTheme="majorBidi" w:hAnsiTheme="majorBidi" w:cstheme="majorBidi"/>
          <w:sz w:val="24"/>
          <w:szCs w:val="24"/>
        </w:rPr>
        <w:t xml:space="preserve"> </w:t>
      </w:r>
      <w:r w:rsidRPr="00B8499C">
        <w:rPr>
          <w:rFonts w:asciiTheme="majorBidi" w:hAnsiTheme="majorBidi" w:cstheme="majorBidi"/>
          <w:sz w:val="24"/>
          <w:szCs w:val="24"/>
        </w:rPr>
        <w:t xml:space="preserve">Additionally, psychoeducation for families could foster more supportive home environments by increasing understanding of ADHD-related challenges and equipping parents with tools to manage emotional and </w:t>
      </w:r>
      <w:r w:rsidR="003A7374">
        <w:rPr>
          <w:rFonts w:asciiTheme="majorBidi" w:hAnsiTheme="majorBidi" w:cstheme="majorBidi"/>
          <w:sz w:val="24"/>
          <w:szCs w:val="24"/>
        </w:rPr>
        <w:t>behavioural</w:t>
      </w:r>
      <w:r w:rsidRPr="00B8499C">
        <w:rPr>
          <w:rFonts w:asciiTheme="majorBidi" w:hAnsiTheme="majorBidi" w:cstheme="majorBidi"/>
          <w:sz w:val="24"/>
          <w:szCs w:val="24"/>
        </w:rPr>
        <w:t xml:space="preserve"> responses more effectively (DuPaul &amp; Kern, 2011). Peer education programs could also help reduce stigma and promote greater acceptance and empathy within social circles.</w:t>
      </w:r>
    </w:p>
    <w:p w14:paraId="0E3578B9" w14:textId="77777777" w:rsidR="00701224" w:rsidRDefault="00701224" w:rsidP="0034737E">
      <w:pPr>
        <w:spacing w:line="360" w:lineRule="auto"/>
        <w:rPr>
          <w:rFonts w:asciiTheme="majorBidi" w:hAnsiTheme="majorBidi" w:cstheme="majorBidi"/>
          <w:sz w:val="24"/>
          <w:szCs w:val="24"/>
        </w:rPr>
      </w:pPr>
    </w:p>
    <w:p w14:paraId="30187449" w14:textId="27ECF220" w:rsidR="00B8499C" w:rsidRPr="00B8499C" w:rsidRDefault="00B8499C" w:rsidP="00701224">
      <w:pPr>
        <w:spacing w:line="360" w:lineRule="auto"/>
        <w:rPr>
          <w:rFonts w:asciiTheme="majorBidi" w:hAnsiTheme="majorBidi" w:cstheme="majorBidi"/>
          <w:sz w:val="24"/>
          <w:szCs w:val="24"/>
        </w:rPr>
      </w:pPr>
      <w:r w:rsidRPr="00B8499C">
        <w:rPr>
          <w:rFonts w:asciiTheme="majorBidi" w:hAnsiTheme="majorBidi" w:cstheme="majorBidi"/>
          <w:b/>
          <w:bCs/>
          <w:sz w:val="24"/>
          <w:szCs w:val="24"/>
        </w:rPr>
        <w:t>Future research</w:t>
      </w:r>
      <w:r w:rsidRPr="00B8499C">
        <w:rPr>
          <w:rFonts w:asciiTheme="majorBidi" w:hAnsiTheme="majorBidi" w:cstheme="majorBidi"/>
          <w:sz w:val="24"/>
          <w:szCs w:val="24"/>
        </w:rPr>
        <w:t xml:space="preserve"> should explore interventions that address the emotional and social dimensions of living with ADHD, beyond pharmacological treatment. Studies examining the effectiveness of social skills training, cognitive-</w:t>
      </w:r>
      <w:r w:rsidR="00701224" w:rsidRPr="00B8499C">
        <w:rPr>
          <w:rFonts w:asciiTheme="majorBidi" w:hAnsiTheme="majorBidi" w:cstheme="majorBidi"/>
          <w:sz w:val="24"/>
          <w:szCs w:val="24"/>
        </w:rPr>
        <w:t>behavioural</w:t>
      </w:r>
      <w:r w:rsidRPr="00B8499C">
        <w:rPr>
          <w:rFonts w:asciiTheme="majorBidi" w:hAnsiTheme="majorBidi" w:cstheme="majorBidi"/>
          <w:sz w:val="24"/>
          <w:szCs w:val="24"/>
        </w:rPr>
        <w:t xml:space="preserve"> therapy (CBT), and mindfulness-based interventions in enhancing adolescents’ emotional regulation and resilience could provide valuable insights.</w:t>
      </w:r>
      <w:r w:rsidR="00701224">
        <w:rPr>
          <w:rFonts w:asciiTheme="majorBidi" w:hAnsiTheme="majorBidi" w:cstheme="majorBidi"/>
          <w:sz w:val="24"/>
          <w:szCs w:val="24"/>
        </w:rPr>
        <w:t xml:space="preserve"> </w:t>
      </w:r>
      <w:r w:rsidRPr="00B8499C">
        <w:rPr>
          <w:rFonts w:asciiTheme="majorBidi" w:hAnsiTheme="majorBidi" w:cstheme="majorBidi"/>
          <w:sz w:val="24"/>
          <w:szCs w:val="24"/>
        </w:rPr>
        <w:t>Moreover, longitudinal research investigating the long-term effects of negative attitudes and misinterpretations on adolescents with ADHD could deepen our understanding of the impact on their mental health and academic trajectories. Exploring how intersectional factors, such as gender, socioeconomic status, and cultural background, influence the lived experiences of adolescents with ADHD would also contribute to a more nuanced understanding of the disorder’s diverse impacts.</w:t>
      </w:r>
    </w:p>
    <w:p w14:paraId="629D3237" w14:textId="77777777" w:rsidR="00701224" w:rsidRDefault="00701224" w:rsidP="0034737E">
      <w:pPr>
        <w:spacing w:line="360" w:lineRule="auto"/>
        <w:rPr>
          <w:rFonts w:asciiTheme="majorBidi" w:hAnsiTheme="majorBidi" w:cstheme="majorBidi"/>
          <w:b/>
          <w:bCs/>
          <w:sz w:val="24"/>
          <w:szCs w:val="24"/>
        </w:rPr>
      </w:pPr>
    </w:p>
    <w:p w14:paraId="3531E96A" w14:textId="48118161" w:rsidR="00B8499C" w:rsidRPr="00B8499C" w:rsidRDefault="00B8499C" w:rsidP="0034737E">
      <w:pPr>
        <w:spacing w:line="360" w:lineRule="auto"/>
        <w:rPr>
          <w:rFonts w:asciiTheme="majorBidi" w:hAnsiTheme="majorBidi" w:cstheme="majorBidi"/>
          <w:b/>
          <w:bCs/>
          <w:sz w:val="24"/>
          <w:szCs w:val="24"/>
        </w:rPr>
      </w:pPr>
      <w:r w:rsidRPr="00B8499C">
        <w:rPr>
          <w:rFonts w:asciiTheme="majorBidi" w:hAnsiTheme="majorBidi" w:cstheme="majorBidi"/>
          <w:b/>
          <w:bCs/>
          <w:sz w:val="24"/>
          <w:szCs w:val="24"/>
        </w:rPr>
        <w:t>Conclusion</w:t>
      </w:r>
    </w:p>
    <w:p w14:paraId="56D459A1" w14:textId="77777777" w:rsidR="00B8499C" w:rsidRPr="00B8499C" w:rsidRDefault="00B8499C" w:rsidP="0034737E">
      <w:pPr>
        <w:spacing w:line="360" w:lineRule="auto"/>
        <w:rPr>
          <w:rFonts w:asciiTheme="majorBidi" w:hAnsiTheme="majorBidi" w:cstheme="majorBidi"/>
          <w:sz w:val="24"/>
          <w:szCs w:val="24"/>
        </w:rPr>
      </w:pPr>
      <w:r w:rsidRPr="00B8499C">
        <w:rPr>
          <w:rFonts w:asciiTheme="majorBidi" w:hAnsiTheme="majorBidi" w:cstheme="majorBidi"/>
          <w:sz w:val="24"/>
          <w:szCs w:val="24"/>
        </w:rPr>
        <w:t xml:space="preserve">Adolescents with ADHD face multifaceted challenges that affect their cognitive functioning, social interactions, and self-esteem. Negative attitudes from others and a lack of understanding about ADHD exacerbate these challenges, leading to feelings of frustration, rejection, and diminished self-worth. Addressing these issues through increased awareness, </w:t>
      </w:r>
      <w:r w:rsidRPr="00B8499C">
        <w:rPr>
          <w:rFonts w:asciiTheme="majorBidi" w:hAnsiTheme="majorBidi" w:cstheme="majorBidi"/>
          <w:sz w:val="24"/>
          <w:szCs w:val="24"/>
        </w:rPr>
        <w:lastRenderedPageBreak/>
        <w:t>supportive interventions, and future research on psychosocial interventions can create a more inclusive and understanding environment for adolescents living with ADHD.</w:t>
      </w:r>
    </w:p>
    <w:p w14:paraId="7CF9CDBA" w14:textId="77777777" w:rsidR="00177E5B" w:rsidRDefault="00177E5B">
      <w:pPr>
        <w:rPr>
          <w:rFonts w:asciiTheme="majorBidi" w:hAnsiTheme="majorBidi" w:cstheme="majorBidi"/>
          <w:sz w:val="24"/>
          <w:szCs w:val="24"/>
        </w:rPr>
      </w:pPr>
    </w:p>
    <w:p w14:paraId="0ACC07EB" w14:textId="05E66921" w:rsidR="00177E5B" w:rsidRPr="00905BB4" w:rsidRDefault="00905BB4">
      <w:pPr>
        <w:rPr>
          <w:rFonts w:asciiTheme="majorBidi" w:hAnsiTheme="majorBidi" w:cstheme="majorBidi"/>
          <w:b/>
          <w:bCs/>
          <w:sz w:val="24"/>
          <w:szCs w:val="24"/>
        </w:rPr>
      </w:pPr>
      <w:r w:rsidRPr="00905BB4">
        <w:rPr>
          <w:rFonts w:asciiTheme="majorBidi" w:hAnsiTheme="majorBidi" w:cstheme="majorBidi"/>
          <w:b/>
          <w:bCs/>
          <w:sz w:val="24"/>
          <w:szCs w:val="24"/>
        </w:rPr>
        <w:t>Appendices</w:t>
      </w:r>
    </w:p>
    <w:p w14:paraId="112DDB6B" w14:textId="165660CB" w:rsidR="001E5B1F" w:rsidRPr="00B07D21" w:rsidRDefault="007B081D">
      <w:pPr>
        <w:rPr>
          <w:rFonts w:asciiTheme="majorBidi" w:hAnsiTheme="majorBidi" w:cstheme="majorBidi"/>
          <w:sz w:val="24"/>
          <w:szCs w:val="24"/>
        </w:rPr>
      </w:pPr>
      <w:r w:rsidRPr="00B07D21">
        <w:rPr>
          <w:rFonts w:asciiTheme="majorBidi" w:hAnsiTheme="majorBidi" w:cstheme="majorBidi"/>
          <w:sz w:val="24"/>
          <w:szCs w:val="24"/>
        </w:rPr>
        <w:t xml:space="preserve">The appendices need to include </w:t>
      </w:r>
    </w:p>
    <w:p w14:paraId="69BEBA05" w14:textId="032A849B" w:rsidR="007D7AE9" w:rsidRPr="00B07D21" w:rsidRDefault="007B081D" w:rsidP="001E5B1F">
      <w:pPr>
        <w:pStyle w:val="ListParagraph"/>
        <w:numPr>
          <w:ilvl w:val="0"/>
          <w:numId w:val="1"/>
        </w:numPr>
        <w:rPr>
          <w:rFonts w:asciiTheme="majorBidi" w:hAnsiTheme="majorBidi" w:cstheme="majorBidi"/>
          <w:sz w:val="24"/>
          <w:szCs w:val="24"/>
        </w:rPr>
      </w:pPr>
      <w:r w:rsidRPr="00B07D21">
        <w:rPr>
          <w:rFonts w:asciiTheme="majorBidi" w:hAnsiTheme="majorBidi" w:cstheme="majorBidi"/>
          <w:sz w:val="24"/>
          <w:szCs w:val="24"/>
        </w:rPr>
        <w:t>your transcripts with notes/ideas on</w:t>
      </w:r>
      <w:r w:rsidR="007D7AE9" w:rsidRPr="00B07D21">
        <w:rPr>
          <w:rFonts w:asciiTheme="majorBidi" w:hAnsiTheme="majorBidi" w:cstheme="majorBidi"/>
          <w:sz w:val="24"/>
          <w:szCs w:val="24"/>
        </w:rPr>
        <w:t xml:space="preserve"> </w:t>
      </w:r>
    </w:p>
    <w:p w14:paraId="3DA799CC" w14:textId="2933376A" w:rsidR="002E1B5E" w:rsidRPr="00B07D21" w:rsidRDefault="00AA2343" w:rsidP="001E5B1F">
      <w:pPr>
        <w:pStyle w:val="ListParagraph"/>
        <w:numPr>
          <w:ilvl w:val="0"/>
          <w:numId w:val="1"/>
        </w:numPr>
        <w:rPr>
          <w:rFonts w:asciiTheme="majorBidi" w:hAnsiTheme="majorBidi" w:cstheme="majorBidi"/>
          <w:sz w:val="24"/>
          <w:szCs w:val="24"/>
        </w:rPr>
      </w:pPr>
      <w:r w:rsidRPr="00B07D21">
        <w:rPr>
          <w:rFonts w:asciiTheme="majorBidi" w:hAnsiTheme="majorBidi" w:cstheme="majorBidi"/>
          <w:sz w:val="24"/>
          <w:szCs w:val="24"/>
        </w:rPr>
        <w:t xml:space="preserve">a list/table of </w:t>
      </w:r>
      <w:r w:rsidR="002E1B5E" w:rsidRPr="00B07D21">
        <w:rPr>
          <w:rFonts w:asciiTheme="majorBidi" w:hAnsiTheme="majorBidi" w:cstheme="majorBidi"/>
          <w:sz w:val="24"/>
          <w:szCs w:val="24"/>
        </w:rPr>
        <w:t>your codes</w:t>
      </w:r>
    </w:p>
    <w:p w14:paraId="678362B0" w14:textId="2C411A8A" w:rsidR="00AA2343" w:rsidRPr="00B07D21" w:rsidRDefault="00AA2343" w:rsidP="001E5B1F">
      <w:pPr>
        <w:pStyle w:val="ListParagraph"/>
        <w:numPr>
          <w:ilvl w:val="0"/>
          <w:numId w:val="1"/>
        </w:numPr>
        <w:rPr>
          <w:rFonts w:asciiTheme="majorBidi" w:hAnsiTheme="majorBidi" w:cstheme="majorBidi"/>
          <w:sz w:val="24"/>
          <w:szCs w:val="24"/>
        </w:rPr>
      </w:pPr>
      <w:r w:rsidRPr="00B07D21">
        <w:rPr>
          <w:rFonts w:asciiTheme="majorBidi" w:hAnsiTheme="majorBidi" w:cstheme="majorBidi"/>
          <w:sz w:val="24"/>
          <w:szCs w:val="24"/>
        </w:rPr>
        <w:t xml:space="preserve">a list/table of </w:t>
      </w:r>
      <w:r w:rsidR="008A4A74" w:rsidRPr="00B07D21">
        <w:rPr>
          <w:rFonts w:asciiTheme="majorBidi" w:hAnsiTheme="majorBidi" w:cstheme="majorBidi"/>
          <w:sz w:val="24"/>
          <w:szCs w:val="24"/>
        </w:rPr>
        <w:t xml:space="preserve">how your codes fit into </w:t>
      </w:r>
      <w:r w:rsidRPr="00B07D21">
        <w:rPr>
          <w:rFonts w:asciiTheme="majorBidi" w:hAnsiTheme="majorBidi" w:cstheme="majorBidi"/>
          <w:sz w:val="24"/>
          <w:szCs w:val="24"/>
        </w:rPr>
        <w:t>themes</w:t>
      </w:r>
      <w:r w:rsidR="008A4A74" w:rsidRPr="00B07D21">
        <w:rPr>
          <w:rFonts w:asciiTheme="majorBidi" w:hAnsiTheme="majorBidi" w:cstheme="majorBidi"/>
          <w:sz w:val="24"/>
          <w:szCs w:val="24"/>
        </w:rPr>
        <w:t xml:space="preserve">/subthemes </w:t>
      </w:r>
    </w:p>
    <w:p w14:paraId="34002845" w14:textId="58A3EF68" w:rsidR="008A4A74" w:rsidRPr="00B07D21" w:rsidRDefault="008A4A74" w:rsidP="001E5B1F">
      <w:pPr>
        <w:pStyle w:val="ListParagraph"/>
        <w:numPr>
          <w:ilvl w:val="0"/>
          <w:numId w:val="1"/>
        </w:numPr>
        <w:rPr>
          <w:rFonts w:asciiTheme="majorBidi" w:hAnsiTheme="majorBidi" w:cstheme="majorBidi"/>
          <w:sz w:val="24"/>
          <w:szCs w:val="24"/>
        </w:rPr>
      </w:pPr>
      <w:r w:rsidRPr="00B07D21">
        <w:rPr>
          <w:rFonts w:asciiTheme="majorBidi" w:hAnsiTheme="majorBidi" w:cstheme="majorBidi"/>
          <w:sz w:val="24"/>
          <w:szCs w:val="24"/>
        </w:rPr>
        <w:t>a list/table of final themes/subthemes</w:t>
      </w:r>
    </w:p>
    <w:p w14:paraId="3CB9F33E" w14:textId="77777777" w:rsidR="007D7AE9" w:rsidRPr="00B07D21" w:rsidRDefault="007D7AE9">
      <w:pPr>
        <w:rPr>
          <w:rFonts w:asciiTheme="majorBidi" w:hAnsiTheme="majorBidi" w:cstheme="majorBidi"/>
          <w:sz w:val="24"/>
          <w:szCs w:val="24"/>
        </w:rPr>
      </w:pPr>
    </w:p>
    <w:p w14:paraId="46024FC0" w14:textId="77777777" w:rsidR="001B09A9" w:rsidRPr="00B07D21" w:rsidRDefault="001B09A9">
      <w:pPr>
        <w:rPr>
          <w:rFonts w:asciiTheme="majorBidi" w:hAnsiTheme="majorBidi" w:cstheme="majorBidi"/>
          <w:sz w:val="24"/>
          <w:szCs w:val="24"/>
        </w:rPr>
      </w:pPr>
    </w:p>
    <w:p w14:paraId="4DE1F6C7" w14:textId="77777777" w:rsidR="00476627" w:rsidRPr="00476627" w:rsidRDefault="00476627" w:rsidP="001B09A9">
      <w:pPr>
        <w:spacing w:before="100" w:beforeAutospacing="1" w:after="100" w:afterAutospacing="1"/>
        <w:rPr>
          <w:rFonts w:asciiTheme="majorBidi" w:hAnsiTheme="majorBidi" w:cstheme="majorBidi"/>
          <w:b/>
          <w:bCs/>
          <w:sz w:val="24"/>
          <w:szCs w:val="24"/>
        </w:rPr>
      </w:pPr>
      <w:r w:rsidRPr="00476627">
        <w:rPr>
          <w:rFonts w:asciiTheme="majorBidi" w:hAnsiTheme="majorBidi" w:cstheme="majorBidi"/>
          <w:b/>
          <w:bCs/>
          <w:sz w:val="24"/>
          <w:szCs w:val="24"/>
        </w:rPr>
        <w:t xml:space="preserve">Reading for the report </w:t>
      </w:r>
    </w:p>
    <w:p w14:paraId="3DF82639" w14:textId="5D562BFA" w:rsidR="001B09A9" w:rsidRPr="008F3385" w:rsidRDefault="001B09A9" w:rsidP="001B09A9">
      <w:pPr>
        <w:spacing w:before="100" w:beforeAutospacing="1" w:after="100" w:afterAutospacing="1"/>
        <w:rPr>
          <w:rFonts w:asciiTheme="majorBidi" w:hAnsiTheme="majorBidi" w:cstheme="majorBidi"/>
          <w:sz w:val="24"/>
          <w:szCs w:val="24"/>
        </w:rPr>
      </w:pPr>
      <w:r w:rsidRPr="008F3385">
        <w:rPr>
          <w:rFonts w:asciiTheme="majorBidi" w:hAnsiTheme="majorBidi" w:cstheme="majorBidi"/>
          <w:sz w:val="24"/>
          <w:szCs w:val="24"/>
        </w:rPr>
        <w:t xml:space="preserve">McCrae, R. R., &amp; Costa, P. T. (2008). </w:t>
      </w:r>
      <w:r w:rsidRPr="008F3385">
        <w:rPr>
          <w:rFonts w:asciiTheme="majorBidi" w:hAnsiTheme="majorBidi" w:cstheme="majorBidi"/>
          <w:i/>
          <w:iCs/>
          <w:sz w:val="24"/>
          <w:szCs w:val="24"/>
        </w:rPr>
        <w:t>The five-factor theory of personality</w:t>
      </w:r>
      <w:r w:rsidRPr="008F3385">
        <w:rPr>
          <w:rFonts w:asciiTheme="majorBidi" w:hAnsiTheme="majorBidi" w:cstheme="majorBidi"/>
          <w:sz w:val="24"/>
          <w:szCs w:val="24"/>
        </w:rPr>
        <w:t>. In O. P. John, R. W. Robins, &amp; L. A. Pervin (Eds.), Handbook of personality: Theory and research (3rd ed., pp. 159–181). Guilford Press.</w:t>
      </w:r>
    </w:p>
    <w:p w14:paraId="73DF4008" w14:textId="77777777" w:rsidR="001B09A9" w:rsidRPr="00B07D21" w:rsidRDefault="001B09A9" w:rsidP="001B09A9">
      <w:pPr>
        <w:spacing w:before="100" w:beforeAutospacing="1" w:after="100" w:afterAutospacing="1"/>
        <w:rPr>
          <w:rFonts w:asciiTheme="majorBidi" w:hAnsiTheme="majorBidi" w:cstheme="majorBidi"/>
          <w:sz w:val="24"/>
          <w:szCs w:val="24"/>
        </w:rPr>
      </w:pPr>
      <w:r w:rsidRPr="00B07D21">
        <w:rPr>
          <w:rFonts w:asciiTheme="majorBidi" w:hAnsiTheme="majorBidi" w:cstheme="majorBidi"/>
          <w:sz w:val="24"/>
          <w:szCs w:val="24"/>
        </w:rPr>
        <w:t xml:space="preserve">Afshar, H., </w:t>
      </w:r>
      <w:proofErr w:type="spellStart"/>
      <w:r w:rsidRPr="00B07D21">
        <w:rPr>
          <w:rFonts w:asciiTheme="majorBidi" w:hAnsiTheme="majorBidi" w:cstheme="majorBidi"/>
          <w:sz w:val="24"/>
          <w:szCs w:val="24"/>
        </w:rPr>
        <w:t>Roohafza</w:t>
      </w:r>
      <w:proofErr w:type="spellEnd"/>
      <w:r w:rsidRPr="00B07D21">
        <w:rPr>
          <w:rFonts w:asciiTheme="majorBidi" w:hAnsiTheme="majorBidi" w:cstheme="majorBidi"/>
          <w:sz w:val="24"/>
          <w:szCs w:val="24"/>
        </w:rPr>
        <w:t xml:space="preserve">, H. R., </w:t>
      </w:r>
      <w:proofErr w:type="spellStart"/>
      <w:r w:rsidRPr="00B07D21">
        <w:rPr>
          <w:rFonts w:asciiTheme="majorBidi" w:hAnsiTheme="majorBidi" w:cstheme="majorBidi"/>
          <w:sz w:val="24"/>
          <w:szCs w:val="24"/>
        </w:rPr>
        <w:t>Keshteli</w:t>
      </w:r>
      <w:proofErr w:type="spellEnd"/>
      <w:r w:rsidRPr="00B07D21">
        <w:rPr>
          <w:rFonts w:asciiTheme="majorBidi" w:hAnsiTheme="majorBidi" w:cstheme="majorBidi"/>
          <w:sz w:val="24"/>
          <w:szCs w:val="24"/>
        </w:rPr>
        <w:t>, A. H., Mazaheri, M., Feizi, A., &amp; Adibi, P. (2015). The association of personality traits and coping styles according to stress level. Journal of research in medical sciences, 20(4), 353-358.</w:t>
      </w:r>
    </w:p>
    <w:p w14:paraId="56A85F40" w14:textId="77777777" w:rsidR="001B09A9" w:rsidRPr="008F3385" w:rsidRDefault="001B09A9" w:rsidP="001B09A9">
      <w:pPr>
        <w:spacing w:before="100" w:beforeAutospacing="1" w:after="100" w:afterAutospacing="1"/>
        <w:rPr>
          <w:rFonts w:asciiTheme="majorBidi" w:hAnsiTheme="majorBidi" w:cstheme="majorBidi"/>
          <w:sz w:val="24"/>
          <w:szCs w:val="24"/>
        </w:rPr>
      </w:pPr>
      <w:r w:rsidRPr="008F3385">
        <w:rPr>
          <w:rFonts w:asciiTheme="majorBidi" w:hAnsiTheme="majorBidi" w:cstheme="majorBidi"/>
          <w:sz w:val="24"/>
          <w:szCs w:val="24"/>
        </w:rPr>
        <w:t xml:space="preserve">Barrick, M. R., &amp; Mount, M. K. (1991). The Big Five personality dimensions and job performance: A meta-analysis. </w:t>
      </w:r>
      <w:r w:rsidRPr="008F3385">
        <w:rPr>
          <w:rFonts w:asciiTheme="majorBidi" w:hAnsiTheme="majorBidi" w:cstheme="majorBidi"/>
          <w:i/>
          <w:iCs/>
          <w:sz w:val="24"/>
          <w:szCs w:val="24"/>
        </w:rPr>
        <w:t>Personnel Psychology</w:t>
      </w:r>
      <w:r w:rsidRPr="008F3385">
        <w:rPr>
          <w:rFonts w:asciiTheme="majorBidi" w:hAnsiTheme="majorBidi" w:cstheme="majorBidi"/>
          <w:sz w:val="24"/>
          <w:szCs w:val="24"/>
        </w:rPr>
        <w:t xml:space="preserve">, 44(1), 1–26. </w:t>
      </w:r>
    </w:p>
    <w:p w14:paraId="145B0D45" w14:textId="77777777" w:rsidR="001B09A9" w:rsidRPr="001C36BE" w:rsidRDefault="001B09A9" w:rsidP="001B09A9">
      <w:pPr>
        <w:spacing w:before="100" w:beforeAutospacing="1" w:after="100" w:afterAutospacing="1"/>
        <w:rPr>
          <w:rFonts w:asciiTheme="majorBidi" w:hAnsiTheme="majorBidi" w:cstheme="majorBidi"/>
          <w:sz w:val="24"/>
          <w:szCs w:val="24"/>
        </w:rPr>
      </w:pPr>
      <w:r w:rsidRPr="008F3385">
        <w:rPr>
          <w:rFonts w:asciiTheme="majorBidi" w:hAnsiTheme="majorBidi" w:cstheme="majorBidi"/>
          <w:sz w:val="24"/>
          <w:szCs w:val="24"/>
        </w:rPr>
        <w:t xml:space="preserve">Carver, C. S., &amp; Connor-Smith, J. (2010). Personality and coping. </w:t>
      </w:r>
      <w:r w:rsidRPr="008F3385">
        <w:rPr>
          <w:rFonts w:asciiTheme="majorBidi" w:hAnsiTheme="majorBidi" w:cstheme="majorBidi"/>
          <w:i/>
          <w:iCs/>
          <w:sz w:val="24"/>
          <w:szCs w:val="24"/>
        </w:rPr>
        <w:t>Annual Review of Psychology</w:t>
      </w:r>
      <w:r w:rsidRPr="008F3385">
        <w:rPr>
          <w:rFonts w:asciiTheme="majorBidi" w:hAnsiTheme="majorBidi" w:cstheme="majorBidi"/>
          <w:sz w:val="24"/>
          <w:szCs w:val="24"/>
        </w:rPr>
        <w:t xml:space="preserve">, 61, 679–704. </w:t>
      </w:r>
    </w:p>
    <w:p w14:paraId="0418BC94" w14:textId="77777777" w:rsidR="001B09A9" w:rsidRPr="008F3385" w:rsidRDefault="001B09A9" w:rsidP="001B09A9">
      <w:pPr>
        <w:spacing w:before="100" w:beforeAutospacing="1" w:after="100" w:afterAutospacing="1"/>
        <w:rPr>
          <w:rFonts w:asciiTheme="majorBidi" w:hAnsiTheme="majorBidi" w:cstheme="majorBidi"/>
          <w:sz w:val="24"/>
          <w:szCs w:val="24"/>
        </w:rPr>
      </w:pPr>
      <w:r w:rsidRPr="008F3385">
        <w:rPr>
          <w:rFonts w:asciiTheme="majorBidi" w:hAnsiTheme="majorBidi" w:cstheme="majorBidi"/>
          <w:sz w:val="24"/>
          <w:szCs w:val="24"/>
        </w:rPr>
        <w:t xml:space="preserve">Ashton, M. C., &amp; Lee, K. (2007). Empirical, theoretical, and practical advantages of the HEXACO model of personality structure. </w:t>
      </w:r>
      <w:r w:rsidRPr="008F3385">
        <w:rPr>
          <w:rFonts w:asciiTheme="majorBidi" w:hAnsiTheme="majorBidi" w:cstheme="majorBidi"/>
          <w:i/>
          <w:iCs/>
          <w:sz w:val="24"/>
          <w:szCs w:val="24"/>
        </w:rPr>
        <w:t>Personality and Social Psychology Review</w:t>
      </w:r>
      <w:r w:rsidRPr="008F3385">
        <w:rPr>
          <w:rFonts w:asciiTheme="majorBidi" w:hAnsiTheme="majorBidi" w:cstheme="majorBidi"/>
          <w:sz w:val="24"/>
          <w:szCs w:val="24"/>
        </w:rPr>
        <w:t xml:space="preserve">, 11(2), 150–166. </w:t>
      </w:r>
    </w:p>
    <w:p w14:paraId="44072932" w14:textId="77777777" w:rsidR="001B09A9" w:rsidRPr="008F3385" w:rsidRDefault="001B09A9" w:rsidP="001B09A9">
      <w:pPr>
        <w:spacing w:before="100" w:beforeAutospacing="1" w:after="100" w:afterAutospacing="1"/>
        <w:rPr>
          <w:rFonts w:asciiTheme="majorBidi" w:hAnsiTheme="majorBidi" w:cstheme="majorBidi"/>
          <w:sz w:val="24"/>
          <w:szCs w:val="24"/>
        </w:rPr>
      </w:pPr>
      <w:r w:rsidRPr="008F3385">
        <w:rPr>
          <w:rFonts w:asciiTheme="majorBidi" w:hAnsiTheme="majorBidi" w:cstheme="majorBidi"/>
          <w:sz w:val="24"/>
          <w:szCs w:val="24"/>
        </w:rPr>
        <w:t xml:space="preserve">Roberts, B. W., &amp; Jackson, J. J. (2008). </w:t>
      </w:r>
      <w:proofErr w:type="spellStart"/>
      <w:r w:rsidRPr="008F3385">
        <w:rPr>
          <w:rFonts w:asciiTheme="majorBidi" w:hAnsiTheme="majorBidi" w:cstheme="majorBidi"/>
          <w:sz w:val="24"/>
          <w:szCs w:val="24"/>
        </w:rPr>
        <w:t>Sociogenomic</w:t>
      </w:r>
      <w:proofErr w:type="spellEnd"/>
      <w:r w:rsidRPr="008F3385">
        <w:rPr>
          <w:rFonts w:asciiTheme="majorBidi" w:hAnsiTheme="majorBidi" w:cstheme="majorBidi"/>
          <w:sz w:val="24"/>
          <w:szCs w:val="24"/>
        </w:rPr>
        <w:t xml:space="preserve"> personality psychology. </w:t>
      </w:r>
      <w:r w:rsidRPr="008F3385">
        <w:rPr>
          <w:rFonts w:asciiTheme="majorBidi" w:hAnsiTheme="majorBidi" w:cstheme="majorBidi"/>
          <w:i/>
          <w:iCs/>
          <w:sz w:val="24"/>
          <w:szCs w:val="24"/>
        </w:rPr>
        <w:t>Journal of Personality</w:t>
      </w:r>
      <w:r w:rsidRPr="008F3385">
        <w:rPr>
          <w:rFonts w:asciiTheme="majorBidi" w:hAnsiTheme="majorBidi" w:cstheme="majorBidi"/>
          <w:sz w:val="24"/>
          <w:szCs w:val="24"/>
        </w:rPr>
        <w:t xml:space="preserve">, 76(6), 1525–1540. </w:t>
      </w:r>
    </w:p>
    <w:p w14:paraId="61C43C2D" w14:textId="77777777" w:rsidR="001B09A9" w:rsidRPr="008F3385" w:rsidRDefault="001B09A9" w:rsidP="001B09A9">
      <w:pPr>
        <w:spacing w:before="100" w:beforeAutospacing="1" w:after="100" w:afterAutospacing="1"/>
        <w:rPr>
          <w:rFonts w:asciiTheme="majorBidi" w:hAnsiTheme="majorBidi" w:cstheme="majorBidi"/>
          <w:sz w:val="24"/>
          <w:szCs w:val="24"/>
        </w:rPr>
      </w:pPr>
      <w:r w:rsidRPr="008F3385">
        <w:rPr>
          <w:rFonts w:asciiTheme="majorBidi" w:hAnsiTheme="majorBidi" w:cstheme="majorBidi"/>
          <w:sz w:val="24"/>
          <w:szCs w:val="24"/>
        </w:rPr>
        <w:t xml:space="preserve">DeYoung, C. G. (2010). Personality neuroscience and the biology of traits. </w:t>
      </w:r>
      <w:r w:rsidRPr="008F3385">
        <w:rPr>
          <w:rFonts w:asciiTheme="majorBidi" w:hAnsiTheme="majorBidi" w:cstheme="majorBidi"/>
          <w:i/>
          <w:iCs/>
          <w:sz w:val="24"/>
          <w:szCs w:val="24"/>
        </w:rPr>
        <w:t>Social and Personality Psychology Compass</w:t>
      </w:r>
      <w:r w:rsidRPr="008F3385">
        <w:rPr>
          <w:rFonts w:asciiTheme="majorBidi" w:hAnsiTheme="majorBidi" w:cstheme="majorBidi"/>
          <w:sz w:val="24"/>
          <w:szCs w:val="24"/>
        </w:rPr>
        <w:t xml:space="preserve">, 4(12), 1165–1180. </w:t>
      </w:r>
    </w:p>
    <w:p w14:paraId="40458275" w14:textId="77777777" w:rsidR="001B09A9" w:rsidRPr="001C36BE" w:rsidRDefault="001B09A9" w:rsidP="001B09A9">
      <w:pPr>
        <w:spacing w:before="100" w:beforeAutospacing="1" w:after="100" w:afterAutospacing="1"/>
        <w:rPr>
          <w:rFonts w:asciiTheme="majorBidi" w:hAnsiTheme="majorBidi" w:cstheme="majorBidi"/>
          <w:sz w:val="24"/>
          <w:szCs w:val="24"/>
        </w:rPr>
      </w:pPr>
      <w:r w:rsidRPr="008F3385">
        <w:rPr>
          <w:rFonts w:asciiTheme="majorBidi" w:hAnsiTheme="majorBidi" w:cstheme="majorBidi"/>
          <w:sz w:val="24"/>
          <w:szCs w:val="24"/>
        </w:rPr>
        <w:t xml:space="preserve">Roberts, B. W., Walton, K. E., &amp; </w:t>
      </w:r>
      <w:proofErr w:type="spellStart"/>
      <w:r w:rsidRPr="008F3385">
        <w:rPr>
          <w:rFonts w:asciiTheme="majorBidi" w:hAnsiTheme="majorBidi" w:cstheme="majorBidi"/>
          <w:sz w:val="24"/>
          <w:szCs w:val="24"/>
        </w:rPr>
        <w:t>Viechtbauer</w:t>
      </w:r>
      <w:proofErr w:type="spellEnd"/>
      <w:r w:rsidRPr="008F3385">
        <w:rPr>
          <w:rFonts w:asciiTheme="majorBidi" w:hAnsiTheme="majorBidi" w:cstheme="majorBidi"/>
          <w:sz w:val="24"/>
          <w:szCs w:val="24"/>
        </w:rPr>
        <w:t xml:space="preserve">, W. (2006). Patterns of mean-level change in personality traits across the life course: A meta-analysis of longitudinal studies. </w:t>
      </w:r>
      <w:r w:rsidRPr="008F3385">
        <w:rPr>
          <w:rFonts w:asciiTheme="majorBidi" w:hAnsiTheme="majorBidi" w:cstheme="majorBidi"/>
          <w:i/>
          <w:iCs/>
          <w:sz w:val="24"/>
          <w:szCs w:val="24"/>
        </w:rPr>
        <w:t>Psychological Bulletin</w:t>
      </w:r>
      <w:r w:rsidRPr="008F3385">
        <w:rPr>
          <w:rFonts w:asciiTheme="majorBidi" w:hAnsiTheme="majorBidi" w:cstheme="majorBidi"/>
          <w:sz w:val="24"/>
          <w:szCs w:val="24"/>
        </w:rPr>
        <w:t xml:space="preserve">, 132(1), 1–25. </w:t>
      </w:r>
    </w:p>
    <w:p w14:paraId="45AAA2DD" w14:textId="77777777" w:rsidR="001B09A9" w:rsidRPr="001C36BE" w:rsidRDefault="001B09A9" w:rsidP="001B09A9">
      <w:pPr>
        <w:spacing w:before="100" w:beforeAutospacing="1" w:after="100" w:afterAutospacing="1"/>
        <w:rPr>
          <w:rFonts w:asciiTheme="majorBidi" w:hAnsiTheme="majorBidi" w:cstheme="majorBidi"/>
          <w:sz w:val="24"/>
          <w:szCs w:val="24"/>
        </w:rPr>
      </w:pPr>
      <w:r w:rsidRPr="008F3385">
        <w:rPr>
          <w:rFonts w:asciiTheme="majorBidi" w:hAnsiTheme="majorBidi" w:cstheme="majorBidi"/>
          <w:sz w:val="24"/>
          <w:szCs w:val="24"/>
        </w:rPr>
        <w:t>Li, Y. (2023). The impact of personality traits on work performance. In </w:t>
      </w:r>
      <w:r w:rsidRPr="008F3385">
        <w:rPr>
          <w:rFonts w:asciiTheme="majorBidi" w:hAnsiTheme="majorBidi" w:cstheme="majorBidi"/>
          <w:i/>
          <w:iCs/>
          <w:sz w:val="24"/>
          <w:szCs w:val="24"/>
        </w:rPr>
        <w:t>SHS Web of Conferences</w:t>
      </w:r>
      <w:r w:rsidRPr="008F3385">
        <w:rPr>
          <w:rFonts w:asciiTheme="majorBidi" w:hAnsiTheme="majorBidi" w:cstheme="majorBidi"/>
          <w:sz w:val="24"/>
          <w:szCs w:val="24"/>
        </w:rPr>
        <w:t> (Vol. 180, p. 03018). EDP Sciences.</w:t>
      </w:r>
    </w:p>
    <w:p w14:paraId="3E36C264" w14:textId="77777777" w:rsidR="001B09A9" w:rsidRPr="001C36BE" w:rsidRDefault="001B09A9" w:rsidP="001B09A9">
      <w:pPr>
        <w:spacing w:before="100" w:beforeAutospacing="1" w:after="100" w:afterAutospacing="1"/>
        <w:rPr>
          <w:rFonts w:asciiTheme="majorBidi" w:hAnsiTheme="majorBidi" w:cstheme="majorBidi"/>
          <w:sz w:val="24"/>
          <w:szCs w:val="24"/>
        </w:rPr>
      </w:pPr>
      <w:r w:rsidRPr="001C36BE">
        <w:rPr>
          <w:rFonts w:asciiTheme="majorBidi" w:hAnsiTheme="majorBidi" w:cstheme="majorBidi"/>
          <w:sz w:val="24"/>
          <w:szCs w:val="24"/>
        </w:rPr>
        <w:t>Zimmerman, R. D. (2008). Understanding the impact of personality traits on individuals’ turnover decisions: A meta-analytic path model. </w:t>
      </w:r>
      <w:r w:rsidRPr="001C36BE">
        <w:rPr>
          <w:rFonts w:asciiTheme="majorBidi" w:hAnsiTheme="majorBidi" w:cstheme="majorBidi"/>
          <w:i/>
          <w:iCs/>
          <w:sz w:val="24"/>
          <w:szCs w:val="24"/>
        </w:rPr>
        <w:t>Personnel Psychology, 61</w:t>
      </w:r>
      <w:r w:rsidRPr="001C36BE">
        <w:rPr>
          <w:rFonts w:asciiTheme="majorBidi" w:hAnsiTheme="majorBidi" w:cstheme="majorBidi"/>
          <w:sz w:val="24"/>
          <w:szCs w:val="24"/>
        </w:rPr>
        <w:t>, 309–348.</w:t>
      </w:r>
    </w:p>
    <w:p w14:paraId="55CC4274" w14:textId="77777777" w:rsidR="001B09A9" w:rsidRPr="008F3385" w:rsidRDefault="001B09A9" w:rsidP="001B09A9">
      <w:pPr>
        <w:spacing w:before="100" w:beforeAutospacing="1" w:after="100" w:afterAutospacing="1"/>
        <w:rPr>
          <w:rFonts w:asciiTheme="majorBidi" w:hAnsiTheme="majorBidi" w:cstheme="majorBidi"/>
          <w:sz w:val="24"/>
          <w:szCs w:val="24"/>
        </w:rPr>
      </w:pPr>
      <w:proofErr w:type="spellStart"/>
      <w:r w:rsidRPr="001C36BE">
        <w:rPr>
          <w:rFonts w:asciiTheme="majorBidi" w:hAnsiTheme="majorBidi" w:cstheme="majorBidi"/>
          <w:sz w:val="24"/>
          <w:szCs w:val="24"/>
        </w:rPr>
        <w:lastRenderedPageBreak/>
        <w:t>Menidjel</w:t>
      </w:r>
      <w:proofErr w:type="spellEnd"/>
      <w:r w:rsidRPr="001C36BE">
        <w:rPr>
          <w:rFonts w:asciiTheme="majorBidi" w:hAnsiTheme="majorBidi" w:cstheme="majorBidi"/>
          <w:sz w:val="24"/>
          <w:szCs w:val="24"/>
        </w:rPr>
        <w:t xml:space="preserve">, C., </w:t>
      </w:r>
      <w:proofErr w:type="spellStart"/>
      <w:r w:rsidRPr="001C36BE">
        <w:rPr>
          <w:rFonts w:asciiTheme="majorBidi" w:hAnsiTheme="majorBidi" w:cstheme="majorBidi"/>
          <w:sz w:val="24"/>
          <w:szCs w:val="24"/>
        </w:rPr>
        <w:t>Bilgihan</w:t>
      </w:r>
      <w:proofErr w:type="spellEnd"/>
      <w:r w:rsidRPr="001C36BE">
        <w:rPr>
          <w:rFonts w:asciiTheme="majorBidi" w:hAnsiTheme="majorBidi" w:cstheme="majorBidi"/>
          <w:sz w:val="24"/>
          <w:szCs w:val="24"/>
        </w:rPr>
        <w:t xml:space="preserve">, A., &amp; </w:t>
      </w:r>
      <w:proofErr w:type="spellStart"/>
      <w:r w:rsidRPr="001C36BE">
        <w:rPr>
          <w:rFonts w:asciiTheme="majorBidi" w:hAnsiTheme="majorBidi" w:cstheme="majorBidi"/>
          <w:sz w:val="24"/>
          <w:szCs w:val="24"/>
        </w:rPr>
        <w:t>Benhabib</w:t>
      </w:r>
      <w:proofErr w:type="spellEnd"/>
      <w:r w:rsidRPr="001C36BE">
        <w:rPr>
          <w:rFonts w:asciiTheme="majorBidi" w:hAnsiTheme="majorBidi" w:cstheme="majorBidi"/>
          <w:sz w:val="24"/>
          <w:szCs w:val="24"/>
        </w:rPr>
        <w:t>, A. (2021). Exploring the impact of personality traits on perceived relationship investment, relationship quality, and loyalty in the retail industry. The International Review of Retail, Distribution and Consumer Research, 31(1), 106-129.</w:t>
      </w:r>
    </w:p>
    <w:p w14:paraId="181E4AF6" w14:textId="77777777" w:rsidR="001B09A9" w:rsidRPr="001C36BE" w:rsidRDefault="001B09A9" w:rsidP="001B09A9">
      <w:pPr>
        <w:spacing w:before="100" w:beforeAutospacing="1" w:after="100" w:afterAutospacing="1"/>
        <w:rPr>
          <w:rFonts w:asciiTheme="majorBidi" w:hAnsiTheme="majorBidi" w:cstheme="majorBidi"/>
          <w:sz w:val="24"/>
          <w:szCs w:val="24"/>
        </w:rPr>
      </w:pPr>
    </w:p>
    <w:p w14:paraId="3681A4CA" w14:textId="77777777" w:rsidR="001B09A9" w:rsidRPr="001C36BE" w:rsidRDefault="001B09A9">
      <w:pPr>
        <w:rPr>
          <w:rFonts w:asciiTheme="majorBidi" w:hAnsiTheme="majorBidi" w:cstheme="majorBidi"/>
          <w:sz w:val="24"/>
          <w:szCs w:val="24"/>
        </w:rPr>
      </w:pPr>
    </w:p>
    <w:p w14:paraId="7BCE2405" w14:textId="77777777" w:rsidR="007D7AE9" w:rsidRPr="001C36BE" w:rsidRDefault="007D7AE9">
      <w:pPr>
        <w:rPr>
          <w:rFonts w:asciiTheme="majorBidi" w:hAnsiTheme="majorBidi" w:cstheme="majorBidi"/>
          <w:sz w:val="24"/>
          <w:szCs w:val="24"/>
        </w:rPr>
      </w:pPr>
    </w:p>
    <w:sectPr w:rsidR="007D7AE9" w:rsidRPr="001C36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3D1D4A"/>
    <w:multiLevelType w:val="hybridMultilevel"/>
    <w:tmpl w:val="C1B01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89949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c2MDExtDA2NTQ3NzZX0lEKTi0uzszPAykwrAUAsSgHoiwAAAA="/>
  </w:docVars>
  <w:rsids>
    <w:rsidRoot w:val="007D7AE9"/>
    <w:rsid w:val="000426C0"/>
    <w:rsid w:val="0006048A"/>
    <w:rsid w:val="000C14E1"/>
    <w:rsid w:val="001045F0"/>
    <w:rsid w:val="00114409"/>
    <w:rsid w:val="001152B1"/>
    <w:rsid w:val="00130C3E"/>
    <w:rsid w:val="00177E5B"/>
    <w:rsid w:val="001B09A9"/>
    <w:rsid w:val="001C36BE"/>
    <w:rsid w:val="001C5ABB"/>
    <w:rsid w:val="001E5B1F"/>
    <w:rsid w:val="002E1B5E"/>
    <w:rsid w:val="0034737E"/>
    <w:rsid w:val="0035618B"/>
    <w:rsid w:val="003A7374"/>
    <w:rsid w:val="003C14BA"/>
    <w:rsid w:val="00403B5F"/>
    <w:rsid w:val="00476627"/>
    <w:rsid w:val="004C1A94"/>
    <w:rsid w:val="00571336"/>
    <w:rsid w:val="00685A31"/>
    <w:rsid w:val="00701224"/>
    <w:rsid w:val="00767717"/>
    <w:rsid w:val="00774D13"/>
    <w:rsid w:val="007933B8"/>
    <w:rsid w:val="007B081D"/>
    <w:rsid w:val="007D7267"/>
    <w:rsid w:val="007D7AE9"/>
    <w:rsid w:val="008A47A2"/>
    <w:rsid w:val="008A4A74"/>
    <w:rsid w:val="00905BB4"/>
    <w:rsid w:val="00926D25"/>
    <w:rsid w:val="00A24015"/>
    <w:rsid w:val="00A853D4"/>
    <w:rsid w:val="00AA2343"/>
    <w:rsid w:val="00AC3725"/>
    <w:rsid w:val="00B07D21"/>
    <w:rsid w:val="00B20647"/>
    <w:rsid w:val="00B8499C"/>
    <w:rsid w:val="00BF7C26"/>
    <w:rsid w:val="00C60C4E"/>
    <w:rsid w:val="00D27AE4"/>
    <w:rsid w:val="00D4553F"/>
    <w:rsid w:val="00D62393"/>
    <w:rsid w:val="00DF3F64"/>
    <w:rsid w:val="00E2140E"/>
    <w:rsid w:val="00E362E9"/>
    <w:rsid w:val="00F439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A3E6E8"/>
  <w15:chartTrackingRefBased/>
  <w15:docId w15:val="{36805E3A-7097-4D53-982F-F9F58AA3D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7AE9"/>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7D7A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7A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7A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7A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7A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7AE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7AE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7AE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7AE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7A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7A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7A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7A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7A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7A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7A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7A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7AE9"/>
    <w:rPr>
      <w:rFonts w:eastAsiaTheme="majorEastAsia" w:cstheme="majorBidi"/>
      <w:color w:val="272727" w:themeColor="text1" w:themeTint="D8"/>
    </w:rPr>
  </w:style>
  <w:style w:type="paragraph" w:styleId="Title">
    <w:name w:val="Title"/>
    <w:basedOn w:val="Normal"/>
    <w:next w:val="Normal"/>
    <w:link w:val="TitleChar"/>
    <w:uiPriority w:val="10"/>
    <w:qFormat/>
    <w:rsid w:val="007D7AE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7A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7A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7A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7AE9"/>
    <w:pPr>
      <w:spacing w:before="160"/>
      <w:jc w:val="center"/>
    </w:pPr>
    <w:rPr>
      <w:i/>
      <w:iCs/>
      <w:color w:val="404040" w:themeColor="text1" w:themeTint="BF"/>
    </w:rPr>
  </w:style>
  <w:style w:type="character" w:customStyle="1" w:styleId="QuoteChar">
    <w:name w:val="Quote Char"/>
    <w:basedOn w:val="DefaultParagraphFont"/>
    <w:link w:val="Quote"/>
    <w:uiPriority w:val="29"/>
    <w:rsid w:val="007D7AE9"/>
    <w:rPr>
      <w:i/>
      <w:iCs/>
      <w:color w:val="404040" w:themeColor="text1" w:themeTint="BF"/>
    </w:rPr>
  </w:style>
  <w:style w:type="paragraph" w:styleId="ListParagraph">
    <w:name w:val="List Paragraph"/>
    <w:basedOn w:val="Normal"/>
    <w:uiPriority w:val="34"/>
    <w:qFormat/>
    <w:rsid w:val="007D7AE9"/>
    <w:pPr>
      <w:ind w:left="720"/>
      <w:contextualSpacing/>
    </w:pPr>
  </w:style>
  <w:style w:type="character" w:styleId="IntenseEmphasis">
    <w:name w:val="Intense Emphasis"/>
    <w:basedOn w:val="DefaultParagraphFont"/>
    <w:uiPriority w:val="21"/>
    <w:qFormat/>
    <w:rsid w:val="007D7AE9"/>
    <w:rPr>
      <w:i/>
      <w:iCs/>
      <w:color w:val="0F4761" w:themeColor="accent1" w:themeShade="BF"/>
    </w:rPr>
  </w:style>
  <w:style w:type="paragraph" w:styleId="IntenseQuote">
    <w:name w:val="Intense Quote"/>
    <w:basedOn w:val="Normal"/>
    <w:next w:val="Normal"/>
    <w:link w:val="IntenseQuoteChar"/>
    <w:uiPriority w:val="30"/>
    <w:qFormat/>
    <w:rsid w:val="007D7A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7AE9"/>
    <w:rPr>
      <w:i/>
      <w:iCs/>
      <w:color w:val="0F4761" w:themeColor="accent1" w:themeShade="BF"/>
    </w:rPr>
  </w:style>
  <w:style w:type="character" w:styleId="IntenseReference">
    <w:name w:val="Intense Reference"/>
    <w:basedOn w:val="DefaultParagraphFont"/>
    <w:uiPriority w:val="32"/>
    <w:qFormat/>
    <w:rsid w:val="007D7AE9"/>
    <w:rPr>
      <w:b/>
      <w:bCs/>
      <w:smallCaps/>
      <w:color w:val="0F4761" w:themeColor="accent1" w:themeShade="BF"/>
      <w:spacing w:val="5"/>
    </w:rPr>
  </w:style>
  <w:style w:type="table" w:styleId="TableGrid">
    <w:name w:val="Table Grid"/>
    <w:basedOn w:val="TableNormal"/>
    <w:uiPriority w:val="39"/>
    <w:rsid w:val="001144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9739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2017</Words>
  <Characters>12206</Characters>
  <Application>Microsoft Office Word</Application>
  <DocSecurity>0</DocSecurity>
  <Lines>305</Lines>
  <Paragraphs>86</Paragraphs>
  <ScaleCrop>false</ScaleCrop>
  <Company/>
  <LinksUpToDate>false</LinksUpToDate>
  <CharactersWithSpaces>14137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Charlotte Greenway</cp:lastModifiedBy>
  <cp:revision>48</cp:revision>
  <dcterms:created xsi:type="dcterms:W3CDTF">2025-03-24T15:40:00Z</dcterms:created>
  <dcterms:modified xsi:type="dcterms:W3CDTF">2025-03-25T07:17:00Z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3d78e1bd-c1e9-4c7e-8c5c-2c26474163cb</vt:lpwstr>
  </property>
</Properties>
</file>