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985A2" w14:textId="77777777" w:rsidR="00242CE8" w:rsidRPr="009E7C57" w:rsidRDefault="00242CE8" w:rsidP="00242CE8">
      <w:pPr>
        <w:rPr>
          <w:rFonts w:cs="Arial"/>
          <w:sz w:val="32"/>
          <w:szCs w:val="32"/>
        </w:rPr>
      </w:pPr>
      <w:r w:rsidRPr="009E7C57">
        <w:rPr>
          <w:rFonts w:cs="Arial"/>
          <w:sz w:val="32"/>
          <w:szCs w:val="32"/>
        </w:rPr>
        <w:t>Qualification: CIPD Diploma in Applied Human Resources</w:t>
      </w:r>
    </w:p>
    <w:p w14:paraId="34A88399" w14:textId="77777777" w:rsidR="00242CE8" w:rsidRPr="009E7C57" w:rsidRDefault="00242CE8" w:rsidP="00242CE8">
      <w:pPr>
        <w:rPr>
          <w:rFonts w:cs="Arial"/>
          <w:sz w:val="32"/>
          <w:szCs w:val="32"/>
        </w:rPr>
      </w:pPr>
    </w:p>
    <w:p w14:paraId="3FCD6637" w14:textId="56073761" w:rsidR="00242CE8" w:rsidRPr="009E7C57" w:rsidRDefault="00242CE8" w:rsidP="00242CE8">
      <w:pPr>
        <w:rPr>
          <w:rFonts w:cs="Arial"/>
          <w:sz w:val="32"/>
          <w:szCs w:val="32"/>
        </w:rPr>
      </w:pPr>
      <w:r w:rsidRPr="009E7C57">
        <w:rPr>
          <w:rFonts w:cs="Arial"/>
          <w:sz w:val="32"/>
          <w:szCs w:val="32"/>
        </w:rPr>
        <w:t xml:space="preserve">Module Name: </w:t>
      </w:r>
      <w:r>
        <w:rPr>
          <w:rFonts w:cs="Arial"/>
          <w:sz w:val="32"/>
          <w:szCs w:val="32"/>
        </w:rPr>
        <w:t>Understanding Employment Law</w:t>
      </w:r>
    </w:p>
    <w:p w14:paraId="45D71975" w14:textId="77777777" w:rsidR="00242CE8" w:rsidRPr="009E7C57" w:rsidRDefault="00242CE8" w:rsidP="00242CE8">
      <w:pPr>
        <w:rPr>
          <w:rFonts w:cs="Arial"/>
          <w:sz w:val="32"/>
          <w:szCs w:val="32"/>
        </w:rPr>
      </w:pPr>
    </w:p>
    <w:p w14:paraId="764A8044" w14:textId="77777777" w:rsidR="00242CE8" w:rsidRPr="009E7C57" w:rsidRDefault="00242CE8" w:rsidP="00242CE8">
      <w:pPr>
        <w:rPr>
          <w:rFonts w:cs="Arial"/>
          <w:sz w:val="32"/>
          <w:szCs w:val="32"/>
        </w:rPr>
      </w:pPr>
    </w:p>
    <w:p w14:paraId="2327A153" w14:textId="77777777" w:rsidR="00242CE8" w:rsidRPr="009E7C57" w:rsidRDefault="00242CE8" w:rsidP="00242CE8">
      <w:pPr>
        <w:rPr>
          <w:rFonts w:cs="Arial"/>
          <w:sz w:val="32"/>
          <w:szCs w:val="32"/>
        </w:rPr>
      </w:pPr>
      <w:r w:rsidRPr="009E7C57">
        <w:rPr>
          <w:rFonts w:cs="Arial"/>
          <w:sz w:val="32"/>
          <w:szCs w:val="32"/>
        </w:rPr>
        <w:t>Student Name: David Harris</w:t>
      </w:r>
    </w:p>
    <w:p w14:paraId="4264A0EE" w14:textId="77777777" w:rsidR="00242CE8" w:rsidRPr="009E7C57" w:rsidRDefault="00242CE8" w:rsidP="00242CE8">
      <w:pPr>
        <w:rPr>
          <w:rFonts w:cs="Arial"/>
          <w:sz w:val="32"/>
          <w:szCs w:val="32"/>
        </w:rPr>
      </w:pPr>
      <w:r w:rsidRPr="009E7C57">
        <w:rPr>
          <w:rFonts w:cs="Arial"/>
          <w:sz w:val="32"/>
          <w:szCs w:val="32"/>
        </w:rPr>
        <w:t>Student Number: 1907534</w:t>
      </w:r>
    </w:p>
    <w:p w14:paraId="297E91A5" w14:textId="77777777" w:rsidR="00242CE8" w:rsidRPr="009E7C57" w:rsidRDefault="00242CE8" w:rsidP="00242CE8">
      <w:pPr>
        <w:rPr>
          <w:rFonts w:cs="Arial"/>
          <w:sz w:val="32"/>
          <w:szCs w:val="32"/>
        </w:rPr>
      </w:pPr>
      <w:r w:rsidRPr="009E7C57">
        <w:rPr>
          <w:rFonts w:cs="Arial"/>
          <w:sz w:val="32"/>
          <w:szCs w:val="32"/>
        </w:rPr>
        <w:t>CIPD Membership Number:55479883</w:t>
      </w:r>
    </w:p>
    <w:p w14:paraId="77A62FD8" w14:textId="77777777" w:rsidR="00242CE8" w:rsidRPr="009E7C57" w:rsidRDefault="00242CE8" w:rsidP="00242CE8">
      <w:pPr>
        <w:rPr>
          <w:rFonts w:cs="Arial"/>
          <w:sz w:val="32"/>
          <w:szCs w:val="32"/>
        </w:rPr>
      </w:pPr>
    </w:p>
    <w:p w14:paraId="3D86678E" w14:textId="77777777" w:rsidR="00242CE8" w:rsidRPr="009E7C57" w:rsidRDefault="00242CE8" w:rsidP="00242CE8">
      <w:pPr>
        <w:rPr>
          <w:rFonts w:cs="Arial"/>
          <w:sz w:val="32"/>
          <w:szCs w:val="32"/>
        </w:rPr>
      </w:pPr>
    </w:p>
    <w:p w14:paraId="683F969D" w14:textId="77777777" w:rsidR="00242CE8" w:rsidRPr="009E7C57" w:rsidRDefault="00242CE8" w:rsidP="00242CE8">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14:paraId="6A81F1AE" w14:textId="77777777" w:rsidR="00242CE8" w:rsidRPr="009E7C57" w:rsidRDefault="00242CE8" w:rsidP="00242CE8">
      <w:pPr>
        <w:rPr>
          <w:rFonts w:cs="Arial"/>
          <w:sz w:val="32"/>
          <w:szCs w:val="32"/>
        </w:rPr>
      </w:pPr>
    </w:p>
    <w:p w14:paraId="16218897" w14:textId="30760929" w:rsidR="00242CE8" w:rsidRPr="009E7C57" w:rsidRDefault="00242CE8" w:rsidP="00242CE8">
      <w:pPr>
        <w:rPr>
          <w:rFonts w:cs="Arial"/>
          <w:sz w:val="32"/>
          <w:szCs w:val="32"/>
        </w:rPr>
      </w:pPr>
      <w:r w:rsidRPr="009E7C57">
        <w:rPr>
          <w:rFonts w:cs="Arial"/>
          <w:sz w:val="32"/>
          <w:szCs w:val="32"/>
        </w:rPr>
        <w:t xml:space="preserve">Signed: </w:t>
      </w:r>
      <w:r w:rsidR="00D9043E">
        <w:rPr>
          <w:noProof/>
          <w:color w:val="1F497D"/>
          <w:lang w:eastAsia="en-GB"/>
        </w:rPr>
        <w:drawing>
          <wp:inline distT="0" distB="0" distL="0" distR="0" wp14:anchorId="3B4A3858" wp14:editId="296068A1">
            <wp:extent cx="866775" cy="629285"/>
            <wp:effectExtent l="0" t="0" r="9525" b="0"/>
            <wp:docPr id="8" name="Picture 8"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866775" cy="629285"/>
                    </a:xfrm>
                    <a:prstGeom prst="rect">
                      <a:avLst/>
                    </a:prstGeom>
                    <a:noFill/>
                    <a:ln>
                      <a:noFill/>
                    </a:ln>
                  </pic:spPr>
                </pic:pic>
              </a:graphicData>
            </a:graphic>
          </wp:inline>
        </w:drawing>
      </w:r>
    </w:p>
    <w:p w14:paraId="7A4529A8" w14:textId="5DF80F1C" w:rsidR="00242CE8" w:rsidRDefault="00242CE8" w:rsidP="00242CE8">
      <w:pPr>
        <w:rPr>
          <w:rFonts w:cs="Arial"/>
          <w:sz w:val="32"/>
          <w:szCs w:val="32"/>
        </w:rPr>
      </w:pPr>
      <w:r w:rsidRPr="009E7C57">
        <w:rPr>
          <w:rFonts w:cs="Arial"/>
          <w:sz w:val="32"/>
          <w:szCs w:val="32"/>
        </w:rPr>
        <w:t xml:space="preserve">Date: </w:t>
      </w:r>
      <w:r w:rsidR="00D9043E">
        <w:rPr>
          <w:rFonts w:cs="Arial"/>
          <w:sz w:val="32"/>
          <w:szCs w:val="32"/>
        </w:rPr>
        <w:t>27/04/2020</w:t>
      </w:r>
    </w:p>
    <w:p w14:paraId="38A267F5" w14:textId="77777777" w:rsidR="00242CE8" w:rsidRDefault="00242CE8" w:rsidP="00242CE8">
      <w:pPr>
        <w:rPr>
          <w:b/>
        </w:rPr>
      </w:pPr>
    </w:p>
    <w:p w14:paraId="4565E54F" w14:textId="77777777" w:rsidR="00242CE8" w:rsidRDefault="00242CE8" w:rsidP="00DE25DC">
      <w:pPr>
        <w:jc w:val="center"/>
        <w:rPr>
          <w:b/>
        </w:rPr>
      </w:pPr>
    </w:p>
    <w:p w14:paraId="319E4209" w14:textId="77777777" w:rsidR="00242CE8" w:rsidRDefault="00242CE8" w:rsidP="00DE25DC">
      <w:pPr>
        <w:jc w:val="center"/>
        <w:rPr>
          <w:b/>
        </w:rPr>
      </w:pPr>
    </w:p>
    <w:p w14:paraId="135D2D24" w14:textId="6CB4FA0A" w:rsidR="00242CE8" w:rsidRDefault="00242CE8" w:rsidP="00DE25DC">
      <w:pPr>
        <w:jc w:val="center"/>
        <w:rPr>
          <w:b/>
        </w:rPr>
      </w:pPr>
    </w:p>
    <w:p w14:paraId="75E94159" w14:textId="107CECF2" w:rsidR="00242CE8" w:rsidRDefault="00242CE8" w:rsidP="00DE25DC">
      <w:pPr>
        <w:jc w:val="center"/>
        <w:rPr>
          <w:b/>
        </w:rPr>
      </w:pPr>
    </w:p>
    <w:p w14:paraId="239AABE6" w14:textId="7FC161EE" w:rsidR="00242CE8" w:rsidRDefault="00242CE8" w:rsidP="00DE25DC">
      <w:pPr>
        <w:jc w:val="center"/>
        <w:rPr>
          <w:b/>
        </w:rPr>
      </w:pPr>
    </w:p>
    <w:p w14:paraId="38D6DD53" w14:textId="25F5885A" w:rsidR="00242CE8" w:rsidRDefault="00242CE8" w:rsidP="00DE25DC">
      <w:pPr>
        <w:jc w:val="center"/>
        <w:rPr>
          <w:b/>
        </w:rPr>
      </w:pPr>
    </w:p>
    <w:p w14:paraId="577CBE4F" w14:textId="679DBFD4" w:rsidR="00242CE8" w:rsidRDefault="00242CE8" w:rsidP="00DE25DC">
      <w:pPr>
        <w:jc w:val="center"/>
        <w:rPr>
          <w:b/>
        </w:rPr>
      </w:pPr>
    </w:p>
    <w:p w14:paraId="29D50DC5" w14:textId="6D7E0BAA" w:rsidR="00242CE8" w:rsidRDefault="00242CE8" w:rsidP="00DE25DC">
      <w:pPr>
        <w:jc w:val="center"/>
        <w:rPr>
          <w:b/>
        </w:rPr>
      </w:pPr>
    </w:p>
    <w:p w14:paraId="17927571" w14:textId="4B0FECF3" w:rsidR="00242CE8" w:rsidRDefault="00242CE8" w:rsidP="00DE25DC">
      <w:pPr>
        <w:jc w:val="center"/>
        <w:rPr>
          <w:b/>
        </w:rPr>
      </w:pPr>
    </w:p>
    <w:p w14:paraId="3D01FEEB" w14:textId="77777777" w:rsidR="009C4048" w:rsidRDefault="009C4048" w:rsidP="00DE25DC">
      <w:pPr>
        <w:jc w:val="center"/>
        <w:rPr>
          <w:b/>
        </w:rPr>
      </w:pPr>
    </w:p>
    <w:p w14:paraId="4D4D104C" w14:textId="1F5823AB" w:rsidR="005510C6" w:rsidRPr="00A36AD4" w:rsidRDefault="00DE25DC" w:rsidP="00DE25DC">
      <w:pPr>
        <w:jc w:val="center"/>
        <w:rPr>
          <w:b/>
        </w:rPr>
      </w:pPr>
      <w:r w:rsidRPr="00A36AD4">
        <w:rPr>
          <w:b/>
        </w:rPr>
        <w:t>Understanding Employment Law</w:t>
      </w:r>
    </w:p>
    <w:p w14:paraId="20771EE9" w14:textId="77777777" w:rsidR="00DE25DC" w:rsidRDefault="00DE25DC" w:rsidP="00DE25DC"/>
    <w:p w14:paraId="14E98852" w14:textId="77777777" w:rsidR="00DE25DC" w:rsidRDefault="00DE25DC" w:rsidP="00DE25DC">
      <w:pPr>
        <w:pStyle w:val="ListParagraph"/>
        <w:numPr>
          <w:ilvl w:val="0"/>
          <w:numId w:val="1"/>
        </w:numPr>
        <w:rPr>
          <w:b/>
          <w:i/>
        </w:rPr>
      </w:pPr>
      <w:r w:rsidRPr="00DE25DC">
        <w:rPr>
          <w:b/>
          <w:i/>
        </w:rPr>
        <w:t>Explain the purpose of employment law and outline the role played by the tribunal and courts system in enforcing employment law.</w:t>
      </w:r>
    </w:p>
    <w:p w14:paraId="5C123299" w14:textId="787262CA" w:rsidR="009B27B4" w:rsidRDefault="007C5523" w:rsidP="00DE25DC">
      <w:pPr>
        <w:rPr>
          <w:bCs/>
          <w:iCs/>
        </w:rPr>
      </w:pPr>
      <w:r>
        <w:rPr>
          <w:bCs/>
          <w:iCs/>
        </w:rPr>
        <w:t xml:space="preserve">Employment law is made up of a series of important Acts of law which </w:t>
      </w:r>
      <w:r w:rsidR="00636771">
        <w:rPr>
          <w:bCs/>
          <w:iCs/>
        </w:rPr>
        <w:t xml:space="preserve">aim to </w:t>
      </w:r>
      <w:r>
        <w:rPr>
          <w:bCs/>
          <w:iCs/>
        </w:rPr>
        <w:t>offer support to employees. These include Acts such as the Employment Relations Act 1996, the Employment Act 2002, the Equality Act 2002 and the Regulatory Reforms Act 2013. These Acts enhance social justice and offer a degree of fairness and support to employees and employers.</w:t>
      </w:r>
      <w:r w:rsidR="003323B7">
        <w:rPr>
          <w:bCs/>
          <w:iCs/>
        </w:rPr>
        <w:t xml:space="preserve"> </w:t>
      </w:r>
      <w:r w:rsidR="00636771">
        <w:rPr>
          <w:bCs/>
          <w:iCs/>
        </w:rPr>
        <w:t>They</w:t>
      </w:r>
      <w:r w:rsidR="003323B7">
        <w:rPr>
          <w:bCs/>
          <w:iCs/>
        </w:rPr>
        <w:t xml:space="preserve"> reduce</w:t>
      </w:r>
      <w:r w:rsidR="00636771">
        <w:rPr>
          <w:bCs/>
          <w:iCs/>
        </w:rPr>
        <w:t xml:space="preserve"> </w:t>
      </w:r>
      <w:r w:rsidR="003323B7">
        <w:rPr>
          <w:bCs/>
          <w:iCs/>
        </w:rPr>
        <w:t xml:space="preserve">discrimination, both direct and indirect and ensure that where there is a need for employers to dismiss a member </w:t>
      </w:r>
      <w:r w:rsidR="009A12CF">
        <w:rPr>
          <w:bCs/>
          <w:iCs/>
        </w:rPr>
        <w:t>o</w:t>
      </w:r>
      <w:r w:rsidR="003323B7">
        <w:rPr>
          <w:bCs/>
          <w:iCs/>
        </w:rPr>
        <w:t>f their staff, that this is done in a consistent and fai</w:t>
      </w:r>
      <w:r w:rsidR="009A12CF">
        <w:rPr>
          <w:bCs/>
          <w:iCs/>
        </w:rPr>
        <w:t>r</w:t>
      </w:r>
      <w:r w:rsidR="003323B7">
        <w:rPr>
          <w:bCs/>
          <w:iCs/>
        </w:rPr>
        <w:t xml:space="preserve"> manner. </w:t>
      </w:r>
      <w:r>
        <w:rPr>
          <w:bCs/>
          <w:iCs/>
        </w:rPr>
        <w:t>It is widely recognised that without these Acts, there is a potential for employers to act unfairly and unfavourably to their employees, due to their considerable power over employees.</w:t>
      </w:r>
      <w:r w:rsidR="00D25438">
        <w:rPr>
          <w:bCs/>
          <w:iCs/>
        </w:rPr>
        <w:t xml:space="preserve"> </w:t>
      </w:r>
      <w:r>
        <w:rPr>
          <w:bCs/>
          <w:iCs/>
        </w:rPr>
        <w:t xml:space="preserve">Employment law covers several different areas including </w:t>
      </w:r>
      <w:r w:rsidR="0080401D">
        <w:rPr>
          <w:bCs/>
          <w:iCs/>
        </w:rPr>
        <w:t>recruitment and promotion, change management, pay and working time a</w:t>
      </w:r>
      <w:r w:rsidR="009A12CF">
        <w:rPr>
          <w:bCs/>
          <w:iCs/>
        </w:rPr>
        <w:t>s</w:t>
      </w:r>
      <w:r w:rsidR="0080401D">
        <w:rPr>
          <w:bCs/>
          <w:iCs/>
        </w:rPr>
        <w:t xml:space="preserve"> well as disciplinary and performance management. </w:t>
      </w:r>
    </w:p>
    <w:p w14:paraId="32E1660C" w14:textId="4002FA55" w:rsidR="00D25438" w:rsidRDefault="009A12CF" w:rsidP="00DE25DC">
      <w:pPr>
        <w:rPr>
          <w:bCs/>
          <w:iCs/>
        </w:rPr>
      </w:pPr>
      <w:r>
        <w:rPr>
          <w:bCs/>
          <w:iCs/>
        </w:rPr>
        <w:t>Employment law</w:t>
      </w:r>
      <w:r w:rsidR="0080401D">
        <w:rPr>
          <w:bCs/>
          <w:iCs/>
        </w:rPr>
        <w:t xml:space="preserve"> Acts are </w:t>
      </w:r>
      <w:r w:rsidR="009B27B4">
        <w:rPr>
          <w:bCs/>
          <w:iCs/>
        </w:rPr>
        <w:t>sources of primary legislation and are considered by members of parliament prior to becoming law</w:t>
      </w:r>
      <w:r w:rsidR="00D25438">
        <w:rPr>
          <w:bCs/>
          <w:iCs/>
        </w:rPr>
        <w:t xml:space="preserve"> and are </w:t>
      </w:r>
      <w:r>
        <w:rPr>
          <w:bCs/>
          <w:iCs/>
        </w:rPr>
        <w:t xml:space="preserve">commonly </w:t>
      </w:r>
      <w:r w:rsidR="00D25438">
        <w:rPr>
          <w:bCs/>
          <w:iCs/>
        </w:rPr>
        <w:t>known as bills</w:t>
      </w:r>
      <w:r w:rsidR="009B27B4">
        <w:rPr>
          <w:bCs/>
          <w:iCs/>
        </w:rPr>
        <w:t xml:space="preserve">. </w:t>
      </w:r>
      <w:r>
        <w:rPr>
          <w:bCs/>
          <w:iCs/>
        </w:rPr>
        <w:t xml:space="preserve">Bills </w:t>
      </w:r>
      <w:r w:rsidR="00D25438">
        <w:rPr>
          <w:bCs/>
          <w:iCs/>
        </w:rPr>
        <w:t xml:space="preserve">pass through several different stages of </w:t>
      </w:r>
      <w:r w:rsidR="00636771">
        <w:rPr>
          <w:bCs/>
          <w:iCs/>
        </w:rPr>
        <w:t>a</w:t>
      </w:r>
      <w:r w:rsidR="00D25438">
        <w:rPr>
          <w:bCs/>
          <w:iCs/>
        </w:rPr>
        <w:t xml:space="preserve"> process, known as readings. This allows Members of Parliament opportunity to make comment</w:t>
      </w:r>
      <w:r w:rsidR="00636771">
        <w:rPr>
          <w:bCs/>
          <w:iCs/>
        </w:rPr>
        <w:t>s</w:t>
      </w:r>
      <w:r w:rsidR="00D25438">
        <w:rPr>
          <w:bCs/>
          <w:iCs/>
        </w:rPr>
        <w:t xml:space="preserve"> on </w:t>
      </w:r>
      <w:r w:rsidR="00636771">
        <w:rPr>
          <w:bCs/>
          <w:iCs/>
        </w:rPr>
        <w:t>a</w:t>
      </w:r>
      <w:r w:rsidR="00D25438">
        <w:rPr>
          <w:bCs/>
          <w:iCs/>
        </w:rPr>
        <w:t xml:space="preserve"> bill. It is</w:t>
      </w:r>
      <w:r>
        <w:rPr>
          <w:bCs/>
          <w:iCs/>
        </w:rPr>
        <w:t xml:space="preserve"> then</w:t>
      </w:r>
      <w:r w:rsidR="00D25438">
        <w:rPr>
          <w:bCs/>
          <w:iCs/>
        </w:rPr>
        <w:t xml:space="preserve"> subject to a full review at committee stage where it is heavily scrutinised prior to being amended before its final appearance in front of the House of Commons.</w:t>
      </w:r>
    </w:p>
    <w:p w14:paraId="68522072" w14:textId="3C8036EB" w:rsidR="003323B7" w:rsidRDefault="0080401D" w:rsidP="00DE25DC">
      <w:pPr>
        <w:rPr>
          <w:bCs/>
          <w:iCs/>
        </w:rPr>
      </w:pPr>
      <w:r>
        <w:rPr>
          <w:bCs/>
          <w:iCs/>
        </w:rPr>
        <w:t>Whilst the above Acts cover most employment law, this is not the case for all. Some laws are common laws. These are where Acts of law are interpreted by judges in court, who make decisions on how to apply a piece of law. This sets a precedent</w:t>
      </w:r>
      <w:r w:rsidR="009A12CF">
        <w:rPr>
          <w:bCs/>
          <w:iCs/>
        </w:rPr>
        <w:t>,</w:t>
      </w:r>
      <w:r>
        <w:rPr>
          <w:bCs/>
          <w:iCs/>
        </w:rPr>
        <w:t xml:space="preserve"> which must then be followed by all lower courts. </w:t>
      </w:r>
      <w:r w:rsidR="003323B7">
        <w:rPr>
          <w:bCs/>
          <w:iCs/>
        </w:rPr>
        <w:t xml:space="preserve">The UK court system </w:t>
      </w:r>
      <w:r w:rsidR="009B27B4">
        <w:rPr>
          <w:bCs/>
          <w:iCs/>
        </w:rPr>
        <w:t xml:space="preserve">is a hierarchical one, with each court element having a higher court and route of appeal. This starts with Employment Tribunals (ETs), then followed by Employment Appeal Tribunals (EATs), then the Court of Appeal and lastly the Supreme Court. </w:t>
      </w:r>
    </w:p>
    <w:p w14:paraId="731EA8C5" w14:textId="5B2DB8F9" w:rsidR="000F5BCD" w:rsidRDefault="000F5BCD" w:rsidP="00DE25DC">
      <w:pPr>
        <w:rPr>
          <w:bCs/>
          <w:iCs/>
        </w:rPr>
      </w:pPr>
      <w:r>
        <w:rPr>
          <w:bCs/>
          <w:iCs/>
        </w:rPr>
        <w:t xml:space="preserve">Any employment law case brought to court will begin in either an Employment Tribunal, County Court or the High Court. Generally, Employment Tribunals will deal with matters where an alleged breach of </w:t>
      </w:r>
      <w:r w:rsidR="00EF78F3">
        <w:rPr>
          <w:bCs/>
          <w:iCs/>
        </w:rPr>
        <w:t>employment statute has occurred, where as any alleged breach of common law will be deal</w:t>
      </w:r>
      <w:r w:rsidR="009A12CF">
        <w:rPr>
          <w:bCs/>
          <w:iCs/>
        </w:rPr>
        <w:t>t</w:t>
      </w:r>
      <w:r w:rsidR="00EF78F3">
        <w:rPr>
          <w:bCs/>
          <w:iCs/>
        </w:rPr>
        <w:t xml:space="preserve"> with by the County Court. Employment tribunals are able to hear cases relating to a large range of matters, with over 80 different types of claims being able to be heard</w:t>
      </w:r>
      <w:r w:rsidR="00B042D9">
        <w:rPr>
          <w:bCs/>
          <w:iCs/>
        </w:rPr>
        <w:t xml:space="preserve"> </w:t>
      </w:r>
      <w:sdt>
        <w:sdtPr>
          <w:rPr>
            <w:bCs/>
            <w:iCs/>
          </w:rPr>
          <w:id w:val="1895155159"/>
          <w:citation/>
        </w:sdtPr>
        <w:sdtEndPr/>
        <w:sdtContent>
          <w:r w:rsidR="00B042D9">
            <w:rPr>
              <w:bCs/>
              <w:iCs/>
            </w:rPr>
            <w:fldChar w:fldCharType="begin"/>
          </w:r>
          <w:r w:rsidR="00B042D9">
            <w:rPr>
              <w:bCs/>
              <w:iCs/>
            </w:rPr>
            <w:instrText xml:space="preserve"> CITATION Ste20 \l 2057 </w:instrText>
          </w:r>
          <w:r w:rsidR="00B042D9">
            <w:rPr>
              <w:bCs/>
              <w:iCs/>
            </w:rPr>
            <w:fldChar w:fldCharType="separate"/>
          </w:r>
          <w:r w:rsidR="00C074C7">
            <w:rPr>
              <w:noProof/>
            </w:rPr>
            <w:t>(Taylor, 2020)</w:t>
          </w:r>
          <w:r w:rsidR="00B042D9">
            <w:rPr>
              <w:bCs/>
              <w:iCs/>
            </w:rPr>
            <w:fldChar w:fldCharType="end"/>
          </w:r>
        </w:sdtContent>
      </w:sdt>
      <w:r w:rsidR="00B042D9">
        <w:rPr>
          <w:bCs/>
          <w:iCs/>
        </w:rPr>
        <w:t xml:space="preserve">. </w:t>
      </w:r>
      <w:r w:rsidR="00EF78F3">
        <w:rPr>
          <w:bCs/>
          <w:iCs/>
        </w:rPr>
        <w:t>These include, but are not limited to:</w:t>
      </w:r>
    </w:p>
    <w:p w14:paraId="3264BC69" w14:textId="262AE751" w:rsidR="00EF78F3" w:rsidRDefault="00EF78F3" w:rsidP="00EF78F3">
      <w:pPr>
        <w:pStyle w:val="ListParagraph"/>
        <w:numPr>
          <w:ilvl w:val="0"/>
          <w:numId w:val="5"/>
        </w:numPr>
        <w:rPr>
          <w:bCs/>
          <w:iCs/>
        </w:rPr>
      </w:pPr>
      <w:r>
        <w:rPr>
          <w:bCs/>
          <w:iCs/>
        </w:rPr>
        <w:t>Unfair dismissal</w:t>
      </w:r>
    </w:p>
    <w:p w14:paraId="56F8DFF2" w14:textId="23583934" w:rsidR="00EF78F3" w:rsidRDefault="00EF78F3" w:rsidP="00EF78F3">
      <w:pPr>
        <w:pStyle w:val="ListParagraph"/>
        <w:numPr>
          <w:ilvl w:val="0"/>
          <w:numId w:val="5"/>
        </w:numPr>
        <w:rPr>
          <w:bCs/>
          <w:iCs/>
        </w:rPr>
      </w:pPr>
      <w:r>
        <w:rPr>
          <w:bCs/>
          <w:iCs/>
        </w:rPr>
        <w:t>Unlawful discrimination</w:t>
      </w:r>
    </w:p>
    <w:p w14:paraId="0A974175" w14:textId="42369657" w:rsidR="00EF78F3" w:rsidRDefault="00EF78F3" w:rsidP="00EF78F3">
      <w:pPr>
        <w:pStyle w:val="ListParagraph"/>
        <w:numPr>
          <w:ilvl w:val="0"/>
          <w:numId w:val="5"/>
        </w:numPr>
        <w:rPr>
          <w:bCs/>
          <w:iCs/>
        </w:rPr>
      </w:pPr>
      <w:r>
        <w:rPr>
          <w:bCs/>
          <w:iCs/>
        </w:rPr>
        <w:t>Unauthorised deductions from salary</w:t>
      </w:r>
    </w:p>
    <w:p w14:paraId="43325275" w14:textId="2EF9886B" w:rsidR="00EF78F3" w:rsidRDefault="00EF78F3" w:rsidP="00EF78F3">
      <w:pPr>
        <w:pStyle w:val="ListParagraph"/>
        <w:numPr>
          <w:ilvl w:val="0"/>
          <w:numId w:val="5"/>
        </w:numPr>
        <w:rPr>
          <w:bCs/>
          <w:iCs/>
        </w:rPr>
      </w:pPr>
      <w:r>
        <w:rPr>
          <w:bCs/>
          <w:iCs/>
        </w:rPr>
        <w:t>Redundancy payments</w:t>
      </w:r>
    </w:p>
    <w:p w14:paraId="35F34AB6" w14:textId="65073213" w:rsidR="00EF78F3" w:rsidRDefault="00EF78F3" w:rsidP="00EF78F3">
      <w:pPr>
        <w:pStyle w:val="ListParagraph"/>
        <w:numPr>
          <w:ilvl w:val="0"/>
          <w:numId w:val="5"/>
        </w:numPr>
        <w:rPr>
          <w:bCs/>
          <w:iCs/>
        </w:rPr>
      </w:pPr>
      <w:r>
        <w:rPr>
          <w:bCs/>
          <w:iCs/>
        </w:rPr>
        <w:t>Working Time Regulations</w:t>
      </w:r>
    </w:p>
    <w:p w14:paraId="6018E249" w14:textId="1279CD13" w:rsidR="00EF78F3" w:rsidRDefault="00EF78F3" w:rsidP="00EF78F3">
      <w:pPr>
        <w:pStyle w:val="ListParagraph"/>
        <w:numPr>
          <w:ilvl w:val="0"/>
          <w:numId w:val="5"/>
        </w:numPr>
        <w:rPr>
          <w:bCs/>
          <w:iCs/>
        </w:rPr>
      </w:pPr>
      <w:r>
        <w:rPr>
          <w:bCs/>
          <w:iCs/>
        </w:rPr>
        <w:t>Equal pay</w:t>
      </w:r>
    </w:p>
    <w:p w14:paraId="3656AC6E" w14:textId="77046D93" w:rsidR="00EF78F3" w:rsidRDefault="00EF78F3" w:rsidP="00EF78F3">
      <w:pPr>
        <w:rPr>
          <w:bCs/>
          <w:iCs/>
        </w:rPr>
      </w:pPr>
      <w:r>
        <w:rPr>
          <w:bCs/>
          <w:iCs/>
        </w:rPr>
        <w:t>Employment tribunals historically have involved a panel of members hearing the claim, consisting of a judge and two independent panel members, however this is now more common to have just a judge overseeing the case.</w:t>
      </w:r>
    </w:p>
    <w:p w14:paraId="7FEC9669" w14:textId="46206CF4" w:rsidR="0071292A" w:rsidRDefault="0071292A" w:rsidP="00EF78F3">
      <w:pPr>
        <w:rPr>
          <w:bCs/>
          <w:iCs/>
        </w:rPr>
      </w:pPr>
      <w:r>
        <w:rPr>
          <w:bCs/>
          <w:iCs/>
        </w:rPr>
        <w:lastRenderedPageBreak/>
        <w:t xml:space="preserve">In most cases anyone wanting to bring a claim against a potential breach of their employment rights has three months to do this from the date of the alleged act. This must be done initially by contacting </w:t>
      </w:r>
      <w:r w:rsidR="009A12CF">
        <w:rPr>
          <w:bCs/>
          <w:iCs/>
        </w:rPr>
        <w:t xml:space="preserve">the </w:t>
      </w:r>
      <w:r>
        <w:rPr>
          <w:bCs/>
          <w:iCs/>
        </w:rPr>
        <w:t>Advisory, Conciliation and Arbitration Service</w:t>
      </w:r>
      <w:r w:rsidR="009A12CF">
        <w:rPr>
          <w:bCs/>
          <w:iCs/>
        </w:rPr>
        <w:t xml:space="preserve"> (ACAS)</w:t>
      </w:r>
      <w:r>
        <w:rPr>
          <w:bCs/>
          <w:iCs/>
        </w:rPr>
        <w:t xml:space="preserve"> to advise them of </w:t>
      </w:r>
      <w:r w:rsidR="009A12CF">
        <w:rPr>
          <w:bCs/>
          <w:iCs/>
        </w:rPr>
        <w:t>the</w:t>
      </w:r>
      <w:r>
        <w:rPr>
          <w:bCs/>
          <w:iCs/>
        </w:rPr>
        <w:t xml:space="preserve"> claim. ACAS will then initiate the process and make contact with the employer to try and reach an out of court settlement. Between 29</w:t>
      </w:r>
      <w:r w:rsidRPr="0071292A">
        <w:rPr>
          <w:bCs/>
          <w:iCs/>
          <w:vertAlign w:val="superscript"/>
        </w:rPr>
        <w:t>th</w:t>
      </w:r>
      <w:r>
        <w:rPr>
          <w:bCs/>
          <w:iCs/>
        </w:rPr>
        <w:t xml:space="preserve"> July 2013 and 26</w:t>
      </w:r>
      <w:r w:rsidRPr="0071292A">
        <w:rPr>
          <w:bCs/>
          <w:iCs/>
          <w:vertAlign w:val="superscript"/>
        </w:rPr>
        <w:t>th</w:t>
      </w:r>
      <w:r>
        <w:rPr>
          <w:bCs/>
          <w:iCs/>
        </w:rPr>
        <w:t xml:space="preserve"> July 2017, a fee of £1,200 would have been payable to bring a claim to an Employment Tribunal, however this was overruled and deemed unlawful after a judicial review was heard at the Supreme Court.  </w:t>
      </w:r>
    </w:p>
    <w:p w14:paraId="3FE7C749" w14:textId="4DCB868A" w:rsidR="0071292A" w:rsidRDefault="0071292A" w:rsidP="00EF78F3">
      <w:pPr>
        <w:rPr>
          <w:bCs/>
          <w:iCs/>
        </w:rPr>
      </w:pPr>
      <w:r>
        <w:rPr>
          <w:bCs/>
          <w:iCs/>
        </w:rPr>
        <w:t>The Employment Tribunal process follows a set process, which is displayed below:</w:t>
      </w:r>
    </w:p>
    <w:p w14:paraId="13F52DE2" w14:textId="643B8CE1" w:rsidR="0071292A" w:rsidRPr="00EF78F3" w:rsidRDefault="0000481A" w:rsidP="00EF78F3">
      <w:pPr>
        <w:rPr>
          <w:bCs/>
          <w:iCs/>
        </w:rPr>
      </w:pPr>
      <w:r>
        <w:rPr>
          <w:bCs/>
          <w:iCs/>
          <w:noProof/>
        </w:rPr>
        <w:drawing>
          <wp:inline distT="0" distB="0" distL="0" distR="0" wp14:anchorId="5B987E23" wp14:editId="6066B429">
            <wp:extent cx="6254115" cy="675861"/>
            <wp:effectExtent l="19050" t="0" r="3238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CBEF20B" w14:textId="5F95E096" w:rsidR="00572B81" w:rsidRDefault="00D33436" w:rsidP="00DE25DC">
      <w:pPr>
        <w:rPr>
          <w:bCs/>
          <w:iCs/>
        </w:rPr>
      </w:pPr>
      <w:r w:rsidRPr="00D33436">
        <w:rPr>
          <w:bCs/>
          <w:iCs/>
        </w:rPr>
        <w:t>Employment</w:t>
      </w:r>
      <w:r>
        <w:rPr>
          <w:bCs/>
          <w:iCs/>
        </w:rPr>
        <w:t xml:space="preserve"> Tribunals are</w:t>
      </w:r>
      <w:r w:rsidR="00636771">
        <w:rPr>
          <w:bCs/>
          <w:iCs/>
        </w:rPr>
        <w:t xml:space="preserve"> currently </w:t>
      </w:r>
      <w:r>
        <w:rPr>
          <w:bCs/>
          <w:iCs/>
        </w:rPr>
        <w:t xml:space="preserve">subject </w:t>
      </w:r>
      <w:r w:rsidR="00636771">
        <w:rPr>
          <w:bCs/>
          <w:iCs/>
        </w:rPr>
        <w:t>of</w:t>
      </w:r>
      <w:r>
        <w:rPr>
          <w:bCs/>
          <w:iCs/>
        </w:rPr>
        <w:t xml:space="preserve"> review and Ministers are considering a change in the process. This would require an amendment to the Employment Tribunals Act 1996, however would see the process become a more digital one. It is also being considered for a widening of their scope, with breach of contract cases also being considered, as well as a reintroduction of a fee system</w:t>
      </w:r>
      <w:sdt>
        <w:sdtPr>
          <w:rPr>
            <w:bCs/>
            <w:iCs/>
          </w:rPr>
          <w:id w:val="-111981733"/>
          <w:citation/>
        </w:sdtPr>
        <w:sdtEndPr/>
        <w:sdtContent>
          <w:r w:rsidR="005E4235">
            <w:rPr>
              <w:bCs/>
              <w:iCs/>
            </w:rPr>
            <w:fldChar w:fldCharType="begin"/>
          </w:r>
          <w:r w:rsidR="005E4235">
            <w:rPr>
              <w:bCs/>
              <w:iCs/>
            </w:rPr>
            <w:instrText xml:space="preserve"> CITATION CIP20 \l 2057 </w:instrText>
          </w:r>
          <w:r w:rsidR="005E4235">
            <w:rPr>
              <w:bCs/>
              <w:iCs/>
            </w:rPr>
            <w:fldChar w:fldCharType="separate"/>
          </w:r>
          <w:r w:rsidR="00C074C7">
            <w:rPr>
              <w:bCs/>
              <w:iCs/>
              <w:noProof/>
            </w:rPr>
            <w:t xml:space="preserve"> </w:t>
          </w:r>
          <w:r w:rsidR="00C074C7">
            <w:rPr>
              <w:noProof/>
            </w:rPr>
            <w:t>(CIPD, 2020)</w:t>
          </w:r>
          <w:r w:rsidR="005E4235">
            <w:rPr>
              <w:bCs/>
              <w:iCs/>
            </w:rPr>
            <w:fldChar w:fldCharType="end"/>
          </w:r>
        </w:sdtContent>
      </w:sdt>
      <w:r w:rsidR="00572B81">
        <w:rPr>
          <w:bCs/>
          <w:iCs/>
        </w:rPr>
        <w:t>.</w:t>
      </w:r>
    </w:p>
    <w:p w14:paraId="62750340" w14:textId="430AD671" w:rsidR="00D33436" w:rsidRDefault="00572B81" w:rsidP="00DE25DC">
      <w:pPr>
        <w:rPr>
          <w:bCs/>
          <w:iCs/>
        </w:rPr>
      </w:pPr>
      <w:r>
        <w:rPr>
          <w:bCs/>
          <w:iCs/>
        </w:rPr>
        <w:t xml:space="preserve">Following the outcome of any Employment Tribunal, there is the option of a review being taken to an Employment Appeals Tribunal (EAT), however this must be done with 42 days of the result of the ET. These are small in number but hugely important as decisions as EAT set a precedent in how the law should be applied in future ETs. </w:t>
      </w:r>
      <w:r w:rsidR="0099504C">
        <w:rPr>
          <w:bCs/>
          <w:iCs/>
        </w:rPr>
        <w:t>These cases</w:t>
      </w:r>
      <w:r>
        <w:rPr>
          <w:bCs/>
          <w:iCs/>
        </w:rPr>
        <w:t xml:space="preserve"> will be heard by a single judge and with a set number of options in terms of outcomes. These are:</w:t>
      </w:r>
    </w:p>
    <w:p w14:paraId="2119DA1E" w14:textId="77777777" w:rsidR="00572B81" w:rsidRPr="00572B81" w:rsidRDefault="00572B81" w:rsidP="00572B81">
      <w:pPr>
        <w:pStyle w:val="ListParagraph"/>
        <w:numPr>
          <w:ilvl w:val="0"/>
          <w:numId w:val="6"/>
        </w:numPr>
        <w:rPr>
          <w:bCs/>
          <w:iCs/>
        </w:rPr>
      </w:pPr>
      <w:r w:rsidRPr="00572B81">
        <w:rPr>
          <w:bCs/>
          <w:iCs/>
        </w:rPr>
        <w:t>the appeal may be dismissed</w:t>
      </w:r>
    </w:p>
    <w:p w14:paraId="77D16D96" w14:textId="77777777" w:rsidR="00572B81" w:rsidRPr="00572B81" w:rsidRDefault="00572B81" w:rsidP="00572B81">
      <w:pPr>
        <w:pStyle w:val="ListParagraph"/>
        <w:numPr>
          <w:ilvl w:val="0"/>
          <w:numId w:val="6"/>
        </w:numPr>
        <w:rPr>
          <w:bCs/>
          <w:iCs/>
        </w:rPr>
      </w:pPr>
      <w:r w:rsidRPr="00572B81">
        <w:rPr>
          <w:bCs/>
          <w:iCs/>
        </w:rPr>
        <w:t>the appeal may be allowed</w:t>
      </w:r>
    </w:p>
    <w:p w14:paraId="386618A4" w14:textId="77777777" w:rsidR="00572B81" w:rsidRPr="00572B81" w:rsidRDefault="00572B81" w:rsidP="00572B81">
      <w:pPr>
        <w:pStyle w:val="ListParagraph"/>
        <w:numPr>
          <w:ilvl w:val="0"/>
          <w:numId w:val="6"/>
        </w:numPr>
        <w:rPr>
          <w:bCs/>
          <w:iCs/>
        </w:rPr>
      </w:pPr>
      <w:r w:rsidRPr="00572B81">
        <w:rPr>
          <w:bCs/>
          <w:iCs/>
        </w:rPr>
        <w:t>the appeal may be allowed and remitted back to the original employment tribunal panel to make a final decision, or</w:t>
      </w:r>
    </w:p>
    <w:p w14:paraId="3FCC1CE0" w14:textId="1FD40710" w:rsidR="00572B81" w:rsidRDefault="00572B81" w:rsidP="00572B81">
      <w:pPr>
        <w:pStyle w:val="ListParagraph"/>
        <w:numPr>
          <w:ilvl w:val="0"/>
          <w:numId w:val="6"/>
        </w:numPr>
        <w:rPr>
          <w:bCs/>
          <w:iCs/>
        </w:rPr>
      </w:pPr>
      <w:r w:rsidRPr="00572B81">
        <w:rPr>
          <w:bCs/>
          <w:iCs/>
        </w:rPr>
        <w:t>the appeal may be allowed and remitted to a differently constituted employment tribunal panel to rehear the evidence and make a final decision.</w:t>
      </w:r>
    </w:p>
    <w:p w14:paraId="1EBEFE55" w14:textId="50BA6F04" w:rsidR="00636771" w:rsidRDefault="00636771" w:rsidP="000C245C">
      <w:pPr>
        <w:rPr>
          <w:b/>
          <w:iCs/>
        </w:rPr>
      </w:pPr>
      <w:r w:rsidRPr="000D29A1">
        <w:rPr>
          <w:bCs/>
          <w:iCs/>
        </w:rPr>
        <w:t xml:space="preserve">It is possible for appeals to be logged against decisions, which would then be escalated to an Employment Appeals Tribunal, followed then by the Court of Appeal (of the Court of Sessions in Scotland). The final stage </w:t>
      </w:r>
      <w:r w:rsidR="000D29A1" w:rsidRPr="000D29A1">
        <w:rPr>
          <w:bCs/>
          <w:iCs/>
        </w:rPr>
        <w:t xml:space="preserve">of any dispute in law would be the Supreme Court, however the number of cases making it this far in the process is small, with only a handful of cases per year being heard by the Supreme Court. </w:t>
      </w:r>
    </w:p>
    <w:p w14:paraId="44CE6383" w14:textId="77777777" w:rsidR="000D29A1" w:rsidRDefault="000D29A1" w:rsidP="00DE25DC">
      <w:pPr>
        <w:rPr>
          <w:b/>
          <w:i/>
        </w:rPr>
      </w:pPr>
    </w:p>
    <w:p w14:paraId="49CD1299" w14:textId="7A75F969" w:rsidR="00DE25DC" w:rsidRDefault="00DE25DC" w:rsidP="00DE25DC">
      <w:pPr>
        <w:pStyle w:val="ListParagraph"/>
        <w:numPr>
          <w:ilvl w:val="0"/>
          <w:numId w:val="1"/>
        </w:numPr>
        <w:rPr>
          <w:b/>
          <w:i/>
        </w:rPr>
      </w:pPr>
      <w:r>
        <w:rPr>
          <w:b/>
          <w:i/>
        </w:rPr>
        <w:t>Summarise the main principles of discrimination law in relation to recruitment and selection and explain how contracts of employment are established.</w:t>
      </w:r>
    </w:p>
    <w:p w14:paraId="082E5E3C" w14:textId="6CA4F6D3" w:rsidR="003F1068" w:rsidRDefault="003F1068" w:rsidP="003F1068">
      <w:pPr>
        <w:rPr>
          <w:bCs/>
          <w:iCs/>
        </w:rPr>
      </w:pPr>
      <w:r>
        <w:rPr>
          <w:bCs/>
          <w:iCs/>
        </w:rPr>
        <w:t xml:space="preserve">Discrimination law is one of the key laws providing protection to individuals, and whilst this protects individuals against discrimination at any stage of their career, the areas where this is most prevalent </w:t>
      </w:r>
      <w:r w:rsidR="00CE228C">
        <w:rPr>
          <w:bCs/>
          <w:iCs/>
        </w:rPr>
        <w:t xml:space="preserve">are </w:t>
      </w:r>
      <w:r>
        <w:rPr>
          <w:bCs/>
          <w:iCs/>
        </w:rPr>
        <w:t xml:space="preserve">that of Recruitment, Selection and Promotion processes. </w:t>
      </w:r>
    </w:p>
    <w:p w14:paraId="5B4F5684" w14:textId="5CB96893" w:rsidR="00DE25DC" w:rsidRDefault="003F1068" w:rsidP="00DE25DC">
      <w:pPr>
        <w:rPr>
          <w:bCs/>
          <w:iCs/>
        </w:rPr>
      </w:pPr>
      <w:r>
        <w:rPr>
          <w:bCs/>
          <w:iCs/>
        </w:rPr>
        <w:t xml:space="preserve">The Equality Act 2010 replaced a number of different pieces of discrimination legislation, which included the Sex Discrimination Act 1975, the Race Relations Act 1976 and the Disability Discrimination Act 1995. This was done in an effort to streamline the legislation and to make the </w:t>
      </w:r>
      <w:r>
        <w:rPr>
          <w:bCs/>
          <w:iCs/>
        </w:rPr>
        <w:lastRenderedPageBreak/>
        <w:t xml:space="preserve">protection individuals receive more harmonised for all protected characteristics </w:t>
      </w:r>
      <w:r w:rsidR="00953784">
        <w:rPr>
          <w:bCs/>
          <w:iCs/>
        </w:rPr>
        <w:t>(Government Equalities Office, 2015)</w:t>
      </w:r>
      <w:r>
        <w:rPr>
          <w:bCs/>
          <w:iCs/>
        </w:rPr>
        <w:t xml:space="preserve">. </w:t>
      </w:r>
      <w:r w:rsidR="00DA4E32">
        <w:rPr>
          <w:bCs/>
          <w:iCs/>
        </w:rPr>
        <w:t>It is against the law to discriminate against someone because of a protected characteristic, with the Equality Act 2010 providing protection against discrimination against any of the below:</w:t>
      </w:r>
    </w:p>
    <w:p w14:paraId="0CF182D1" w14:textId="3E8DD0EF" w:rsidR="00DA4E32" w:rsidRDefault="00DA4E32" w:rsidP="00DA4E32">
      <w:pPr>
        <w:pStyle w:val="ListParagraph"/>
        <w:numPr>
          <w:ilvl w:val="0"/>
          <w:numId w:val="7"/>
        </w:numPr>
        <w:rPr>
          <w:bCs/>
          <w:iCs/>
        </w:rPr>
      </w:pPr>
      <w:r w:rsidRPr="00DA4E32">
        <w:rPr>
          <w:bCs/>
          <w:iCs/>
        </w:rPr>
        <w:t>Age</w:t>
      </w:r>
    </w:p>
    <w:p w14:paraId="61953B1C" w14:textId="0D21B3D4" w:rsidR="00DA4E32" w:rsidRDefault="00DA4E32" w:rsidP="00DA4E32">
      <w:pPr>
        <w:pStyle w:val="ListParagraph"/>
        <w:numPr>
          <w:ilvl w:val="0"/>
          <w:numId w:val="7"/>
        </w:numPr>
        <w:rPr>
          <w:bCs/>
          <w:iCs/>
        </w:rPr>
      </w:pPr>
      <w:r>
        <w:rPr>
          <w:bCs/>
          <w:iCs/>
        </w:rPr>
        <w:t>Disability</w:t>
      </w:r>
    </w:p>
    <w:p w14:paraId="60FC833C" w14:textId="63202225" w:rsidR="00DA4E32" w:rsidRDefault="00DA4E32" w:rsidP="00DA4E32">
      <w:pPr>
        <w:pStyle w:val="ListParagraph"/>
        <w:numPr>
          <w:ilvl w:val="0"/>
          <w:numId w:val="7"/>
        </w:numPr>
        <w:rPr>
          <w:bCs/>
          <w:iCs/>
        </w:rPr>
      </w:pPr>
      <w:r>
        <w:rPr>
          <w:bCs/>
          <w:iCs/>
        </w:rPr>
        <w:t xml:space="preserve">Gender Reassignment </w:t>
      </w:r>
    </w:p>
    <w:p w14:paraId="62CADB9A" w14:textId="09C2085E" w:rsidR="00DA4E32" w:rsidRDefault="00DA4E32" w:rsidP="00DA4E32">
      <w:pPr>
        <w:pStyle w:val="ListParagraph"/>
        <w:numPr>
          <w:ilvl w:val="0"/>
          <w:numId w:val="7"/>
        </w:numPr>
        <w:rPr>
          <w:bCs/>
          <w:iCs/>
        </w:rPr>
      </w:pPr>
      <w:r>
        <w:rPr>
          <w:bCs/>
          <w:iCs/>
        </w:rPr>
        <w:t>Marriage and Civil Partnership</w:t>
      </w:r>
    </w:p>
    <w:p w14:paraId="73C7ACAD" w14:textId="31F0CC7C" w:rsidR="00DA4E32" w:rsidRDefault="00DA4E32" w:rsidP="00DA4E32">
      <w:pPr>
        <w:pStyle w:val="ListParagraph"/>
        <w:numPr>
          <w:ilvl w:val="0"/>
          <w:numId w:val="7"/>
        </w:numPr>
        <w:rPr>
          <w:bCs/>
          <w:iCs/>
        </w:rPr>
      </w:pPr>
      <w:r>
        <w:rPr>
          <w:bCs/>
          <w:iCs/>
        </w:rPr>
        <w:t>Pregnancy and Maternity</w:t>
      </w:r>
    </w:p>
    <w:p w14:paraId="7DE17D9F" w14:textId="070A4AEC" w:rsidR="00DA4E32" w:rsidRDefault="00DA4E32" w:rsidP="00DA4E32">
      <w:pPr>
        <w:pStyle w:val="ListParagraph"/>
        <w:numPr>
          <w:ilvl w:val="0"/>
          <w:numId w:val="7"/>
        </w:numPr>
        <w:rPr>
          <w:bCs/>
          <w:iCs/>
        </w:rPr>
      </w:pPr>
      <w:r>
        <w:rPr>
          <w:bCs/>
          <w:iCs/>
        </w:rPr>
        <w:t>Race</w:t>
      </w:r>
    </w:p>
    <w:p w14:paraId="30E90472" w14:textId="42687C88" w:rsidR="00DA4E32" w:rsidRDefault="00DA4E32" w:rsidP="00DA4E32">
      <w:pPr>
        <w:pStyle w:val="ListParagraph"/>
        <w:numPr>
          <w:ilvl w:val="0"/>
          <w:numId w:val="7"/>
        </w:numPr>
        <w:rPr>
          <w:bCs/>
          <w:iCs/>
        </w:rPr>
      </w:pPr>
      <w:r>
        <w:rPr>
          <w:bCs/>
          <w:iCs/>
        </w:rPr>
        <w:t>Religion or Belief</w:t>
      </w:r>
    </w:p>
    <w:p w14:paraId="3D7E46F2" w14:textId="77F374A8" w:rsidR="00DA4E32" w:rsidRDefault="00DA4E32" w:rsidP="00DA4E32">
      <w:pPr>
        <w:pStyle w:val="ListParagraph"/>
        <w:numPr>
          <w:ilvl w:val="0"/>
          <w:numId w:val="7"/>
        </w:numPr>
        <w:rPr>
          <w:bCs/>
          <w:iCs/>
        </w:rPr>
      </w:pPr>
      <w:r>
        <w:rPr>
          <w:bCs/>
          <w:iCs/>
        </w:rPr>
        <w:t>Sex</w:t>
      </w:r>
    </w:p>
    <w:p w14:paraId="51CF39B5" w14:textId="4FEDC291" w:rsidR="00DA4E32" w:rsidRDefault="00DA4E32" w:rsidP="00DA4E32">
      <w:pPr>
        <w:pStyle w:val="ListParagraph"/>
        <w:numPr>
          <w:ilvl w:val="0"/>
          <w:numId w:val="7"/>
        </w:numPr>
        <w:rPr>
          <w:bCs/>
          <w:iCs/>
        </w:rPr>
      </w:pPr>
      <w:r>
        <w:rPr>
          <w:bCs/>
          <w:iCs/>
        </w:rPr>
        <w:t xml:space="preserve">Sexual Orientation </w:t>
      </w:r>
    </w:p>
    <w:p w14:paraId="6F4E157B" w14:textId="4A4308DE" w:rsidR="00C961DF" w:rsidRPr="00C961DF" w:rsidRDefault="00321EE2" w:rsidP="00C961DF">
      <w:pPr>
        <w:rPr>
          <w:bCs/>
          <w:i/>
          <w:sz w:val="18"/>
          <w:szCs w:val="18"/>
        </w:rPr>
      </w:pPr>
      <w:r w:rsidRPr="00321EE2">
        <w:rPr>
          <w:noProof/>
          <w:sz w:val="18"/>
          <w:szCs w:val="18"/>
        </w:rPr>
        <w:t>(</w:t>
      </w:r>
      <w:r>
        <w:rPr>
          <w:noProof/>
          <w:sz w:val="18"/>
          <w:szCs w:val="18"/>
        </w:rPr>
        <w:t>Equality and Human Rights Commission, 2019</w:t>
      </w:r>
      <w:r w:rsidRPr="00321EE2">
        <w:rPr>
          <w:noProof/>
          <w:sz w:val="18"/>
          <w:szCs w:val="18"/>
        </w:rPr>
        <w:t>)</w:t>
      </w:r>
    </w:p>
    <w:p w14:paraId="30B52A9F" w14:textId="521A71E3" w:rsidR="00DA4E32" w:rsidRDefault="00DA4E32" w:rsidP="00DA4E32">
      <w:pPr>
        <w:rPr>
          <w:bCs/>
          <w:iCs/>
        </w:rPr>
      </w:pPr>
      <w:r>
        <w:rPr>
          <w:bCs/>
          <w:iCs/>
        </w:rPr>
        <w:t xml:space="preserve">This legislation is extremely important when it comes to Recruitment, Selection and Promotion processes. It makes it against the law to recruit or not recruit someone because of the above characteristics. This means that it is </w:t>
      </w:r>
      <w:r w:rsidR="00F30AC4">
        <w:rPr>
          <w:bCs/>
          <w:iCs/>
        </w:rPr>
        <w:t>un</w:t>
      </w:r>
      <w:r>
        <w:rPr>
          <w:bCs/>
          <w:iCs/>
        </w:rPr>
        <w:t xml:space="preserve">lawful not </w:t>
      </w:r>
      <w:r w:rsidR="00F30AC4">
        <w:rPr>
          <w:bCs/>
          <w:iCs/>
        </w:rPr>
        <w:t xml:space="preserve">to </w:t>
      </w:r>
      <w:r>
        <w:rPr>
          <w:bCs/>
          <w:iCs/>
        </w:rPr>
        <w:t>recruit a female into a role simply because they are female, or not</w:t>
      </w:r>
      <w:r w:rsidR="00F30AC4">
        <w:rPr>
          <w:bCs/>
          <w:iCs/>
        </w:rPr>
        <w:t xml:space="preserve"> to</w:t>
      </w:r>
      <w:r>
        <w:rPr>
          <w:bCs/>
          <w:iCs/>
        </w:rPr>
        <w:t xml:space="preserve"> give someone a promotion due to them going on maternity leave. For direct discrimination there is no lawful reason that this can be done and therefore no legal defence</w:t>
      </w:r>
      <w:r w:rsidR="006B6FA5">
        <w:rPr>
          <w:bCs/>
          <w:iCs/>
        </w:rPr>
        <w:t xml:space="preserve">. Notwithstanding the above, there are some exceptions to </w:t>
      </w:r>
      <w:r w:rsidR="00F30AC4">
        <w:rPr>
          <w:bCs/>
          <w:iCs/>
        </w:rPr>
        <w:t xml:space="preserve">the </w:t>
      </w:r>
      <w:r w:rsidR="006B6FA5">
        <w:rPr>
          <w:bCs/>
          <w:iCs/>
        </w:rPr>
        <w:t xml:space="preserve">rule, </w:t>
      </w:r>
      <w:r w:rsidR="000C2A14">
        <w:rPr>
          <w:bCs/>
          <w:iCs/>
        </w:rPr>
        <w:t>including</w:t>
      </w:r>
      <w:r w:rsidR="006B6FA5">
        <w:rPr>
          <w:bCs/>
          <w:iCs/>
        </w:rPr>
        <w:t xml:space="preserve"> when an organisation has genuine ‘occupational requirements’ for </w:t>
      </w:r>
      <w:r w:rsidR="00F30AC4">
        <w:rPr>
          <w:bCs/>
          <w:iCs/>
        </w:rPr>
        <w:t>a</w:t>
      </w:r>
      <w:r w:rsidR="006B6FA5">
        <w:rPr>
          <w:bCs/>
          <w:iCs/>
        </w:rPr>
        <w:t xml:space="preserve"> </w:t>
      </w:r>
      <w:r w:rsidR="00F30AC4">
        <w:rPr>
          <w:bCs/>
          <w:iCs/>
        </w:rPr>
        <w:t>particular role in their organisation</w:t>
      </w:r>
      <w:r w:rsidR="006B6FA5">
        <w:rPr>
          <w:bCs/>
          <w:iCs/>
        </w:rPr>
        <w:t>. These examples are limited, however would cover areas of work such as modelling and acting, where work could be ethically themed and therefore only possible by an individual from a particular religious background</w:t>
      </w:r>
      <w:r w:rsidR="00C074C7">
        <w:rPr>
          <w:bCs/>
          <w:iCs/>
          <w:noProof/>
        </w:rPr>
        <w:t xml:space="preserve"> </w:t>
      </w:r>
      <w:r w:rsidR="00C074C7">
        <w:rPr>
          <w:noProof/>
        </w:rPr>
        <w:t>(Wilkinson and Taylor)</w:t>
      </w:r>
      <w:r w:rsidR="006B6FA5">
        <w:rPr>
          <w:bCs/>
          <w:iCs/>
        </w:rPr>
        <w:t>. Any employer making such a decision must be confident that there is a legitimate business reason and that it would not be possible for reasonable adjustments to be made to accommodate other individuals.</w:t>
      </w:r>
    </w:p>
    <w:p w14:paraId="54118CBF" w14:textId="23395947" w:rsidR="00DA4E32" w:rsidRDefault="005A7B34" w:rsidP="00DA4E32">
      <w:pPr>
        <w:rPr>
          <w:bCs/>
          <w:iCs/>
        </w:rPr>
      </w:pPr>
      <w:r>
        <w:rPr>
          <w:bCs/>
          <w:iCs/>
        </w:rPr>
        <w:t>Indirect discrimination differs to the above, in that this is when an employer makes a particular criterion for a vacancy which, in itself, reduces the pool of possible applicants. An example of this would</w:t>
      </w:r>
      <w:r w:rsidR="00475745">
        <w:rPr>
          <w:bCs/>
          <w:iCs/>
        </w:rPr>
        <w:t xml:space="preserve"> </w:t>
      </w:r>
      <w:r w:rsidR="000C2A14">
        <w:rPr>
          <w:bCs/>
          <w:iCs/>
        </w:rPr>
        <w:t xml:space="preserve">be </w:t>
      </w:r>
      <w:r w:rsidR="00475745">
        <w:rPr>
          <w:bCs/>
          <w:iCs/>
        </w:rPr>
        <w:t>to ask for applicants to be above a certain height, as this would naturally reduce the number of female applicants</w:t>
      </w:r>
      <w:r w:rsidR="00F30AC4">
        <w:rPr>
          <w:bCs/>
          <w:iCs/>
        </w:rPr>
        <w:t xml:space="preserve">, or for a certain amount of years’ experience as this could preclude younger applicants. </w:t>
      </w:r>
    </w:p>
    <w:p w14:paraId="2189FAF0" w14:textId="1BC130D5" w:rsidR="00607C34" w:rsidRDefault="001C7150" w:rsidP="00DA4E32">
      <w:pPr>
        <w:rPr>
          <w:bCs/>
          <w:iCs/>
        </w:rPr>
      </w:pPr>
      <w:r>
        <w:rPr>
          <w:bCs/>
          <w:iCs/>
        </w:rPr>
        <w:t xml:space="preserve">Discrimination law applies to both employees and workers, however not all employment law does. Employees enjoy a range of additional protection </w:t>
      </w:r>
      <w:r w:rsidR="00F30AC4">
        <w:rPr>
          <w:bCs/>
          <w:iCs/>
        </w:rPr>
        <w:t>over</w:t>
      </w:r>
      <w:r>
        <w:rPr>
          <w:bCs/>
          <w:iCs/>
        </w:rPr>
        <w:t xml:space="preserve"> workers - including unfair dismissal - who are commonly known to have a contract of employment.</w:t>
      </w:r>
      <w:r w:rsidR="00CE3785" w:rsidRPr="00CE3785">
        <w:rPr>
          <w:bCs/>
          <w:i/>
        </w:rPr>
        <w:t xml:space="preserve"> </w:t>
      </w:r>
      <w:r w:rsidR="00CE3785">
        <w:rPr>
          <w:bCs/>
          <w:i/>
        </w:rPr>
        <w:t>“</w:t>
      </w:r>
      <w:r w:rsidR="00CE3785" w:rsidRPr="00CE3785">
        <w:rPr>
          <w:bCs/>
          <w:i/>
        </w:rPr>
        <w:t xml:space="preserve">A contract is a legally binding agreement </w:t>
      </w:r>
      <w:r w:rsidR="00CE3785">
        <w:rPr>
          <w:bCs/>
          <w:i/>
        </w:rPr>
        <w:t xml:space="preserve">between an employer and employee” </w:t>
      </w:r>
      <w:r w:rsidR="00CE3785">
        <w:rPr>
          <w:bCs/>
          <w:iCs/>
        </w:rPr>
        <w:t>and can either be verbal or a written document (</w:t>
      </w:r>
      <w:r w:rsidR="00D819BF">
        <w:rPr>
          <w:bCs/>
          <w:iCs/>
        </w:rPr>
        <w:t>Ayling, L and Suff, R. 2020</w:t>
      </w:r>
      <w:r w:rsidR="00CE3785">
        <w:rPr>
          <w:bCs/>
          <w:iCs/>
        </w:rPr>
        <w:t>). It is of course preferable for this to be a written document; however, this is not legally required. There are five requirements for a contract to be a legally binding one and these are:</w:t>
      </w:r>
    </w:p>
    <w:p w14:paraId="03EE3BF6" w14:textId="4CA6AE24" w:rsidR="00CE3785" w:rsidRDefault="00CE3785" w:rsidP="00CE3785">
      <w:pPr>
        <w:pStyle w:val="ListParagraph"/>
        <w:numPr>
          <w:ilvl w:val="0"/>
          <w:numId w:val="9"/>
        </w:numPr>
        <w:rPr>
          <w:bCs/>
          <w:iCs/>
        </w:rPr>
      </w:pPr>
      <w:r>
        <w:rPr>
          <w:bCs/>
          <w:iCs/>
        </w:rPr>
        <w:t xml:space="preserve">An unconditional offer </w:t>
      </w:r>
    </w:p>
    <w:p w14:paraId="31736CFA" w14:textId="5177B7F0" w:rsidR="00CE3785" w:rsidRDefault="00CE3785" w:rsidP="00CE3785">
      <w:pPr>
        <w:pStyle w:val="ListParagraph"/>
        <w:numPr>
          <w:ilvl w:val="0"/>
          <w:numId w:val="9"/>
        </w:numPr>
        <w:rPr>
          <w:bCs/>
          <w:iCs/>
        </w:rPr>
      </w:pPr>
      <w:r>
        <w:rPr>
          <w:bCs/>
          <w:iCs/>
        </w:rPr>
        <w:t>An unconditional acceptance of the above offer</w:t>
      </w:r>
    </w:p>
    <w:p w14:paraId="78D861E7" w14:textId="7D20B3D5" w:rsidR="00CE3785" w:rsidRDefault="00CE3785" w:rsidP="00CE3785">
      <w:pPr>
        <w:pStyle w:val="ListParagraph"/>
        <w:numPr>
          <w:ilvl w:val="0"/>
          <w:numId w:val="9"/>
        </w:numPr>
        <w:rPr>
          <w:bCs/>
          <w:iCs/>
        </w:rPr>
      </w:pPr>
      <w:r>
        <w:rPr>
          <w:bCs/>
          <w:iCs/>
        </w:rPr>
        <w:t>An intention to form a legal relationship</w:t>
      </w:r>
    </w:p>
    <w:p w14:paraId="6A9FF593" w14:textId="6F92FD1C" w:rsidR="00CE3785" w:rsidRDefault="00CE3785" w:rsidP="00CE3785">
      <w:pPr>
        <w:pStyle w:val="ListParagraph"/>
        <w:numPr>
          <w:ilvl w:val="0"/>
          <w:numId w:val="9"/>
        </w:numPr>
        <w:rPr>
          <w:bCs/>
          <w:iCs/>
        </w:rPr>
      </w:pPr>
      <w:r>
        <w:rPr>
          <w:bCs/>
          <w:iCs/>
        </w:rPr>
        <w:t>Payment or Payment in Kind</w:t>
      </w:r>
    </w:p>
    <w:p w14:paraId="75051EE5" w14:textId="64F95CAD" w:rsidR="00CE3785" w:rsidRDefault="00CE3785" w:rsidP="00CE3785">
      <w:pPr>
        <w:pStyle w:val="ListParagraph"/>
        <w:numPr>
          <w:ilvl w:val="0"/>
          <w:numId w:val="9"/>
        </w:numPr>
        <w:rPr>
          <w:bCs/>
          <w:iCs/>
        </w:rPr>
      </w:pPr>
      <w:r>
        <w:rPr>
          <w:bCs/>
          <w:iCs/>
        </w:rPr>
        <w:t>Clarity regarding the main terms and conditions of the agreement</w:t>
      </w:r>
    </w:p>
    <w:p w14:paraId="4D653E73" w14:textId="3D836AFB" w:rsidR="001D55F5" w:rsidRDefault="001D55F5" w:rsidP="001D55F5">
      <w:pPr>
        <w:rPr>
          <w:bCs/>
          <w:iCs/>
        </w:rPr>
      </w:pPr>
      <w:r>
        <w:rPr>
          <w:bCs/>
          <w:iCs/>
        </w:rPr>
        <w:t xml:space="preserve">A contract will normally have express terms, which are either verbally agreed or provided in writing, such as the rate of pay, or the number of leave days entitlement. It will also have implied terms. </w:t>
      </w:r>
      <w:r>
        <w:rPr>
          <w:bCs/>
          <w:iCs/>
        </w:rPr>
        <w:lastRenderedPageBreak/>
        <w:t xml:space="preserve">These are terms of the contract which are implied and not explicitly detailed. This is often because they are seen as so obvious that it is assumed to form part of the contract, even if not explicitly stated. </w:t>
      </w:r>
    </w:p>
    <w:p w14:paraId="75AC02AF" w14:textId="13E5FF9A" w:rsidR="001D55F5" w:rsidRDefault="001D55F5" w:rsidP="001D55F5">
      <w:pPr>
        <w:rPr>
          <w:bCs/>
          <w:iCs/>
        </w:rPr>
      </w:pPr>
      <w:r>
        <w:rPr>
          <w:bCs/>
          <w:iCs/>
        </w:rPr>
        <w:t>To avoid any ambiguity, it is good practise that a written contract is provided, otherwise known as a statement of particulars. This is an ideal opportunity to detail all of the contractual matters and responsibilities of the employer and employee relationship. Th</w:t>
      </w:r>
      <w:r w:rsidR="00521B6E">
        <w:rPr>
          <w:bCs/>
          <w:iCs/>
        </w:rPr>
        <w:t>ere are a number of items which must be provided in this document, whilst some may be provided in a separate document. Some of these mandatory items are:</w:t>
      </w:r>
    </w:p>
    <w:p w14:paraId="798B8518" w14:textId="57AD59EF" w:rsidR="00521B6E" w:rsidRDefault="00521B6E" w:rsidP="00521B6E">
      <w:pPr>
        <w:pStyle w:val="ListParagraph"/>
        <w:numPr>
          <w:ilvl w:val="0"/>
          <w:numId w:val="10"/>
        </w:numPr>
        <w:rPr>
          <w:bCs/>
          <w:iCs/>
        </w:rPr>
      </w:pPr>
      <w:r>
        <w:rPr>
          <w:bCs/>
          <w:iCs/>
        </w:rPr>
        <w:t>Name o</w:t>
      </w:r>
      <w:r w:rsidR="00F30AC4">
        <w:rPr>
          <w:bCs/>
          <w:iCs/>
        </w:rPr>
        <w:t>f</w:t>
      </w:r>
      <w:r>
        <w:rPr>
          <w:bCs/>
          <w:iCs/>
        </w:rPr>
        <w:t xml:space="preserve"> the employer and employee</w:t>
      </w:r>
    </w:p>
    <w:p w14:paraId="30DA2CEC" w14:textId="71B5BE36" w:rsidR="00521B6E" w:rsidRDefault="00521B6E" w:rsidP="00521B6E">
      <w:pPr>
        <w:pStyle w:val="ListParagraph"/>
        <w:numPr>
          <w:ilvl w:val="0"/>
          <w:numId w:val="10"/>
        </w:numPr>
        <w:rPr>
          <w:bCs/>
          <w:iCs/>
        </w:rPr>
      </w:pPr>
      <w:r>
        <w:rPr>
          <w:bCs/>
          <w:iCs/>
        </w:rPr>
        <w:t>Date when employment starts</w:t>
      </w:r>
    </w:p>
    <w:p w14:paraId="644F0923" w14:textId="39212664" w:rsidR="00521B6E" w:rsidRDefault="00521B6E" w:rsidP="00521B6E">
      <w:pPr>
        <w:pStyle w:val="ListParagraph"/>
        <w:numPr>
          <w:ilvl w:val="0"/>
          <w:numId w:val="10"/>
        </w:numPr>
        <w:rPr>
          <w:bCs/>
          <w:iCs/>
        </w:rPr>
      </w:pPr>
      <w:r>
        <w:rPr>
          <w:bCs/>
          <w:iCs/>
        </w:rPr>
        <w:t>Length of notice period</w:t>
      </w:r>
    </w:p>
    <w:p w14:paraId="47CAA511" w14:textId="6DD46EF2" w:rsidR="00521B6E" w:rsidRDefault="00521B6E" w:rsidP="00521B6E">
      <w:pPr>
        <w:pStyle w:val="ListParagraph"/>
        <w:numPr>
          <w:ilvl w:val="0"/>
          <w:numId w:val="10"/>
        </w:numPr>
        <w:rPr>
          <w:bCs/>
          <w:iCs/>
        </w:rPr>
      </w:pPr>
      <w:r>
        <w:rPr>
          <w:bCs/>
          <w:iCs/>
        </w:rPr>
        <w:t>Scale or Rate o</w:t>
      </w:r>
      <w:r w:rsidR="00F30AC4">
        <w:rPr>
          <w:bCs/>
          <w:iCs/>
        </w:rPr>
        <w:t>f</w:t>
      </w:r>
      <w:r>
        <w:rPr>
          <w:bCs/>
          <w:iCs/>
        </w:rPr>
        <w:t xml:space="preserve"> remuneration </w:t>
      </w:r>
    </w:p>
    <w:p w14:paraId="7C58FE68" w14:textId="091B7008" w:rsidR="00521B6E" w:rsidRDefault="00521B6E" w:rsidP="00521B6E">
      <w:pPr>
        <w:pStyle w:val="ListParagraph"/>
        <w:numPr>
          <w:ilvl w:val="0"/>
          <w:numId w:val="10"/>
        </w:numPr>
        <w:rPr>
          <w:bCs/>
          <w:iCs/>
        </w:rPr>
      </w:pPr>
      <w:r>
        <w:rPr>
          <w:bCs/>
          <w:iCs/>
        </w:rPr>
        <w:t>Job Title</w:t>
      </w:r>
    </w:p>
    <w:p w14:paraId="7CA5A9B6" w14:textId="3AFEADA9" w:rsidR="00521B6E" w:rsidRDefault="00521B6E" w:rsidP="00521B6E">
      <w:pPr>
        <w:pStyle w:val="ListParagraph"/>
        <w:numPr>
          <w:ilvl w:val="0"/>
          <w:numId w:val="10"/>
        </w:numPr>
        <w:rPr>
          <w:bCs/>
          <w:iCs/>
        </w:rPr>
      </w:pPr>
      <w:r>
        <w:rPr>
          <w:bCs/>
          <w:iCs/>
        </w:rPr>
        <w:t>Place of wor</w:t>
      </w:r>
      <w:r w:rsidR="00F30AC4">
        <w:rPr>
          <w:bCs/>
          <w:iCs/>
        </w:rPr>
        <w:t>k</w:t>
      </w:r>
      <w:r>
        <w:rPr>
          <w:bCs/>
          <w:iCs/>
        </w:rPr>
        <w:t>.</w:t>
      </w:r>
    </w:p>
    <w:p w14:paraId="1FA9FFC2" w14:textId="714C0C27" w:rsidR="001C7150" w:rsidRDefault="000C2A14" w:rsidP="00DA4E32">
      <w:pPr>
        <w:rPr>
          <w:bCs/>
          <w:iCs/>
        </w:rPr>
      </w:pPr>
      <w:r>
        <w:rPr>
          <w:bCs/>
          <w:iCs/>
        </w:rPr>
        <w:t xml:space="preserve">It is acceptable to </w:t>
      </w:r>
      <w:r w:rsidR="007119DE">
        <w:rPr>
          <w:bCs/>
          <w:iCs/>
        </w:rPr>
        <w:t>refer to other documents which employees can view, which will contain information on policy or other employee responsibilities, without these being stated in the statement of particulars.</w:t>
      </w:r>
    </w:p>
    <w:p w14:paraId="0D7B1B6C" w14:textId="0DE05518" w:rsidR="007119DE" w:rsidRDefault="007119DE" w:rsidP="00DA4E32">
      <w:pPr>
        <w:rPr>
          <w:bCs/>
          <w:iCs/>
        </w:rPr>
      </w:pPr>
      <w:r>
        <w:rPr>
          <w:bCs/>
          <w:iCs/>
        </w:rPr>
        <w:t>Lastly, as from April 6</w:t>
      </w:r>
      <w:r w:rsidRPr="00D819BF">
        <w:rPr>
          <w:bCs/>
          <w:iCs/>
          <w:vertAlign w:val="superscript"/>
        </w:rPr>
        <w:t>th</w:t>
      </w:r>
      <w:r>
        <w:rPr>
          <w:bCs/>
          <w:iCs/>
        </w:rPr>
        <w:t xml:space="preserve"> 2020, there is an amendment to employment law, which requires a statemen</w:t>
      </w:r>
      <w:r w:rsidR="00F30AC4">
        <w:rPr>
          <w:bCs/>
          <w:iCs/>
        </w:rPr>
        <w:t>t</w:t>
      </w:r>
      <w:r>
        <w:rPr>
          <w:bCs/>
          <w:iCs/>
        </w:rPr>
        <w:t xml:space="preserve"> of particulars to be provided to an employee from their first day or employment, </w:t>
      </w:r>
      <w:r w:rsidR="00A41F0D">
        <w:rPr>
          <w:bCs/>
          <w:iCs/>
        </w:rPr>
        <w:t>whereas</w:t>
      </w:r>
      <w:r>
        <w:rPr>
          <w:bCs/>
          <w:iCs/>
        </w:rPr>
        <w:t xml:space="preserve"> this previously would have been to be provided within two months of commencing their role.</w:t>
      </w:r>
    </w:p>
    <w:p w14:paraId="4E324977" w14:textId="77777777" w:rsidR="001C7150" w:rsidRPr="00DA4E32" w:rsidRDefault="001C7150" w:rsidP="00DA4E32">
      <w:pPr>
        <w:rPr>
          <w:bCs/>
          <w:iCs/>
        </w:rPr>
      </w:pPr>
    </w:p>
    <w:p w14:paraId="3C80573D" w14:textId="77777777" w:rsidR="00DE25DC" w:rsidRDefault="00DE25DC" w:rsidP="000D76A6">
      <w:pPr>
        <w:pStyle w:val="ListParagraph"/>
        <w:numPr>
          <w:ilvl w:val="0"/>
          <w:numId w:val="11"/>
        </w:numPr>
        <w:rPr>
          <w:b/>
          <w:i/>
        </w:rPr>
      </w:pPr>
      <w:r>
        <w:rPr>
          <w:b/>
          <w:i/>
        </w:rPr>
        <w:t>An organisation is planning a major reorganisation which will involve moving some staff to other sites and outsourcing a major function to a sub-contractor.</w:t>
      </w:r>
    </w:p>
    <w:p w14:paraId="229F8080" w14:textId="77777777" w:rsidR="00DE25DC" w:rsidRDefault="00DE25DC" w:rsidP="000D76A6">
      <w:pPr>
        <w:pStyle w:val="ListParagraph"/>
        <w:numPr>
          <w:ilvl w:val="1"/>
          <w:numId w:val="11"/>
        </w:numPr>
        <w:rPr>
          <w:b/>
          <w:i/>
        </w:rPr>
      </w:pPr>
      <w:r>
        <w:rPr>
          <w:b/>
          <w:i/>
        </w:rPr>
        <w:t>Outline when and how contracts can be changed lawfully</w:t>
      </w:r>
    </w:p>
    <w:p w14:paraId="5C1170F6" w14:textId="77777777" w:rsidR="00DE25DC" w:rsidRDefault="00DE25DC" w:rsidP="000D76A6">
      <w:pPr>
        <w:pStyle w:val="ListParagraph"/>
        <w:numPr>
          <w:ilvl w:val="1"/>
          <w:numId w:val="11"/>
        </w:numPr>
        <w:rPr>
          <w:b/>
          <w:i/>
        </w:rPr>
      </w:pPr>
      <w:r>
        <w:rPr>
          <w:b/>
          <w:i/>
        </w:rPr>
        <w:t>Explain briefly the main requirements of redundancy law</w:t>
      </w:r>
    </w:p>
    <w:p w14:paraId="24276BA1" w14:textId="77777777" w:rsidR="00DE25DC" w:rsidRDefault="00DE25DC" w:rsidP="000D76A6">
      <w:pPr>
        <w:pStyle w:val="ListParagraph"/>
        <w:numPr>
          <w:ilvl w:val="1"/>
          <w:numId w:val="11"/>
        </w:numPr>
        <w:rPr>
          <w:b/>
          <w:i/>
        </w:rPr>
      </w:pPr>
      <w:r>
        <w:rPr>
          <w:b/>
          <w:i/>
        </w:rPr>
        <w:t>Summarise the main requirements of the law on business transfers</w:t>
      </w:r>
    </w:p>
    <w:p w14:paraId="49FBE11C" w14:textId="77777777" w:rsidR="00AD73C3" w:rsidRDefault="000A07C7" w:rsidP="00DE25DC">
      <w:pPr>
        <w:rPr>
          <w:bCs/>
          <w:iCs/>
        </w:rPr>
      </w:pPr>
      <w:r w:rsidRPr="000A07C7">
        <w:rPr>
          <w:bCs/>
          <w:iCs/>
        </w:rPr>
        <w:t>A key</w:t>
      </w:r>
      <w:r>
        <w:rPr>
          <w:bCs/>
          <w:iCs/>
        </w:rPr>
        <w:t xml:space="preserve"> part of contract law in the UK is that both parties must agree to </w:t>
      </w:r>
      <w:r w:rsidR="0083179F">
        <w:rPr>
          <w:bCs/>
          <w:iCs/>
        </w:rPr>
        <w:t xml:space="preserve">all contractual </w:t>
      </w:r>
      <w:r>
        <w:rPr>
          <w:bCs/>
          <w:iCs/>
        </w:rPr>
        <w:t>terms. This is in place to stop employers from unilaterally making changes to an employee’s contract. Whilst this is the case, there are times when an employer</w:t>
      </w:r>
      <w:r w:rsidR="00AD73C3">
        <w:rPr>
          <w:bCs/>
          <w:iCs/>
        </w:rPr>
        <w:t xml:space="preserve"> can make</w:t>
      </w:r>
      <w:r>
        <w:rPr>
          <w:bCs/>
          <w:iCs/>
        </w:rPr>
        <w:t xml:space="preserve"> changes to an </w:t>
      </w:r>
      <w:r w:rsidR="007017AE">
        <w:rPr>
          <w:bCs/>
          <w:iCs/>
        </w:rPr>
        <w:t>employee’s</w:t>
      </w:r>
      <w:r>
        <w:rPr>
          <w:bCs/>
          <w:iCs/>
        </w:rPr>
        <w:t xml:space="preserve"> working conditions or practices, due to a number of factors. </w:t>
      </w:r>
      <w:r w:rsidR="007017AE">
        <w:rPr>
          <w:bCs/>
          <w:iCs/>
        </w:rPr>
        <w:t>There are a number of ways that changes can be made, including</w:t>
      </w:r>
      <w:r w:rsidR="00AD73C3">
        <w:rPr>
          <w:bCs/>
          <w:iCs/>
        </w:rPr>
        <w:t>:</w:t>
      </w:r>
    </w:p>
    <w:p w14:paraId="159A825D" w14:textId="6D6B6E94" w:rsidR="00AD73C3" w:rsidRDefault="007017AE" w:rsidP="00AD73C3">
      <w:pPr>
        <w:pStyle w:val="ListParagraph"/>
        <w:numPr>
          <w:ilvl w:val="0"/>
          <w:numId w:val="23"/>
        </w:numPr>
        <w:rPr>
          <w:bCs/>
          <w:iCs/>
        </w:rPr>
      </w:pPr>
      <w:r w:rsidRPr="00AD73C3">
        <w:rPr>
          <w:bCs/>
          <w:iCs/>
        </w:rPr>
        <w:t>flexibility clauses; allowing an employer to make changes as required</w:t>
      </w:r>
    </w:p>
    <w:p w14:paraId="7ADAB6FA" w14:textId="77777777" w:rsidR="00AD73C3" w:rsidRDefault="007017AE" w:rsidP="00AD73C3">
      <w:pPr>
        <w:pStyle w:val="ListParagraph"/>
        <w:numPr>
          <w:ilvl w:val="0"/>
          <w:numId w:val="23"/>
        </w:numPr>
        <w:rPr>
          <w:bCs/>
          <w:iCs/>
        </w:rPr>
      </w:pPr>
      <w:r w:rsidRPr="00AD73C3">
        <w:rPr>
          <w:bCs/>
          <w:iCs/>
        </w:rPr>
        <w:t xml:space="preserve">acceptance through practice; where an employer can take that a change has been accepted if an employee has </w:t>
      </w:r>
      <w:r w:rsidR="0083179F" w:rsidRPr="00AD73C3">
        <w:rPr>
          <w:bCs/>
          <w:iCs/>
        </w:rPr>
        <w:t>undertaken</w:t>
      </w:r>
      <w:r w:rsidRPr="00AD73C3">
        <w:rPr>
          <w:bCs/>
          <w:iCs/>
        </w:rPr>
        <w:t xml:space="preserve"> the changes for an extended period (normally two months)</w:t>
      </w:r>
    </w:p>
    <w:p w14:paraId="7E82AFBD" w14:textId="77777777" w:rsidR="00AD73C3" w:rsidRDefault="007017AE" w:rsidP="00AD73C3">
      <w:pPr>
        <w:pStyle w:val="ListParagraph"/>
        <w:numPr>
          <w:ilvl w:val="0"/>
          <w:numId w:val="23"/>
        </w:numPr>
        <w:rPr>
          <w:bCs/>
          <w:iCs/>
        </w:rPr>
      </w:pPr>
      <w:r w:rsidRPr="00AD73C3">
        <w:rPr>
          <w:bCs/>
          <w:iCs/>
        </w:rPr>
        <w:t>negotiation through trade unions</w:t>
      </w:r>
    </w:p>
    <w:p w14:paraId="20993C04" w14:textId="13EE2C33" w:rsidR="00AD73C3" w:rsidRDefault="007017AE" w:rsidP="00AD73C3">
      <w:pPr>
        <w:pStyle w:val="ListParagraph"/>
        <w:numPr>
          <w:ilvl w:val="0"/>
          <w:numId w:val="23"/>
        </w:numPr>
        <w:rPr>
          <w:bCs/>
          <w:iCs/>
        </w:rPr>
      </w:pPr>
      <w:r w:rsidRPr="00AD73C3">
        <w:rPr>
          <w:bCs/>
          <w:iCs/>
        </w:rPr>
        <w:t>dismissal and rehire; where employee</w:t>
      </w:r>
      <w:r w:rsidR="00AD73C3">
        <w:rPr>
          <w:bCs/>
          <w:iCs/>
        </w:rPr>
        <w:t>s</w:t>
      </w:r>
      <w:r w:rsidRPr="00AD73C3">
        <w:rPr>
          <w:bCs/>
          <w:iCs/>
        </w:rPr>
        <w:t xml:space="preserve"> </w:t>
      </w:r>
      <w:r w:rsidR="00AD73C3">
        <w:rPr>
          <w:bCs/>
          <w:iCs/>
        </w:rPr>
        <w:t>are</w:t>
      </w:r>
      <w:r w:rsidRPr="00AD73C3">
        <w:rPr>
          <w:bCs/>
          <w:iCs/>
        </w:rPr>
        <w:t xml:space="preserve"> dismissed and immediately re-hired on new terms and conditions. </w:t>
      </w:r>
    </w:p>
    <w:p w14:paraId="1758C64C" w14:textId="10D18691" w:rsidR="00DE25DC" w:rsidRPr="00AD73C3" w:rsidRDefault="007017AE" w:rsidP="00AD73C3">
      <w:pPr>
        <w:rPr>
          <w:bCs/>
          <w:iCs/>
        </w:rPr>
      </w:pPr>
      <w:r w:rsidRPr="00AD73C3">
        <w:rPr>
          <w:bCs/>
          <w:iCs/>
        </w:rPr>
        <w:t>The latter of these is an extremely risky option and one which should only be used in extreme cases, as an employer would have to justify this decision i</w:t>
      </w:r>
      <w:r w:rsidR="0083179F" w:rsidRPr="00AD73C3">
        <w:rPr>
          <w:bCs/>
          <w:iCs/>
        </w:rPr>
        <w:t>f</w:t>
      </w:r>
      <w:r w:rsidRPr="00AD73C3">
        <w:rPr>
          <w:bCs/>
          <w:iCs/>
        </w:rPr>
        <w:t xml:space="preserve"> a challenge was made at a later date.</w:t>
      </w:r>
    </w:p>
    <w:p w14:paraId="2464D69B" w14:textId="1303517A" w:rsidR="007017AE" w:rsidRDefault="007017AE" w:rsidP="00DE25DC">
      <w:pPr>
        <w:rPr>
          <w:bCs/>
          <w:iCs/>
        </w:rPr>
      </w:pPr>
      <w:r>
        <w:rPr>
          <w:bCs/>
          <w:iCs/>
        </w:rPr>
        <w:t xml:space="preserve">It is however possible for employers to legally change certain small parts of an </w:t>
      </w:r>
      <w:r w:rsidR="0083179F">
        <w:rPr>
          <w:bCs/>
          <w:iCs/>
        </w:rPr>
        <w:t>employer’s</w:t>
      </w:r>
      <w:r>
        <w:rPr>
          <w:bCs/>
          <w:iCs/>
        </w:rPr>
        <w:t xml:space="preserve"> working practice</w:t>
      </w:r>
      <w:r w:rsidR="0083179F">
        <w:rPr>
          <w:bCs/>
          <w:iCs/>
        </w:rPr>
        <w:t xml:space="preserve"> without the </w:t>
      </w:r>
      <w:r w:rsidR="009864F1">
        <w:rPr>
          <w:bCs/>
          <w:iCs/>
        </w:rPr>
        <w:t>employee’s</w:t>
      </w:r>
      <w:r w:rsidR="0083179F">
        <w:rPr>
          <w:bCs/>
          <w:iCs/>
        </w:rPr>
        <w:t xml:space="preserve"> agreement</w:t>
      </w:r>
      <w:r>
        <w:rPr>
          <w:bCs/>
          <w:iCs/>
        </w:rPr>
        <w:t>, including small changes to particular equipment being used</w:t>
      </w:r>
      <w:r w:rsidR="0083179F">
        <w:rPr>
          <w:bCs/>
          <w:iCs/>
        </w:rPr>
        <w:t>,</w:t>
      </w:r>
      <w:r>
        <w:rPr>
          <w:bCs/>
          <w:iCs/>
        </w:rPr>
        <w:t xml:space="preserve"> as long as these</w:t>
      </w:r>
      <w:r w:rsidR="0083179F">
        <w:rPr>
          <w:bCs/>
          <w:iCs/>
        </w:rPr>
        <w:t xml:space="preserve"> changes</w:t>
      </w:r>
      <w:r>
        <w:rPr>
          <w:bCs/>
          <w:iCs/>
        </w:rPr>
        <w:t xml:space="preserve"> don’t have a major detrimental impact on the employee and their </w:t>
      </w:r>
      <w:r>
        <w:rPr>
          <w:bCs/>
          <w:iCs/>
        </w:rPr>
        <w:lastRenderedPageBreak/>
        <w:t xml:space="preserve">ability to carry out their duties. For a claim to be raised against an employer of constructive dismissal there must be evidence that an employer acted in a way that causes a significant breach of the contract of employment and the employee must resign as a direct result of the breach, </w:t>
      </w:r>
      <w:r w:rsidR="00AD73C3">
        <w:rPr>
          <w:bCs/>
          <w:iCs/>
        </w:rPr>
        <w:t>d</w:t>
      </w:r>
      <w:r>
        <w:rPr>
          <w:bCs/>
          <w:iCs/>
        </w:rPr>
        <w:t xml:space="preserve">one shortly after the </w:t>
      </w:r>
      <w:r w:rsidR="003806D3">
        <w:rPr>
          <w:bCs/>
          <w:iCs/>
        </w:rPr>
        <w:t>alleged</w:t>
      </w:r>
      <w:r>
        <w:rPr>
          <w:bCs/>
          <w:iCs/>
        </w:rPr>
        <w:t xml:space="preserve"> breach.</w:t>
      </w:r>
    </w:p>
    <w:p w14:paraId="7C465A8B" w14:textId="3D2773DE" w:rsidR="007017AE" w:rsidRDefault="00575E0C" w:rsidP="00DE25DC">
      <w:pPr>
        <w:rPr>
          <w:bCs/>
          <w:iCs/>
        </w:rPr>
      </w:pPr>
      <w:r>
        <w:rPr>
          <w:bCs/>
          <w:iCs/>
        </w:rPr>
        <w:t xml:space="preserve">Employers are </w:t>
      </w:r>
      <w:r w:rsidR="00AD73C3">
        <w:rPr>
          <w:bCs/>
          <w:iCs/>
        </w:rPr>
        <w:t>sometimes</w:t>
      </w:r>
      <w:r>
        <w:rPr>
          <w:bCs/>
          <w:iCs/>
        </w:rPr>
        <w:t xml:space="preserve"> required to dismiss groups of their staff due to organisation difficulties; this is known as </w:t>
      </w:r>
      <w:r w:rsidR="007017AE">
        <w:rPr>
          <w:bCs/>
          <w:iCs/>
        </w:rPr>
        <w:t>redundancy.</w:t>
      </w:r>
      <w:r>
        <w:rPr>
          <w:bCs/>
          <w:iCs/>
        </w:rPr>
        <w:t xml:space="preserve"> Redundancy usually takes place when an employer </w:t>
      </w:r>
      <w:r w:rsidR="00AD73C3">
        <w:rPr>
          <w:bCs/>
          <w:iCs/>
        </w:rPr>
        <w:t>has</w:t>
      </w:r>
      <w:r>
        <w:rPr>
          <w:bCs/>
          <w:iCs/>
        </w:rPr>
        <w:t xml:space="preserve"> to reduce the</w:t>
      </w:r>
      <w:r w:rsidR="00AD73C3">
        <w:rPr>
          <w:bCs/>
          <w:iCs/>
        </w:rPr>
        <w:t>ir</w:t>
      </w:r>
      <w:r>
        <w:rPr>
          <w:bCs/>
          <w:iCs/>
        </w:rPr>
        <w:t xml:space="preserve"> overall number of employees.</w:t>
      </w:r>
      <w:r w:rsidR="007017AE">
        <w:rPr>
          <w:bCs/>
          <w:iCs/>
        </w:rPr>
        <w:t xml:space="preserve"> </w:t>
      </w:r>
      <w:r w:rsidR="004B3A1A">
        <w:rPr>
          <w:bCs/>
          <w:iCs/>
        </w:rPr>
        <w:t>Redundancy</w:t>
      </w:r>
      <w:r w:rsidR="00AD73C3">
        <w:rPr>
          <w:bCs/>
          <w:iCs/>
        </w:rPr>
        <w:t xml:space="preserve"> provisions</w:t>
      </w:r>
      <w:r w:rsidR="004B3A1A">
        <w:rPr>
          <w:bCs/>
          <w:iCs/>
        </w:rPr>
        <w:t xml:space="preserve"> applies to all employees who have </w:t>
      </w:r>
      <w:r w:rsidR="0083179F">
        <w:rPr>
          <w:bCs/>
          <w:iCs/>
        </w:rPr>
        <w:t>two</w:t>
      </w:r>
      <w:r w:rsidR="004B3A1A">
        <w:rPr>
          <w:bCs/>
          <w:iCs/>
        </w:rPr>
        <w:t xml:space="preserve"> years continuous service with their employer</w:t>
      </w:r>
      <w:r>
        <w:rPr>
          <w:bCs/>
          <w:iCs/>
        </w:rPr>
        <w:t xml:space="preserve"> and can be applied in the following circumstances:</w:t>
      </w:r>
    </w:p>
    <w:p w14:paraId="75939D1F" w14:textId="34A966D8" w:rsidR="004B3A1A" w:rsidRDefault="004B3A1A" w:rsidP="004B3A1A">
      <w:pPr>
        <w:pStyle w:val="ListParagraph"/>
        <w:numPr>
          <w:ilvl w:val="0"/>
          <w:numId w:val="17"/>
        </w:numPr>
        <w:rPr>
          <w:bCs/>
          <w:iCs/>
        </w:rPr>
      </w:pPr>
      <w:r>
        <w:rPr>
          <w:bCs/>
          <w:iCs/>
        </w:rPr>
        <w:t>Where an employer has ceased, or intends to cease their business</w:t>
      </w:r>
    </w:p>
    <w:p w14:paraId="61DB34FF" w14:textId="3D220F65" w:rsidR="004B3A1A" w:rsidRDefault="004B3A1A" w:rsidP="004B3A1A">
      <w:pPr>
        <w:pStyle w:val="ListParagraph"/>
        <w:numPr>
          <w:ilvl w:val="0"/>
          <w:numId w:val="17"/>
        </w:numPr>
        <w:rPr>
          <w:bCs/>
          <w:iCs/>
        </w:rPr>
      </w:pPr>
      <w:r>
        <w:rPr>
          <w:bCs/>
          <w:iCs/>
        </w:rPr>
        <w:t>Where an employer’s requirement for employees to carry out specific work, or conduct this work from a specific location</w:t>
      </w:r>
    </w:p>
    <w:p w14:paraId="5EB56E41" w14:textId="2D94D8C0" w:rsidR="004B3A1A" w:rsidRDefault="004B3A1A" w:rsidP="004B3A1A">
      <w:pPr>
        <w:rPr>
          <w:bCs/>
          <w:iCs/>
        </w:rPr>
      </w:pPr>
      <w:r>
        <w:rPr>
          <w:bCs/>
          <w:iCs/>
        </w:rPr>
        <w:t xml:space="preserve">In these </w:t>
      </w:r>
      <w:r w:rsidR="00174192">
        <w:rPr>
          <w:bCs/>
          <w:iCs/>
        </w:rPr>
        <w:t>cases,</w:t>
      </w:r>
      <w:r>
        <w:rPr>
          <w:bCs/>
          <w:iCs/>
        </w:rPr>
        <w:t xml:space="preserve"> redundancy is wholly lawful and </w:t>
      </w:r>
      <w:r w:rsidR="00575E0C">
        <w:rPr>
          <w:bCs/>
          <w:iCs/>
        </w:rPr>
        <w:t>due to this</w:t>
      </w:r>
      <w:r w:rsidR="00AD73C3">
        <w:rPr>
          <w:bCs/>
          <w:iCs/>
        </w:rPr>
        <w:t>,</w:t>
      </w:r>
      <w:r w:rsidR="00575E0C">
        <w:rPr>
          <w:bCs/>
          <w:iCs/>
        </w:rPr>
        <w:t xml:space="preserve"> </w:t>
      </w:r>
      <w:r>
        <w:rPr>
          <w:bCs/>
          <w:iCs/>
        </w:rPr>
        <w:t>employees are entitled to:</w:t>
      </w:r>
    </w:p>
    <w:p w14:paraId="3D90CB03" w14:textId="7F04D007" w:rsidR="004B3A1A" w:rsidRDefault="004B3A1A" w:rsidP="004B3A1A">
      <w:pPr>
        <w:pStyle w:val="ListParagraph"/>
        <w:numPr>
          <w:ilvl w:val="0"/>
          <w:numId w:val="18"/>
        </w:numPr>
        <w:rPr>
          <w:bCs/>
          <w:iCs/>
        </w:rPr>
      </w:pPr>
      <w:r>
        <w:rPr>
          <w:bCs/>
          <w:iCs/>
        </w:rPr>
        <w:t>a redundancy payment</w:t>
      </w:r>
    </w:p>
    <w:p w14:paraId="76AD9194" w14:textId="2717115D" w:rsidR="004B3A1A" w:rsidRDefault="004B3A1A" w:rsidP="004B3A1A">
      <w:pPr>
        <w:pStyle w:val="ListParagraph"/>
        <w:numPr>
          <w:ilvl w:val="0"/>
          <w:numId w:val="18"/>
        </w:numPr>
        <w:rPr>
          <w:bCs/>
          <w:iCs/>
        </w:rPr>
      </w:pPr>
      <w:r>
        <w:rPr>
          <w:bCs/>
          <w:iCs/>
        </w:rPr>
        <w:t>a notice period payment</w:t>
      </w:r>
    </w:p>
    <w:p w14:paraId="3B01DEA6" w14:textId="012EC494" w:rsidR="004B3A1A" w:rsidRDefault="004B3A1A" w:rsidP="004B3A1A">
      <w:pPr>
        <w:rPr>
          <w:bCs/>
          <w:iCs/>
        </w:rPr>
      </w:pPr>
      <w:r>
        <w:rPr>
          <w:bCs/>
          <w:iCs/>
        </w:rPr>
        <w:t xml:space="preserve">When redundancies are planned there are duties which an employer must legally provide to their employees. </w:t>
      </w:r>
      <w:r w:rsidR="00AD73C3">
        <w:rPr>
          <w:bCs/>
          <w:iCs/>
        </w:rPr>
        <w:t>A</w:t>
      </w:r>
      <w:r>
        <w:rPr>
          <w:bCs/>
          <w:iCs/>
        </w:rPr>
        <w:t xml:space="preserve"> pool of candidates</w:t>
      </w:r>
      <w:r w:rsidR="00AD73C3">
        <w:rPr>
          <w:bCs/>
          <w:iCs/>
        </w:rPr>
        <w:t xml:space="preserve"> must</w:t>
      </w:r>
      <w:r>
        <w:rPr>
          <w:bCs/>
          <w:iCs/>
        </w:rPr>
        <w:t xml:space="preserve"> be identified from which redundancies are to be made. The way in which this pool is made up is largely down to the decision of the employer, however the selection process must be ‘reasonable’ and the employee must be made aware of the </w:t>
      </w:r>
      <w:r w:rsidR="00575E0C">
        <w:rPr>
          <w:bCs/>
          <w:iCs/>
        </w:rPr>
        <w:t>criteria</w:t>
      </w:r>
      <w:r>
        <w:rPr>
          <w:bCs/>
          <w:iCs/>
        </w:rPr>
        <w:t xml:space="preserve"> being used. This can include such things as:</w:t>
      </w:r>
    </w:p>
    <w:p w14:paraId="53751137" w14:textId="47049B47" w:rsidR="004B3A1A" w:rsidRDefault="004B3A1A" w:rsidP="004B3A1A">
      <w:pPr>
        <w:pStyle w:val="ListParagraph"/>
        <w:numPr>
          <w:ilvl w:val="0"/>
          <w:numId w:val="19"/>
        </w:numPr>
        <w:rPr>
          <w:bCs/>
          <w:iCs/>
        </w:rPr>
      </w:pPr>
      <w:r>
        <w:rPr>
          <w:bCs/>
          <w:iCs/>
        </w:rPr>
        <w:t>length of service</w:t>
      </w:r>
    </w:p>
    <w:p w14:paraId="16C5C285" w14:textId="2D3D2BDA" w:rsidR="004B3A1A" w:rsidRDefault="004B3A1A" w:rsidP="004B3A1A">
      <w:pPr>
        <w:pStyle w:val="ListParagraph"/>
        <w:numPr>
          <w:ilvl w:val="0"/>
          <w:numId w:val="19"/>
        </w:numPr>
        <w:rPr>
          <w:bCs/>
          <w:iCs/>
        </w:rPr>
      </w:pPr>
      <w:r>
        <w:rPr>
          <w:bCs/>
          <w:iCs/>
        </w:rPr>
        <w:t>attendance record</w:t>
      </w:r>
    </w:p>
    <w:p w14:paraId="1EC8193F" w14:textId="27E195FB" w:rsidR="004B3A1A" w:rsidRDefault="004B3A1A" w:rsidP="004B3A1A">
      <w:pPr>
        <w:pStyle w:val="ListParagraph"/>
        <w:numPr>
          <w:ilvl w:val="0"/>
          <w:numId w:val="19"/>
        </w:numPr>
        <w:rPr>
          <w:bCs/>
          <w:iCs/>
        </w:rPr>
      </w:pPr>
      <w:r>
        <w:rPr>
          <w:bCs/>
          <w:iCs/>
        </w:rPr>
        <w:t>disciplinary record</w:t>
      </w:r>
    </w:p>
    <w:p w14:paraId="14437974" w14:textId="10A013EC" w:rsidR="004B3A1A" w:rsidRDefault="004B3A1A" w:rsidP="004B3A1A">
      <w:pPr>
        <w:pStyle w:val="ListParagraph"/>
        <w:numPr>
          <w:ilvl w:val="0"/>
          <w:numId w:val="19"/>
        </w:numPr>
        <w:rPr>
          <w:bCs/>
          <w:iCs/>
        </w:rPr>
      </w:pPr>
      <w:r>
        <w:rPr>
          <w:bCs/>
          <w:iCs/>
        </w:rPr>
        <w:t>skills, competencies and qualifications</w:t>
      </w:r>
    </w:p>
    <w:p w14:paraId="6828F549" w14:textId="2BEB4852" w:rsidR="004B3A1A" w:rsidRDefault="004B3A1A" w:rsidP="004B3A1A">
      <w:pPr>
        <w:pStyle w:val="ListParagraph"/>
        <w:numPr>
          <w:ilvl w:val="0"/>
          <w:numId w:val="19"/>
        </w:numPr>
        <w:rPr>
          <w:bCs/>
          <w:iCs/>
        </w:rPr>
      </w:pPr>
      <w:r>
        <w:rPr>
          <w:bCs/>
          <w:iCs/>
        </w:rPr>
        <w:t>work experience</w:t>
      </w:r>
    </w:p>
    <w:p w14:paraId="7C4232E6" w14:textId="5EB7F013" w:rsidR="004B3A1A" w:rsidRDefault="004B3A1A" w:rsidP="004B3A1A">
      <w:pPr>
        <w:pStyle w:val="ListParagraph"/>
        <w:numPr>
          <w:ilvl w:val="0"/>
          <w:numId w:val="19"/>
        </w:numPr>
        <w:rPr>
          <w:bCs/>
          <w:iCs/>
        </w:rPr>
      </w:pPr>
      <w:r>
        <w:rPr>
          <w:bCs/>
          <w:iCs/>
        </w:rPr>
        <w:t>performance records</w:t>
      </w:r>
    </w:p>
    <w:p w14:paraId="5181F7CC" w14:textId="312BF08E" w:rsidR="004B3A1A" w:rsidRDefault="004B3A1A" w:rsidP="004B3A1A">
      <w:pPr>
        <w:rPr>
          <w:bCs/>
          <w:i/>
          <w:sz w:val="18"/>
          <w:szCs w:val="18"/>
        </w:rPr>
      </w:pPr>
      <w:r w:rsidRPr="004B3A1A">
        <w:rPr>
          <w:bCs/>
          <w:i/>
          <w:sz w:val="18"/>
          <w:szCs w:val="18"/>
        </w:rPr>
        <w:t>(</w:t>
      </w:r>
      <w:r w:rsidR="009864F1">
        <w:rPr>
          <w:bCs/>
          <w:i/>
          <w:sz w:val="18"/>
          <w:szCs w:val="18"/>
        </w:rPr>
        <w:t xml:space="preserve">Ayling, L and Suff, R. 2020 </w:t>
      </w:r>
      <w:r w:rsidRPr="004B3A1A">
        <w:rPr>
          <w:bCs/>
          <w:i/>
          <w:sz w:val="18"/>
          <w:szCs w:val="18"/>
        </w:rPr>
        <w:t>)</w:t>
      </w:r>
    </w:p>
    <w:p w14:paraId="63AB131B" w14:textId="54A6C9E0" w:rsidR="004B3A1A" w:rsidRDefault="00855D55" w:rsidP="004B3A1A">
      <w:pPr>
        <w:rPr>
          <w:bCs/>
          <w:iCs/>
        </w:rPr>
      </w:pPr>
      <w:r>
        <w:rPr>
          <w:bCs/>
          <w:iCs/>
        </w:rPr>
        <w:t xml:space="preserve">Whilst the employer </w:t>
      </w:r>
      <w:r w:rsidR="00A9377D">
        <w:rPr>
          <w:bCs/>
          <w:iCs/>
        </w:rPr>
        <w:t>can</w:t>
      </w:r>
      <w:r>
        <w:rPr>
          <w:bCs/>
          <w:iCs/>
        </w:rPr>
        <w:t xml:space="preserve"> choose the </w:t>
      </w:r>
      <w:r w:rsidR="00A9377D">
        <w:rPr>
          <w:bCs/>
          <w:iCs/>
        </w:rPr>
        <w:t xml:space="preserve">selection </w:t>
      </w:r>
      <w:r>
        <w:rPr>
          <w:bCs/>
          <w:iCs/>
        </w:rPr>
        <w:t xml:space="preserve">method, a range of </w:t>
      </w:r>
      <w:r w:rsidR="00A23382">
        <w:rPr>
          <w:bCs/>
          <w:iCs/>
        </w:rPr>
        <w:t>criteri</w:t>
      </w:r>
      <w:r w:rsidR="00575E0C">
        <w:rPr>
          <w:bCs/>
          <w:iCs/>
        </w:rPr>
        <w:t>a</w:t>
      </w:r>
      <w:r>
        <w:rPr>
          <w:bCs/>
          <w:iCs/>
        </w:rPr>
        <w:t xml:space="preserve"> </w:t>
      </w:r>
      <w:r w:rsidR="00A9377D">
        <w:rPr>
          <w:bCs/>
          <w:iCs/>
        </w:rPr>
        <w:t>should</w:t>
      </w:r>
      <w:r>
        <w:rPr>
          <w:bCs/>
          <w:iCs/>
        </w:rPr>
        <w:t xml:space="preserve"> be used. This will reduce any possible claims of discrimination being brought against the employer. Additionally, where an employer has more than 20 employees facing redundancy, collective consultation</w:t>
      </w:r>
      <w:r w:rsidR="00A9377D">
        <w:rPr>
          <w:bCs/>
          <w:iCs/>
        </w:rPr>
        <w:t xml:space="preserve"> must</w:t>
      </w:r>
      <w:r>
        <w:rPr>
          <w:bCs/>
          <w:iCs/>
        </w:rPr>
        <w:t xml:space="preserve"> take place. This can be facilitated through a recognised trade union or an employee representative</w:t>
      </w:r>
      <w:r w:rsidR="00A23382">
        <w:rPr>
          <w:bCs/>
          <w:iCs/>
        </w:rPr>
        <w:t xml:space="preserve"> -</w:t>
      </w:r>
      <w:r>
        <w:rPr>
          <w:bCs/>
          <w:iCs/>
        </w:rPr>
        <w:t xml:space="preserve"> where no recognised trade union is in being. </w:t>
      </w:r>
      <w:r w:rsidR="00B56D40">
        <w:rPr>
          <w:bCs/>
          <w:iCs/>
        </w:rPr>
        <w:t xml:space="preserve">Failure to provide consultation can result in compensation payments being </w:t>
      </w:r>
      <w:r w:rsidR="00A9377D">
        <w:rPr>
          <w:bCs/>
          <w:iCs/>
        </w:rPr>
        <w:t>made</w:t>
      </w:r>
      <w:r w:rsidR="00B56D40">
        <w:rPr>
          <w:bCs/>
          <w:iCs/>
        </w:rPr>
        <w:t xml:space="preserve"> to affected employees.</w:t>
      </w:r>
    </w:p>
    <w:p w14:paraId="08EAD022" w14:textId="305DC94D" w:rsidR="00B56D40" w:rsidRDefault="00B56D40" w:rsidP="004B3A1A">
      <w:pPr>
        <w:rPr>
          <w:bCs/>
          <w:iCs/>
        </w:rPr>
      </w:pPr>
      <w:r>
        <w:rPr>
          <w:bCs/>
          <w:iCs/>
        </w:rPr>
        <w:t>As well as consulting with their employees, employers must also aim to provide alternative work to those affected. Where this is provided and refused by an employee, this will then affect their right to redundancy payments. Where alterative work is found</w:t>
      </w:r>
      <w:r w:rsidR="00311CCE">
        <w:rPr>
          <w:bCs/>
          <w:iCs/>
        </w:rPr>
        <w:t>,</w:t>
      </w:r>
      <w:r>
        <w:rPr>
          <w:bCs/>
          <w:iCs/>
        </w:rPr>
        <w:t xml:space="preserve"> the employee is entitled to a four-week trial period, after which time a decision is taken as to the suitability of the new role. Where this is not deemed to be suitable, the employee reverts back to being redundant.</w:t>
      </w:r>
    </w:p>
    <w:p w14:paraId="7A92BDD0" w14:textId="190062E5" w:rsidR="00B56D40" w:rsidRDefault="00B56D40" w:rsidP="004B3A1A">
      <w:pPr>
        <w:rPr>
          <w:bCs/>
          <w:iCs/>
        </w:rPr>
      </w:pPr>
      <w:r>
        <w:rPr>
          <w:bCs/>
          <w:iCs/>
        </w:rPr>
        <w:t xml:space="preserve">Where an organisation </w:t>
      </w:r>
      <w:r w:rsidR="002767B4">
        <w:rPr>
          <w:bCs/>
          <w:iCs/>
        </w:rPr>
        <w:t>makes the decision to transfer all or part of its service to a new owner, the Transfer or Undertakings (Protection of Earnings) Regulations 2006 apply, commonly referred to as TUPE. These regulations protect employees and ensure that, where they are affected, they will receive the same terms and conditions as they did prior to the change. There are specific situations where TUPE applies and equally where it does not. These include:</w:t>
      </w:r>
    </w:p>
    <w:p w14:paraId="24F1D70F" w14:textId="596ED0AC" w:rsidR="002767B4" w:rsidRPr="00CB5B9C" w:rsidRDefault="002767B4" w:rsidP="004B3A1A">
      <w:pPr>
        <w:rPr>
          <w:b/>
          <w:iCs/>
        </w:rPr>
      </w:pPr>
      <w:r w:rsidRPr="00CB5B9C">
        <w:rPr>
          <w:b/>
          <w:iCs/>
        </w:rPr>
        <w:lastRenderedPageBreak/>
        <w:t>TUPE applies:</w:t>
      </w:r>
    </w:p>
    <w:p w14:paraId="0B4830C7" w14:textId="52FBEBD9" w:rsidR="002767B4" w:rsidRDefault="002767B4" w:rsidP="002767B4">
      <w:pPr>
        <w:pStyle w:val="ListParagraph"/>
        <w:numPr>
          <w:ilvl w:val="0"/>
          <w:numId w:val="20"/>
        </w:numPr>
        <w:rPr>
          <w:bCs/>
          <w:iCs/>
        </w:rPr>
      </w:pPr>
      <w:r>
        <w:rPr>
          <w:bCs/>
          <w:iCs/>
        </w:rPr>
        <w:t>M</w:t>
      </w:r>
      <w:r w:rsidRPr="002767B4">
        <w:rPr>
          <w:bCs/>
          <w:iCs/>
        </w:rPr>
        <w:t>ergers</w:t>
      </w:r>
    </w:p>
    <w:p w14:paraId="2593BF2C" w14:textId="6CE1FF77" w:rsidR="002767B4" w:rsidRDefault="002767B4" w:rsidP="002767B4">
      <w:pPr>
        <w:pStyle w:val="ListParagraph"/>
        <w:numPr>
          <w:ilvl w:val="0"/>
          <w:numId w:val="20"/>
        </w:numPr>
        <w:rPr>
          <w:bCs/>
          <w:iCs/>
        </w:rPr>
      </w:pPr>
      <w:r>
        <w:rPr>
          <w:bCs/>
          <w:iCs/>
        </w:rPr>
        <w:t>Sales of business by sale of assets</w:t>
      </w:r>
    </w:p>
    <w:p w14:paraId="35126939" w14:textId="2DBE0349" w:rsidR="002767B4" w:rsidRDefault="002767B4" w:rsidP="002767B4">
      <w:pPr>
        <w:pStyle w:val="ListParagraph"/>
        <w:numPr>
          <w:ilvl w:val="0"/>
          <w:numId w:val="20"/>
        </w:numPr>
        <w:rPr>
          <w:bCs/>
          <w:iCs/>
        </w:rPr>
      </w:pPr>
      <w:r>
        <w:rPr>
          <w:bCs/>
          <w:iCs/>
        </w:rPr>
        <w:t>A change of licensee or franchisee</w:t>
      </w:r>
    </w:p>
    <w:p w14:paraId="6D90CA34" w14:textId="15873487" w:rsidR="002767B4" w:rsidRDefault="002767B4" w:rsidP="002767B4">
      <w:pPr>
        <w:pStyle w:val="ListParagraph"/>
        <w:numPr>
          <w:ilvl w:val="0"/>
          <w:numId w:val="20"/>
        </w:numPr>
        <w:rPr>
          <w:bCs/>
          <w:iCs/>
        </w:rPr>
      </w:pPr>
      <w:r>
        <w:rPr>
          <w:bCs/>
          <w:iCs/>
        </w:rPr>
        <w:t>The gift of a business through the execution of a will</w:t>
      </w:r>
    </w:p>
    <w:p w14:paraId="4C1A3F74" w14:textId="77777777" w:rsidR="002767B4" w:rsidRDefault="002767B4" w:rsidP="002767B4">
      <w:pPr>
        <w:pStyle w:val="ListParagraph"/>
        <w:numPr>
          <w:ilvl w:val="0"/>
          <w:numId w:val="20"/>
        </w:numPr>
        <w:rPr>
          <w:bCs/>
          <w:iCs/>
        </w:rPr>
      </w:pPr>
      <w:r>
        <w:rPr>
          <w:bCs/>
          <w:iCs/>
        </w:rPr>
        <w:t>Transfers out of companies in administration</w:t>
      </w:r>
    </w:p>
    <w:p w14:paraId="0B89F34C" w14:textId="77777777" w:rsidR="002767B4" w:rsidRDefault="002767B4" w:rsidP="002767B4">
      <w:pPr>
        <w:pStyle w:val="ListParagraph"/>
        <w:numPr>
          <w:ilvl w:val="0"/>
          <w:numId w:val="20"/>
        </w:numPr>
        <w:rPr>
          <w:bCs/>
          <w:iCs/>
        </w:rPr>
      </w:pPr>
      <w:r>
        <w:rPr>
          <w:bCs/>
          <w:iCs/>
        </w:rPr>
        <w:t>Contracting out of services</w:t>
      </w:r>
    </w:p>
    <w:p w14:paraId="1A27F214" w14:textId="77777777" w:rsidR="00CB5B9C" w:rsidRDefault="00CB5B9C" w:rsidP="002767B4">
      <w:pPr>
        <w:pStyle w:val="ListParagraph"/>
        <w:numPr>
          <w:ilvl w:val="0"/>
          <w:numId w:val="20"/>
        </w:numPr>
        <w:rPr>
          <w:bCs/>
          <w:iCs/>
        </w:rPr>
      </w:pPr>
      <w:r>
        <w:rPr>
          <w:bCs/>
          <w:iCs/>
        </w:rPr>
        <w:t>Changing contractors</w:t>
      </w:r>
    </w:p>
    <w:p w14:paraId="1A8681D7" w14:textId="389D3919" w:rsidR="00CB5B9C" w:rsidRDefault="00CB5B9C" w:rsidP="002767B4">
      <w:pPr>
        <w:pStyle w:val="ListParagraph"/>
        <w:numPr>
          <w:ilvl w:val="0"/>
          <w:numId w:val="20"/>
        </w:numPr>
        <w:rPr>
          <w:bCs/>
          <w:iCs/>
        </w:rPr>
      </w:pPr>
      <w:r>
        <w:rPr>
          <w:bCs/>
          <w:iCs/>
        </w:rPr>
        <w:t>Situations where all of part of a sole trader’s business or partnership [ is sold of otherwise transferred</w:t>
      </w:r>
    </w:p>
    <w:p w14:paraId="7EF6D0F1" w14:textId="46A99A5D" w:rsidR="002767B4" w:rsidRDefault="00CB5B9C" w:rsidP="00CB5B9C">
      <w:pPr>
        <w:rPr>
          <w:b/>
          <w:iCs/>
        </w:rPr>
      </w:pPr>
      <w:r w:rsidRPr="00CB5B9C">
        <w:rPr>
          <w:b/>
          <w:iCs/>
        </w:rPr>
        <w:t>TUPE does not apply:</w:t>
      </w:r>
    </w:p>
    <w:p w14:paraId="2D3722EA" w14:textId="77777777" w:rsidR="00CB5B9C" w:rsidRPr="00CB5B9C" w:rsidRDefault="00CB5B9C" w:rsidP="00CB5B9C">
      <w:pPr>
        <w:pStyle w:val="ListParagraph"/>
        <w:numPr>
          <w:ilvl w:val="0"/>
          <w:numId w:val="21"/>
        </w:numPr>
        <w:rPr>
          <w:rFonts w:cstheme="minorHAnsi"/>
          <w:bCs/>
          <w:iCs/>
        </w:rPr>
      </w:pPr>
      <w:r w:rsidRPr="00CB5B9C">
        <w:rPr>
          <w:rFonts w:cstheme="minorHAnsi"/>
          <w:bCs/>
          <w:iCs/>
        </w:rPr>
        <w:t>transfers by share take-over</w:t>
      </w:r>
    </w:p>
    <w:p w14:paraId="3743455F" w14:textId="77777777" w:rsidR="00CB5B9C" w:rsidRPr="00CB5B9C" w:rsidRDefault="00CB5B9C" w:rsidP="00CB5B9C">
      <w:pPr>
        <w:pStyle w:val="ListParagraph"/>
        <w:numPr>
          <w:ilvl w:val="0"/>
          <w:numId w:val="21"/>
        </w:numPr>
        <w:rPr>
          <w:rFonts w:cstheme="minorHAnsi"/>
          <w:bCs/>
          <w:iCs/>
        </w:rPr>
      </w:pPr>
      <w:r w:rsidRPr="00CB5B9C">
        <w:rPr>
          <w:rFonts w:cstheme="minorHAnsi"/>
          <w:bCs/>
          <w:iCs/>
        </w:rPr>
        <w:t>transfers of assets only (for example, the sale of equipment alone would not be covered, but the sale of a going concern including equipment would be covered)</w:t>
      </w:r>
    </w:p>
    <w:p w14:paraId="2AC9299A" w14:textId="77777777" w:rsidR="00CB5B9C" w:rsidRPr="00CB5B9C" w:rsidRDefault="00CB5B9C" w:rsidP="00CB5B9C">
      <w:pPr>
        <w:pStyle w:val="ListParagraph"/>
        <w:numPr>
          <w:ilvl w:val="0"/>
          <w:numId w:val="21"/>
        </w:numPr>
        <w:rPr>
          <w:rFonts w:cstheme="minorHAnsi"/>
          <w:bCs/>
          <w:iCs/>
        </w:rPr>
      </w:pPr>
      <w:r w:rsidRPr="00CB5B9C">
        <w:rPr>
          <w:rFonts w:cstheme="minorHAnsi"/>
          <w:bCs/>
          <w:iCs/>
        </w:rPr>
        <w:t>buying in services from a contractor on a one-off basis - rather than entering into an ongoing relationship for the provision of the services</w:t>
      </w:r>
    </w:p>
    <w:p w14:paraId="024DB57E" w14:textId="77777777" w:rsidR="00CB5B9C" w:rsidRPr="00CB5B9C" w:rsidRDefault="00CB5B9C" w:rsidP="00CB5B9C">
      <w:pPr>
        <w:pStyle w:val="ListParagraph"/>
        <w:numPr>
          <w:ilvl w:val="0"/>
          <w:numId w:val="21"/>
        </w:numPr>
        <w:rPr>
          <w:rFonts w:cstheme="minorHAnsi"/>
          <w:bCs/>
          <w:iCs/>
        </w:rPr>
      </w:pPr>
      <w:r w:rsidRPr="00CB5B9C">
        <w:rPr>
          <w:rFonts w:cstheme="minorHAnsi"/>
          <w:bCs/>
          <w:iCs/>
        </w:rPr>
        <w:t>a situation where there is a change of business identity, for example if the nature of the work or the organisational structure changes radically</w:t>
      </w:r>
    </w:p>
    <w:p w14:paraId="7A384D41" w14:textId="77777777" w:rsidR="00CB5B9C" w:rsidRPr="00CB5B9C" w:rsidRDefault="00CB5B9C" w:rsidP="00CB5B9C">
      <w:pPr>
        <w:pStyle w:val="ListParagraph"/>
        <w:numPr>
          <w:ilvl w:val="0"/>
          <w:numId w:val="21"/>
        </w:numPr>
        <w:rPr>
          <w:rFonts w:cstheme="minorHAnsi"/>
          <w:bCs/>
          <w:iCs/>
        </w:rPr>
      </w:pPr>
      <w:r w:rsidRPr="00CB5B9C">
        <w:rPr>
          <w:rFonts w:cstheme="minorHAnsi"/>
          <w:bCs/>
          <w:iCs/>
        </w:rPr>
        <w:t>the supply of goods for the client's use (for example, supplying food to a client to sell in its staff canteen, rather than a situation where the contractor runs the canteen for the client).</w:t>
      </w:r>
    </w:p>
    <w:p w14:paraId="7393B52D" w14:textId="5CF8B671" w:rsidR="00CB5B9C" w:rsidRPr="00CB5B9C" w:rsidRDefault="00CB5B9C" w:rsidP="00CB5B9C">
      <w:pPr>
        <w:pStyle w:val="ListParagraph"/>
        <w:numPr>
          <w:ilvl w:val="0"/>
          <w:numId w:val="21"/>
        </w:numPr>
        <w:rPr>
          <w:rFonts w:cstheme="minorHAnsi"/>
          <w:bCs/>
          <w:iCs/>
        </w:rPr>
      </w:pPr>
      <w:r w:rsidRPr="00CB5B9C">
        <w:rPr>
          <w:rFonts w:cstheme="minorHAnsi"/>
          <w:bCs/>
          <w:iCs/>
        </w:rPr>
        <w:t>transfers of undertakings situated outside the UK (although these may be covered by the regulations of other member states).</w:t>
      </w:r>
    </w:p>
    <w:p w14:paraId="5FC293B6" w14:textId="1702E446" w:rsidR="00CB5B9C" w:rsidRDefault="00CB5B9C" w:rsidP="00CB5B9C">
      <w:pPr>
        <w:rPr>
          <w:bCs/>
          <w:i/>
          <w:sz w:val="18"/>
          <w:szCs w:val="18"/>
        </w:rPr>
      </w:pPr>
      <w:r w:rsidRPr="00CB5B9C">
        <w:rPr>
          <w:bCs/>
          <w:i/>
          <w:sz w:val="18"/>
          <w:szCs w:val="18"/>
        </w:rPr>
        <w:t>(</w:t>
      </w:r>
      <w:hyperlink r:id="rId13" w:history="1">
        <w:r w:rsidR="0012393E">
          <w:rPr>
            <w:rStyle w:val="Hyperlink"/>
            <w:bCs/>
            <w:i/>
            <w:sz w:val="18"/>
            <w:szCs w:val="18"/>
          </w:rPr>
          <w:t>Ayling</w:t>
        </w:r>
      </w:hyperlink>
      <w:r w:rsidR="0012393E">
        <w:rPr>
          <w:rStyle w:val="Hyperlink"/>
          <w:bCs/>
          <w:i/>
          <w:sz w:val="18"/>
          <w:szCs w:val="18"/>
        </w:rPr>
        <w:t>, L and Suff, R. 2020</w:t>
      </w:r>
      <w:r w:rsidRPr="00CB5B9C">
        <w:rPr>
          <w:bCs/>
          <w:i/>
          <w:sz w:val="18"/>
          <w:szCs w:val="18"/>
        </w:rPr>
        <w:t>)</w:t>
      </w:r>
    </w:p>
    <w:p w14:paraId="43BC1E09" w14:textId="17CC1307" w:rsidR="00DE25DC" w:rsidRDefault="00483FCB" w:rsidP="00DE25DC">
      <w:pPr>
        <w:rPr>
          <w:bCs/>
          <w:iCs/>
        </w:rPr>
      </w:pPr>
      <w:r>
        <w:rPr>
          <w:bCs/>
          <w:iCs/>
        </w:rPr>
        <w:t xml:space="preserve">TUPE regulations provide legal protection to employees, however they tend to be more in favour of the employer. This is due to them not allowing employees to object to being transferred to another organisation, as long as the TUPE regulations have been followed and as long as their conditions in the new employer are not less favourable that their existing ones. A further </w:t>
      </w:r>
      <w:r w:rsidR="00CB5B9C">
        <w:rPr>
          <w:bCs/>
          <w:iCs/>
        </w:rPr>
        <w:t>important part of the TUPE process, as with others, is the need for full consultation to be conducted with all employees who are affected. This must be done as early as is possible and must be done through a recognised trade union, unless there are less than 10 employees in the affected business, at which point the organisation can consult directly with the employees. Failure to provide consultation can result in up to 13 weeks payment being made to the employees as compensation.</w:t>
      </w:r>
    </w:p>
    <w:p w14:paraId="0B02A60C" w14:textId="51F88848" w:rsidR="00483FCB" w:rsidRDefault="00483FCB" w:rsidP="00DE25DC">
      <w:pPr>
        <w:rPr>
          <w:bCs/>
          <w:iCs/>
        </w:rPr>
      </w:pPr>
      <w:r>
        <w:rPr>
          <w:bCs/>
          <w:iCs/>
        </w:rPr>
        <w:t xml:space="preserve">Lastly, it should be noted that an employee is not able to bring a claim against the employer of unfair dismissal, unless their new conditions are the same as their previous conditions. This would result in TUPE not being followed fully and would allow a claim to be brought. </w:t>
      </w:r>
    </w:p>
    <w:p w14:paraId="232B3B47" w14:textId="77777777" w:rsidR="000C245C" w:rsidRPr="000C245C" w:rsidRDefault="000C245C" w:rsidP="00DE25DC">
      <w:pPr>
        <w:rPr>
          <w:b/>
          <w:iCs/>
        </w:rPr>
      </w:pPr>
    </w:p>
    <w:p w14:paraId="22D9239A" w14:textId="77777777" w:rsidR="00DE25DC" w:rsidRDefault="00DE25DC" w:rsidP="000D76A6">
      <w:pPr>
        <w:pStyle w:val="ListParagraph"/>
        <w:numPr>
          <w:ilvl w:val="0"/>
          <w:numId w:val="11"/>
        </w:numPr>
        <w:rPr>
          <w:b/>
          <w:i/>
        </w:rPr>
      </w:pPr>
      <w:r>
        <w:rPr>
          <w:b/>
          <w:i/>
        </w:rPr>
        <w:t>Summarise:</w:t>
      </w:r>
    </w:p>
    <w:p w14:paraId="7F3786BC" w14:textId="77777777" w:rsidR="00DE25DC" w:rsidRDefault="00DE25DC" w:rsidP="000D76A6">
      <w:pPr>
        <w:pStyle w:val="ListParagraph"/>
        <w:numPr>
          <w:ilvl w:val="1"/>
          <w:numId w:val="11"/>
        </w:numPr>
        <w:rPr>
          <w:b/>
          <w:i/>
        </w:rPr>
      </w:pPr>
      <w:r>
        <w:rPr>
          <w:b/>
          <w:i/>
        </w:rPr>
        <w:t>The major statutory rights employees have in relation to pay, holidays and working time and,</w:t>
      </w:r>
    </w:p>
    <w:p w14:paraId="1038D88E" w14:textId="77777777" w:rsidR="00DE25DC" w:rsidRDefault="00DE25DC" w:rsidP="000D76A6">
      <w:pPr>
        <w:pStyle w:val="ListParagraph"/>
        <w:numPr>
          <w:ilvl w:val="1"/>
          <w:numId w:val="11"/>
        </w:numPr>
        <w:rPr>
          <w:b/>
          <w:i/>
        </w:rPr>
      </w:pPr>
      <w:r>
        <w:rPr>
          <w:b/>
          <w:i/>
        </w:rPr>
        <w:t>The major maternity, paternity and other family-friendly employment rights.</w:t>
      </w:r>
    </w:p>
    <w:p w14:paraId="296FD356" w14:textId="460F2B96" w:rsidR="000D76A6" w:rsidRDefault="000D76A6" w:rsidP="00DE25DC">
      <w:pPr>
        <w:rPr>
          <w:bCs/>
          <w:iCs/>
        </w:rPr>
      </w:pPr>
      <w:r>
        <w:rPr>
          <w:bCs/>
          <w:iCs/>
        </w:rPr>
        <w:t xml:space="preserve">Both workers and employees have statutory rights when it comes to pay, holiday entitlement and working time. The amount individuals are paid, what they must do receive their pay and how long </w:t>
      </w:r>
      <w:r>
        <w:rPr>
          <w:bCs/>
          <w:iCs/>
        </w:rPr>
        <w:lastRenderedPageBreak/>
        <w:t>they are expected to work are the most important elements of an individual’s contract of employment. The amount someone must be paid may differ to what they are paid, however since 1999 as a minimum</w:t>
      </w:r>
      <w:r w:rsidR="00C62201">
        <w:rPr>
          <w:bCs/>
          <w:iCs/>
        </w:rPr>
        <w:t>,</w:t>
      </w:r>
      <w:r>
        <w:rPr>
          <w:bCs/>
          <w:iCs/>
        </w:rPr>
        <w:t xml:space="preserve"> the law sets out national minimum wage levels for differing age groups. As of April 2020, these are</w:t>
      </w:r>
      <w:r w:rsidR="00C870FF">
        <w:t>)</w:t>
      </w:r>
      <w:r>
        <w:rPr>
          <w:bCs/>
          <w:iCs/>
        </w:rPr>
        <w:t>:</w:t>
      </w:r>
    </w:p>
    <w:p w14:paraId="34BD4F7F" w14:textId="4BDC1089" w:rsidR="00E05F91" w:rsidRDefault="000D76A6" w:rsidP="00DE25DC">
      <w:pPr>
        <w:rPr>
          <w:bCs/>
          <w:iCs/>
        </w:rPr>
      </w:pPr>
      <w:r>
        <w:rPr>
          <w:bCs/>
          <w:iCs/>
        </w:rPr>
        <w:t xml:space="preserve">National Living Wage </w:t>
      </w:r>
      <w:r>
        <w:rPr>
          <w:bCs/>
          <w:iCs/>
        </w:rPr>
        <w:tab/>
        <w:t>- £8.72</w:t>
      </w:r>
      <w:r>
        <w:rPr>
          <w:bCs/>
          <w:iCs/>
        </w:rPr>
        <w:br/>
        <w:t>21-24 Year olds</w:t>
      </w:r>
      <w:r>
        <w:rPr>
          <w:bCs/>
          <w:iCs/>
        </w:rPr>
        <w:tab/>
      </w:r>
      <w:r>
        <w:rPr>
          <w:bCs/>
          <w:iCs/>
        </w:rPr>
        <w:tab/>
        <w:t>- £8.20</w:t>
      </w:r>
      <w:r>
        <w:rPr>
          <w:bCs/>
          <w:iCs/>
        </w:rPr>
        <w:br/>
        <w:t>18-20 Year olds</w:t>
      </w:r>
      <w:r>
        <w:rPr>
          <w:bCs/>
          <w:iCs/>
        </w:rPr>
        <w:tab/>
      </w:r>
      <w:r>
        <w:rPr>
          <w:bCs/>
          <w:iCs/>
        </w:rPr>
        <w:tab/>
        <w:t>- £6.45</w:t>
      </w:r>
      <w:r>
        <w:rPr>
          <w:bCs/>
          <w:iCs/>
        </w:rPr>
        <w:br/>
        <w:t>16-17 Year olds</w:t>
      </w:r>
      <w:r>
        <w:rPr>
          <w:bCs/>
          <w:iCs/>
        </w:rPr>
        <w:tab/>
      </w:r>
      <w:r>
        <w:rPr>
          <w:bCs/>
          <w:iCs/>
        </w:rPr>
        <w:tab/>
        <w:t>- £4.55</w:t>
      </w:r>
      <w:r>
        <w:rPr>
          <w:bCs/>
          <w:iCs/>
        </w:rPr>
        <w:br/>
      </w:r>
      <w:r w:rsidR="00E05F91">
        <w:rPr>
          <w:bCs/>
          <w:iCs/>
        </w:rPr>
        <w:t>Apprentice Rate</w:t>
      </w:r>
      <w:r w:rsidR="00E05F91">
        <w:rPr>
          <w:bCs/>
          <w:iCs/>
        </w:rPr>
        <w:tab/>
        <w:t>- £4.15</w:t>
      </w:r>
      <w:r w:rsidR="00E05F91">
        <w:rPr>
          <w:bCs/>
          <w:iCs/>
        </w:rPr>
        <w:br/>
        <w:t>Accommodation Offset</w:t>
      </w:r>
      <w:r w:rsidR="00E05F91">
        <w:rPr>
          <w:bCs/>
          <w:iCs/>
        </w:rPr>
        <w:tab/>
        <w:t>- £8.20</w:t>
      </w:r>
    </w:p>
    <w:p w14:paraId="547334D4" w14:textId="451E75A8" w:rsidR="00C870FF" w:rsidRPr="00C870FF" w:rsidRDefault="00C870FF" w:rsidP="00DE25DC">
      <w:pPr>
        <w:rPr>
          <w:bCs/>
          <w:i/>
          <w:sz w:val="18"/>
          <w:szCs w:val="18"/>
        </w:rPr>
      </w:pPr>
      <w:r w:rsidRPr="00C870FF">
        <w:rPr>
          <w:bCs/>
          <w:i/>
          <w:sz w:val="18"/>
          <w:szCs w:val="18"/>
        </w:rPr>
        <w:t>(</w:t>
      </w:r>
      <w:r w:rsidRPr="00C870FF">
        <w:rPr>
          <w:i/>
          <w:sz w:val="18"/>
          <w:szCs w:val="18"/>
        </w:rPr>
        <w:t>Low Pay Commission, 2020)</w:t>
      </w:r>
    </w:p>
    <w:p w14:paraId="759310E1" w14:textId="64088CCA" w:rsidR="001D6E16" w:rsidRDefault="00E05F91" w:rsidP="00DE25DC">
      <w:pPr>
        <w:rPr>
          <w:bCs/>
          <w:iCs/>
        </w:rPr>
      </w:pPr>
      <w:r>
        <w:rPr>
          <w:bCs/>
          <w:iCs/>
        </w:rPr>
        <w:t>These values are set each year by Government, who are advised on the recommended</w:t>
      </w:r>
      <w:r w:rsidR="00C62201">
        <w:rPr>
          <w:bCs/>
          <w:iCs/>
        </w:rPr>
        <w:t xml:space="preserve"> levels</w:t>
      </w:r>
      <w:r>
        <w:rPr>
          <w:bCs/>
          <w:iCs/>
        </w:rPr>
        <w:t xml:space="preserve"> by the Low Pay Commission (LPC); an independent public body made up of nine Commissioner</w:t>
      </w:r>
      <w:r w:rsidR="00C62201">
        <w:rPr>
          <w:bCs/>
          <w:iCs/>
        </w:rPr>
        <w:t>s</w:t>
      </w:r>
      <w:r>
        <w:rPr>
          <w:bCs/>
          <w:iCs/>
        </w:rPr>
        <w:t xml:space="preserve"> which was founded in 1998. </w:t>
      </w:r>
    </w:p>
    <w:p w14:paraId="1FD9B792" w14:textId="0A1A4D57" w:rsidR="00B61F09" w:rsidRDefault="00E05F91" w:rsidP="00DE25DC">
      <w:pPr>
        <w:rPr>
          <w:bCs/>
          <w:iCs/>
        </w:rPr>
      </w:pPr>
      <w:r>
        <w:rPr>
          <w:bCs/>
          <w:iCs/>
        </w:rPr>
        <w:t xml:space="preserve">The contract of employment must detail what an employee or worker is to be paid and how this value is calculated. </w:t>
      </w:r>
      <w:r w:rsidR="00B61F09">
        <w:rPr>
          <w:bCs/>
          <w:iCs/>
        </w:rPr>
        <w:t>In addition, the contract must state the frequency with which the payments will be made (Weekly, monthly, 4 weekly, annually</w:t>
      </w:r>
      <w:r w:rsidR="00C62201">
        <w:rPr>
          <w:bCs/>
          <w:iCs/>
        </w:rPr>
        <w:t xml:space="preserve"> etc</w:t>
      </w:r>
      <w:r w:rsidR="00B61F09">
        <w:rPr>
          <w:bCs/>
          <w:iCs/>
        </w:rPr>
        <w:t>) and there is a legal requirement placed upon the employer to guarantee these payments are made at these intervals and to provide a written itemised pay statement including:</w:t>
      </w:r>
    </w:p>
    <w:p w14:paraId="472675E6" w14:textId="0BD5680B" w:rsidR="00B61F09" w:rsidRDefault="00B61F09" w:rsidP="00B61F09">
      <w:pPr>
        <w:pStyle w:val="ListParagraph"/>
        <w:numPr>
          <w:ilvl w:val="0"/>
          <w:numId w:val="12"/>
        </w:numPr>
        <w:rPr>
          <w:bCs/>
          <w:iCs/>
        </w:rPr>
      </w:pPr>
      <w:r>
        <w:rPr>
          <w:bCs/>
          <w:iCs/>
        </w:rPr>
        <w:t>The gross amount of the wages or salary</w:t>
      </w:r>
    </w:p>
    <w:p w14:paraId="15052C31" w14:textId="76A06032" w:rsidR="00B61F09" w:rsidRDefault="00B61F09" w:rsidP="00B61F09">
      <w:pPr>
        <w:pStyle w:val="ListParagraph"/>
        <w:numPr>
          <w:ilvl w:val="0"/>
          <w:numId w:val="12"/>
        </w:numPr>
        <w:rPr>
          <w:bCs/>
          <w:iCs/>
        </w:rPr>
      </w:pPr>
      <w:r>
        <w:rPr>
          <w:bCs/>
          <w:iCs/>
        </w:rPr>
        <w:t>The amount of any variable and any fixed deductions from the gross amount and the purpose for which they are made</w:t>
      </w:r>
    </w:p>
    <w:p w14:paraId="0197433F" w14:textId="2E15B0B0" w:rsidR="00B61F09" w:rsidRDefault="00B61F09" w:rsidP="00B61F09">
      <w:pPr>
        <w:pStyle w:val="ListParagraph"/>
        <w:numPr>
          <w:ilvl w:val="0"/>
          <w:numId w:val="12"/>
        </w:numPr>
        <w:rPr>
          <w:bCs/>
          <w:iCs/>
        </w:rPr>
      </w:pPr>
      <w:r>
        <w:rPr>
          <w:bCs/>
          <w:iCs/>
        </w:rPr>
        <w:t>The net amount of wages or salary payable</w:t>
      </w:r>
    </w:p>
    <w:p w14:paraId="59F38AA5" w14:textId="5B446B7D" w:rsidR="00B61F09" w:rsidRDefault="00B61F09" w:rsidP="00B61F09">
      <w:pPr>
        <w:pStyle w:val="ListParagraph"/>
        <w:numPr>
          <w:ilvl w:val="0"/>
          <w:numId w:val="12"/>
        </w:numPr>
        <w:rPr>
          <w:bCs/>
          <w:iCs/>
        </w:rPr>
      </w:pPr>
      <w:r>
        <w:rPr>
          <w:bCs/>
          <w:iCs/>
        </w:rPr>
        <w:t>Where different parts of the net amount are paid in different ways, the amount and method of payment of each part payment</w:t>
      </w:r>
    </w:p>
    <w:p w14:paraId="57FFF6BF" w14:textId="7F76D9B0" w:rsidR="00B61F09" w:rsidRDefault="00B61F09" w:rsidP="00B61F09">
      <w:pPr>
        <w:pStyle w:val="ListParagraph"/>
        <w:numPr>
          <w:ilvl w:val="0"/>
          <w:numId w:val="12"/>
        </w:numPr>
        <w:rPr>
          <w:bCs/>
          <w:iCs/>
        </w:rPr>
      </w:pPr>
      <w:r>
        <w:rPr>
          <w:bCs/>
          <w:iCs/>
        </w:rPr>
        <w:t>Where the amount of wages or salary varies by references to time worked, the total number of hours worked in respect of the variable amount of wages or salary either as:</w:t>
      </w:r>
    </w:p>
    <w:p w14:paraId="0D8A36F1" w14:textId="6D33C315" w:rsidR="00B61F09" w:rsidRDefault="00B61F09" w:rsidP="00B61F09">
      <w:pPr>
        <w:pStyle w:val="ListParagraph"/>
        <w:numPr>
          <w:ilvl w:val="1"/>
          <w:numId w:val="12"/>
        </w:numPr>
        <w:rPr>
          <w:bCs/>
          <w:iCs/>
        </w:rPr>
      </w:pPr>
      <w:r>
        <w:rPr>
          <w:bCs/>
          <w:iCs/>
        </w:rPr>
        <w:t>A single aggregate figure, or</w:t>
      </w:r>
    </w:p>
    <w:p w14:paraId="75CFFDF4" w14:textId="27984AD6" w:rsidR="00B61F09" w:rsidRDefault="00B61F09" w:rsidP="00B61F09">
      <w:pPr>
        <w:pStyle w:val="ListParagraph"/>
        <w:numPr>
          <w:ilvl w:val="1"/>
          <w:numId w:val="12"/>
        </w:numPr>
        <w:rPr>
          <w:bCs/>
          <w:iCs/>
        </w:rPr>
      </w:pPr>
      <w:r>
        <w:rPr>
          <w:bCs/>
          <w:iCs/>
        </w:rPr>
        <w:t>Separate figures for different types of work or different rates of pay</w:t>
      </w:r>
    </w:p>
    <w:p w14:paraId="187BC471" w14:textId="41DD3D6F" w:rsidR="00B61F09" w:rsidRDefault="00B61F09" w:rsidP="00B61F09">
      <w:pPr>
        <w:rPr>
          <w:bCs/>
          <w:i/>
          <w:sz w:val="16"/>
          <w:szCs w:val="16"/>
        </w:rPr>
      </w:pPr>
      <w:r w:rsidRPr="00B61F09">
        <w:rPr>
          <w:bCs/>
          <w:i/>
          <w:sz w:val="16"/>
          <w:szCs w:val="16"/>
        </w:rPr>
        <w:t>(</w:t>
      </w:r>
      <w:r w:rsidR="001D6E16" w:rsidRPr="00C62201">
        <w:rPr>
          <w:bCs/>
          <w:i/>
          <w:sz w:val="16"/>
          <w:szCs w:val="16"/>
        </w:rPr>
        <w:t>Employment</w:t>
      </w:r>
      <w:r w:rsidR="001D6E16" w:rsidRPr="00C62201">
        <w:rPr>
          <w:rStyle w:val="Hyperlink"/>
          <w:bCs/>
          <w:i/>
          <w:sz w:val="16"/>
          <w:szCs w:val="16"/>
          <w:u w:val="none"/>
        </w:rPr>
        <w:t xml:space="preserve"> </w:t>
      </w:r>
      <w:r w:rsidR="001D6E16" w:rsidRPr="00C62201">
        <w:rPr>
          <w:rStyle w:val="Hyperlink"/>
          <w:bCs/>
          <w:i/>
          <w:color w:val="auto"/>
          <w:sz w:val="16"/>
          <w:szCs w:val="16"/>
          <w:u w:val="none"/>
        </w:rPr>
        <w:t>Rights Act 1996</w:t>
      </w:r>
      <w:r w:rsidRPr="00C62201">
        <w:rPr>
          <w:bCs/>
          <w:i/>
          <w:sz w:val="16"/>
          <w:szCs w:val="16"/>
        </w:rPr>
        <w:t>)</w:t>
      </w:r>
    </w:p>
    <w:p w14:paraId="7A9440BD" w14:textId="083BB83E" w:rsidR="00055144" w:rsidRDefault="001A7735" w:rsidP="00B61F09">
      <w:pPr>
        <w:rPr>
          <w:bCs/>
          <w:iCs/>
        </w:rPr>
      </w:pPr>
      <w:r>
        <w:rPr>
          <w:bCs/>
          <w:iCs/>
        </w:rPr>
        <w:t xml:space="preserve">In addition to the above, an </w:t>
      </w:r>
      <w:r w:rsidR="00055144">
        <w:rPr>
          <w:bCs/>
          <w:iCs/>
        </w:rPr>
        <w:t xml:space="preserve">employee who works a </w:t>
      </w:r>
      <w:r w:rsidR="00AF06F5">
        <w:rPr>
          <w:bCs/>
          <w:iCs/>
        </w:rPr>
        <w:t>5-day</w:t>
      </w:r>
      <w:r w:rsidR="00055144">
        <w:rPr>
          <w:bCs/>
          <w:iCs/>
        </w:rPr>
        <w:t xml:space="preserve"> week is entitled to 5.6 weeks leave per year. This is known as either statutory leave or annual leave. The actual number of days received will differ depending on the number of days an employee works, however they are still entitled to 5.6 week</w:t>
      </w:r>
      <w:r w:rsidR="00AF06F5">
        <w:rPr>
          <w:bCs/>
          <w:iCs/>
        </w:rPr>
        <w:t>s</w:t>
      </w:r>
      <w:r w:rsidR="00055144">
        <w:rPr>
          <w:bCs/>
          <w:iCs/>
        </w:rPr>
        <w:t>. For example, someone work</w:t>
      </w:r>
      <w:r w:rsidR="00AF06F5">
        <w:rPr>
          <w:bCs/>
          <w:iCs/>
        </w:rPr>
        <w:t>ing</w:t>
      </w:r>
      <w:r w:rsidR="00055144">
        <w:rPr>
          <w:bCs/>
          <w:iCs/>
        </w:rPr>
        <w:t xml:space="preserve"> 3 days a week will received 3x5.6 or 16.8 days. Bank Holidays or Public Holidays do not have to be given as additional paid leave, but may be included in the </w:t>
      </w:r>
      <w:r w:rsidR="00AF06F5">
        <w:rPr>
          <w:bCs/>
          <w:iCs/>
        </w:rPr>
        <w:t>employee’s</w:t>
      </w:r>
      <w:r w:rsidR="00055144">
        <w:rPr>
          <w:bCs/>
          <w:iCs/>
        </w:rPr>
        <w:t xml:space="preserve"> total statutory leave (</w:t>
      </w:r>
      <w:r w:rsidR="00795DF1">
        <w:rPr>
          <w:bCs/>
          <w:iCs/>
        </w:rPr>
        <w:t>Gov.UK. 2020</w:t>
      </w:r>
      <w:hyperlink r:id="rId14" w:history="1"/>
      <w:r w:rsidR="00055144">
        <w:rPr>
          <w:bCs/>
          <w:iCs/>
        </w:rPr>
        <w:t>).</w:t>
      </w:r>
    </w:p>
    <w:p w14:paraId="28B731AC" w14:textId="3349EB9A" w:rsidR="007E49DB" w:rsidRDefault="00055144" w:rsidP="00B61F09">
      <w:pPr>
        <w:rPr>
          <w:bCs/>
          <w:iCs/>
        </w:rPr>
      </w:pPr>
      <w:r>
        <w:rPr>
          <w:bCs/>
          <w:iCs/>
        </w:rPr>
        <w:t>The ‘Working Time Directive’ or ‘Working Time Regulations’ state an employee is not legally allowed to work more than a 48-hour week, however this is calculated as an average over a 17-week period. There are some exceptions to this</w:t>
      </w:r>
      <w:r w:rsidR="00091AC9">
        <w:rPr>
          <w:bCs/>
          <w:iCs/>
        </w:rPr>
        <w:t xml:space="preserve">, which can include such things as the emergency or police service, as a domestic servant in a household or where your own working time is not measured and is within the individuals </w:t>
      </w:r>
      <w:r w:rsidR="00091AC9" w:rsidRPr="00B17745">
        <w:rPr>
          <w:bCs/>
          <w:iCs/>
        </w:rPr>
        <w:t>control (</w:t>
      </w:r>
      <w:hyperlink r:id="rId15" w:history="1">
        <w:r w:rsidR="00B17745" w:rsidRPr="00B17745">
          <w:rPr>
            <w:rStyle w:val="Hyperlink"/>
            <w:bCs/>
            <w:iCs/>
            <w:color w:val="auto"/>
            <w:u w:val="none"/>
          </w:rPr>
          <w:t>Gov.UK.</w:t>
        </w:r>
      </w:hyperlink>
      <w:r w:rsidR="00B17745" w:rsidRPr="00B17745">
        <w:rPr>
          <w:rStyle w:val="Hyperlink"/>
          <w:bCs/>
          <w:iCs/>
          <w:color w:val="auto"/>
          <w:u w:val="none"/>
        </w:rPr>
        <w:t xml:space="preserve"> 2020</w:t>
      </w:r>
      <w:r w:rsidR="00091AC9" w:rsidRPr="00B17745">
        <w:rPr>
          <w:bCs/>
          <w:iCs/>
        </w:rPr>
        <w:t>).</w:t>
      </w:r>
      <w:r w:rsidR="007E49DB" w:rsidRPr="00B17745">
        <w:rPr>
          <w:bCs/>
          <w:iCs/>
        </w:rPr>
        <w:t xml:space="preserve"> </w:t>
      </w:r>
      <w:r w:rsidR="007E49DB">
        <w:rPr>
          <w:bCs/>
          <w:iCs/>
        </w:rPr>
        <w:t xml:space="preserve">It is also possible for an individual to opt out of this </w:t>
      </w:r>
      <w:r w:rsidR="00AF06F5">
        <w:rPr>
          <w:bCs/>
          <w:iCs/>
        </w:rPr>
        <w:t>48-hour</w:t>
      </w:r>
      <w:r w:rsidR="007E49DB">
        <w:rPr>
          <w:bCs/>
          <w:iCs/>
        </w:rPr>
        <w:t xml:space="preserve"> rule, however to do so the individual must be aged over 18</w:t>
      </w:r>
      <w:r w:rsidR="00AF06F5">
        <w:rPr>
          <w:bCs/>
          <w:iCs/>
        </w:rPr>
        <w:t>. There are,</w:t>
      </w:r>
      <w:r w:rsidR="007E49DB">
        <w:rPr>
          <w:bCs/>
          <w:iCs/>
        </w:rPr>
        <w:t xml:space="preserve"> however</w:t>
      </w:r>
      <w:r w:rsidR="00AF06F5">
        <w:rPr>
          <w:bCs/>
          <w:iCs/>
        </w:rPr>
        <w:t>,</w:t>
      </w:r>
      <w:r w:rsidR="007E49DB">
        <w:rPr>
          <w:bCs/>
          <w:iCs/>
        </w:rPr>
        <w:t xml:space="preserve"> some exceptions for certain individuals who cannot opt out.</w:t>
      </w:r>
    </w:p>
    <w:p w14:paraId="094DCF27" w14:textId="35E03D46" w:rsidR="00055144" w:rsidRDefault="00DF410B" w:rsidP="00B61F09">
      <w:pPr>
        <w:rPr>
          <w:bCs/>
          <w:iCs/>
        </w:rPr>
      </w:pPr>
      <w:r>
        <w:rPr>
          <w:bCs/>
          <w:iCs/>
        </w:rPr>
        <w:lastRenderedPageBreak/>
        <w:t>Another major set of employment rights for employees are the suite of family friendly employment rights, including maternity leave, paternity leave, adoption leave and unpaid parental leave.</w:t>
      </w:r>
      <w:r w:rsidR="007E49DB">
        <w:rPr>
          <w:bCs/>
          <w:iCs/>
        </w:rPr>
        <w:t xml:space="preserve"> </w:t>
      </w:r>
    </w:p>
    <w:p w14:paraId="769B8775" w14:textId="574DBFA2" w:rsidR="00AF06F5" w:rsidRDefault="00AF06F5" w:rsidP="00B61F09">
      <w:pPr>
        <w:rPr>
          <w:bCs/>
          <w:iCs/>
        </w:rPr>
      </w:pPr>
      <w:r>
        <w:rPr>
          <w:bCs/>
          <w:iCs/>
        </w:rPr>
        <w:t xml:space="preserve">Maternity leave is a statutory right for </w:t>
      </w:r>
      <w:r w:rsidR="00A077A3">
        <w:rPr>
          <w:bCs/>
          <w:iCs/>
        </w:rPr>
        <w:t>employers who are expecting the birth of their child. This scheme only applies to employees and is made up of three different types of leave:</w:t>
      </w:r>
    </w:p>
    <w:p w14:paraId="5CBD7DC5" w14:textId="74A3BB81" w:rsidR="00A077A3" w:rsidRDefault="00A077A3" w:rsidP="00A077A3">
      <w:pPr>
        <w:pStyle w:val="ListParagraph"/>
        <w:numPr>
          <w:ilvl w:val="0"/>
          <w:numId w:val="22"/>
        </w:numPr>
        <w:rPr>
          <w:bCs/>
          <w:iCs/>
        </w:rPr>
      </w:pPr>
      <w:r>
        <w:rPr>
          <w:bCs/>
          <w:iCs/>
        </w:rPr>
        <w:t>Ordinary maternity leave (OML)</w:t>
      </w:r>
    </w:p>
    <w:p w14:paraId="485D330F" w14:textId="34B70455" w:rsidR="00A077A3" w:rsidRDefault="00A077A3" w:rsidP="00A077A3">
      <w:pPr>
        <w:pStyle w:val="ListParagraph"/>
        <w:numPr>
          <w:ilvl w:val="0"/>
          <w:numId w:val="22"/>
        </w:numPr>
        <w:rPr>
          <w:bCs/>
          <w:iCs/>
        </w:rPr>
      </w:pPr>
      <w:r>
        <w:rPr>
          <w:bCs/>
          <w:iCs/>
        </w:rPr>
        <w:t>Compulsory maternity leave (CML)</w:t>
      </w:r>
    </w:p>
    <w:p w14:paraId="6C2E03E6" w14:textId="3CB69788" w:rsidR="00A077A3" w:rsidRDefault="00A077A3" w:rsidP="00A077A3">
      <w:pPr>
        <w:pStyle w:val="ListParagraph"/>
        <w:numPr>
          <w:ilvl w:val="0"/>
          <w:numId w:val="22"/>
        </w:numPr>
        <w:rPr>
          <w:bCs/>
          <w:iCs/>
        </w:rPr>
      </w:pPr>
      <w:r>
        <w:rPr>
          <w:bCs/>
          <w:iCs/>
        </w:rPr>
        <w:t>Additional maternity leave (AML)</w:t>
      </w:r>
    </w:p>
    <w:p w14:paraId="16B526AA" w14:textId="229ADE5A" w:rsidR="00416A52" w:rsidRDefault="00A077A3" w:rsidP="00A077A3">
      <w:pPr>
        <w:rPr>
          <w:bCs/>
          <w:iCs/>
        </w:rPr>
      </w:pPr>
      <w:r>
        <w:rPr>
          <w:bCs/>
          <w:iCs/>
        </w:rPr>
        <w:t xml:space="preserve">OML is now 26 weeks leave and starts on a date decided by the employee, as long as they have informed their employer.  CML is a period of two weeks which is directly after the birth of the child. During this time, the employer must ensure that no work is undertaken by the employee. The earliest date that OML can commence is 11 weeks before the expected week of confinement (EWC), which is when the baby is expected to be born. </w:t>
      </w:r>
      <w:r w:rsidR="00416A52">
        <w:rPr>
          <w:bCs/>
          <w:iCs/>
        </w:rPr>
        <w:t>It is also possible for parents to now share the maternity leave. This is called shared parental leave. This allows the mother to share their leave period with the father of their child, following the CML. Additionally, fathers are also entitled to take up to two weeks paid leave following the birth of their child. This is called paternity leave and must be taken with 56 days following the birth.</w:t>
      </w:r>
    </w:p>
    <w:p w14:paraId="43E02070" w14:textId="2A50F006" w:rsidR="00A077A3" w:rsidRDefault="00416A52" w:rsidP="00A077A3">
      <w:pPr>
        <w:rPr>
          <w:bCs/>
          <w:iCs/>
        </w:rPr>
      </w:pPr>
      <w:r>
        <w:rPr>
          <w:bCs/>
          <w:iCs/>
        </w:rPr>
        <w:t>Employees who go on maternity leave are legally entitled to return to the same role when they return from leave, however this doesn’t have to be exactly the same work. The only exception would be if a role is made redundant during their leave and in these cases, they would</w:t>
      </w:r>
      <w:r w:rsidR="00A077A3">
        <w:rPr>
          <w:bCs/>
          <w:iCs/>
        </w:rPr>
        <w:t xml:space="preserve"> </w:t>
      </w:r>
      <w:r>
        <w:rPr>
          <w:bCs/>
          <w:iCs/>
        </w:rPr>
        <w:t>be entitled to a role with similar conditions.</w:t>
      </w:r>
    </w:p>
    <w:p w14:paraId="7E14DB09" w14:textId="4CF488C3" w:rsidR="00416A52" w:rsidRDefault="00416A52" w:rsidP="00A077A3">
      <w:pPr>
        <w:rPr>
          <w:bCs/>
          <w:iCs/>
        </w:rPr>
      </w:pPr>
      <w:r>
        <w:rPr>
          <w:bCs/>
          <w:iCs/>
        </w:rPr>
        <w:t>Lastly, there are also a host of other provisions available to parents, including the right to request paid time off to care for a dependent, a right t</w:t>
      </w:r>
      <w:r w:rsidR="00A41F0D">
        <w:rPr>
          <w:bCs/>
          <w:iCs/>
        </w:rPr>
        <w:t>o</w:t>
      </w:r>
      <w:r>
        <w:rPr>
          <w:bCs/>
          <w:iCs/>
        </w:rPr>
        <w:t xml:space="preserve"> four months unpaid parental leave ad to request, once a year, to change their working pattern under a flexible working pattern.</w:t>
      </w:r>
      <w:r w:rsidR="00243355">
        <w:rPr>
          <w:bCs/>
          <w:iCs/>
        </w:rPr>
        <w:t xml:space="preserve"> These allow a greater degree of support mechanisms for parents.</w:t>
      </w:r>
    </w:p>
    <w:p w14:paraId="4203C4B8" w14:textId="77777777" w:rsidR="00DE25DC" w:rsidRDefault="00DE25DC" w:rsidP="00DE25DC">
      <w:pPr>
        <w:rPr>
          <w:b/>
          <w:i/>
        </w:rPr>
      </w:pPr>
    </w:p>
    <w:p w14:paraId="259EA1CF" w14:textId="77777777" w:rsidR="00DE25DC" w:rsidRDefault="00DE25DC" w:rsidP="000D76A6">
      <w:pPr>
        <w:pStyle w:val="ListParagraph"/>
        <w:numPr>
          <w:ilvl w:val="0"/>
          <w:numId w:val="11"/>
        </w:numPr>
        <w:rPr>
          <w:b/>
          <w:i/>
        </w:rPr>
      </w:pPr>
      <w:r>
        <w:rPr>
          <w:b/>
          <w:i/>
        </w:rPr>
        <w:t>Summarise</w:t>
      </w:r>
    </w:p>
    <w:p w14:paraId="51B2494E" w14:textId="77777777" w:rsidR="00DE25DC" w:rsidRDefault="004E5622" w:rsidP="000D76A6">
      <w:pPr>
        <w:pStyle w:val="ListParagraph"/>
        <w:numPr>
          <w:ilvl w:val="1"/>
          <w:numId w:val="11"/>
        </w:numPr>
        <w:rPr>
          <w:b/>
          <w:i/>
        </w:rPr>
      </w:pPr>
      <w:r>
        <w:rPr>
          <w:b/>
          <w:i/>
        </w:rPr>
        <w:t>The major requirements of health and safety law</w:t>
      </w:r>
    </w:p>
    <w:p w14:paraId="3FB31DA3" w14:textId="77777777" w:rsidR="004E5622" w:rsidRDefault="004E5622" w:rsidP="000D76A6">
      <w:pPr>
        <w:pStyle w:val="ListParagraph"/>
        <w:numPr>
          <w:ilvl w:val="1"/>
          <w:numId w:val="11"/>
        </w:numPr>
        <w:rPr>
          <w:b/>
          <w:i/>
        </w:rPr>
      </w:pPr>
      <w:r>
        <w:rPr>
          <w:b/>
          <w:i/>
        </w:rPr>
        <w:t>Key legislation supporting equality and diversity in the workplace</w:t>
      </w:r>
    </w:p>
    <w:p w14:paraId="5584CA0F" w14:textId="4B482A14" w:rsidR="004E5622" w:rsidRDefault="004E5622" w:rsidP="000D76A6">
      <w:pPr>
        <w:pStyle w:val="ListParagraph"/>
        <w:numPr>
          <w:ilvl w:val="1"/>
          <w:numId w:val="11"/>
        </w:numPr>
        <w:rPr>
          <w:b/>
          <w:i/>
        </w:rPr>
      </w:pPr>
      <w:r>
        <w:rPr>
          <w:b/>
          <w:i/>
        </w:rPr>
        <w:t>The concept of implied duties in relation to employee management at work</w:t>
      </w:r>
    </w:p>
    <w:p w14:paraId="475A21FA" w14:textId="26AF5655" w:rsidR="00F15C55" w:rsidRDefault="00957B31" w:rsidP="00957B31">
      <w:pPr>
        <w:rPr>
          <w:bCs/>
          <w:iCs/>
        </w:rPr>
      </w:pPr>
      <w:r w:rsidRPr="00957B31">
        <w:rPr>
          <w:bCs/>
          <w:iCs/>
        </w:rPr>
        <w:t xml:space="preserve">Health and safety </w:t>
      </w:r>
      <w:r>
        <w:rPr>
          <w:bCs/>
          <w:iCs/>
        </w:rPr>
        <w:t xml:space="preserve">law place a great deal of responsibility on an employer to provide a safe working environment for their employees. This is covered within the main piece of legislation covering Health and Safety in the workplace; namely the Health and Safety at Work </w:t>
      </w:r>
      <w:r w:rsidR="00F15C55">
        <w:rPr>
          <w:bCs/>
          <w:iCs/>
        </w:rPr>
        <w:t>Act 1974</w:t>
      </w:r>
      <w:r>
        <w:rPr>
          <w:bCs/>
          <w:iCs/>
        </w:rPr>
        <w:t xml:space="preserve">. </w:t>
      </w:r>
      <w:r w:rsidR="00F15C55">
        <w:rPr>
          <w:bCs/>
          <w:iCs/>
        </w:rPr>
        <w:t>This Act sets out the general duties that:</w:t>
      </w:r>
    </w:p>
    <w:p w14:paraId="2F8FD1A6" w14:textId="59A9CFB8" w:rsidR="00F15C55" w:rsidRDefault="00F15C55" w:rsidP="00F15C55">
      <w:pPr>
        <w:pStyle w:val="ListParagraph"/>
        <w:numPr>
          <w:ilvl w:val="0"/>
          <w:numId w:val="13"/>
        </w:numPr>
        <w:rPr>
          <w:bCs/>
          <w:iCs/>
        </w:rPr>
      </w:pPr>
      <w:r>
        <w:rPr>
          <w:bCs/>
          <w:iCs/>
        </w:rPr>
        <w:t>Employers have towards employees and members of the public</w:t>
      </w:r>
    </w:p>
    <w:p w14:paraId="6292B8A2" w14:textId="32674847" w:rsidR="00F15C55" w:rsidRDefault="00F15C55" w:rsidP="00F15C55">
      <w:pPr>
        <w:pStyle w:val="ListParagraph"/>
        <w:numPr>
          <w:ilvl w:val="0"/>
          <w:numId w:val="13"/>
        </w:numPr>
        <w:rPr>
          <w:bCs/>
          <w:iCs/>
        </w:rPr>
      </w:pPr>
      <w:r>
        <w:rPr>
          <w:bCs/>
          <w:iCs/>
        </w:rPr>
        <w:t>Employees have to themselves and to each other</w:t>
      </w:r>
    </w:p>
    <w:p w14:paraId="3F4CA568" w14:textId="39BBA4D6" w:rsidR="00F15C55" w:rsidRDefault="00F15C55" w:rsidP="00F15C55">
      <w:pPr>
        <w:pStyle w:val="ListParagraph"/>
        <w:numPr>
          <w:ilvl w:val="0"/>
          <w:numId w:val="13"/>
        </w:numPr>
        <w:rPr>
          <w:bCs/>
          <w:iCs/>
        </w:rPr>
      </w:pPr>
      <w:r>
        <w:rPr>
          <w:bCs/>
          <w:iCs/>
        </w:rPr>
        <w:t>Certain self-employed have towards themselves and others</w:t>
      </w:r>
    </w:p>
    <w:p w14:paraId="6EAF7829" w14:textId="0DCD86FA" w:rsidR="00F15C55" w:rsidRPr="00F15C55" w:rsidRDefault="00F15C55" w:rsidP="00F15C55">
      <w:pPr>
        <w:rPr>
          <w:bCs/>
          <w:i/>
          <w:sz w:val="18"/>
          <w:szCs w:val="18"/>
        </w:rPr>
      </w:pPr>
      <w:r w:rsidRPr="00F15C55">
        <w:rPr>
          <w:bCs/>
          <w:i/>
          <w:sz w:val="18"/>
          <w:szCs w:val="18"/>
        </w:rPr>
        <w:t>(</w:t>
      </w:r>
      <w:r w:rsidR="006B77F2">
        <w:rPr>
          <w:bCs/>
          <w:i/>
          <w:sz w:val="18"/>
          <w:szCs w:val="18"/>
        </w:rPr>
        <w:t>HSE, 2020</w:t>
      </w:r>
      <w:r w:rsidRPr="00F15C55">
        <w:rPr>
          <w:bCs/>
          <w:i/>
          <w:sz w:val="18"/>
          <w:szCs w:val="18"/>
        </w:rPr>
        <w:t>)</w:t>
      </w:r>
    </w:p>
    <w:p w14:paraId="2A8310EB" w14:textId="6413ED0E" w:rsidR="00957B31" w:rsidRDefault="00957B31" w:rsidP="00957B31">
      <w:pPr>
        <w:rPr>
          <w:bCs/>
          <w:iCs/>
        </w:rPr>
      </w:pPr>
      <w:r>
        <w:rPr>
          <w:bCs/>
          <w:iCs/>
        </w:rPr>
        <w:t xml:space="preserve">This Act provides detail </w:t>
      </w:r>
      <w:r w:rsidR="00F15C55">
        <w:rPr>
          <w:bCs/>
          <w:iCs/>
        </w:rPr>
        <w:t>to explain what an employer must do, but also what responsibilities employees have to ensure they work in a safe way. In general, the Act states:</w:t>
      </w:r>
    </w:p>
    <w:p w14:paraId="7026A1EB" w14:textId="15083E69" w:rsidR="00F15C55" w:rsidRDefault="00F15C55" w:rsidP="00957B31">
      <w:pPr>
        <w:rPr>
          <w:bCs/>
          <w:i/>
        </w:rPr>
      </w:pPr>
      <w:r w:rsidRPr="00F15C55">
        <w:rPr>
          <w:bCs/>
          <w:i/>
        </w:rPr>
        <w:t>“It shall be the duty of every employer to ensure, as far as is reasonably practicable, the health, safety and welfare of all his employees”.</w:t>
      </w:r>
      <w:r w:rsidR="008E498E">
        <w:rPr>
          <w:bCs/>
          <w:i/>
        </w:rPr>
        <w:t xml:space="preserve"> </w:t>
      </w:r>
      <w:r w:rsidR="00B575F9">
        <w:rPr>
          <w:noProof/>
        </w:rPr>
        <w:t>(Taylor, S and Wilkinson, K)</w:t>
      </w:r>
    </w:p>
    <w:p w14:paraId="04499BCA" w14:textId="378F45B7" w:rsidR="008E498E" w:rsidRPr="008E498E" w:rsidRDefault="008E498E" w:rsidP="00957B31">
      <w:pPr>
        <w:rPr>
          <w:bCs/>
          <w:iCs/>
        </w:rPr>
      </w:pPr>
      <w:r>
        <w:rPr>
          <w:bCs/>
          <w:iCs/>
        </w:rPr>
        <w:lastRenderedPageBreak/>
        <w:t xml:space="preserve">The Act places a duty on employers of more than 5 employees, to have a written Health and Safety policy and to </w:t>
      </w:r>
      <w:r w:rsidR="00584B38">
        <w:rPr>
          <w:bCs/>
          <w:iCs/>
        </w:rPr>
        <w:t>have carried out risk</w:t>
      </w:r>
      <w:r>
        <w:rPr>
          <w:bCs/>
          <w:iCs/>
        </w:rPr>
        <w:t xml:space="preserve"> assessments </w:t>
      </w:r>
      <w:r w:rsidR="00584B38">
        <w:rPr>
          <w:bCs/>
          <w:iCs/>
        </w:rPr>
        <w:t>on their workplace</w:t>
      </w:r>
      <w:r>
        <w:rPr>
          <w:bCs/>
          <w:iCs/>
        </w:rPr>
        <w:t xml:space="preserve">. </w:t>
      </w:r>
      <w:r w:rsidR="00584B38">
        <w:rPr>
          <w:bCs/>
          <w:iCs/>
        </w:rPr>
        <w:t>W</w:t>
      </w:r>
      <w:r>
        <w:rPr>
          <w:bCs/>
          <w:iCs/>
        </w:rPr>
        <w:t xml:space="preserve">here risks are identified, they should be mitigated as much as is reasonably practicable. If there is an accident in the workplace, a court of law will wish to see that there has been an assessment undertaken and that mitigating safety factors have been put in place. This </w:t>
      </w:r>
      <w:r w:rsidR="00584B38">
        <w:rPr>
          <w:bCs/>
          <w:iCs/>
        </w:rPr>
        <w:t>can include</w:t>
      </w:r>
      <w:r>
        <w:rPr>
          <w:bCs/>
          <w:iCs/>
        </w:rPr>
        <w:t xml:space="preserve"> PPE, a safe practice of working or adequate training to use certain machinery. Without this, employer</w:t>
      </w:r>
      <w:r w:rsidR="00584B38">
        <w:rPr>
          <w:bCs/>
          <w:iCs/>
        </w:rPr>
        <w:t>s</w:t>
      </w:r>
      <w:r>
        <w:rPr>
          <w:bCs/>
          <w:iCs/>
        </w:rPr>
        <w:t xml:space="preserve"> c</w:t>
      </w:r>
      <w:r w:rsidR="00584B38">
        <w:rPr>
          <w:bCs/>
          <w:iCs/>
        </w:rPr>
        <w:t>an</w:t>
      </w:r>
      <w:r>
        <w:rPr>
          <w:bCs/>
          <w:iCs/>
        </w:rPr>
        <w:t xml:space="preserve"> face severe penalties, including imprisonment. </w:t>
      </w:r>
    </w:p>
    <w:p w14:paraId="360EAE36" w14:textId="42F60BA3" w:rsidR="00F15C55" w:rsidRPr="00F15C55" w:rsidRDefault="0050383D" w:rsidP="00957B31">
      <w:pPr>
        <w:rPr>
          <w:bCs/>
          <w:iCs/>
        </w:rPr>
      </w:pPr>
      <w:r>
        <w:rPr>
          <w:bCs/>
          <w:iCs/>
        </w:rPr>
        <w:t>Whist there are several requirements for employers to follow, employees must also ensure that they follow any training provided, take reasonable care of their own personal health, co-operate with the employer on health and safety matters a</w:t>
      </w:r>
      <w:r w:rsidR="00800986">
        <w:rPr>
          <w:bCs/>
          <w:iCs/>
        </w:rPr>
        <w:t xml:space="preserve">nd inform their employer if they feel either the work, or inadequate precautions are putting individuals at risk </w:t>
      </w:r>
      <w:r w:rsidR="005027FC" w:rsidRPr="005027FC">
        <w:rPr>
          <w:bCs/>
          <w:iCs/>
        </w:rPr>
        <w:t>(HSE,</w:t>
      </w:r>
      <w:r w:rsidR="005027FC" w:rsidRPr="005027FC">
        <w:rPr>
          <w:rStyle w:val="Hyperlink"/>
          <w:bCs/>
          <w:iCs/>
          <w:color w:val="auto"/>
          <w:u w:val="none"/>
        </w:rPr>
        <w:t xml:space="preserve"> 2009)</w:t>
      </w:r>
      <w:r w:rsidR="00800986" w:rsidRPr="005027FC">
        <w:rPr>
          <w:bCs/>
          <w:iCs/>
        </w:rPr>
        <w:t>.</w:t>
      </w:r>
      <w:r w:rsidRPr="005027FC">
        <w:rPr>
          <w:bCs/>
          <w:iCs/>
        </w:rPr>
        <w:t xml:space="preserve"> </w:t>
      </w:r>
    </w:p>
    <w:p w14:paraId="12FAE5A7" w14:textId="77777777" w:rsidR="00584B38" w:rsidRDefault="00CA4394" w:rsidP="004E5622">
      <w:pPr>
        <w:rPr>
          <w:bCs/>
          <w:iCs/>
        </w:rPr>
      </w:pPr>
      <w:r w:rsidRPr="00CA4394">
        <w:rPr>
          <w:bCs/>
          <w:iCs/>
        </w:rPr>
        <w:t xml:space="preserve">As well as </w:t>
      </w:r>
      <w:r>
        <w:rPr>
          <w:bCs/>
          <w:iCs/>
        </w:rPr>
        <w:t xml:space="preserve">what might be considered more common health and safety practices, this </w:t>
      </w:r>
      <w:r w:rsidR="00584B38">
        <w:rPr>
          <w:bCs/>
          <w:iCs/>
        </w:rPr>
        <w:t xml:space="preserve">also </w:t>
      </w:r>
      <w:r>
        <w:rPr>
          <w:bCs/>
          <w:iCs/>
        </w:rPr>
        <w:t xml:space="preserve">covers far more areas including stress management, bullying and harassment as well as whistleblowing. As with the above, an employer has a responsibility to ensure that their </w:t>
      </w:r>
      <w:r w:rsidR="00D81469">
        <w:rPr>
          <w:bCs/>
          <w:iCs/>
        </w:rPr>
        <w:t xml:space="preserve">employees’ workload is managed and that they look to foresee any potential stress posed by the work itself. If this is not managed effectively employers can face the same liability as with any physical injury. </w:t>
      </w:r>
    </w:p>
    <w:p w14:paraId="6248851A" w14:textId="0ADED16B" w:rsidR="004E5622" w:rsidRDefault="00F417F6" w:rsidP="004E5622">
      <w:pPr>
        <w:rPr>
          <w:bCs/>
          <w:i/>
        </w:rPr>
      </w:pPr>
      <w:r>
        <w:rPr>
          <w:bCs/>
          <w:iCs/>
        </w:rPr>
        <w:t>Employees have several different routes to bring claims against an employer under personal injury law, however the two main are</w:t>
      </w:r>
      <w:r w:rsidR="00584B38">
        <w:rPr>
          <w:bCs/>
          <w:iCs/>
        </w:rPr>
        <w:t>as</w:t>
      </w:r>
      <w:r>
        <w:rPr>
          <w:bCs/>
          <w:iCs/>
        </w:rPr>
        <w:t xml:space="preserve"> </w:t>
      </w:r>
      <w:r w:rsidR="00584B38">
        <w:rPr>
          <w:bCs/>
          <w:iCs/>
        </w:rPr>
        <w:t>are</w:t>
      </w:r>
      <w:r>
        <w:rPr>
          <w:bCs/>
          <w:iCs/>
        </w:rPr>
        <w:t xml:space="preserve"> to resign and bring a case of constructive dismissal, or to bring a case of negligence to the County Court or High Court. Th</w:t>
      </w:r>
      <w:r w:rsidR="00584B38">
        <w:rPr>
          <w:bCs/>
          <w:iCs/>
        </w:rPr>
        <w:t>is</w:t>
      </w:r>
      <w:r w:rsidR="008B0D09">
        <w:rPr>
          <w:bCs/>
          <w:iCs/>
        </w:rPr>
        <w:t xml:space="preserve"> highlights the importance of employer risk assessments, as </w:t>
      </w:r>
      <w:r w:rsidR="00584B38">
        <w:rPr>
          <w:bCs/>
          <w:iCs/>
        </w:rPr>
        <w:t>they will have to prove that</w:t>
      </w:r>
      <w:r w:rsidR="008B0D09">
        <w:rPr>
          <w:bCs/>
          <w:iCs/>
        </w:rPr>
        <w:t xml:space="preserve"> “</w:t>
      </w:r>
      <w:r w:rsidR="008B0D09">
        <w:rPr>
          <w:bCs/>
          <w:i/>
        </w:rPr>
        <w:t>the injury was not reasonably foreseeable” (</w:t>
      </w:r>
      <w:r w:rsidR="00E838E1">
        <w:rPr>
          <w:noProof/>
        </w:rPr>
        <w:t>Taylor, S and Wilkinson, K</w:t>
      </w:r>
      <w:r w:rsidR="008B0D09">
        <w:rPr>
          <w:bCs/>
          <w:i/>
        </w:rPr>
        <w:t>).</w:t>
      </w:r>
    </w:p>
    <w:p w14:paraId="3A999A3F" w14:textId="786E0167" w:rsidR="008B0D09" w:rsidRDefault="008B0D09" w:rsidP="004E5622">
      <w:pPr>
        <w:rPr>
          <w:bCs/>
          <w:iCs/>
        </w:rPr>
      </w:pPr>
      <w:r>
        <w:rPr>
          <w:bCs/>
          <w:iCs/>
        </w:rPr>
        <w:t>In addition to stress management, it is also incumbent on an employer to ensure employee are protected from bullying and harassment in the workplace. These are</w:t>
      </w:r>
      <w:r w:rsidR="00CD243E">
        <w:rPr>
          <w:bCs/>
          <w:iCs/>
        </w:rPr>
        <w:t xml:space="preserve"> covered by</w:t>
      </w:r>
      <w:r>
        <w:rPr>
          <w:bCs/>
          <w:iCs/>
        </w:rPr>
        <w:t xml:space="preserve"> the ‘Criminal Justice and Public Order Act 1994’ and the ‘Protection from Harassment Act 1997’. The</w:t>
      </w:r>
      <w:r w:rsidR="001B05C0">
        <w:rPr>
          <w:bCs/>
          <w:iCs/>
        </w:rPr>
        <w:t xml:space="preserve"> first of these makes it an offence to cause intentional harassment, alarm or distress and the latter mainly about stalking and causing fear of violence to another individual. Both of these Acts </w:t>
      </w:r>
      <w:r w:rsidR="007669AC">
        <w:rPr>
          <w:bCs/>
          <w:iCs/>
        </w:rPr>
        <w:t>are punishable by 6 months imprisonment.</w:t>
      </w:r>
      <w:r w:rsidR="009B5F12">
        <w:rPr>
          <w:bCs/>
          <w:iCs/>
        </w:rPr>
        <w:t xml:space="preserve"> As well as these Acts, the </w:t>
      </w:r>
      <w:r w:rsidR="000C369C">
        <w:rPr>
          <w:bCs/>
          <w:iCs/>
        </w:rPr>
        <w:t xml:space="preserve">Public Interest Disclosure Act 1998 provides protection against an individual who makes a ‘qualifying disclosure’ against their employer. The disclosure </w:t>
      </w:r>
      <w:r w:rsidR="008143C3">
        <w:rPr>
          <w:bCs/>
          <w:iCs/>
        </w:rPr>
        <w:t xml:space="preserve">must </w:t>
      </w:r>
      <w:r w:rsidR="000C369C">
        <w:rPr>
          <w:bCs/>
          <w:iCs/>
        </w:rPr>
        <w:t xml:space="preserve">be related to one of the </w:t>
      </w:r>
      <w:r w:rsidR="008143C3">
        <w:rPr>
          <w:bCs/>
          <w:iCs/>
        </w:rPr>
        <w:t xml:space="preserve">5 </w:t>
      </w:r>
      <w:r w:rsidR="000C369C">
        <w:rPr>
          <w:bCs/>
          <w:iCs/>
        </w:rPr>
        <w:t xml:space="preserve">below </w:t>
      </w:r>
      <w:r w:rsidR="008143C3">
        <w:rPr>
          <w:bCs/>
          <w:iCs/>
        </w:rPr>
        <w:t>categories and cannot relate to personal grievances such as bullying and harassment, unless this would be in the public’s interest to disclose:</w:t>
      </w:r>
    </w:p>
    <w:p w14:paraId="175DFA0A" w14:textId="514D8306" w:rsidR="000C369C" w:rsidRDefault="008143C3" w:rsidP="000C369C">
      <w:pPr>
        <w:pStyle w:val="ListParagraph"/>
        <w:numPr>
          <w:ilvl w:val="0"/>
          <w:numId w:val="14"/>
        </w:numPr>
        <w:rPr>
          <w:bCs/>
          <w:iCs/>
        </w:rPr>
      </w:pPr>
      <w:r>
        <w:rPr>
          <w:bCs/>
          <w:iCs/>
        </w:rPr>
        <w:t>A criminal offence</w:t>
      </w:r>
    </w:p>
    <w:p w14:paraId="25A8645C" w14:textId="287FB600" w:rsidR="008143C3" w:rsidRDefault="008143C3" w:rsidP="000C369C">
      <w:pPr>
        <w:pStyle w:val="ListParagraph"/>
        <w:numPr>
          <w:ilvl w:val="0"/>
          <w:numId w:val="14"/>
        </w:numPr>
        <w:rPr>
          <w:bCs/>
          <w:iCs/>
        </w:rPr>
      </w:pPr>
      <w:r>
        <w:rPr>
          <w:bCs/>
          <w:iCs/>
        </w:rPr>
        <w:t>A failure to comply with legal obligations</w:t>
      </w:r>
    </w:p>
    <w:p w14:paraId="4675D6B8" w14:textId="0FC60D16" w:rsidR="008143C3" w:rsidRDefault="008143C3" w:rsidP="000C369C">
      <w:pPr>
        <w:pStyle w:val="ListParagraph"/>
        <w:numPr>
          <w:ilvl w:val="0"/>
          <w:numId w:val="14"/>
        </w:numPr>
        <w:rPr>
          <w:bCs/>
          <w:iCs/>
        </w:rPr>
      </w:pPr>
      <w:r>
        <w:rPr>
          <w:bCs/>
          <w:iCs/>
        </w:rPr>
        <w:t>A miscarriage of justice</w:t>
      </w:r>
    </w:p>
    <w:p w14:paraId="3BF0B638" w14:textId="5A078D53" w:rsidR="008143C3" w:rsidRDefault="008143C3" w:rsidP="000C369C">
      <w:pPr>
        <w:pStyle w:val="ListParagraph"/>
        <w:numPr>
          <w:ilvl w:val="0"/>
          <w:numId w:val="14"/>
        </w:numPr>
        <w:rPr>
          <w:bCs/>
          <w:iCs/>
        </w:rPr>
      </w:pPr>
      <w:r>
        <w:rPr>
          <w:bCs/>
          <w:iCs/>
        </w:rPr>
        <w:t>Compromised health and safety arrangements</w:t>
      </w:r>
    </w:p>
    <w:p w14:paraId="6EC59CEA" w14:textId="7E686FDD" w:rsidR="008143C3" w:rsidRDefault="008143C3" w:rsidP="000C369C">
      <w:pPr>
        <w:pStyle w:val="ListParagraph"/>
        <w:numPr>
          <w:ilvl w:val="0"/>
          <w:numId w:val="14"/>
        </w:numPr>
        <w:rPr>
          <w:bCs/>
          <w:iCs/>
        </w:rPr>
      </w:pPr>
      <w:r>
        <w:rPr>
          <w:bCs/>
          <w:iCs/>
        </w:rPr>
        <w:t>Something to cause environmental damage.</w:t>
      </w:r>
    </w:p>
    <w:p w14:paraId="07986BA6" w14:textId="7870B931" w:rsidR="008143C3" w:rsidRDefault="008143C3" w:rsidP="008143C3">
      <w:pPr>
        <w:rPr>
          <w:bCs/>
          <w:iCs/>
        </w:rPr>
      </w:pPr>
      <w:r>
        <w:rPr>
          <w:bCs/>
          <w:iCs/>
        </w:rPr>
        <w:t>An employee is able to raise these matters to and of the below:</w:t>
      </w:r>
    </w:p>
    <w:p w14:paraId="177D8F67" w14:textId="50D71967" w:rsidR="008143C3" w:rsidRDefault="008143C3" w:rsidP="008143C3">
      <w:pPr>
        <w:pStyle w:val="ListParagraph"/>
        <w:numPr>
          <w:ilvl w:val="0"/>
          <w:numId w:val="15"/>
        </w:numPr>
        <w:rPr>
          <w:bCs/>
          <w:iCs/>
        </w:rPr>
      </w:pPr>
      <w:r>
        <w:rPr>
          <w:bCs/>
          <w:iCs/>
        </w:rPr>
        <w:t>The employer</w:t>
      </w:r>
    </w:p>
    <w:p w14:paraId="66F6678C" w14:textId="0B4B82A0" w:rsidR="008143C3" w:rsidRDefault="008143C3" w:rsidP="008143C3">
      <w:pPr>
        <w:pStyle w:val="ListParagraph"/>
        <w:numPr>
          <w:ilvl w:val="0"/>
          <w:numId w:val="15"/>
        </w:numPr>
        <w:rPr>
          <w:bCs/>
          <w:iCs/>
        </w:rPr>
      </w:pPr>
      <w:r>
        <w:rPr>
          <w:bCs/>
          <w:iCs/>
        </w:rPr>
        <w:t>A legal adviser</w:t>
      </w:r>
    </w:p>
    <w:p w14:paraId="6ADEE520" w14:textId="6BF7C46C" w:rsidR="008143C3" w:rsidRDefault="008143C3" w:rsidP="008143C3">
      <w:pPr>
        <w:pStyle w:val="ListParagraph"/>
        <w:numPr>
          <w:ilvl w:val="0"/>
          <w:numId w:val="15"/>
        </w:numPr>
        <w:rPr>
          <w:bCs/>
          <w:iCs/>
        </w:rPr>
      </w:pPr>
      <w:r>
        <w:rPr>
          <w:bCs/>
          <w:iCs/>
        </w:rPr>
        <w:t>A Minister of the Crown</w:t>
      </w:r>
    </w:p>
    <w:p w14:paraId="1B3762D7" w14:textId="29EC1B43" w:rsidR="008143C3" w:rsidRDefault="008143C3" w:rsidP="008143C3">
      <w:pPr>
        <w:pStyle w:val="ListParagraph"/>
        <w:numPr>
          <w:ilvl w:val="0"/>
          <w:numId w:val="15"/>
        </w:numPr>
        <w:rPr>
          <w:bCs/>
          <w:iCs/>
        </w:rPr>
      </w:pPr>
      <w:r>
        <w:rPr>
          <w:bCs/>
          <w:iCs/>
        </w:rPr>
        <w:t>Appropriate enforcing authorities</w:t>
      </w:r>
    </w:p>
    <w:p w14:paraId="61DEA265" w14:textId="63CCD504" w:rsidR="008143C3" w:rsidRDefault="008143C3" w:rsidP="008143C3">
      <w:pPr>
        <w:pStyle w:val="ListParagraph"/>
        <w:numPr>
          <w:ilvl w:val="0"/>
          <w:numId w:val="15"/>
        </w:numPr>
        <w:rPr>
          <w:bCs/>
          <w:iCs/>
        </w:rPr>
      </w:pPr>
      <w:r>
        <w:rPr>
          <w:bCs/>
          <w:iCs/>
        </w:rPr>
        <w:t>A media organisation</w:t>
      </w:r>
    </w:p>
    <w:p w14:paraId="4414E5D3" w14:textId="232B78F4" w:rsidR="008143C3" w:rsidRDefault="006A36A8" w:rsidP="008143C3">
      <w:pPr>
        <w:rPr>
          <w:bCs/>
          <w:iCs/>
        </w:rPr>
      </w:pPr>
      <w:r>
        <w:rPr>
          <w:bCs/>
          <w:iCs/>
        </w:rPr>
        <w:t xml:space="preserve">As well as providing protection </w:t>
      </w:r>
      <w:r w:rsidR="00CD243E">
        <w:rPr>
          <w:bCs/>
          <w:iCs/>
        </w:rPr>
        <w:t xml:space="preserve">in the </w:t>
      </w:r>
      <w:r>
        <w:rPr>
          <w:bCs/>
          <w:iCs/>
        </w:rPr>
        <w:t xml:space="preserve">above areas, it must also be recognised by employers that there are implied terms of contract which may not be written in the employee’s statement of </w:t>
      </w:r>
      <w:r>
        <w:rPr>
          <w:bCs/>
          <w:iCs/>
        </w:rPr>
        <w:lastRenderedPageBreak/>
        <w:t>particulars, however would be deemed as contractual terms. These are terms where they are often so obvious that they are not required to be explicitly documented, however are either necessary for the contract to be fulfilled, or where they are common practice</w:t>
      </w:r>
      <w:r w:rsidR="00CD243E">
        <w:rPr>
          <w:bCs/>
          <w:iCs/>
        </w:rPr>
        <w:t xml:space="preserve">. </w:t>
      </w:r>
      <w:r>
        <w:rPr>
          <w:bCs/>
          <w:iCs/>
        </w:rPr>
        <w:t>This can include such matters as the right to equal pay, the right to receive at least national minimum wage or the employer’s duty to provide a safe place to work and safe working practices (</w:t>
      </w:r>
      <w:r w:rsidR="004F6F7B">
        <w:t>Ayling, L and Suff, 2020)</w:t>
      </w:r>
      <w:r w:rsidR="00CD243E">
        <w:t>.</w:t>
      </w:r>
      <w:r>
        <w:rPr>
          <w:bCs/>
          <w:iCs/>
        </w:rPr>
        <w:t xml:space="preserve"> </w:t>
      </w:r>
      <w:r w:rsidR="00CD243E">
        <w:rPr>
          <w:bCs/>
          <w:iCs/>
        </w:rPr>
        <w:t>There are also implied duties which employees must follow, including</w:t>
      </w:r>
      <w:r w:rsidR="00DE4FDF">
        <w:rPr>
          <w:bCs/>
          <w:iCs/>
        </w:rPr>
        <w:t xml:space="preserve"> the requirement to obey and follow reasonable requests from the employer, to protect an employer’s secret or private information or to adapt to reasonable requirements to change methods or techniques of working (</w:t>
      </w:r>
      <w:r w:rsidR="00460EC9" w:rsidRPr="00460EC9">
        <w:rPr>
          <w:bCs/>
          <w:iCs/>
        </w:rPr>
        <w:t>Moss</w:t>
      </w:r>
      <w:r w:rsidR="00460EC9" w:rsidRPr="00460EC9">
        <w:rPr>
          <w:rStyle w:val="Hyperlink"/>
          <w:bCs/>
          <w:iCs/>
          <w:color w:val="auto"/>
          <w:u w:val="none"/>
        </w:rPr>
        <w:t>, I. 2011</w:t>
      </w:r>
      <w:r w:rsidR="00DE4FDF" w:rsidRPr="00460EC9">
        <w:rPr>
          <w:bCs/>
          <w:iCs/>
        </w:rPr>
        <w:t>).</w:t>
      </w:r>
      <w:r w:rsidR="000D3F64" w:rsidRPr="00460EC9">
        <w:rPr>
          <w:bCs/>
          <w:iCs/>
        </w:rPr>
        <w:t xml:space="preserve"> </w:t>
      </w:r>
    </w:p>
    <w:p w14:paraId="04C8866F" w14:textId="6FB9C90B" w:rsidR="00CD243E" w:rsidRDefault="00CD243E" w:rsidP="008143C3">
      <w:pPr>
        <w:rPr>
          <w:bCs/>
          <w:iCs/>
        </w:rPr>
      </w:pPr>
      <w:r>
        <w:rPr>
          <w:bCs/>
          <w:iCs/>
        </w:rPr>
        <w:t>Whilst implied terms can bring unwritten contractual requirements for employers, this is not always the case. An example would be when an employee has continually worked in excess of their normal working hours. Whilst this may be implied, due to it being common practice, if there is a contrary statement within the contract, then this will not be an implied term.</w:t>
      </w:r>
    </w:p>
    <w:p w14:paraId="1327269E" w14:textId="77777777" w:rsidR="004E5622" w:rsidRDefault="004E5622" w:rsidP="004E5622">
      <w:pPr>
        <w:rPr>
          <w:b/>
          <w:i/>
        </w:rPr>
      </w:pPr>
    </w:p>
    <w:p w14:paraId="60012BA7" w14:textId="77777777" w:rsidR="004E5622" w:rsidRDefault="004E5622" w:rsidP="000D76A6">
      <w:pPr>
        <w:pStyle w:val="ListParagraph"/>
        <w:numPr>
          <w:ilvl w:val="0"/>
          <w:numId w:val="11"/>
        </w:numPr>
        <w:rPr>
          <w:b/>
          <w:i/>
        </w:rPr>
      </w:pPr>
      <w:r>
        <w:rPr>
          <w:b/>
          <w:i/>
        </w:rPr>
        <w:t>Explain briefly the main requirements of unfair dismissal law in respect of:</w:t>
      </w:r>
    </w:p>
    <w:p w14:paraId="27F47E9C" w14:textId="77777777" w:rsidR="004E5622" w:rsidRDefault="004E5622" w:rsidP="000D76A6">
      <w:pPr>
        <w:pStyle w:val="ListParagraph"/>
        <w:numPr>
          <w:ilvl w:val="1"/>
          <w:numId w:val="11"/>
        </w:numPr>
        <w:rPr>
          <w:b/>
          <w:i/>
        </w:rPr>
      </w:pPr>
      <w:r>
        <w:rPr>
          <w:b/>
          <w:i/>
        </w:rPr>
        <w:t>Capability</w:t>
      </w:r>
    </w:p>
    <w:p w14:paraId="69A9F173" w14:textId="77777777" w:rsidR="004E5622" w:rsidRDefault="004E5622" w:rsidP="000D76A6">
      <w:pPr>
        <w:pStyle w:val="ListParagraph"/>
        <w:numPr>
          <w:ilvl w:val="1"/>
          <w:numId w:val="11"/>
        </w:numPr>
        <w:rPr>
          <w:b/>
          <w:i/>
        </w:rPr>
      </w:pPr>
      <w:r>
        <w:rPr>
          <w:b/>
          <w:i/>
        </w:rPr>
        <w:t>Misconduct</w:t>
      </w:r>
    </w:p>
    <w:p w14:paraId="37A0AD42" w14:textId="6890A9C9" w:rsidR="004E5622" w:rsidRDefault="00185B0E" w:rsidP="000D76A6">
      <w:pPr>
        <w:pStyle w:val="ListParagraph"/>
        <w:numPr>
          <w:ilvl w:val="1"/>
          <w:numId w:val="11"/>
        </w:numPr>
        <w:rPr>
          <w:b/>
          <w:i/>
        </w:rPr>
      </w:pPr>
      <w:r>
        <w:rPr>
          <w:b/>
          <w:i/>
        </w:rPr>
        <w:t>G</w:t>
      </w:r>
      <w:r w:rsidR="004E5622">
        <w:rPr>
          <w:b/>
          <w:i/>
        </w:rPr>
        <w:t>rievance</w:t>
      </w:r>
    </w:p>
    <w:p w14:paraId="26F20BE3" w14:textId="53F0F869" w:rsidR="00185B0E" w:rsidRDefault="00185B0E" w:rsidP="00185B0E">
      <w:pPr>
        <w:rPr>
          <w:bCs/>
          <w:iCs/>
        </w:rPr>
      </w:pPr>
      <w:r>
        <w:rPr>
          <w:bCs/>
          <w:iCs/>
        </w:rPr>
        <w:t xml:space="preserve">Employers must ensure that they treat all employees fairly and equally to ensure that they mitigate any reason for employees to bring a claim against them. This is vitally important when dealing with capability, misconduct and grievance procedures. </w:t>
      </w:r>
    </w:p>
    <w:p w14:paraId="5E76C476" w14:textId="0AD6C7D6" w:rsidR="00185B0E" w:rsidRDefault="00185B0E" w:rsidP="00185B0E">
      <w:pPr>
        <w:rPr>
          <w:bCs/>
          <w:iCs/>
        </w:rPr>
      </w:pPr>
      <w:r>
        <w:rPr>
          <w:bCs/>
          <w:iCs/>
        </w:rPr>
        <w:t>All employees have a statutory right not to be dismissed unfairly</w:t>
      </w:r>
      <w:r w:rsidR="009B4575">
        <w:rPr>
          <w:bCs/>
          <w:iCs/>
        </w:rPr>
        <w:t>.</w:t>
      </w:r>
      <w:r>
        <w:rPr>
          <w:bCs/>
          <w:iCs/>
        </w:rPr>
        <w:t xml:space="preserve"> </w:t>
      </w:r>
      <w:r w:rsidR="009B4575">
        <w:rPr>
          <w:bCs/>
          <w:iCs/>
        </w:rPr>
        <w:t>T</w:t>
      </w:r>
      <w:r w:rsidR="0075753A">
        <w:rPr>
          <w:bCs/>
          <w:iCs/>
        </w:rPr>
        <w:t xml:space="preserve">his </w:t>
      </w:r>
      <w:r>
        <w:rPr>
          <w:bCs/>
          <w:iCs/>
        </w:rPr>
        <w:t>is covered with the Employment Rights Act 1996, which states that “an employee has the right not to be unfairly dismissed by his employer”</w:t>
      </w:r>
      <w:r w:rsidR="0075753A">
        <w:rPr>
          <w:bCs/>
          <w:iCs/>
        </w:rPr>
        <w:t xml:space="preserve"> (Ayling, L and Suff, R. 2019)</w:t>
      </w:r>
      <w:r w:rsidR="00F230AF">
        <w:rPr>
          <w:bCs/>
          <w:iCs/>
        </w:rPr>
        <w:t>. It should be noted that this only applies to employees and does not cover workers or individuals employed on a casual basis or employed through an agency</w:t>
      </w:r>
      <w:r w:rsidR="0075753A">
        <w:rPr>
          <w:bCs/>
          <w:iCs/>
        </w:rPr>
        <w:t>(</w:t>
      </w:r>
      <w:r w:rsidR="0075753A" w:rsidRPr="0075753A">
        <w:rPr>
          <w:bCs/>
          <w:i/>
        </w:rPr>
        <w:t>Employment Rights Act 1996</w:t>
      </w:r>
      <w:r w:rsidR="0075753A">
        <w:rPr>
          <w:bCs/>
          <w:iCs/>
        </w:rPr>
        <w:t>)</w:t>
      </w:r>
      <w:r w:rsidR="009B4575">
        <w:rPr>
          <w:bCs/>
          <w:iCs/>
        </w:rPr>
        <w:t>.</w:t>
      </w:r>
      <w:r>
        <w:rPr>
          <w:bCs/>
          <w:iCs/>
        </w:rPr>
        <w:t xml:space="preserve"> </w:t>
      </w:r>
      <w:r w:rsidR="00F230AF">
        <w:rPr>
          <w:bCs/>
          <w:iCs/>
        </w:rPr>
        <w:t xml:space="preserve">The </w:t>
      </w:r>
      <w:r w:rsidR="005A0613">
        <w:rPr>
          <w:bCs/>
          <w:iCs/>
        </w:rPr>
        <w:t>legislation</w:t>
      </w:r>
      <w:r>
        <w:rPr>
          <w:bCs/>
          <w:iCs/>
        </w:rPr>
        <w:t xml:space="preserve"> goes on to describe that an employer must describe the reason for a dismissal</w:t>
      </w:r>
      <w:r w:rsidR="00F230AF">
        <w:rPr>
          <w:bCs/>
          <w:iCs/>
        </w:rPr>
        <w:t xml:space="preserve">, which can relate to the capability or qualifications of an employee who has been employed to carry out specific work, to their conduct or due to redundancy. An employer </w:t>
      </w:r>
      <w:r w:rsidR="009B4575">
        <w:rPr>
          <w:bCs/>
          <w:iCs/>
        </w:rPr>
        <w:t>must</w:t>
      </w:r>
      <w:r w:rsidR="00F230AF">
        <w:rPr>
          <w:bCs/>
          <w:iCs/>
        </w:rPr>
        <w:t xml:space="preserve"> also evidence that their decision to dismiss was ‘reasonable’. </w:t>
      </w:r>
      <w:r w:rsidR="009B4575">
        <w:rPr>
          <w:bCs/>
          <w:iCs/>
        </w:rPr>
        <w:t>Here, t</w:t>
      </w:r>
      <w:r w:rsidR="00313A85">
        <w:rPr>
          <w:bCs/>
          <w:iCs/>
        </w:rPr>
        <w:t>he size of an organisation will be taken into account when identifying what was reasonable</w:t>
      </w:r>
      <w:r w:rsidR="009B4575">
        <w:rPr>
          <w:bCs/>
          <w:iCs/>
        </w:rPr>
        <w:t>,</w:t>
      </w:r>
      <w:r w:rsidR="00313A85">
        <w:rPr>
          <w:bCs/>
          <w:iCs/>
        </w:rPr>
        <w:t xml:space="preserve"> as some organisation may not be able to carry out processes which larger ones may.</w:t>
      </w:r>
    </w:p>
    <w:p w14:paraId="3353E50A" w14:textId="6F8B9A02" w:rsidR="005A0613" w:rsidRDefault="00D81152" w:rsidP="00185B0E">
      <w:pPr>
        <w:rPr>
          <w:bCs/>
          <w:iCs/>
        </w:rPr>
      </w:pPr>
      <w:r>
        <w:rPr>
          <w:bCs/>
          <w:iCs/>
        </w:rPr>
        <w:t>Capability is when an employee is unable to achieve the required standard or work</w:t>
      </w:r>
      <w:r w:rsidR="009B4575">
        <w:rPr>
          <w:bCs/>
          <w:iCs/>
        </w:rPr>
        <w:t>,</w:t>
      </w:r>
      <w:r>
        <w:rPr>
          <w:bCs/>
          <w:iCs/>
        </w:rPr>
        <w:t xml:space="preserve"> whereas conduct is when an employee will not (for one reason or another) do the work required.</w:t>
      </w:r>
      <w:r w:rsidR="00313A85">
        <w:rPr>
          <w:bCs/>
          <w:iCs/>
        </w:rPr>
        <w:t xml:space="preserve"> It is important that employers have fully explored any instances o</w:t>
      </w:r>
      <w:r w:rsidR="009B4575">
        <w:rPr>
          <w:bCs/>
          <w:iCs/>
        </w:rPr>
        <w:t>f</w:t>
      </w:r>
      <w:r w:rsidR="00313A85">
        <w:rPr>
          <w:bCs/>
          <w:iCs/>
        </w:rPr>
        <w:t xml:space="preserve"> capability prior to invoking any formal processes, to ensure that adequate support has been provided.</w:t>
      </w:r>
      <w:r>
        <w:rPr>
          <w:bCs/>
          <w:iCs/>
        </w:rPr>
        <w:t xml:space="preserve"> The main difference </w:t>
      </w:r>
      <w:r w:rsidR="00313A85">
        <w:rPr>
          <w:bCs/>
          <w:iCs/>
        </w:rPr>
        <w:t>between the two areas</w:t>
      </w:r>
      <w:r>
        <w:rPr>
          <w:bCs/>
          <w:iCs/>
        </w:rPr>
        <w:t xml:space="preserve"> is the element of control applied by the employee.</w:t>
      </w:r>
      <w:r w:rsidR="003B2B57">
        <w:rPr>
          <w:bCs/>
          <w:iCs/>
        </w:rPr>
        <w:t xml:space="preserve"> </w:t>
      </w:r>
    </w:p>
    <w:p w14:paraId="03C7ACDA" w14:textId="71C1EFF8" w:rsidR="003B2B57" w:rsidRDefault="003B2B57" w:rsidP="00185B0E">
      <w:pPr>
        <w:rPr>
          <w:bCs/>
          <w:iCs/>
        </w:rPr>
      </w:pPr>
      <w:r>
        <w:rPr>
          <w:bCs/>
          <w:iCs/>
        </w:rPr>
        <w:t>Disciplinary procedures are required to ensure that all employee</w:t>
      </w:r>
      <w:r w:rsidR="009B4575">
        <w:rPr>
          <w:bCs/>
          <w:iCs/>
        </w:rPr>
        <w:t>s</w:t>
      </w:r>
      <w:r>
        <w:rPr>
          <w:bCs/>
          <w:iCs/>
        </w:rPr>
        <w:t xml:space="preserve"> understand what is required of them from in terms of their responsibilities and performance in the work place and act as a process to follow to look to resolve issues if they arise. Grievance procedures are a means for individuals to raise matters of concern they may have and to provide a process for allowing these to be resolved without the potential for recourse against them (</w:t>
      </w:r>
      <w:r w:rsidR="003A14FF">
        <w:t>Ayling, L and Suff, R)</w:t>
      </w:r>
      <w:r>
        <w:rPr>
          <w:bCs/>
          <w:iCs/>
        </w:rPr>
        <w:t>.</w:t>
      </w:r>
    </w:p>
    <w:p w14:paraId="4F34BEEB" w14:textId="3C420FB8" w:rsidR="00F230AF" w:rsidRDefault="00F230AF" w:rsidP="00185B0E">
      <w:pPr>
        <w:rPr>
          <w:bCs/>
          <w:iCs/>
        </w:rPr>
      </w:pPr>
      <w:r>
        <w:rPr>
          <w:bCs/>
          <w:iCs/>
        </w:rPr>
        <w:t xml:space="preserve">To assist employers in dealing with capability, misconduct and grievance processes, the </w:t>
      </w:r>
      <w:r w:rsidR="005A0613">
        <w:rPr>
          <w:bCs/>
          <w:iCs/>
        </w:rPr>
        <w:t xml:space="preserve">Advisory, Conciliation and Arbitration Service (ACAS) have produced a Code of Practice to support individuals </w:t>
      </w:r>
      <w:r w:rsidR="009B4575">
        <w:rPr>
          <w:bCs/>
          <w:iCs/>
        </w:rPr>
        <w:lastRenderedPageBreak/>
        <w:t>through</w:t>
      </w:r>
      <w:r w:rsidR="005A0613">
        <w:rPr>
          <w:bCs/>
          <w:iCs/>
        </w:rPr>
        <w:t xml:space="preserve"> these processes effectively and lawfully. There a number of reasons why an employer can lawfully dismiss an individual, including:</w:t>
      </w:r>
    </w:p>
    <w:p w14:paraId="625036F7" w14:textId="720D05CF" w:rsidR="005A0613" w:rsidRDefault="005A0613" w:rsidP="005A0613">
      <w:pPr>
        <w:pStyle w:val="ListParagraph"/>
        <w:numPr>
          <w:ilvl w:val="0"/>
          <w:numId w:val="16"/>
        </w:numPr>
        <w:rPr>
          <w:bCs/>
          <w:iCs/>
        </w:rPr>
      </w:pPr>
      <w:r>
        <w:rPr>
          <w:bCs/>
          <w:iCs/>
        </w:rPr>
        <w:t>Capability or qualifications</w:t>
      </w:r>
    </w:p>
    <w:p w14:paraId="78A4D427" w14:textId="50AD0258" w:rsidR="005A0613" w:rsidRDefault="005A0613" w:rsidP="005A0613">
      <w:pPr>
        <w:pStyle w:val="ListParagraph"/>
        <w:numPr>
          <w:ilvl w:val="0"/>
          <w:numId w:val="16"/>
        </w:numPr>
        <w:rPr>
          <w:bCs/>
          <w:iCs/>
        </w:rPr>
      </w:pPr>
      <w:r>
        <w:rPr>
          <w:bCs/>
          <w:iCs/>
        </w:rPr>
        <w:t>Conduct</w:t>
      </w:r>
    </w:p>
    <w:p w14:paraId="183FC96E" w14:textId="20215F8F" w:rsidR="005A0613" w:rsidRDefault="005A0613" w:rsidP="005A0613">
      <w:pPr>
        <w:pStyle w:val="ListParagraph"/>
        <w:numPr>
          <w:ilvl w:val="0"/>
          <w:numId w:val="16"/>
        </w:numPr>
        <w:rPr>
          <w:bCs/>
          <w:iCs/>
        </w:rPr>
      </w:pPr>
      <w:r>
        <w:rPr>
          <w:bCs/>
          <w:iCs/>
        </w:rPr>
        <w:t xml:space="preserve">Illegality or contravention of a statutory duty </w:t>
      </w:r>
    </w:p>
    <w:p w14:paraId="3B5BA972" w14:textId="55CD1378" w:rsidR="005A0613" w:rsidRDefault="005A0613" w:rsidP="005A0613">
      <w:pPr>
        <w:pStyle w:val="ListParagraph"/>
        <w:numPr>
          <w:ilvl w:val="0"/>
          <w:numId w:val="16"/>
        </w:numPr>
        <w:rPr>
          <w:bCs/>
          <w:iCs/>
        </w:rPr>
      </w:pPr>
      <w:r>
        <w:rPr>
          <w:bCs/>
          <w:iCs/>
        </w:rPr>
        <w:t>Some other substantial reason</w:t>
      </w:r>
    </w:p>
    <w:p w14:paraId="3770C906" w14:textId="7CBB23C8" w:rsidR="005A0613" w:rsidRDefault="005A0613" w:rsidP="005A0613">
      <w:pPr>
        <w:pStyle w:val="ListParagraph"/>
        <w:numPr>
          <w:ilvl w:val="0"/>
          <w:numId w:val="16"/>
        </w:numPr>
        <w:rPr>
          <w:bCs/>
          <w:iCs/>
        </w:rPr>
      </w:pPr>
      <w:r>
        <w:rPr>
          <w:bCs/>
          <w:iCs/>
        </w:rPr>
        <w:t>Redundancy</w:t>
      </w:r>
    </w:p>
    <w:p w14:paraId="4BB5C3A4" w14:textId="7817E55A" w:rsidR="00687FC4" w:rsidRDefault="00D81152" w:rsidP="005A0613">
      <w:pPr>
        <w:rPr>
          <w:bCs/>
          <w:iCs/>
        </w:rPr>
      </w:pPr>
      <w:r>
        <w:rPr>
          <w:bCs/>
          <w:iCs/>
        </w:rPr>
        <w:t>To ensure these matters are carried out fairly and consistently, it is important to follow a procedure which must be document</w:t>
      </w:r>
      <w:r w:rsidR="009B4575">
        <w:rPr>
          <w:bCs/>
          <w:iCs/>
        </w:rPr>
        <w:t>ed</w:t>
      </w:r>
      <w:r>
        <w:rPr>
          <w:bCs/>
          <w:iCs/>
        </w:rPr>
        <w:t xml:space="preserve">. This will assist </w:t>
      </w:r>
      <w:r w:rsidR="009B4575">
        <w:rPr>
          <w:bCs/>
          <w:iCs/>
        </w:rPr>
        <w:t>in</w:t>
      </w:r>
      <w:r>
        <w:rPr>
          <w:bCs/>
          <w:iCs/>
        </w:rPr>
        <w:t xml:space="preserve"> evidenc</w:t>
      </w:r>
      <w:r w:rsidR="009B4575">
        <w:rPr>
          <w:bCs/>
          <w:iCs/>
        </w:rPr>
        <w:t>ing</w:t>
      </w:r>
      <w:r>
        <w:rPr>
          <w:bCs/>
          <w:iCs/>
        </w:rPr>
        <w:t xml:space="preserve"> the fairness of process, should this be required. </w:t>
      </w:r>
      <w:r w:rsidR="00687FC4">
        <w:rPr>
          <w:bCs/>
          <w:iCs/>
        </w:rPr>
        <w:t xml:space="preserve">The process defined in the ACAS Code differs slightly between disciplinary matters and grievance matters, these are highlighted </w:t>
      </w:r>
      <w:r w:rsidR="003B2B57">
        <w:rPr>
          <w:bCs/>
          <w:iCs/>
        </w:rPr>
        <w:t>below:</w:t>
      </w:r>
    </w:p>
    <w:p w14:paraId="5BA6ADE3" w14:textId="77777777" w:rsidR="00313A85" w:rsidRDefault="00687FC4" w:rsidP="00185B0E">
      <w:pPr>
        <w:rPr>
          <w:bCs/>
          <w:iCs/>
        </w:rPr>
      </w:pPr>
      <w:r>
        <w:rPr>
          <w:bCs/>
          <w:iCs/>
          <w:noProof/>
        </w:rPr>
        <w:drawing>
          <wp:inline distT="0" distB="0" distL="0" distR="0" wp14:anchorId="01D530B6" wp14:editId="200136FC">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9661C87" w14:textId="6D8E4EF7" w:rsidR="00F230AF" w:rsidRDefault="00FB1211" w:rsidP="00185B0E">
      <w:pPr>
        <w:rPr>
          <w:bCs/>
          <w:iCs/>
        </w:rPr>
      </w:pPr>
      <w:r>
        <w:rPr>
          <w:bCs/>
          <w:iCs/>
        </w:rPr>
        <w:t>It is important that all steps of the process are followed to ensure that this is done in a fair manner and it is advisable that individuals are trained to carry out these processes.</w:t>
      </w:r>
      <w:r w:rsidR="003B2B57">
        <w:rPr>
          <w:bCs/>
          <w:iCs/>
        </w:rPr>
        <w:t xml:space="preserve"> </w:t>
      </w:r>
    </w:p>
    <w:p w14:paraId="07785A89" w14:textId="4D4EA635" w:rsidR="008D6F2D" w:rsidRDefault="008D6F2D" w:rsidP="00185B0E">
      <w:pPr>
        <w:rPr>
          <w:bCs/>
          <w:iCs/>
        </w:rPr>
      </w:pPr>
      <w:r>
        <w:rPr>
          <w:bCs/>
          <w:iCs/>
        </w:rPr>
        <w:t>It is perfectly lawful for an employer to dismiss their employee; however, it is vitally important that the matter has been fully explored and documented. In terms of poor performance or attendance matters there are clear legal principles which must be followed, which include the need for a formal meeting to be held, followed by a need for targets to be set and monitored over a set period. As long as this is done, a subsequent dismissal would be seen a lawf</w:t>
      </w:r>
      <w:r w:rsidR="00A077A3">
        <w:rPr>
          <w:bCs/>
          <w:iCs/>
        </w:rPr>
        <w:t>ul (Taylor, S and Wilkinson K)</w:t>
      </w:r>
      <w:r>
        <w:rPr>
          <w:bCs/>
          <w:iCs/>
        </w:rPr>
        <w:t>.</w:t>
      </w:r>
    </w:p>
    <w:p w14:paraId="5D4B2C46" w14:textId="0D5D6E35" w:rsidR="00A077A3" w:rsidRDefault="00A077A3" w:rsidP="00185B0E">
      <w:pPr>
        <w:rPr>
          <w:bCs/>
          <w:iCs/>
        </w:rPr>
      </w:pPr>
      <w:r>
        <w:rPr>
          <w:bCs/>
          <w:iCs/>
        </w:rPr>
        <w:t xml:space="preserve">What is seen as conduct, misconduct and what constitutes poor performance or attendance differs between organisations, however the above processes should always be followed to ensure employees are treated in a fair and consistent manner. </w:t>
      </w:r>
    </w:p>
    <w:p w14:paraId="7842ADCE" w14:textId="5F6A5576" w:rsidR="000C245C" w:rsidRPr="000C245C" w:rsidRDefault="000C245C" w:rsidP="00185B0E">
      <w:pPr>
        <w:rPr>
          <w:b/>
          <w:iCs/>
        </w:rPr>
      </w:pPr>
    </w:p>
    <w:p w14:paraId="51EA534D" w14:textId="258A9202" w:rsidR="00B042D9" w:rsidRDefault="00B042D9" w:rsidP="00185B0E">
      <w:pPr>
        <w:rPr>
          <w:bCs/>
          <w:iCs/>
        </w:rPr>
      </w:pPr>
    </w:p>
    <w:sdt>
      <w:sdtPr>
        <w:rPr>
          <w:rFonts w:asciiTheme="minorHAnsi" w:eastAsiaTheme="minorHAnsi" w:hAnsiTheme="minorHAnsi" w:cstheme="minorBidi"/>
          <w:color w:val="auto"/>
          <w:sz w:val="22"/>
          <w:szCs w:val="22"/>
          <w:lang w:val="en-GB"/>
        </w:rPr>
        <w:id w:val="-1176648477"/>
        <w:docPartObj>
          <w:docPartGallery w:val="Bibliographies"/>
          <w:docPartUnique/>
        </w:docPartObj>
      </w:sdtPr>
      <w:sdtEndPr/>
      <w:sdtContent>
        <w:p w14:paraId="7A2829D9" w14:textId="194A92D2" w:rsidR="00B042D9" w:rsidRDefault="00B042D9">
          <w:pPr>
            <w:pStyle w:val="Heading1"/>
          </w:pPr>
          <w:r>
            <w:t>Bibliography</w:t>
          </w:r>
        </w:p>
        <w:sdt>
          <w:sdtPr>
            <w:id w:val="111145805"/>
            <w:bibliography/>
          </w:sdtPr>
          <w:sdtEndPr/>
          <w:sdtContent>
            <w:p w14:paraId="53A82757" w14:textId="77777777" w:rsidR="00C074C7" w:rsidRDefault="00B042D9" w:rsidP="00C074C7">
              <w:pPr>
                <w:pStyle w:val="Bibliography"/>
                <w:ind w:left="720" w:hanging="720"/>
                <w:rPr>
                  <w:noProof/>
                  <w:sz w:val="24"/>
                  <w:szCs w:val="24"/>
                  <w:lang w:val="en-US"/>
                </w:rPr>
              </w:pPr>
              <w:r>
                <w:fldChar w:fldCharType="begin"/>
              </w:r>
              <w:r>
                <w:instrText xml:space="preserve"> BIBLIOGRAPHY </w:instrText>
              </w:r>
              <w:r>
                <w:fldChar w:fldCharType="separate"/>
              </w:r>
              <w:r w:rsidR="00C074C7">
                <w:rPr>
                  <w:noProof/>
                  <w:lang w:val="en-US"/>
                </w:rPr>
                <w:t xml:space="preserve">CIPD. (2020). </w:t>
              </w:r>
              <w:r w:rsidR="00C074C7">
                <w:rPr>
                  <w:i/>
                  <w:iCs/>
                  <w:noProof/>
                  <w:lang w:val="en-US"/>
                </w:rPr>
                <w:t>Employment law updates for CIPD tutors and students.</w:t>
              </w:r>
              <w:r w:rsidR="00C074C7">
                <w:rPr>
                  <w:noProof/>
                  <w:lang w:val="en-US"/>
                </w:rPr>
                <w:t xml:space="preserve"> London: Chartered Institute of Personnel and Development.</w:t>
              </w:r>
            </w:p>
            <w:p w14:paraId="74FA0E97" w14:textId="5222F69D" w:rsidR="00C074C7" w:rsidRDefault="00C074C7" w:rsidP="00C074C7">
              <w:pPr>
                <w:pStyle w:val="Bibliography"/>
                <w:ind w:left="720" w:hanging="720"/>
                <w:rPr>
                  <w:noProof/>
                  <w:lang w:val="en-US"/>
                </w:rPr>
              </w:pPr>
              <w:r>
                <w:rPr>
                  <w:i/>
                  <w:iCs/>
                  <w:noProof/>
                  <w:lang w:val="en-US"/>
                </w:rPr>
                <w:t>Protected Characteristics</w:t>
              </w:r>
              <w:r>
                <w:rPr>
                  <w:noProof/>
                  <w:lang w:val="en-US"/>
                </w:rPr>
                <w:t>. (n.d.). Retrieved from Equality and Human Rights Commission: https://www.equalityhumanrights.com/en/equality-act/protected-characteristics</w:t>
              </w:r>
            </w:p>
            <w:p w14:paraId="380EBCD4" w14:textId="77777777" w:rsidR="00C074C7" w:rsidRDefault="00C074C7" w:rsidP="00C074C7">
              <w:pPr>
                <w:pStyle w:val="Bibliography"/>
                <w:ind w:left="720" w:hanging="720"/>
                <w:rPr>
                  <w:noProof/>
                  <w:lang w:val="en-US"/>
                </w:rPr>
              </w:pPr>
              <w:r>
                <w:rPr>
                  <w:noProof/>
                  <w:lang w:val="en-US"/>
                </w:rPr>
                <w:t xml:space="preserve">Taylor, S. (2020, April 23). </w:t>
              </w:r>
              <w:r>
                <w:rPr>
                  <w:i/>
                  <w:iCs/>
                  <w:noProof/>
                  <w:lang w:val="en-US"/>
                </w:rPr>
                <w:t>Employment law in the UK: the court system</w:t>
              </w:r>
              <w:r>
                <w:rPr>
                  <w:noProof/>
                  <w:lang w:val="en-US"/>
                </w:rPr>
                <w:t>. Retrieved from CIPD: https://www.cipd.co.uk/knowledge/fundamentals/emp-law/about/court-system</w:t>
              </w:r>
            </w:p>
            <w:p w14:paraId="286EE22A" w14:textId="6A146603" w:rsidR="00C074C7" w:rsidRDefault="00C074C7" w:rsidP="00C074C7">
              <w:pPr>
                <w:pStyle w:val="Bibliography"/>
                <w:ind w:left="720" w:hanging="720"/>
                <w:rPr>
                  <w:noProof/>
                  <w:lang w:val="en-US"/>
                </w:rPr>
              </w:pPr>
              <w:r>
                <w:rPr>
                  <w:noProof/>
                  <w:lang w:val="en-US"/>
                </w:rPr>
                <w:t xml:space="preserve">Wilkinson, K and Taylor, S. 'Employment Law'. In Taylor and Woodhams (ed) </w:t>
              </w:r>
              <w:r>
                <w:rPr>
                  <w:i/>
                  <w:iCs/>
                  <w:noProof/>
                  <w:lang w:val="en-US"/>
                </w:rPr>
                <w:t>Human Resource Management: People and Organisations .</w:t>
              </w:r>
              <w:r>
                <w:rPr>
                  <w:noProof/>
                  <w:lang w:val="en-US"/>
                </w:rPr>
                <w:t xml:space="preserve"> London: CIPD.</w:t>
              </w:r>
            </w:p>
            <w:p w14:paraId="651B654F" w14:textId="3D91C67F" w:rsidR="00953784" w:rsidRDefault="00B042D9" w:rsidP="00C074C7">
              <w:pPr>
                <w:pStyle w:val="Bibliography"/>
                <w:ind w:left="720" w:hanging="720"/>
                <w:rPr>
                  <w:noProof/>
                </w:rPr>
              </w:pPr>
              <w:r>
                <w:rPr>
                  <w:b/>
                  <w:bCs/>
                  <w:noProof/>
                </w:rPr>
                <w:fldChar w:fldCharType="end"/>
              </w:r>
              <w:r w:rsidR="00953784" w:rsidRPr="00953784">
                <w:rPr>
                  <w:noProof/>
                </w:rPr>
                <w:t xml:space="preserve">Government Equalities Office (2015) </w:t>
              </w:r>
              <w:r w:rsidR="00953784" w:rsidRPr="00953784">
                <w:rPr>
                  <w:i/>
                  <w:iCs/>
                  <w:noProof/>
                </w:rPr>
                <w:t>Equalities Act 2010: guidance</w:t>
              </w:r>
              <w:r w:rsidR="00953784">
                <w:rPr>
                  <w:i/>
                  <w:iCs/>
                  <w:noProof/>
                </w:rPr>
                <w:t xml:space="preserve">. </w:t>
              </w:r>
              <w:r w:rsidR="00953784">
                <w:rPr>
                  <w:noProof/>
                </w:rPr>
                <w:t xml:space="preserve">Available at </w:t>
              </w:r>
              <w:r w:rsidR="00953784" w:rsidRPr="00043609">
                <w:rPr>
                  <w:noProof/>
                </w:rPr>
                <w:t>https://www.gov.uk/guidance/equality-act-2010-guidance</w:t>
              </w:r>
              <w:r w:rsidR="00953784">
                <w:rPr>
                  <w:noProof/>
                </w:rPr>
                <w:t xml:space="preserve"> (Accessed: 20th April 2020)</w:t>
              </w:r>
            </w:p>
            <w:p w14:paraId="3D96106F" w14:textId="6056EC6F" w:rsidR="008848DE" w:rsidRDefault="00D819BF" w:rsidP="008848DE">
              <w:pPr>
                <w:pStyle w:val="Bibliography"/>
                <w:ind w:left="720" w:hanging="720"/>
                <w:rPr>
                  <w:noProof/>
                  <w:lang w:val="en-US"/>
                </w:rPr>
              </w:pPr>
              <w:r>
                <w:rPr>
                  <w:noProof/>
                  <w:lang w:val="en-US"/>
                </w:rPr>
                <w:t xml:space="preserve">Ayling, L and Suff, R. (2020, April 23). </w:t>
              </w:r>
              <w:r>
                <w:rPr>
                  <w:i/>
                  <w:iCs/>
                  <w:noProof/>
                  <w:lang w:val="en-US"/>
                </w:rPr>
                <w:t>Contracts of employment</w:t>
              </w:r>
              <w:r>
                <w:rPr>
                  <w:noProof/>
                  <w:lang w:val="en-US"/>
                </w:rPr>
                <w:t xml:space="preserve">. Retrieved from CIPD: </w:t>
              </w:r>
              <w:r w:rsidR="008848DE" w:rsidRPr="00043609">
                <w:rPr>
                  <w:noProof/>
                  <w:lang w:val="en-US"/>
                </w:rPr>
                <w:t>https://www.cipd.co.uk/knowledge/fundamentals/emp-law/terms-conditions/contracts-factsheet</w:t>
              </w:r>
            </w:p>
            <w:p w14:paraId="0F4F994B" w14:textId="3A0590EC" w:rsidR="008848DE" w:rsidRDefault="008848DE" w:rsidP="008848DE">
              <w:pPr>
                <w:pStyle w:val="Bibliography"/>
                <w:ind w:left="720" w:hanging="720"/>
                <w:rPr>
                  <w:noProof/>
                  <w:lang w:val="en-US"/>
                </w:rPr>
              </w:pPr>
              <w:r>
                <w:rPr>
                  <w:noProof/>
                  <w:lang w:val="en-US"/>
                </w:rPr>
                <w:t>Ayling, L and Suff, R. (2020, April 23).</w:t>
              </w:r>
              <w:r w:rsidRPr="008848DE">
                <w:rPr>
                  <w:i/>
                  <w:iCs/>
                  <w:noProof/>
                  <w:lang w:val="en-US"/>
                </w:rPr>
                <w:t>Redundancy: an introduction</w:t>
              </w:r>
              <w:r>
                <w:rPr>
                  <w:noProof/>
                  <w:lang w:val="en-US"/>
                </w:rPr>
                <w:t xml:space="preserve">. Retrieved from CIPD: </w:t>
              </w:r>
              <w:r w:rsidRPr="00043609">
                <w:rPr>
                  <w:noProof/>
                  <w:lang w:val="en-US"/>
                </w:rPr>
                <w:t>https://www.cipd.co.uk/knowledge/fundamentals/emp-law/redundancy/factsheet</w:t>
              </w:r>
              <w:r>
                <w:rPr>
                  <w:noProof/>
                  <w:lang w:val="en-US"/>
                </w:rPr>
                <w:t xml:space="preserve"> </w:t>
              </w:r>
            </w:p>
            <w:p w14:paraId="7B44DEDF" w14:textId="3B87F1B6" w:rsidR="00C870FF" w:rsidRDefault="0012393E" w:rsidP="0012393E">
              <w:pPr>
                <w:rPr>
                  <w:noProof/>
                  <w:lang w:val="en-US"/>
                </w:rPr>
              </w:pPr>
              <w:r>
                <w:rPr>
                  <w:noProof/>
                  <w:lang w:val="en-US"/>
                </w:rPr>
                <w:t>Ayling, L and Suff, R. (2019, March 28).</w:t>
              </w:r>
              <w:r>
                <w:rPr>
                  <w:i/>
                  <w:iCs/>
                  <w:noProof/>
                  <w:lang w:val="en-US"/>
                </w:rPr>
                <w:t>Transfer of undertakings (TUPE): an introduction</w:t>
              </w:r>
              <w:r>
                <w:rPr>
                  <w:noProof/>
                  <w:lang w:val="en-US"/>
                </w:rPr>
                <w:t xml:space="preserve">. Retrieved from CIPD: </w:t>
              </w:r>
              <w:r w:rsidRPr="00043609">
                <w:rPr>
                  <w:noProof/>
                  <w:lang w:val="en-US"/>
                </w:rPr>
                <w:t>https://www.cipd.co.uk/knowledge/fundamentals/emp-law/tupe/factsheet</w:t>
              </w:r>
            </w:p>
            <w:p w14:paraId="1C26F9FD" w14:textId="5472F96C" w:rsidR="00C870FF" w:rsidRDefault="00C870FF" w:rsidP="00C870FF">
              <w:pPr>
                <w:pStyle w:val="Bibliography"/>
                <w:ind w:left="720" w:hanging="720"/>
                <w:rPr>
                  <w:noProof/>
                </w:rPr>
              </w:pPr>
              <w:r>
                <w:rPr>
                  <w:noProof/>
                </w:rPr>
                <w:t>Low Pay Commission</w:t>
              </w:r>
              <w:r w:rsidRPr="00953784">
                <w:rPr>
                  <w:noProof/>
                </w:rPr>
                <w:t xml:space="preserve"> (20</w:t>
              </w:r>
              <w:r>
                <w:rPr>
                  <w:noProof/>
                </w:rPr>
                <w:t>20</w:t>
              </w:r>
              <w:r w:rsidRPr="00953784">
                <w:rPr>
                  <w:noProof/>
                </w:rPr>
                <w:t xml:space="preserve">) </w:t>
              </w:r>
              <w:r>
                <w:rPr>
                  <w:i/>
                  <w:iCs/>
                  <w:noProof/>
                </w:rPr>
                <w:t xml:space="preserve">The National Minimum Wage in 2020. </w:t>
              </w:r>
              <w:r>
                <w:rPr>
                  <w:noProof/>
                </w:rPr>
                <w:t xml:space="preserve">Available at </w:t>
              </w:r>
              <w:r w:rsidRPr="00043609">
                <w:rPr>
                  <w:noProof/>
                </w:rPr>
                <w:t>https://www.gov.uk/government/publications/the-national-minimum-wage-in-2020</w:t>
              </w:r>
              <w:r>
                <w:rPr>
                  <w:noProof/>
                </w:rPr>
                <w:t xml:space="preserve"> </w:t>
              </w:r>
              <w:r w:rsidRPr="00C870FF">
                <w:rPr>
                  <w:noProof/>
                </w:rPr>
                <w:cr/>
              </w:r>
              <w:r>
                <w:rPr>
                  <w:noProof/>
                </w:rPr>
                <w:t>(Accessed: 20th April 2020)</w:t>
              </w:r>
            </w:p>
            <w:p w14:paraId="37396658" w14:textId="3DAFF22F" w:rsidR="00792E38" w:rsidRDefault="00792E38" w:rsidP="00792E38">
              <w:r w:rsidRPr="00792E38">
                <w:rPr>
                  <w:i/>
                  <w:iCs/>
                </w:rPr>
                <w:t>Employment Rights Act 1996</w:t>
              </w:r>
              <w:r>
                <w:rPr>
                  <w:i/>
                  <w:iCs/>
                </w:rPr>
                <w:t xml:space="preserve"> </w:t>
              </w:r>
              <w:r w:rsidRPr="00792E38">
                <w:t>SI</w:t>
              </w:r>
              <w:r>
                <w:t xml:space="preserve"> 2018/529. Available at </w:t>
              </w:r>
              <w:r w:rsidRPr="00043609">
                <w:t>www.legislation.gov.uk/ukpga/1996/18/section/8</w:t>
              </w:r>
              <w:r>
                <w:t>. Accessed on 18</w:t>
              </w:r>
              <w:r w:rsidRPr="00792E38">
                <w:rPr>
                  <w:vertAlign w:val="superscript"/>
                </w:rPr>
                <w:t>th</w:t>
              </w:r>
              <w:r>
                <w:t xml:space="preserve"> April 2020</w:t>
              </w:r>
            </w:p>
            <w:p w14:paraId="00408952" w14:textId="4698299F" w:rsidR="00795DF1" w:rsidRDefault="00795DF1" w:rsidP="00795DF1">
              <w:pPr>
                <w:pStyle w:val="Bibliography"/>
                <w:ind w:left="720" w:hanging="720"/>
                <w:rPr>
                  <w:noProof/>
                  <w:lang w:val="en-US"/>
                </w:rPr>
              </w:pPr>
              <w:r>
                <w:rPr>
                  <w:noProof/>
                  <w:lang w:val="en-US"/>
                </w:rPr>
                <w:t xml:space="preserve">Gov.UK (2020). </w:t>
              </w:r>
              <w:r>
                <w:rPr>
                  <w:i/>
                  <w:iCs/>
                  <w:noProof/>
                  <w:lang w:val="en-US"/>
                </w:rPr>
                <w:t>Holiday Entitlement</w:t>
              </w:r>
              <w:r>
                <w:rPr>
                  <w:noProof/>
                  <w:lang w:val="en-US"/>
                </w:rPr>
                <w:t xml:space="preserve">. Retrieved from: </w:t>
              </w:r>
              <w:r w:rsidRPr="00043609">
                <w:rPr>
                  <w:noProof/>
                  <w:lang w:val="en-US"/>
                </w:rPr>
                <w:t>https://www.gov.uk/holiday-entitlement-rights</w:t>
              </w:r>
              <w:r>
                <w:rPr>
                  <w:noProof/>
                  <w:lang w:val="en-US"/>
                </w:rPr>
                <w:t xml:space="preserve"> Accessed on 23rd April 2020 </w:t>
              </w:r>
            </w:p>
            <w:p w14:paraId="142E4893" w14:textId="28392C66" w:rsidR="00B17745" w:rsidRDefault="00B17745" w:rsidP="00B17745">
              <w:pPr>
                <w:pStyle w:val="Bibliography"/>
                <w:ind w:left="720" w:hanging="720"/>
                <w:rPr>
                  <w:noProof/>
                  <w:lang w:val="en-US"/>
                </w:rPr>
              </w:pPr>
              <w:r>
                <w:rPr>
                  <w:noProof/>
                  <w:lang w:val="en-US"/>
                </w:rPr>
                <w:t xml:space="preserve">Gov.UK (2020). </w:t>
              </w:r>
              <w:r>
                <w:rPr>
                  <w:i/>
                  <w:iCs/>
                  <w:noProof/>
                  <w:lang w:val="en-US"/>
                </w:rPr>
                <w:t>Maximum weekly working hours</w:t>
              </w:r>
              <w:r>
                <w:rPr>
                  <w:noProof/>
                  <w:lang w:val="en-US"/>
                </w:rPr>
                <w:t xml:space="preserve">. Retrieved from: </w:t>
              </w:r>
              <w:r w:rsidRPr="00043609">
                <w:rPr>
                  <w:noProof/>
                  <w:lang w:val="en-US"/>
                </w:rPr>
                <w:t>https://www.gov.uk/maximum-weekly-working-hours</w:t>
              </w:r>
              <w:r>
                <w:rPr>
                  <w:noProof/>
                  <w:lang w:val="en-US"/>
                </w:rPr>
                <w:t xml:space="preserve"> Accessed on 19th April 2020 </w:t>
              </w:r>
            </w:p>
            <w:p w14:paraId="19A62D6C" w14:textId="3C9C4A22" w:rsidR="006B77F2" w:rsidRDefault="006B77F2" w:rsidP="006B77F2">
              <w:pPr>
                <w:pStyle w:val="Bibliography"/>
                <w:ind w:left="720" w:hanging="720"/>
                <w:rPr>
                  <w:noProof/>
                </w:rPr>
              </w:pPr>
              <w:r>
                <w:rPr>
                  <w:noProof/>
                </w:rPr>
                <w:t>Health and Safety Executive</w:t>
              </w:r>
              <w:r w:rsidRPr="00953784">
                <w:rPr>
                  <w:noProof/>
                </w:rPr>
                <w:t xml:space="preserve"> (20</w:t>
              </w:r>
              <w:r>
                <w:rPr>
                  <w:noProof/>
                </w:rPr>
                <w:t>20</w:t>
              </w:r>
              <w:r w:rsidRPr="00953784">
                <w:rPr>
                  <w:noProof/>
                </w:rPr>
                <w:t xml:space="preserve">) </w:t>
              </w:r>
              <w:r>
                <w:rPr>
                  <w:i/>
                  <w:iCs/>
                  <w:noProof/>
                </w:rPr>
                <w:t xml:space="preserve">Health and Safety at Work etc Act 1974. </w:t>
              </w:r>
              <w:r>
                <w:rPr>
                  <w:noProof/>
                </w:rPr>
                <w:t xml:space="preserve">Available at </w:t>
              </w:r>
              <w:r w:rsidRPr="006B77F2">
                <w:rPr>
                  <w:noProof/>
                </w:rPr>
                <w:t>https://www.hse.gov.uk/legislation/hswa.htm</w:t>
              </w:r>
              <w:r>
                <w:rPr>
                  <w:noProof/>
                </w:rPr>
                <w:t xml:space="preserve"> (Accessed: 21st April 2020)</w:t>
              </w:r>
            </w:p>
            <w:p w14:paraId="537632E2" w14:textId="675BDBB0" w:rsidR="005027FC" w:rsidRDefault="005027FC" w:rsidP="005027FC">
              <w:pPr>
                <w:pStyle w:val="Bibliography"/>
                <w:ind w:left="720" w:hanging="720"/>
                <w:rPr>
                  <w:noProof/>
                </w:rPr>
              </w:pPr>
              <w:r>
                <w:rPr>
                  <w:noProof/>
                </w:rPr>
                <w:t>Health and Safety Executive</w:t>
              </w:r>
              <w:r w:rsidRPr="00953784">
                <w:rPr>
                  <w:noProof/>
                </w:rPr>
                <w:t xml:space="preserve"> (20</w:t>
              </w:r>
              <w:r>
                <w:rPr>
                  <w:noProof/>
                </w:rPr>
                <w:t>09</w:t>
              </w:r>
              <w:r w:rsidRPr="00953784">
                <w:rPr>
                  <w:noProof/>
                </w:rPr>
                <w:t xml:space="preserve">) </w:t>
              </w:r>
              <w:r>
                <w:rPr>
                  <w:i/>
                  <w:iCs/>
                  <w:noProof/>
                </w:rPr>
                <w:t xml:space="preserve">Health and Safety Law – What you need to know. </w:t>
              </w:r>
              <w:r>
                <w:rPr>
                  <w:noProof/>
                </w:rPr>
                <w:t xml:space="preserve">Available at </w:t>
              </w:r>
              <w:r w:rsidRPr="005027FC">
                <w:rPr>
                  <w:noProof/>
                </w:rPr>
                <w:t>https://www.hse.gov.uk/pubns/law.pdf</w:t>
              </w:r>
              <w:r>
                <w:rPr>
                  <w:noProof/>
                </w:rPr>
                <w:t xml:space="preserve"> (Accessed: 21st April 2020)</w:t>
              </w:r>
            </w:p>
            <w:p w14:paraId="2B434E2D" w14:textId="0ECECF0D" w:rsidR="004F6F7B" w:rsidRDefault="004F6F7B" w:rsidP="004F6F7B">
              <w:pPr>
                <w:rPr>
                  <w:noProof/>
                  <w:lang w:val="en-US"/>
                </w:rPr>
              </w:pPr>
              <w:r>
                <w:rPr>
                  <w:noProof/>
                  <w:lang w:val="en-US"/>
                </w:rPr>
                <w:t>Ayling, L and Suff, R. (2020, April 6).</w:t>
              </w:r>
              <w:r>
                <w:rPr>
                  <w:i/>
                  <w:iCs/>
                  <w:noProof/>
                  <w:lang w:val="en-US"/>
                </w:rPr>
                <w:t>Contracts of Employment</w:t>
              </w:r>
              <w:r>
                <w:rPr>
                  <w:noProof/>
                  <w:lang w:val="en-US"/>
                </w:rPr>
                <w:t xml:space="preserve">. Retrieved from CIPD: </w:t>
              </w:r>
              <w:r w:rsidR="00460EC9" w:rsidRPr="0075753A">
                <w:rPr>
                  <w:noProof/>
                  <w:lang w:val="en-US"/>
                </w:rPr>
                <w:t>https://www.cipd.co.uk/knowledge/fundamentals/emp-law/terms-conditions/contracts-factsheet</w:t>
              </w:r>
            </w:p>
            <w:p w14:paraId="35D2737A" w14:textId="2584C8C2" w:rsidR="00460EC9" w:rsidRDefault="00460EC9" w:rsidP="004F6F7B">
              <w:pPr>
                <w:rPr>
                  <w:noProof/>
                  <w:lang w:val="en-US"/>
                </w:rPr>
              </w:pPr>
              <w:r>
                <w:rPr>
                  <w:noProof/>
                  <w:lang w:val="en-US"/>
                </w:rPr>
                <w:t xml:space="preserve">Moss, I. (2011). </w:t>
              </w:r>
              <w:r>
                <w:rPr>
                  <w:i/>
                  <w:iCs/>
                  <w:noProof/>
                  <w:lang w:val="en-US"/>
                </w:rPr>
                <w:t xml:space="preserve">Implied Contractual Terms. </w:t>
              </w:r>
              <w:r>
                <w:rPr>
                  <w:noProof/>
                  <w:lang w:val="en-US"/>
                </w:rPr>
                <w:t xml:space="preserve">Your Employment Law. Retrieved from: </w:t>
              </w:r>
              <w:r w:rsidR="0075753A" w:rsidRPr="0075753A">
                <w:rPr>
                  <w:noProof/>
                  <w:lang w:val="en-US"/>
                </w:rPr>
                <w:t>https://www.youremploymentlaw.net/employment-rights/employment-contracts/implied-contractual-terms/</w:t>
              </w:r>
            </w:p>
            <w:p w14:paraId="505729DD" w14:textId="2AA65B6A" w:rsidR="0075753A" w:rsidRDefault="0075753A" w:rsidP="0075753A">
              <w:pPr>
                <w:rPr>
                  <w:noProof/>
                  <w:lang w:val="en-US"/>
                </w:rPr>
              </w:pPr>
              <w:r>
                <w:rPr>
                  <w:noProof/>
                  <w:lang w:val="en-US"/>
                </w:rPr>
                <w:t>Ayling, L and Suff, R. (2019).</w:t>
              </w:r>
              <w:r>
                <w:rPr>
                  <w:i/>
                  <w:iCs/>
                  <w:noProof/>
                  <w:lang w:val="en-US"/>
                </w:rPr>
                <w:t>Dismissal Pocedures</w:t>
              </w:r>
              <w:r>
                <w:rPr>
                  <w:noProof/>
                  <w:lang w:val="en-US"/>
                </w:rPr>
                <w:t xml:space="preserve">. Retrieved from CIPD: </w:t>
              </w:r>
              <w:r w:rsidRPr="0075753A">
                <w:rPr>
                  <w:noProof/>
                  <w:lang w:val="en-US"/>
                </w:rPr>
                <w:t>https://www.cipd.co.uk/knowledge/fundamentals/emp-law/dismissal/factsheet</w:t>
              </w:r>
              <w:r>
                <w:rPr>
                  <w:noProof/>
                  <w:lang w:val="en-US"/>
                </w:rPr>
                <w:t xml:space="preserve"> </w:t>
              </w:r>
            </w:p>
            <w:p w14:paraId="4B0DCB0C" w14:textId="4ADA10B8" w:rsidR="00E0192E" w:rsidRDefault="00E0192E" w:rsidP="008716A1">
              <w:pPr>
                <w:pStyle w:val="Bibliography"/>
                <w:ind w:left="720" w:hanging="720"/>
                <w:rPr>
                  <w:noProof/>
                  <w:lang w:val="en-US"/>
                </w:rPr>
              </w:pPr>
              <w:r>
                <w:rPr>
                  <w:noProof/>
                  <w:lang w:val="en-US"/>
                </w:rPr>
                <w:lastRenderedPageBreak/>
                <w:t>Ayling, L and Suff, R. (20</w:t>
              </w:r>
              <w:r w:rsidR="008716A1">
                <w:rPr>
                  <w:noProof/>
                  <w:lang w:val="en-US"/>
                </w:rPr>
                <w:t>19, August</w:t>
              </w:r>
              <w:r>
                <w:rPr>
                  <w:noProof/>
                  <w:lang w:val="en-US"/>
                </w:rPr>
                <w:t>).</w:t>
              </w:r>
              <w:r w:rsidR="008716A1">
                <w:rPr>
                  <w:i/>
                  <w:iCs/>
                  <w:noProof/>
                  <w:lang w:val="en-US"/>
                </w:rPr>
                <w:t>Discipline and Grievance at Work</w:t>
              </w:r>
              <w:r>
                <w:rPr>
                  <w:noProof/>
                  <w:lang w:val="en-US"/>
                </w:rPr>
                <w:t xml:space="preserve">. Retrieved from CIPD: </w:t>
              </w:r>
              <w:r w:rsidR="008716A1" w:rsidRPr="008716A1">
                <w:rPr>
                  <w:noProof/>
                  <w:lang w:val="en-US"/>
                </w:rPr>
                <w:t>https://www.cipd.co.uk/knowledge/fundamentals/emp-law/discipline/factsheet</w:t>
              </w:r>
            </w:p>
            <w:p w14:paraId="7A31A663" w14:textId="77777777" w:rsidR="003A14FF" w:rsidRDefault="003A14FF" w:rsidP="003A14FF">
              <w:pPr>
                <w:pStyle w:val="Bibliography"/>
                <w:ind w:left="720" w:hanging="720"/>
                <w:rPr>
                  <w:noProof/>
                  <w:lang w:val="en-US"/>
                </w:rPr>
              </w:pPr>
              <w:r>
                <w:rPr>
                  <w:noProof/>
                  <w:lang w:val="en-US"/>
                </w:rPr>
                <w:t>Ayling, L and Suff, R. (2019, August).</w:t>
              </w:r>
              <w:r>
                <w:rPr>
                  <w:i/>
                  <w:iCs/>
                  <w:noProof/>
                  <w:lang w:val="en-US"/>
                </w:rPr>
                <w:t>Discipline and Grievance at Work</w:t>
              </w:r>
              <w:r>
                <w:rPr>
                  <w:noProof/>
                  <w:lang w:val="en-US"/>
                </w:rPr>
                <w:t xml:space="preserve">. Retrieved from CIPD: </w:t>
              </w:r>
              <w:r w:rsidRPr="008716A1">
                <w:rPr>
                  <w:noProof/>
                  <w:lang w:val="en-US"/>
                </w:rPr>
                <w:t>https://www.cipd.co.uk/knowledge/fundamentals/emp-law/discipline/factsheet</w:t>
              </w:r>
            </w:p>
            <w:p w14:paraId="0A947CA7" w14:textId="77777777" w:rsidR="008716A1" w:rsidRPr="008716A1" w:rsidRDefault="008716A1" w:rsidP="008716A1">
              <w:pPr>
                <w:rPr>
                  <w:lang w:val="en-US"/>
                </w:rPr>
              </w:pPr>
            </w:p>
            <w:p w14:paraId="1B334E23" w14:textId="77777777" w:rsidR="0075753A" w:rsidRDefault="0075753A" w:rsidP="004F6F7B">
              <w:pPr>
                <w:rPr>
                  <w:noProof/>
                  <w:lang w:val="en-US"/>
                </w:rPr>
              </w:pPr>
            </w:p>
            <w:p w14:paraId="66863538" w14:textId="7575733A" w:rsidR="00460EC9" w:rsidRDefault="00460EC9" w:rsidP="004F6F7B">
              <w:pPr>
                <w:rPr>
                  <w:noProof/>
                  <w:lang w:val="en-US"/>
                </w:rPr>
              </w:pPr>
              <w:r>
                <w:rPr>
                  <w:noProof/>
                  <w:lang w:val="en-US"/>
                </w:rPr>
                <w:t xml:space="preserve"> </w:t>
              </w:r>
            </w:p>
            <w:p w14:paraId="4A07E0AE" w14:textId="77777777" w:rsidR="004F6F7B" w:rsidRPr="004F6F7B" w:rsidRDefault="004F6F7B" w:rsidP="004F6F7B"/>
            <w:p w14:paraId="32D0918C" w14:textId="77777777" w:rsidR="005027FC" w:rsidRPr="005027FC" w:rsidRDefault="005027FC" w:rsidP="005027FC"/>
            <w:p w14:paraId="34691EE5" w14:textId="77777777" w:rsidR="00043609" w:rsidRPr="00043609" w:rsidRDefault="00043609" w:rsidP="00043609">
              <w:pPr>
                <w:rPr>
                  <w:lang w:val="en-US"/>
                </w:rPr>
              </w:pPr>
            </w:p>
            <w:p w14:paraId="238A8573" w14:textId="77777777" w:rsidR="00B17745" w:rsidRPr="00B17745" w:rsidRDefault="00B17745" w:rsidP="00B17745">
              <w:pPr>
                <w:rPr>
                  <w:lang w:val="en-US"/>
                </w:rPr>
              </w:pPr>
            </w:p>
            <w:p w14:paraId="34E3C56F" w14:textId="77777777" w:rsidR="00792E38" w:rsidRPr="00792E38" w:rsidRDefault="00792E38" w:rsidP="00792E38"/>
            <w:p w14:paraId="53A375B9" w14:textId="2DF06AFB" w:rsidR="0012393E" w:rsidRPr="0012393E" w:rsidRDefault="0012393E" w:rsidP="0012393E">
              <w:pPr>
                <w:rPr>
                  <w:lang w:val="en-US"/>
                </w:rPr>
              </w:pPr>
              <w:r>
                <w:rPr>
                  <w:noProof/>
                  <w:lang w:val="en-US"/>
                </w:rPr>
                <w:t xml:space="preserve"> </w:t>
              </w:r>
              <w:r w:rsidRPr="0012393E">
                <w:rPr>
                  <w:noProof/>
                  <w:lang w:val="en-US"/>
                </w:rPr>
                <w:cr/>
              </w:r>
              <w:r w:rsidRPr="0012393E">
                <w:rPr>
                  <w:lang w:val="en-US"/>
                </w:rPr>
                <w:t xml:space="preserve"> </w:t>
              </w:r>
            </w:p>
            <w:p w14:paraId="253F6526" w14:textId="7BB89A53" w:rsidR="00D819BF" w:rsidRDefault="00D819BF" w:rsidP="00D819BF">
              <w:pPr>
                <w:pStyle w:val="Bibliography"/>
                <w:ind w:left="720" w:hanging="720"/>
                <w:rPr>
                  <w:noProof/>
                  <w:lang w:val="en-US"/>
                </w:rPr>
              </w:pPr>
            </w:p>
            <w:p w14:paraId="71DA6396" w14:textId="6D515AF5" w:rsidR="00B042D9" w:rsidRPr="00953784" w:rsidRDefault="00E954B8" w:rsidP="00953784"/>
          </w:sdtContent>
        </w:sdt>
      </w:sdtContent>
    </w:sdt>
    <w:p w14:paraId="501012D2" w14:textId="77777777" w:rsidR="00B042D9" w:rsidRPr="00185B0E" w:rsidRDefault="00B042D9" w:rsidP="00185B0E">
      <w:pPr>
        <w:rPr>
          <w:bCs/>
          <w:iCs/>
        </w:rPr>
      </w:pPr>
    </w:p>
    <w:sectPr w:rsidR="00B042D9" w:rsidRPr="00185B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347CD"/>
    <w:multiLevelType w:val="hybridMultilevel"/>
    <w:tmpl w:val="99D89D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4D4B70"/>
    <w:multiLevelType w:val="hybridMultilevel"/>
    <w:tmpl w:val="BDCCBD0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18907040"/>
    <w:multiLevelType w:val="hybridMultilevel"/>
    <w:tmpl w:val="24A41C0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 w15:restartNumberingAfterBreak="0">
    <w:nsid w:val="18DE2EB9"/>
    <w:multiLevelType w:val="hybridMultilevel"/>
    <w:tmpl w:val="453EF1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3982A3B"/>
    <w:multiLevelType w:val="hybridMultilevel"/>
    <w:tmpl w:val="16DE9F4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3A52C1B"/>
    <w:multiLevelType w:val="hybridMultilevel"/>
    <w:tmpl w:val="7F52D57C"/>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29850B44"/>
    <w:multiLevelType w:val="hybridMultilevel"/>
    <w:tmpl w:val="C470A74C"/>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7" w15:restartNumberingAfterBreak="0">
    <w:nsid w:val="31AB2953"/>
    <w:multiLevelType w:val="hybridMultilevel"/>
    <w:tmpl w:val="16DE9F4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6214976"/>
    <w:multiLevelType w:val="hybridMultilevel"/>
    <w:tmpl w:val="CEDA2732"/>
    <w:lvl w:ilvl="0" w:tplc="AB6A6EBA">
      <w:start w:val="3"/>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591611"/>
    <w:multiLevelType w:val="hybridMultilevel"/>
    <w:tmpl w:val="70BE8A8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0" w15:restartNumberingAfterBreak="0">
    <w:nsid w:val="3AFF7B94"/>
    <w:multiLevelType w:val="hybridMultilevel"/>
    <w:tmpl w:val="8656F06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1" w15:restartNumberingAfterBreak="0">
    <w:nsid w:val="3B6A01CF"/>
    <w:multiLevelType w:val="hybridMultilevel"/>
    <w:tmpl w:val="1D36ED2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2" w15:restartNumberingAfterBreak="0">
    <w:nsid w:val="3D036C34"/>
    <w:multiLevelType w:val="hybridMultilevel"/>
    <w:tmpl w:val="BA3641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FC53C76"/>
    <w:multiLevelType w:val="hybridMultilevel"/>
    <w:tmpl w:val="969413F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4" w15:restartNumberingAfterBreak="0">
    <w:nsid w:val="46F27A10"/>
    <w:multiLevelType w:val="hybridMultilevel"/>
    <w:tmpl w:val="FAD8C32C"/>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5" w15:restartNumberingAfterBreak="0">
    <w:nsid w:val="4D21353B"/>
    <w:multiLevelType w:val="hybridMultilevel"/>
    <w:tmpl w:val="91D4F6B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6" w15:restartNumberingAfterBreak="0">
    <w:nsid w:val="5D9C6564"/>
    <w:multiLevelType w:val="hybridMultilevel"/>
    <w:tmpl w:val="0D6ADF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EF76317"/>
    <w:multiLevelType w:val="hybridMultilevel"/>
    <w:tmpl w:val="61649F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8" w15:restartNumberingAfterBreak="0">
    <w:nsid w:val="657E56BB"/>
    <w:multiLevelType w:val="hybridMultilevel"/>
    <w:tmpl w:val="1124F7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C8E3F2E"/>
    <w:multiLevelType w:val="hybridMultilevel"/>
    <w:tmpl w:val="0E32E41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0" w15:restartNumberingAfterBreak="0">
    <w:nsid w:val="72701551"/>
    <w:multiLevelType w:val="hybridMultilevel"/>
    <w:tmpl w:val="F7E48A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86F0EDC"/>
    <w:multiLevelType w:val="hybridMultilevel"/>
    <w:tmpl w:val="73D4E6D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2" w15:restartNumberingAfterBreak="0">
    <w:nsid w:val="787C0E5B"/>
    <w:multiLevelType w:val="hybridMultilevel"/>
    <w:tmpl w:val="FC64556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num w:numId="1">
    <w:abstractNumId w:val="7"/>
  </w:num>
  <w:num w:numId="2">
    <w:abstractNumId w:val="12"/>
  </w:num>
  <w:num w:numId="3">
    <w:abstractNumId w:val="20"/>
  </w:num>
  <w:num w:numId="4">
    <w:abstractNumId w:val="3"/>
  </w:num>
  <w:num w:numId="5">
    <w:abstractNumId w:val="16"/>
  </w:num>
  <w:num w:numId="6">
    <w:abstractNumId w:val="0"/>
  </w:num>
  <w:num w:numId="7">
    <w:abstractNumId w:val="13"/>
  </w:num>
  <w:num w:numId="8">
    <w:abstractNumId w:val="18"/>
  </w:num>
  <w:num w:numId="9">
    <w:abstractNumId w:val="4"/>
  </w:num>
  <w:num w:numId="10">
    <w:abstractNumId w:val="22"/>
  </w:num>
  <w:num w:numId="11">
    <w:abstractNumId w:val="8"/>
  </w:num>
  <w:num w:numId="12">
    <w:abstractNumId w:val="6"/>
  </w:num>
  <w:num w:numId="13">
    <w:abstractNumId w:val="11"/>
  </w:num>
  <w:num w:numId="14">
    <w:abstractNumId w:val="1"/>
  </w:num>
  <w:num w:numId="15">
    <w:abstractNumId w:val="14"/>
  </w:num>
  <w:num w:numId="16">
    <w:abstractNumId w:val="9"/>
  </w:num>
  <w:num w:numId="17">
    <w:abstractNumId w:val="10"/>
  </w:num>
  <w:num w:numId="18">
    <w:abstractNumId w:val="2"/>
  </w:num>
  <w:num w:numId="19">
    <w:abstractNumId w:val="15"/>
  </w:num>
  <w:num w:numId="20">
    <w:abstractNumId w:val="5"/>
  </w:num>
  <w:num w:numId="21">
    <w:abstractNumId w:val="21"/>
  </w:num>
  <w:num w:numId="22">
    <w:abstractNumId w:val="19"/>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5DC"/>
    <w:rsid w:val="0000481A"/>
    <w:rsid w:val="00043609"/>
    <w:rsid w:val="00055144"/>
    <w:rsid w:val="00091AC9"/>
    <w:rsid w:val="000A07C7"/>
    <w:rsid w:val="000A76AE"/>
    <w:rsid w:val="000C245C"/>
    <w:rsid w:val="000C2A14"/>
    <w:rsid w:val="000C369C"/>
    <w:rsid w:val="000D29A1"/>
    <w:rsid w:val="000D29DC"/>
    <w:rsid w:val="000D3F64"/>
    <w:rsid w:val="000D624E"/>
    <w:rsid w:val="000D76A6"/>
    <w:rsid w:val="000F5BCD"/>
    <w:rsid w:val="00115890"/>
    <w:rsid w:val="0012393E"/>
    <w:rsid w:val="00134FE4"/>
    <w:rsid w:val="00174192"/>
    <w:rsid w:val="00185B0E"/>
    <w:rsid w:val="001A7735"/>
    <w:rsid w:val="001B05C0"/>
    <w:rsid w:val="001C7150"/>
    <w:rsid w:val="001C7CB3"/>
    <w:rsid w:val="001D55F5"/>
    <w:rsid w:val="001D6E16"/>
    <w:rsid w:val="00235662"/>
    <w:rsid w:val="00242CE8"/>
    <w:rsid w:val="00243355"/>
    <w:rsid w:val="00253298"/>
    <w:rsid w:val="0026271F"/>
    <w:rsid w:val="0027033B"/>
    <w:rsid w:val="002767B4"/>
    <w:rsid w:val="00311CCE"/>
    <w:rsid w:val="00313A85"/>
    <w:rsid w:val="00321EE2"/>
    <w:rsid w:val="003323B7"/>
    <w:rsid w:val="003806D3"/>
    <w:rsid w:val="003A14FF"/>
    <w:rsid w:val="003B2B57"/>
    <w:rsid w:val="003B5CC7"/>
    <w:rsid w:val="003F1068"/>
    <w:rsid w:val="00416A52"/>
    <w:rsid w:val="00460EC9"/>
    <w:rsid w:val="00475745"/>
    <w:rsid w:val="00483FCB"/>
    <w:rsid w:val="004B3A1A"/>
    <w:rsid w:val="004E5622"/>
    <w:rsid w:val="004F6F7B"/>
    <w:rsid w:val="005027FC"/>
    <w:rsid w:val="0050383D"/>
    <w:rsid w:val="00521B6E"/>
    <w:rsid w:val="005510C6"/>
    <w:rsid w:val="00572B81"/>
    <w:rsid w:val="00573524"/>
    <w:rsid w:val="00575E0C"/>
    <w:rsid w:val="00584B38"/>
    <w:rsid w:val="005A0613"/>
    <w:rsid w:val="005A7B34"/>
    <w:rsid w:val="005E4235"/>
    <w:rsid w:val="00607C34"/>
    <w:rsid w:val="0063298A"/>
    <w:rsid w:val="00636771"/>
    <w:rsid w:val="00687FC4"/>
    <w:rsid w:val="006A36A8"/>
    <w:rsid w:val="006B6FA5"/>
    <w:rsid w:val="006B77F2"/>
    <w:rsid w:val="007017AE"/>
    <w:rsid w:val="007119DE"/>
    <w:rsid w:val="0071292A"/>
    <w:rsid w:val="0075753A"/>
    <w:rsid w:val="007669AC"/>
    <w:rsid w:val="00792E38"/>
    <w:rsid w:val="00793335"/>
    <w:rsid w:val="00795DF1"/>
    <w:rsid w:val="007A5B0E"/>
    <w:rsid w:val="007C5523"/>
    <w:rsid w:val="007E49DB"/>
    <w:rsid w:val="00800986"/>
    <w:rsid w:val="0080401D"/>
    <w:rsid w:val="008143C3"/>
    <w:rsid w:val="0081453B"/>
    <w:rsid w:val="0083179F"/>
    <w:rsid w:val="00855D55"/>
    <w:rsid w:val="008716A1"/>
    <w:rsid w:val="008848DE"/>
    <w:rsid w:val="008B0D09"/>
    <w:rsid w:val="008D6F2D"/>
    <w:rsid w:val="008E498E"/>
    <w:rsid w:val="008F1B7D"/>
    <w:rsid w:val="00904490"/>
    <w:rsid w:val="00953784"/>
    <w:rsid w:val="00957B31"/>
    <w:rsid w:val="009864F1"/>
    <w:rsid w:val="0099504C"/>
    <w:rsid w:val="00995BA6"/>
    <w:rsid w:val="009A12CF"/>
    <w:rsid w:val="009B27B4"/>
    <w:rsid w:val="009B4575"/>
    <w:rsid w:val="009B5F12"/>
    <w:rsid w:val="009C4048"/>
    <w:rsid w:val="00A077A3"/>
    <w:rsid w:val="00A23382"/>
    <w:rsid w:val="00A34C79"/>
    <w:rsid w:val="00A36AD4"/>
    <w:rsid w:val="00A41F0D"/>
    <w:rsid w:val="00A9377D"/>
    <w:rsid w:val="00AD73C3"/>
    <w:rsid w:val="00AF06F5"/>
    <w:rsid w:val="00B042D9"/>
    <w:rsid w:val="00B17745"/>
    <w:rsid w:val="00B56D40"/>
    <w:rsid w:val="00B575F9"/>
    <w:rsid w:val="00B61F09"/>
    <w:rsid w:val="00B92D13"/>
    <w:rsid w:val="00C074C7"/>
    <w:rsid w:val="00C62201"/>
    <w:rsid w:val="00C64971"/>
    <w:rsid w:val="00C870FF"/>
    <w:rsid w:val="00C961DF"/>
    <w:rsid w:val="00CA4394"/>
    <w:rsid w:val="00CA6CF3"/>
    <w:rsid w:val="00CB5B9C"/>
    <w:rsid w:val="00CD243E"/>
    <w:rsid w:val="00CE228C"/>
    <w:rsid w:val="00CE3785"/>
    <w:rsid w:val="00D25438"/>
    <w:rsid w:val="00D33436"/>
    <w:rsid w:val="00D81152"/>
    <w:rsid w:val="00D81469"/>
    <w:rsid w:val="00D819BF"/>
    <w:rsid w:val="00D9043E"/>
    <w:rsid w:val="00DA4E32"/>
    <w:rsid w:val="00DE2246"/>
    <w:rsid w:val="00DE25DC"/>
    <w:rsid w:val="00DE4FDF"/>
    <w:rsid w:val="00DF410B"/>
    <w:rsid w:val="00E0192E"/>
    <w:rsid w:val="00E05F91"/>
    <w:rsid w:val="00E669A2"/>
    <w:rsid w:val="00E838E1"/>
    <w:rsid w:val="00EB564E"/>
    <w:rsid w:val="00EF78F3"/>
    <w:rsid w:val="00F15C55"/>
    <w:rsid w:val="00F230AF"/>
    <w:rsid w:val="00F30AC4"/>
    <w:rsid w:val="00F417F6"/>
    <w:rsid w:val="00FB1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39D67"/>
  <w15:chartTrackingRefBased/>
  <w15:docId w15:val="{B193314A-A5DD-4DA9-B2DB-52CBD56E1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2D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25DC"/>
    <w:pPr>
      <w:ind w:left="720"/>
      <w:contextualSpacing/>
    </w:pPr>
  </w:style>
  <w:style w:type="character" w:styleId="Hyperlink">
    <w:name w:val="Hyperlink"/>
    <w:basedOn w:val="DefaultParagraphFont"/>
    <w:uiPriority w:val="99"/>
    <w:unhideWhenUsed/>
    <w:rsid w:val="003F1068"/>
    <w:rPr>
      <w:color w:val="0563C1" w:themeColor="hyperlink"/>
      <w:u w:val="single"/>
    </w:rPr>
  </w:style>
  <w:style w:type="character" w:styleId="UnresolvedMention">
    <w:name w:val="Unresolved Mention"/>
    <w:basedOn w:val="DefaultParagraphFont"/>
    <w:uiPriority w:val="99"/>
    <w:semiHidden/>
    <w:unhideWhenUsed/>
    <w:rsid w:val="003F1068"/>
    <w:rPr>
      <w:color w:val="605E5C"/>
      <w:shd w:val="clear" w:color="auto" w:fill="E1DFDD"/>
    </w:rPr>
  </w:style>
  <w:style w:type="character" w:customStyle="1" w:styleId="Heading1Char">
    <w:name w:val="Heading 1 Char"/>
    <w:basedOn w:val="DefaultParagraphFont"/>
    <w:link w:val="Heading1"/>
    <w:uiPriority w:val="9"/>
    <w:rsid w:val="00B042D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042D9"/>
  </w:style>
  <w:style w:type="character" w:styleId="FollowedHyperlink">
    <w:name w:val="FollowedHyperlink"/>
    <w:basedOn w:val="DefaultParagraphFont"/>
    <w:uiPriority w:val="99"/>
    <w:semiHidden/>
    <w:unhideWhenUsed/>
    <w:rsid w:val="009537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93183">
      <w:bodyDiv w:val="1"/>
      <w:marLeft w:val="0"/>
      <w:marRight w:val="0"/>
      <w:marTop w:val="0"/>
      <w:marBottom w:val="0"/>
      <w:divBdr>
        <w:top w:val="none" w:sz="0" w:space="0" w:color="auto"/>
        <w:left w:val="none" w:sz="0" w:space="0" w:color="auto"/>
        <w:bottom w:val="none" w:sz="0" w:space="0" w:color="auto"/>
        <w:right w:val="none" w:sz="0" w:space="0" w:color="auto"/>
      </w:divBdr>
    </w:div>
    <w:div w:id="146216797">
      <w:bodyDiv w:val="1"/>
      <w:marLeft w:val="0"/>
      <w:marRight w:val="0"/>
      <w:marTop w:val="0"/>
      <w:marBottom w:val="0"/>
      <w:divBdr>
        <w:top w:val="none" w:sz="0" w:space="0" w:color="auto"/>
        <w:left w:val="none" w:sz="0" w:space="0" w:color="auto"/>
        <w:bottom w:val="none" w:sz="0" w:space="0" w:color="auto"/>
        <w:right w:val="none" w:sz="0" w:space="0" w:color="auto"/>
      </w:divBdr>
    </w:div>
    <w:div w:id="186214138">
      <w:bodyDiv w:val="1"/>
      <w:marLeft w:val="0"/>
      <w:marRight w:val="0"/>
      <w:marTop w:val="0"/>
      <w:marBottom w:val="0"/>
      <w:divBdr>
        <w:top w:val="none" w:sz="0" w:space="0" w:color="auto"/>
        <w:left w:val="none" w:sz="0" w:space="0" w:color="auto"/>
        <w:bottom w:val="none" w:sz="0" w:space="0" w:color="auto"/>
        <w:right w:val="none" w:sz="0" w:space="0" w:color="auto"/>
      </w:divBdr>
    </w:div>
    <w:div w:id="301278193">
      <w:bodyDiv w:val="1"/>
      <w:marLeft w:val="0"/>
      <w:marRight w:val="0"/>
      <w:marTop w:val="0"/>
      <w:marBottom w:val="0"/>
      <w:divBdr>
        <w:top w:val="none" w:sz="0" w:space="0" w:color="auto"/>
        <w:left w:val="none" w:sz="0" w:space="0" w:color="auto"/>
        <w:bottom w:val="none" w:sz="0" w:space="0" w:color="auto"/>
        <w:right w:val="none" w:sz="0" w:space="0" w:color="auto"/>
      </w:divBdr>
    </w:div>
    <w:div w:id="363018182">
      <w:bodyDiv w:val="1"/>
      <w:marLeft w:val="0"/>
      <w:marRight w:val="0"/>
      <w:marTop w:val="0"/>
      <w:marBottom w:val="0"/>
      <w:divBdr>
        <w:top w:val="none" w:sz="0" w:space="0" w:color="auto"/>
        <w:left w:val="none" w:sz="0" w:space="0" w:color="auto"/>
        <w:bottom w:val="none" w:sz="0" w:space="0" w:color="auto"/>
        <w:right w:val="none" w:sz="0" w:space="0" w:color="auto"/>
      </w:divBdr>
    </w:div>
    <w:div w:id="422148110">
      <w:bodyDiv w:val="1"/>
      <w:marLeft w:val="0"/>
      <w:marRight w:val="0"/>
      <w:marTop w:val="0"/>
      <w:marBottom w:val="0"/>
      <w:divBdr>
        <w:top w:val="none" w:sz="0" w:space="0" w:color="auto"/>
        <w:left w:val="none" w:sz="0" w:space="0" w:color="auto"/>
        <w:bottom w:val="none" w:sz="0" w:space="0" w:color="auto"/>
        <w:right w:val="none" w:sz="0" w:space="0" w:color="auto"/>
      </w:divBdr>
    </w:div>
    <w:div w:id="479269025">
      <w:bodyDiv w:val="1"/>
      <w:marLeft w:val="0"/>
      <w:marRight w:val="0"/>
      <w:marTop w:val="0"/>
      <w:marBottom w:val="0"/>
      <w:divBdr>
        <w:top w:val="none" w:sz="0" w:space="0" w:color="auto"/>
        <w:left w:val="none" w:sz="0" w:space="0" w:color="auto"/>
        <w:bottom w:val="none" w:sz="0" w:space="0" w:color="auto"/>
        <w:right w:val="none" w:sz="0" w:space="0" w:color="auto"/>
      </w:divBdr>
    </w:div>
    <w:div w:id="563609704">
      <w:bodyDiv w:val="1"/>
      <w:marLeft w:val="0"/>
      <w:marRight w:val="0"/>
      <w:marTop w:val="0"/>
      <w:marBottom w:val="0"/>
      <w:divBdr>
        <w:top w:val="none" w:sz="0" w:space="0" w:color="auto"/>
        <w:left w:val="none" w:sz="0" w:space="0" w:color="auto"/>
        <w:bottom w:val="none" w:sz="0" w:space="0" w:color="auto"/>
        <w:right w:val="none" w:sz="0" w:space="0" w:color="auto"/>
      </w:divBdr>
    </w:div>
    <w:div w:id="581260704">
      <w:bodyDiv w:val="1"/>
      <w:marLeft w:val="0"/>
      <w:marRight w:val="0"/>
      <w:marTop w:val="0"/>
      <w:marBottom w:val="0"/>
      <w:divBdr>
        <w:top w:val="none" w:sz="0" w:space="0" w:color="auto"/>
        <w:left w:val="none" w:sz="0" w:space="0" w:color="auto"/>
        <w:bottom w:val="none" w:sz="0" w:space="0" w:color="auto"/>
        <w:right w:val="none" w:sz="0" w:space="0" w:color="auto"/>
      </w:divBdr>
    </w:div>
    <w:div w:id="672344135">
      <w:bodyDiv w:val="1"/>
      <w:marLeft w:val="0"/>
      <w:marRight w:val="0"/>
      <w:marTop w:val="0"/>
      <w:marBottom w:val="0"/>
      <w:divBdr>
        <w:top w:val="none" w:sz="0" w:space="0" w:color="auto"/>
        <w:left w:val="none" w:sz="0" w:space="0" w:color="auto"/>
        <w:bottom w:val="none" w:sz="0" w:space="0" w:color="auto"/>
        <w:right w:val="none" w:sz="0" w:space="0" w:color="auto"/>
      </w:divBdr>
    </w:div>
    <w:div w:id="744256305">
      <w:bodyDiv w:val="1"/>
      <w:marLeft w:val="0"/>
      <w:marRight w:val="0"/>
      <w:marTop w:val="0"/>
      <w:marBottom w:val="0"/>
      <w:divBdr>
        <w:top w:val="none" w:sz="0" w:space="0" w:color="auto"/>
        <w:left w:val="none" w:sz="0" w:space="0" w:color="auto"/>
        <w:bottom w:val="none" w:sz="0" w:space="0" w:color="auto"/>
        <w:right w:val="none" w:sz="0" w:space="0" w:color="auto"/>
      </w:divBdr>
    </w:div>
    <w:div w:id="1196312335">
      <w:bodyDiv w:val="1"/>
      <w:marLeft w:val="0"/>
      <w:marRight w:val="0"/>
      <w:marTop w:val="0"/>
      <w:marBottom w:val="0"/>
      <w:divBdr>
        <w:top w:val="none" w:sz="0" w:space="0" w:color="auto"/>
        <w:left w:val="none" w:sz="0" w:space="0" w:color="auto"/>
        <w:bottom w:val="none" w:sz="0" w:space="0" w:color="auto"/>
        <w:right w:val="none" w:sz="0" w:space="0" w:color="auto"/>
      </w:divBdr>
    </w:div>
    <w:div w:id="1346708425">
      <w:bodyDiv w:val="1"/>
      <w:marLeft w:val="0"/>
      <w:marRight w:val="0"/>
      <w:marTop w:val="0"/>
      <w:marBottom w:val="0"/>
      <w:divBdr>
        <w:top w:val="none" w:sz="0" w:space="0" w:color="auto"/>
        <w:left w:val="none" w:sz="0" w:space="0" w:color="auto"/>
        <w:bottom w:val="none" w:sz="0" w:space="0" w:color="auto"/>
        <w:right w:val="none" w:sz="0" w:space="0" w:color="auto"/>
      </w:divBdr>
    </w:div>
    <w:div w:id="1405445990">
      <w:bodyDiv w:val="1"/>
      <w:marLeft w:val="0"/>
      <w:marRight w:val="0"/>
      <w:marTop w:val="0"/>
      <w:marBottom w:val="0"/>
      <w:divBdr>
        <w:top w:val="none" w:sz="0" w:space="0" w:color="auto"/>
        <w:left w:val="none" w:sz="0" w:space="0" w:color="auto"/>
        <w:bottom w:val="none" w:sz="0" w:space="0" w:color="auto"/>
        <w:right w:val="none" w:sz="0" w:space="0" w:color="auto"/>
      </w:divBdr>
    </w:div>
    <w:div w:id="1524636004">
      <w:bodyDiv w:val="1"/>
      <w:marLeft w:val="0"/>
      <w:marRight w:val="0"/>
      <w:marTop w:val="0"/>
      <w:marBottom w:val="0"/>
      <w:divBdr>
        <w:top w:val="none" w:sz="0" w:space="0" w:color="auto"/>
        <w:left w:val="none" w:sz="0" w:space="0" w:color="auto"/>
        <w:bottom w:val="none" w:sz="0" w:space="0" w:color="auto"/>
        <w:right w:val="none" w:sz="0" w:space="0" w:color="auto"/>
      </w:divBdr>
    </w:div>
    <w:div w:id="1538348991">
      <w:bodyDiv w:val="1"/>
      <w:marLeft w:val="0"/>
      <w:marRight w:val="0"/>
      <w:marTop w:val="0"/>
      <w:marBottom w:val="0"/>
      <w:divBdr>
        <w:top w:val="none" w:sz="0" w:space="0" w:color="auto"/>
        <w:left w:val="none" w:sz="0" w:space="0" w:color="auto"/>
        <w:bottom w:val="none" w:sz="0" w:space="0" w:color="auto"/>
        <w:right w:val="none" w:sz="0" w:space="0" w:color="auto"/>
      </w:divBdr>
    </w:div>
    <w:div w:id="1557425494">
      <w:bodyDiv w:val="1"/>
      <w:marLeft w:val="0"/>
      <w:marRight w:val="0"/>
      <w:marTop w:val="0"/>
      <w:marBottom w:val="0"/>
      <w:divBdr>
        <w:top w:val="none" w:sz="0" w:space="0" w:color="auto"/>
        <w:left w:val="none" w:sz="0" w:space="0" w:color="auto"/>
        <w:bottom w:val="none" w:sz="0" w:space="0" w:color="auto"/>
        <w:right w:val="none" w:sz="0" w:space="0" w:color="auto"/>
      </w:divBdr>
    </w:div>
    <w:div w:id="1574700570">
      <w:bodyDiv w:val="1"/>
      <w:marLeft w:val="0"/>
      <w:marRight w:val="0"/>
      <w:marTop w:val="0"/>
      <w:marBottom w:val="0"/>
      <w:divBdr>
        <w:top w:val="none" w:sz="0" w:space="0" w:color="auto"/>
        <w:left w:val="none" w:sz="0" w:space="0" w:color="auto"/>
        <w:bottom w:val="none" w:sz="0" w:space="0" w:color="auto"/>
        <w:right w:val="none" w:sz="0" w:space="0" w:color="auto"/>
      </w:divBdr>
    </w:div>
    <w:div w:id="1596086123">
      <w:bodyDiv w:val="1"/>
      <w:marLeft w:val="0"/>
      <w:marRight w:val="0"/>
      <w:marTop w:val="0"/>
      <w:marBottom w:val="0"/>
      <w:divBdr>
        <w:top w:val="none" w:sz="0" w:space="0" w:color="auto"/>
        <w:left w:val="none" w:sz="0" w:space="0" w:color="auto"/>
        <w:bottom w:val="none" w:sz="0" w:space="0" w:color="auto"/>
        <w:right w:val="none" w:sz="0" w:space="0" w:color="auto"/>
      </w:divBdr>
    </w:div>
    <w:div w:id="1596327550">
      <w:bodyDiv w:val="1"/>
      <w:marLeft w:val="0"/>
      <w:marRight w:val="0"/>
      <w:marTop w:val="0"/>
      <w:marBottom w:val="0"/>
      <w:divBdr>
        <w:top w:val="none" w:sz="0" w:space="0" w:color="auto"/>
        <w:left w:val="none" w:sz="0" w:space="0" w:color="auto"/>
        <w:bottom w:val="none" w:sz="0" w:space="0" w:color="auto"/>
        <w:right w:val="none" w:sz="0" w:space="0" w:color="auto"/>
      </w:divBdr>
    </w:div>
    <w:div w:id="1646934189">
      <w:bodyDiv w:val="1"/>
      <w:marLeft w:val="0"/>
      <w:marRight w:val="0"/>
      <w:marTop w:val="0"/>
      <w:marBottom w:val="0"/>
      <w:divBdr>
        <w:top w:val="none" w:sz="0" w:space="0" w:color="auto"/>
        <w:left w:val="none" w:sz="0" w:space="0" w:color="auto"/>
        <w:bottom w:val="none" w:sz="0" w:space="0" w:color="auto"/>
        <w:right w:val="none" w:sz="0" w:space="0" w:color="auto"/>
      </w:divBdr>
    </w:div>
    <w:div w:id="1833452766">
      <w:bodyDiv w:val="1"/>
      <w:marLeft w:val="0"/>
      <w:marRight w:val="0"/>
      <w:marTop w:val="0"/>
      <w:marBottom w:val="0"/>
      <w:divBdr>
        <w:top w:val="none" w:sz="0" w:space="0" w:color="auto"/>
        <w:left w:val="none" w:sz="0" w:space="0" w:color="auto"/>
        <w:bottom w:val="none" w:sz="0" w:space="0" w:color="auto"/>
        <w:right w:val="none" w:sz="0" w:space="0" w:color="auto"/>
      </w:divBdr>
    </w:div>
    <w:div w:id="1991902195">
      <w:bodyDiv w:val="1"/>
      <w:marLeft w:val="0"/>
      <w:marRight w:val="0"/>
      <w:marTop w:val="0"/>
      <w:marBottom w:val="0"/>
      <w:divBdr>
        <w:top w:val="none" w:sz="0" w:space="0" w:color="auto"/>
        <w:left w:val="none" w:sz="0" w:space="0" w:color="auto"/>
        <w:bottom w:val="none" w:sz="0" w:space="0" w:color="auto"/>
        <w:right w:val="none" w:sz="0" w:space="0" w:color="auto"/>
      </w:divBdr>
    </w:div>
    <w:div w:id="199244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cipd.co.uk/knowledge/fundamentals/emp-law/tupe/factsheet" TargetMode="Externa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cid:image003.jpg@01D5F783.2E865670" TargetMode="External"/><Relationship Id="rId12" Type="http://schemas.microsoft.com/office/2007/relationships/diagramDrawing" Target="diagrams/drawing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gov.uk/maximum-weekly-working-hours" TargetMode="External"/><Relationship Id="rId10" Type="http://schemas.openxmlformats.org/officeDocument/2006/relationships/diagramQuickStyle" Target="diagrams/quickStyle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gov.uk/holiday-entitlement-rights"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A4DAC1-C44A-43DA-8A4C-BCA3475F9498}" type="doc">
      <dgm:prSet loTypeId="urn:microsoft.com/office/officeart/2005/8/layout/chevron1" loCatId="process" qsTypeId="urn:microsoft.com/office/officeart/2005/8/quickstyle/simple1" qsCatId="simple" csTypeId="urn:microsoft.com/office/officeart/2005/8/colors/colorful2" csCatId="colorful" phldr="1"/>
      <dgm:spPr/>
    </dgm:pt>
    <dgm:pt modelId="{33585018-1938-44C5-A191-97BFA61CC124}">
      <dgm:prSet phldrT="[Text]"/>
      <dgm:spPr/>
      <dgm:t>
        <a:bodyPr/>
        <a:lstStyle/>
        <a:p>
          <a:r>
            <a:rPr lang="en-GB"/>
            <a:t>ACAS Early Conciliation</a:t>
          </a:r>
        </a:p>
      </dgm:t>
    </dgm:pt>
    <dgm:pt modelId="{B42BBC13-0B4B-4323-895B-0C4EE82395C5}" type="parTrans" cxnId="{0D7C8C5F-A5B3-4C01-BB56-CEA2AEE66D33}">
      <dgm:prSet/>
      <dgm:spPr/>
      <dgm:t>
        <a:bodyPr/>
        <a:lstStyle/>
        <a:p>
          <a:endParaRPr lang="en-GB"/>
        </a:p>
      </dgm:t>
    </dgm:pt>
    <dgm:pt modelId="{946D8347-C5D4-4F51-80CD-C28D3877A59F}" type="sibTrans" cxnId="{0D7C8C5F-A5B3-4C01-BB56-CEA2AEE66D33}">
      <dgm:prSet/>
      <dgm:spPr/>
      <dgm:t>
        <a:bodyPr/>
        <a:lstStyle/>
        <a:p>
          <a:endParaRPr lang="en-GB"/>
        </a:p>
      </dgm:t>
    </dgm:pt>
    <dgm:pt modelId="{6266BDA8-77DB-4946-8EAF-DF199C6ED51B}">
      <dgm:prSet phldrT="[Text]"/>
      <dgm:spPr/>
      <dgm:t>
        <a:bodyPr/>
        <a:lstStyle/>
        <a:p>
          <a:r>
            <a:rPr lang="en-GB"/>
            <a:t>ET1</a:t>
          </a:r>
        </a:p>
      </dgm:t>
    </dgm:pt>
    <dgm:pt modelId="{DF476079-D4F5-487F-A322-F2588BBC9488}" type="parTrans" cxnId="{E6AC61CC-4F67-4F8C-A90F-76EC18716499}">
      <dgm:prSet/>
      <dgm:spPr/>
      <dgm:t>
        <a:bodyPr/>
        <a:lstStyle/>
        <a:p>
          <a:endParaRPr lang="en-GB"/>
        </a:p>
      </dgm:t>
    </dgm:pt>
    <dgm:pt modelId="{A4391E8F-3B64-45FD-9B22-B4E917FA9185}" type="sibTrans" cxnId="{E6AC61CC-4F67-4F8C-A90F-76EC18716499}">
      <dgm:prSet/>
      <dgm:spPr/>
      <dgm:t>
        <a:bodyPr/>
        <a:lstStyle/>
        <a:p>
          <a:endParaRPr lang="en-GB"/>
        </a:p>
      </dgm:t>
    </dgm:pt>
    <dgm:pt modelId="{EDF60C73-69C5-4E81-BC8C-3C62F2DF481E}">
      <dgm:prSet phldrT="[Text]"/>
      <dgm:spPr/>
      <dgm:t>
        <a:bodyPr/>
        <a:lstStyle/>
        <a:p>
          <a:r>
            <a:rPr lang="en-GB"/>
            <a:t>ET3</a:t>
          </a:r>
        </a:p>
      </dgm:t>
    </dgm:pt>
    <dgm:pt modelId="{5B458055-C234-4E41-B161-FF20807F6C90}" type="parTrans" cxnId="{F6BA075D-9424-4196-B27F-68F8F376B752}">
      <dgm:prSet/>
      <dgm:spPr/>
      <dgm:t>
        <a:bodyPr/>
        <a:lstStyle/>
        <a:p>
          <a:endParaRPr lang="en-GB"/>
        </a:p>
      </dgm:t>
    </dgm:pt>
    <dgm:pt modelId="{9E283887-B58A-4D06-8485-22AF382723A5}" type="sibTrans" cxnId="{F6BA075D-9424-4196-B27F-68F8F376B752}">
      <dgm:prSet/>
      <dgm:spPr/>
      <dgm:t>
        <a:bodyPr/>
        <a:lstStyle/>
        <a:p>
          <a:endParaRPr lang="en-GB"/>
        </a:p>
      </dgm:t>
    </dgm:pt>
    <dgm:pt modelId="{A8E6C49F-C238-42F7-880A-3011DB61346F}">
      <dgm:prSet phldrT="[Text]"/>
      <dgm:spPr/>
      <dgm:t>
        <a:bodyPr/>
        <a:lstStyle/>
        <a:p>
          <a:r>
            <a:rPr lang="en-GB"/>
            <a:t>Preliminary Hearing</a:t>
          </a:r>
        </a:p>
      </dgm:t>
    </dgm:pt>
    <dgm:pt modelId="{F70C126E-4AFC-4A73-B6DA-31E98202BBA2}" type="parTrans" cxnId="{F55AC3EC-9AF7-44A4-9F3C-72A9AB85C483}">
      <dgm:prSet/>
      <dgm:spPr/>
      <dgm:t>
        <a:bodyPr/>
        <a:lstStyle/>
        <a:p>
          <a:endParaRPr lang="en-GB"/>
        </a:p>
      </dgm:t>
    </dgm:pt>
    <dgm:pt modelId="{4771919D-E46B-41F0-A593-43D883A1744E}" type="sibTrans" cxnId="{F55AC3EC-9AF7-44A4-9F3C-72A9AB85C483}">
      <dgm:prSet/>
      <dgm:spPr/>
      <dgm:t>
        <a:bodyPr/>
        <a:lstStyle/>
        <a:p>
          <a:endParaRPr lang="en-GB"/>
        </a:p>
      </dgm:t>
    </dgm:pt>
    <dgm:pt modelId="{2685BDA3-FCB8-471D-99A2-5CD540A77C2B}">
      <dgm:prSet phldrT="[Text]"/>
      <dgm:spPr/>
      <dgm:t>
        <a:bodyPr/>
        <a:lstStyle/>
        <a:p>
          <a:r>
            <a:rPr lang="en-GB"/>
            <a:t>The Hearing</a:t>
          </a:r>
        </a:p>
      </dgm:t>
    </dgm:pt>
    <dgm:pt modelId="{0E7643A2-3D6F-4197-B282-A49896EEB25D}" type="parTrans" cxnId="{E34DDA3C-9B5F-4E24-A489-0767112AECAD}">
      <dgm:prSet/>
      <dgm:spPr/>
      <dgm:t>
        <a:bodyPr/>
        <a:lstStyle/>
        <a:p>
          <a:endParaRPr lang="en-GB"/>
        </a:p>
      </dgm:t>
    </dgm:pt>
    <dgm:pt modelId="{AB7FC7E2-6C29-46BA-813C-041C0888A893}" type="sibTrans" cxnId="{E34DDA3C-9B5F-4E24-A489-0767112AECAD}">
      <dgm:prSet/>
      <dgm:spPr/>
      <dgm:t>
        <a:bodyPr/>
        <a:lstStyle/>
        <a:p>
          <a:endParaRPr lang="en-GB"/>
        </a:p>
      </dgm:t>
    </dgm:pt>
    <dgm:pt modelId="{D1EA6224-CFBA-40D1-92E3-242AF8FDC421}">
      <dgm:prSet phldrT="[Text]"/>
      <dgm:spPr/>
      <dgm:t>
        <a:bodyPr/>
        <a:lstStyle/>
        <a:p>
          <a:r>
            <a:rPr lang="en-GB"/>
            <a:t>The Judgement</a:t>
          </a:r>
        </a:p>
      </dgm:t>
    </dgm:pt>
    <dgm:pt modelId="{8829275D-210E-41C7-A575-CA65F29E28D0}" type="parTrans" cxnId="{1EED0E11-D062-45E7-ADB3-DC98D318F516}">
      <dgm:prSet/>
      <dgm:spPr/>
      <dgm:t>
        <a:bodyPr/>
        <a:lstStyle/>
        <a:p>
          <a:endParaRPr lang="en-GB"/>
        </a:p>
      </dgm:t>
    </dgm:pt>
    <dgm:pt modelId="{6952A3B7-63B9-49B9-B776-B587AD2F78D6}" type="sibTrans" cxnId="{1EED0E11-D062-45E7-ADB3-DC98D318F516}">
      <dgm:prSet/>
      <dgm:spPr/>
      <dgm:t>
        <a:bodyPr/>
        <a:lstStyle/>
        <a:p>
          <a:endParaRPr lang="en-GB"/>
        </a:p>
      </dgm:t>
    </dgm:pt>
    <dgm:pt modelId="{29218B0F-8453-4FF4-A199-89CA1FBBD6CD}">
      <dgm:prSet phldrT="[Text]"/>
      <dgm:spPr/>
      <dgm:t>
        <a:bodyPr/>
        <a:lstStyle/>
        <a:p>
          <a:r>
            <a:rPr lang="en-GB"/>
            <a:t>Review Decision</a:t>
          </a:r>
        </a:p>
      </dgm:t>
    </dgm:pt>
    <dgm:pt modelId="{D7CC9241-56D3-4190-98CA-F84CE86F490C}" type="parTrans" cxnId="{3907ECFC-7E35-406F-AD1A-A283CF9F2D8B}">
      <dgm:prSet/>
      <dgm:spPr/>
      <dgm:t>
        <a:bodyPr/>
        <a:lstStyle/>
        <a:p>
          <a:endParaRPr lang="en-GB"/>
        </a:p>
      </dgm:t>
    </dgm:pt>
    <dgm:pt modelId="{7D56B185-3664-41BD-A344-F68408D6EF17}" type="sibTrans" cxnId="{3907ECFC-7E35-406F-AD1A-A283CF9F2D8B}">
      <dgm:prSet/>
      <dgm:spPr/>
      <dgm:t>
        <a:bodyPr/>
        <a:lstStyle/>
        <a:p>
          <a:endParaRPr lang="en-GB"/>
        </a:p>
      </dgm:t>
    </dgm:pt>
    <dgm:pt modelId="{08438B83-FADF-4589-8BD8-FD9CF912BFFF}" type="pres">
      <dgm:prSet presAssocID="{62A4DAC1-C44A-43DA-8A4C-BCA3475F9498}" presName="Name0" presStyleCnt="0">
        <dgm:presLayoutVars>
          <dgm:dir/>
          <dgm:animLvl val="lvl"/>
          <dgm:resizeHandles val="exact"/>
        </dgm:presLayoutVars>
      </dgm:prSet>
      <dgm:spPr/>
    </dgm:pt>
    <dgm:pt modelId="{F1B67FB8-93FA-4511-89A0-7C221EC94980}" type="pres">
      <dgm:prSet presAssocID="{33585018-1938-44C5-A191-97BFA61CC124}" presName="parTxOnly" presStyleLbl="node1" presStyleIdx="0" presStyleCnt="7">
        <dgm:presLayoutVars>
          <dgm:chMax val="0"/>
          <dgm:chPref val="0"/>
          <dgm:bulletEnabled val="1"/>
        </dgm:presLayoutVars>
      </dgm:prSet>
      <dgm:spPr/>
    </dgm:pt>
    <dgm:pt modelId="{BC789D32-328F-4B66-ADC8-0F4914BF5A4F}" type="pres">
      <dgm:prSet presAssocID="{946D8347-C5D4-4F51-80CD-C28D3877A59F}" presName="parTxOnlySpace" presStyleCnt="0"/>
      <dgm:spPr/>
    </dgm:pt>
    <dgm:pt modelId="{383BCAE1-CC04-4FF1-AB02-611D825CB9BC}" type="pres">
      <dgm:prSet presAssocID="{6266BDA8-77DB-4946-8EAF-DF199C6ED51B}" presName="parTxOnly" presStyleLbl="node1" presStyleIdx="1" presStyleCnt="7">
        <dgm:presLayoutVars>
          <dgm:chMax val="0"/>
          <dgm:chPref val="0"/>
          <dgm:bulletEnabled val="1"/>
        </dgm:presLayoutVars>
      </dgm:prSet>
      <dgm:spPr/>
    </dgm:pt>
    <dgm:pt modelId="{EC32852C-7B1C-49E1-A79F-217469303265}" type="pres">
      <dgm:prSet presAssocID="{A4391E8F-3B64-45FD-9B22-B4E917FA9185}" presName="parTxOnlySpace" presStyleCnt="0"/>
      <dgm:spPr/>
    </dgm:pt>
    <dgm:pt modelId="{37DC8B4A-C00B-4D58-98BA-F8E8B9238A48}" type="pres">
      <dgm:prSet presAssocID="{EDF60C73-69C5-4E81-BC8C-3C62F2DF481E}" presName="parTxOnly" presStyleLbl="node1" presStyleIdx="2" presStyleCnt="7">
        <dgm:presLayoutVars>
          <dgm:chMax val="0"/>
          <dgm:chPref val="0"/>
          <dgm:bulletEnabled val="1"/>
        </dgm:presLayoutVars>
      </dgm:prSet>
      <dgm:spPr/>
    </dgm:pt>
    <dgm:pt modelId="{19279111-1D9C-442B-B578-26E6570DC772}" type="pres">
      <dgm:prSet presAssocID="{9E283887-B58A-4D06-8485-22AF382723A5}" presName="parTxOnlySpace" presStyleCnt="0"/>
      <dgm:spPr/>
    </dgm:pt>
    <dgm:pt modelId="{2180CA27-6DCC-442B-AC3D-EFD389837EF3}" type="pres">
      <dgm:prSet presAssocID="{A8E6C49F-C238-42F7-880A-3011DB61346F}" presName="parTxOnly" presStyleLbl="node1" presStyleIdx="3" presStyleCnt="7" custLinFactNeighborX="-8136">
        <dgm:presLayoutVars>
          <dgm:chMax val="0"/>
          <dgm:chPref val="0"/>
          <dgm:bulletEnabled val="1"/>
        </dgm:presLayoutVars>
      </dgm:prSet>
      <dgm:spPr/>
    </dgm:pt>
    <dgm:pt modelId="{BB2847CD-21CE-4AFB-8D50-CD92A1B2B14E}" type="pres">
      <dgm:prSet presAssocID="{4771919D-E46B-41F0-A593-43D883A1744E}" presName="parTxOnlySpace" presStyleCnt="0"/>
      <dgm:spPr/>
    </dgm:pt>
    <dgm:pt modelId="{6554291C-33DB-4F7F-A723-2C327D1BBFFD}" type="pres">
      <dgm:prSet presAssocID="{2685BDA3-FCB8-471D-99A2-5CD540A77C2B}" presName="parTxOnly" presStyleLbl="node1" presStyleIdx="4" presStyleCnt="7">
        <dgm:presLayoutVars>
          <dgm:chMax val="0"/>
          <dgm:chPref val="0"/>
          <dgm:bulletEnabled val="1"/>
        </dgm:presLayoutVars>
      </dgm:prSet>
      <dgm:spPr/>
    </dgm:pt>
    <dgm:pt modelId="{66C56787-3C76-4C52-876F-4B46413E5E90}" type="pres">
      <dgm:prSet presAssocID="{AB7FC7E2-6C29-46BA-813C-041C0888A893}" presName="parTxOnlySpace" presStyleCnt="0"/>
      <dgm:spPr/>
    </dgm:pt>
    <dgm:pt modelId="{E9BF609C-12C1-4A73-8985-59A650A2861A}" type="pres">
      <dgm:prSet presAssocID="{D1EA6224-CFBA-40D1-92E3-242AF8FDC421}" presName="parTxOnly" presStyleLbl="node1" presStyleIdx="5" presStyleCnt="7">
        <dgm:presLayoutVars>
          <dgm:chMax val="0"/>
          <dgm:chPref val="0"/>
          <dgm:bulletEnabled val="1"/>
        </dgm:presLayoutVars>
      </dgm:prSet>
      <dgm:spPr/>
    </dgm:pt>
    <dgm:pt modelId="{E50F5A3A-4C4A-4632-8B45-E7E120B29FBB}" type="pres">
      <dgm:prSet presAssocID="{6952A3B7-63B9-49B9-B776-B587AD2F78D6}" presName="parTxOnlySpace" presStyleCnt="0"/>
      <dgm:spPr/>
    </dgm:pt>
    <dgm:pt modelId="{DAD0ECDA-FA53-4769-B98B-BA82ED6CED6D}" type="pres">
      <dgm:prSet presAssocID="{29218B0F-8453-4FF4-A199-89CA1FBBD6CD}" presName="parTxOnly" presStyleLbl="node1" presStyleIdx="6" presStyleCnt="7">
        <dgm:presLayoutVars>
          <dgm:chMax val="0"/>
          <dgm:chPref val="0"/>
          <dgm:bulletEnabled val="1"/>
        </dgm:presLayoutVars>
      </dgm:prSet>
      <dgm:spPr/>
    </dgm:pt>
  </dgm:ptLst>
  <dgm:cxnLst>
    <dgm:cxn modelId="{513E5D02-A30D-4946-A354-A73EB019137E}" type="presOf" srcId="{A8E6C49F-C238-42F7-880A-3011DB61346F}" destId="{2180CA27-6DCC-442B-AC3D-EFD389837EF3}" srcOrd="0" destOrd="0" presId="urn:microsoft.com/office/officeart/2005/8/layout/chevron1"/>
    <dgm:cxn modelId="{1EED0E11-D062-45E7-ADB3-DC98D318F516}" srcId="{62A4DAC1-C44A-43DA-8A4C-BCA3475F9498}" destId="{D1EA6224-CFBA-40D1-92E3-242AF8FDC421}" srcOrd="5" destOrd="0" parTransId="{8829275D-210E-41C7-A575-CA65F29E28D0}" sibTransId="{6952A3B7-63B9-49B9-B776-B587AD2F78D6}"/>
    <dgm:cxn modelId="{E34DDA3C-9B5F-4E24-A489-0767112AECAD}" srcId="{62A4DAC1-C44A-43DA-8A4C-BCA3475F9498}" destId="{2685BDA3-FCB8-471D-99A2-5CD540A77C2B}" srcOrd="4" destOrd="0" parTransId="{0E7643A2-3D6F-4197-B282-A49896EEB25D}" sibTransId="{AB7FC7E2-6C29-46BA-813C-041C0888A893}"/>
    <dgm:cxn modelId="{F6BA075D-9424-4196-B27F-68F8F376B752}" srcId="{62A4DAC1-C44A-43DA-8A4C-BCA3475F9498}" destId="{EDF60C73-69C5-4E81-BC8C-3C62F2DF481E}" srcOrd="2" destOrd="0" parTransId="{5B458055-C234-4E41-B161-FF20807F6C90}" sibTransId="{9E283887-B58A-4D06-8485-22AF382723A5}"/>
    <dgm:cxn modelId="{0D7C8C5F-A5B3-4C01-BB56-CEA2AEE66D33}" srcId="{62A4DAC1-C44A-43DA-8A4C-BCA3475F9498}" destId="{33585018-1938-44C5-A191-97BFA61CC124}" srcOrd="0" destOrd="0" parTransId="{B42BBC13-0B4B-4323-895B-0C4EE82395C5}" sibTransId="{946D8347-C5D4-4F51-80CD-C28D3877A59F}"/>
    <dgm:cxn modelId="{D1121241-25E0-4F4F-97B6-0FC8A3889A23}" type="presOf" srcId="{62A4DAC1-C44A-43DA-8A4C-BCA3475F9498}" destId="{08438B83-FADF-4589-8BD8-FD9CF912BFFF}" srcOrd="0" destOrd="0" presId="urn:microsoft.com/office/officeart/2005/8/layout/chevron1"/>
    <dgm:cxn modelId="{7725BA42-8D67-4CB4-92E5-52F7D4C4975A}" type="presOf" srcId="{6266BDA8-77DB-4946-8EAF-DF199C6ED51B}" destId="{383BCAE1-CC04-4FF1-AB02-611D825CB9BC}" srcOrd="0" destOrd="0" presId="urn:microsoft.com/office/officeart/2005/8/layout/chevron1"/>
    <dgm:cxn modelId="{69145EA4-98B3-49C9-B5A2-5DF95282A6EB}" type="presOf" srcId="{33585018-1938-44C5-A191-97BFA61CC124}" destId="{F1B67FB8-93FA-4511-89A0-7C221EC94980}" srcOrd="0" destOrd="0" presId="urn:microsoft.com/office/officeart/2005/8/layout/chevron1"/>
    <dgm:cxn modelId="{E6AC61CC-4F67-4F8C-A90F-76EC18716499}" srcId="{62A4DAC1-C44A-43DA-8A4C-BCA3475F9498}" destId="{6266BDA8-77DB-4946-8EAF-DF199C6ED51B}" srcOrd="1" destOrd="0" parTransId="{DF476079-D4F5-487F-A322-F2588BBC9488}" sibTransId="{A4391E8F-3B64-45FD-9B22-B4E917FA9185}"/>
    <dgm:cxn modelId="{B12430D0-32F4-49DD-B4AC-E29E9611202F}" type="presOf" srcId="{EDF60C73-69C5-4E81-BC8C-3C62F2DF481E}" destId="{37DC8B4A-C00B-4D58-98BA-F8E8B9238A48}" srcOrd="0" destOrd="0" presId="urn:microsoft.com/office/officeart/2005/8/layout/chevron1"/>
    <dgm:cxn modelId="{751A66D1-EB3F-453D-8816-4F05FE09121C}" type="presOf" srcId="{D1EA6224-CFBA-40D1-92E3-242AF8FDC421}" destId="{E9BF609C-12C1-4A73-8985-59A650A2861A}" srcOrd="0" destOrd="0" presId="urn:microsoft.com/office/officeart/2005/8/layout/chevron1"/>
    <dgm:cxn modelId="{33DB64DA-B80F-4329-AF1D-2B4B095FA4F3}" type="presOf" srcId="{2685BDA3-FCB8-471D-99A2-5CD540A77C2B}" destId="{6554291C-33DB-4F7F-A723-2C327D1BBFFD}" srcOrd="0" destOrd="0" presId="urn:microsoft.com/office/officeart/2005/8/layout/chevron1"/>
    <dgm:cxn modelId="{C0AF22E9-272A-4E96-BA9E-0473793B0466}" type="presOf" srcId="{29218B0F-8453-4FF4-A199-89CA1FBBD6CD}" destId="{DAD0ECDA-FA53-4769-B98B-BA82ED6CED6D}" srcOrd="0" destOrd="0" presId="urn:microsoft.com/office/officeart/2005/8/layout/chevron1"/>
    <dgm:cxn modelId="{F55AC3EC-9AF7-44A4-9F3C-72A9AB85C483}" srcId="{62A4DAC1-C44A-43DA-8A4C-BCA3475F9498}" destId="{A8E6C49F-C238-42F7-880A-3011DB61346F}" srcOrd="3" destOrd="0" parTransId="{F70C126E-4AFC-4A73-B6DA-31E98202BBA2}" sibTransId="{4771919D-E46B-41F0-A593-43D883A1744E}"/>
    <dgm:cxn modelId="{3907ECFC-7E35-406F-AD1A-A283CF9F2D8B}" srcId="{62A4DAC1-C44A-43DA-8A4C-BCA3475F9498}" destId="{29218B0F-8453-4FF4-A199-89CA1FBBD6CD}" srcOrd="6" destOrd="0" parTransId="{D7CC9241-56D3-4190-98CA-F84CE86F490C}" sibTransId="{7D56B185-3664-41BD-A344-F68408D6EF17}"/>
    <dgm:cxn modelId="{C4A1316C-5128-4C74-9E09-3419865AECE2}" type="presParOf" srcId="{08438B83-FADF-4589-8BD8-FD9CF912BFFF}" destId="{F1B67FB8-93FA-4511-89A0-7C221EC94980}" srcOrd="0" destOrd="0" presId="urn:microsoft.com/office/officeart/2005/8/layout/chevron1"/>
    <dgm:cxn modelId="{D8E76167-0FA6-421F-A273-B23D35E5BA10}" type="presParOf" srcId="{08438B83-FADF-4589-8BD8-FD9CF912BFFF}" destId="{BC789D32-328F-4B66-ADC8-0F4914BF5A4F}" srcOrd="1" destOrd="0" presId="urn:microsoft.com/office/officeart/2005/8/layout/chevron1"/>
    <dgm:cxn modelId="{172F5618-0FC0-4335-A3DC-29153BCC3FFA}" type="presParOf" srcId="{08438B83-FADF-4589-8BD8-FD9CF912BFFF}" destId="{383BCAE1-CC04-4FF1-AB02-611D825CB9BC}" srcOrd="2" destOrd="0" presId="urn:microsoft.com/office/officeart/2005/8/layout/chevron1"/>
    <dgm:cxn modelId="{2A632037-0862-4C15-A3E1-A4966480E1B8}" type="presParOf" srcId="{08438B83-FADF-4589-8BD8-FD9CF912BFFF}" destId="{EC32852C-7B1C-49E1-A79F-217469303265}" srcOrd="3" destOrd="0" presId="urn:microsoft.com/office/officeart/2005/8/layout/chevron1"/>
    <dgm:cxn modelId="{4F648517-FED0-4B86-A39F-31498FC1A692}" type="presParOf" srcId="{08438B83-FADF-4589-8BD8-FD9CF912BFFF}" destId="{37DC8B4A-C00B-4D58-98BA-F8E8B9238A48}" srcOrd="4" destOrd="0" presId="urn:microsoft.com/office/officeart/2005/8/layout/chevron1"/>
    <dgm:cxn modelId="{D9043C39-9169-4222-B6FB-5C1E10DE08AE}" type="presParOf" srcId="{08438B83-FADF-4589-8BD8-FD9CF912BFFF}" destId="{19279111-1D9C-442B-B578-26E6570DC772}" srcOrd="5" destOrd="0" presId="urn:microsoft.com/office/officeart/2005/8/layout/chevron1"/>
    <dgm:cxn modelId="{949199D3-8E7B-4674-9D73-48F26F30C8B6}" type="presParOf" srcId="{08438B83-FADF-4589-8BD8-FD9CF912BFFF}" destId="{2180CA27-6DCC-442B-AC3D-EFD389837EF3}" srcOrd="6" destOrd="0" presId="urn:microsoft.com/office/officeart/2005/8/layout/chevron1"/>
    <dgm:cxn modelId="{FC83FC2A-600C-4049-B801-6210401616D4}" type="presParOf" srcId="{08438B83-FADF-4589-8BD8-FD9CF912BFFF}" destId="{BB2847CD-21CE-4AFB-8D50-CD92A1B2B14E}" srcOrd="7" destOrd="0" presId="urn:microsoft.com/office/officeart/2005/8/layout/chevron1"/>
    <dgm:cxn modelId="{79511EEC-2E41-4780-ABC0-F9F385BB31FE}" type="presParOf" srcId="{08438B83-FADF-4589-8BD8-FD9CF912BFFF}" destId="{6554291C-33DB-4F7F-A723-2C327D1BBFFD}" srcOrd="8" destOrd="0" presId="urn:microsoft.com/office/officeart/2005/8/layout/chevron1"/>
    <dgm:cxn modelId="{7DE368C0-C170-4DA4-9118-B8A0FE066082}" type="presParOf" srcId="{08438B83-FADF-4589-8BD8-FD9CF912BFFF}" destId="{66C56787-3C76-4C52-876F-4B46413E5E90}" srcOrd="9" destOrd="0" presId="urn:microsoft.com/office/officeart/2005/8/layout/chevron1"/>
    <dgm:cxn modelId="{67A94622-E499-4703-A00D-43C62E57ABA8}" type="presParOf" srcId="{08438B83-FADF-4589-8BD8-FD9CF912BFFF}" destId="{E9BF609C-12C1-4A73-8985-59A650A2861A}" srcOrd="10" destOrd="0" presId="urn:microsoft.com/office/officeart/2005/8/layout/chevron1"/>
    <dgm:cxn modelId="{95D862F1-EA00-4DB5-BC56-4B767A80A426}" type="presParOf" srcId="{08438B83-FADF-4589-8BD8-FD9CF912BFFF}" destId="{E50F5A3A-4C4A-4632-8B45-E7E120B29FBB}" srcOrd="11" destOrd="0" presId="urn:microsoft.com/office/officeart/2005/8/layout/chevron1"/>
    <dgm:cxn modelId="{F253008B-6C73-4EDE-AACF-C9F93B676B94}" type="presParOf" srcId="{08438B83-FADF-4589-8BD8-FD9CF912BFFF}" destId="{DAD0ECDA-FA53-4769-B98B-BA82ED6CED6D}" srcOrd="12" destOrd="0" presId="urn:microsoft.com/office/officeart/2005/8/layout/chevro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7621B3-AA4F-44D4-BE56-474CA8B6BFF7}" type="doc">
      <dgm:prSet loTypeId="urn:microsoft.com/office/officeart/2005/8/layout/hierarchy3" loCatId="relationship" qsTypeId="urn:microsoft.com/office/officeart/2005/8/quickstyle/simple1" qsCatId="simple" csTypeId="urn:microsoft.com/office/officeart/2005/8/colors/accent2_3" csCatId="accent2" phldr="1"/>
      <dgm:spPr/>
      <dgm:t>
        <a:bodyPr/>
        <a:lstStyle/>
        <a:p>
          <a:endParaRPr lang="en-GB"/>
        </a:p>
      </dgm:t>
    </dgm:pt>
    <dgm:pt modelId="{03137C42-2718-4692-A99A-576B05E97BC8}">
      <dgm:prSet phldrT="[Text]"/>
      <dgm:spPr/>
      <dgm:t>
        <a:bodyPr/>
        <a:lstStyle/>
        <a:p>
          <a:r>
            <a:rPr lang="en-GB"/>
            <a:t>Disciplinary</a:t>
          </a:r>
        </a:p>
      </dgm:t>
    </dgm:pt>
    <dgm:pt modelId="{C9A3F64A-DC7E-4D66-83A2-9CF5F3694F85}" type="parTrans" cxnId="{B5F1DA00-9D32-406D-A85D-A26D103F3BF7}">
      <dgm:prSet/>
      <dgm:spPr/>
      <dgm:t>
        <a:bodyPr/>
        <a:lstStyle/>
        <a:p>
          <a:endParaRPr lang="en-GB"/>
        </a:p>
      </dgm:t>
    </dgm:pt>
    <dgm:pt modelId="{849BFD0A-B139-4A4A-9676-26F0C73C94F6}" type="sibTrans" cxnId="{B5F1DA00-9D32-406D-A85D-A26D103F3BF7}">
      <dgm:prSet/>
      <dgm:spPr/>
      <dgm:t>
        <a:bodyPr/>
        <a:lstStyle/>
        <a:p>
          <a:endParaRPr lang="en-GB"/>
        </a:p>
      </dgm:t>
    </dgm:pt>
    <dgm:pt modelId="{E5F9906E-7F91-4599-8EB2-C212CC9711BA}">
      <dgm:prSet phldrT="[Text]"/>
      <dgm:spPr/>
      <dgm:t>
        <a:bodyPr/>
        <a:lstStyle/>
        <a:p>
          <a:r>
            <a:rPr lang="en-GB"/>
            <a:t>Establish Facts</a:t>
          </a:r>
        </a:p>
      </dgm:t>
    </dgm:pt>
    <dgm:pt modelId="{DC5A488F-E5BE-414A-95BE-1DD0C489229D}" type="parTrans" cxnId="{B19EB9AF-E201-4082-A5CD-8A8C15941316}">
      <dgm:prSet/>
      <dgm:spPr/>
      <dgm:t>
        <a:bodyPr/>
        <a:lstStyle/>
        <a:p>
          <a:endParaRPr lang="en-GB"/>
        </a:p>
      </dgm:t>
    </dgm:pt>
    <dgm:pt modelId="{4180143F-0C28-4D45-8768-057A382D6D73}" type="sibTrans" cxnId="{B19EB9AF-E201-4082-A5CD-8A8C15941316}">
      <dgm:prSet/>
      <dgm:spPr/>
      <dgm:t>
        <a:bodyPr/>
        <a:lstStyle/>
        <a:p>
          <a:endParaRPr lang="en-GB"/>
        </a:p>
      </dgm:t>
    </dgm:pt>
    <dgm:pt modelId="{5513EB43-49F2-4054-9CE6-704E2CFD13A9}">
      <dgm:prSet phldrT="[Text]"/>
      <dgm:spPr/>
      <dgm:t>
        <a:bodyPr/>
        <a:lstStyle/>
        <a:p>
          <a:r>
            <a:rPr lang="en-GB"/>
            <a:t>Inform employee of the problem</a:t>
          </a:r>
        </a:p>
      </dgm:t>
    </dgm:pt>
    <dgm:pt modelId="{B7EB72F2-6F6E-4CB5-A970-420A0B0A8929}" type="parTrans" cxnId="{9B49C447-8173-450A-9869-06748260E463}">
      <dgm:prSet/>
      <dgm:spPr/>
      <dgm:t>
        <a:bodyPr/>
        <a:lstStyle/>
        <a:p>
          <a:endParaRPr lang="en-GB"/>
        </a:p>
      </dgm:t>
    </dgm:pt>
    <dgm:pt modelId="{62A7B882-75F2-4FB2-A6C0-629F6716FCE7}" type="sibTrans" cxnId="{9B49C447-8173-450A-9869-06748260E463}">
      <dgm:prSet/>
      <dgm:spPr/>
      <dgm:t>
        <a:bodyPr/>
        <a:lstStyle/>
        <a:p>
          <a:endParaRPr lang="en-GB"/>
        </a:p>
      </dgm:t>
    </dgm:pt>
    <dgm:pt modelId="{3B400CAA-F6E3-4791-A529-093BDC50948D}">
      <dgm:prSet phldrT="[Text]"/>
      <dgm:spPr/>
      <dgm:t>
        <a:bodyPr/>
        <a:lstStyle/>
        <a:p>
          <a:r>
            <a:rPr lang="en-GB"/>
            <a:t>Grievance</a:t>
          </a:r>
        </a:p>
      </dgm:t>
    </dgm:pt>
    <dgm:pt modelId="{DFC7B1F2-465F-44E2-B650-88E526942E83}" type="parTrans" cxnId="{50C2399F-B4A8-45C4-A0C0-E719FF178D21}">
      <dgm:prSet/>
      <dgm:spPr/>
      <dgm:t>
        <a:bodyPr/>
        <a:lstStyle/>
        <a:p>
          <a:endParaRPr lang="en-GB"/>
        </a:p>
      </dgm:t>
    </dgm:pt>
    <dgm:pt modelId="{068167A2-762E-4B45-93E6-F7DBB58D4F5A}" type="sibTrans" cxnId="{50C2399F-B4A8-45C4-A0C0-E719FF178D21}">
      <dgm:prSet/>
      <dgm:spPr/>
      <dgm:t>
        <a:bodyPr/>
        <a:lstStyle/>
        <a:p>
          <a:endParaRPr lang="en-GB"/>
        </a:p>
      </dgm:t>
    </dgm:pt>
    <dgm:pt modelId="{4CAE8845-BFE9-4541-824B-969C6402548C}">
      <dgm:prSet phldrT="[Text]"/>
      <dgm:spPr/>
      <dgm:t>
        <a:bodyPr/>
        <a:lstStyle/>
        <a:p>
          <a:r>
            <a:rPr lang="en-GB"/>
            <a:t>Let employer know nature of grievance</a:t>
          </a:r>
        </a:p>
      </dgm:t>
    </dgm:pt>
    <dgm:pt modelId="{54843381-FD36-4D71-9F43-CE9424920E4C}" type="parTrans" cxnId="{F9B8A2AA-5B1D-4EF7-BC18-5886FFB588EA}">
      <dgm:prSet/>
      <dgm:spPr/>
      <dgm:t>
        <a:bodyPr/>
        <a:lstStyle/>
        <a:p>
          <a:endParaRPr lang="en-GB"/>
        </a:p>
      </dgm:t>
    </dgm:pt>
    <dgm:pt modelId="{A2848E9B-75E2-4DD1-B87D-7FBB065F6DE7}" type="sibTrans" cxnId="{F9B8A2AA-5B1D-4EF7-BC18-5886FFB588EA}">
      <dgm:prSet/>
      <dgm:spPr/>
      <dgm:t>
        <a:bodyPr/>
        <a:lstStyle/>
        <a:p>
          <a:endParaRPr lang="en-GB"/>
        </a:p>
      </dgm:t>
    </dgm:pt>
    <dgm:pt modelId="{A57CD14B-8BA0-446A-B69B-5AC6ED3B3CA0}">
      <dgm:prSet phldrT="[Text]"/>
      <dgm:spPr/>
      <dgm:t>
        <a:bodyPr/>
        <a:lstStyle/>
        <a:p>
          <a:r>
            <a:rPr lang="en-GB"/>
            <a:t>Hold meeting to establish facts</a:t>
          </a:r>
        </a:p>
      </dgm:t>
    </dgm:pt>
    <dgm:pt modelId="{218BABC3-0CB0-4AA9-BB90-1DDBE8990A9B}" type="parTrans" cxnId="{8C146D60-A285-4076-959D-80ECE9874C9C}">
      <dgm:prSet/>
      <dgm:spPr/>
      <dgm:t>
        <a:bodyPr/>
        <a:lstStyle/>
        <a:p>
          <a:endParaRPr lang="en-GB"/>
        </a:p>
      </dgm:t>
    </dgm:pt>
    <dgm:pt modelId="{4C94F143-089D-4473-B5A1-59264316248E}" type="sibTrans" cxnId="{8C146D60-A285-4076-959D-80ECE9874C9C}">
      <dgm:prSet/>
      <dgm:spPr/>
      <dgm:t>
        <a:bodyPr/>
        <a:lstStyle/>
        <a:p>
          <a:endParaRPr lang="en-GB"/>
        </a:p>
      </dgm:t>
    </dgm:pt>
    <dgm:pt modelId="{837D2287-2BF8-42C4-9517-73582A123DDD}">
      <dgm:prSet phldrT="[Text]"/>
      <dgm:spPr/>
      <dgm:t>
        <a:bodyPr/>
        <a:lstStyle/>
        <a:p>
          <a:r>
            <a:rPr lang="en-GB"/>
            <a:t>Hold a meeting with the employee</a:t>
          </a:r>
        </a:p>
      </dgm:t>
    </dgm:pt>
    <dgm:pt modelId="{CCEB69AE-73EA-43D2-8B27-27DE75486641}" type="parTrans" cxnId="{592B8205-319A-40AA-8E43-BA4B9E6970BA}">
      <dgm:prSet/>
      <dgm:spPr/>
      <dgm:t>
        <a:bodyPr/>
        <a:lstStyle/>
        <a:p>
          <a:endParaRPr lang="en-GB"/>
        </a:p>
      </dgm:t>
    </dgm:pt>
    <dgm:pt modelId="{277910F4-0A42-4CDF-8CC4-4EAE09D0B5FC}" type="sibTrans" cxnId="{592B8205-319A-40AA-8E43-BA4B9E6970BA}">
      <dgm:prSet/>
      <dgm:spPr/>
      <dgm:t>
        <a:bodyPr/>
        <a:lstStyle/>
        <a:p>
          <a:endParaRPr lang="en-GB"/>
        </a:p>
      </dgm:t>
    </dgm:pt>
    <dgm:pt modelId="{ACA8C9FF-B84C-419B-9807-EE0E6939227F}">
      <dgm:prSet phldrT="[Text]"/>
      <dgm:spPr/>
      <dgm:t>
        <a:bodyPr/>
        <a:lstStyle/>
        <a:p>
          <a:r>
            <a:rPr lang="en-GB"/>
            <a:t>Allow employee to be accompanied</a:t>
          </a:r>
        </a:p>
      </dgm:t>
    </dgm:pt>
    <dgm:pt modelId="{0DA83E87-C7CD-42B2-B7F2-43E3ADB0F735}" type="parTrans" cxnId="{51BE1BA8-9C98-473D-A3DB-F43724786772}">
      <dgm:prSet/>
      <dgm:spPr/>
      <dgm:t>
        <a:bodyPr/>
        <a:lstStyle/>
        <a:p>
          <a:endParaRPr lang="en-GB"/>
        </a:p>
      </dgm:t>
    </dgm:pt>
    <dgm:pt modelId="{296264BF-F60F-4B70-B218-8588F3EDDDA9}" type="sibTrans" cxnId="{51BE1BA8-9C98-473D-A3DB-F43724786772}">
      <dgm:prSet/>
      <dgm:spPr/>
      <dgm:t>
        <a:bodyPr/>
        <a:lstStyle/>
        <a:p>
          <a:endParaRPr lang="en-GB"/>
        </a:p>
      </dgm:t>
    </dgm:pt>
    <dgm:pt modelId="{043504F1-AD0C-46EF-A0F1-8C856981B607}">
      <dgm:prSet phldrT="[Text]"/>
      <dgm:spPr/>
      <dgm:t>
        <a:bodyPr/>
        <a:lstStyle/>
        <a:p>
          <a:r>
            <a:rPr lang="en-GB"/>
            <a:t>Decide on appropriate action</a:t>
          </a:r>
        </a:p>
      </dgm:t>
    </dgm:pt>
    <dgm:pt modelId="{D020564D-BBDF-4499-AA49-88C1187C1185}" type="parTrans" cxnId="{39288B63-16B1-48D3-AC99-92C7CC207DD2}">
      <dgm:prSet/>
      <dgm:spPr/>
      <dgm:t>
        <a:bodyPr/>
        <a:lstStyle/>
        <a:p>
          <a:endParaRPr lang="en-GB"/>
        </a:p>
      </dgm:t>
    </dgm:pt>
    <dgm:pt modelId="{E235DE1B-B0C5-4A4B-82C1-4EA7DB95D361}" type="sibTrans" cxnId="{39288B63-16B1-48D3-AC99-92C7CC207DD2}">
      <dgm:prSet/>
      <dgm:spPr/>
      <dgm:t>
        <a:bodyPr/>
        <a:lstStyle/>
        <a:p>
          <a:endParaRPr lang="en-GB"/>
        </a:p>
      </dgm:t>
    </dgm:pt>
    <dgm:pt modelId="{2BC2219F-7D94-40E0-8CF1-CBB2246511B8}">
      <dgm:prSet phldrT="[Text]"/>
      <dgm:spPr/>
      <dgm:t>
        <a:bodyPr/>
        <a:lstStyle/>
        <a:p>
          <a:r>
            <a:rPr lang="en-GB"/>
            <a:t>Provide opportunity to appeal</a:t>
          </a:r>
        </a:p>
      </dgm:t>
    </dgm:pt>
    <dgm:pt modelId="{6E62B6BB-92A5-4BD0-A93B-12F29B0642D5}" type="parTrans" cxnId="{D8060433-A7F7-4367-9877-7EF50294C47F}">
      <dgm:prSet/>
      <dgm:spPr/>
      <dgm:t>
        <a:bodyPr/>
        <a:lstStyle/>
        <a:p>
          <a:endParaRPr lang="en-GB"/>
        </a:p>
      </dgm:t>
    </dgm:pt>
    <dgm:pt modelId="{82685711-A2E3-4C69-AFBA-8870F9CB101D}" type="sibTrans" cxnId="{D8060433-A7F7-4367-9877-7EF50294C47F}">
      <dgm:prSet/>
      <dgm:spPr/>
      <dgm:t>
        <a:bodyPr/>
        <a:lstStyle/>
        <a:p>
          <a:endParaRPr lang="en-GB"/>
        </a:p>
      </dgm:t>
    </dgm:pt>
    <dgm:pt modelId="{6A8BA911-805C-41CC-8D4D-07656D7F74AE}">
      <dgm:prSet phldrT="[Text]"/>
      <dgm:spPr/>
      <dgm:t>
        <a:bodyPr/>
        <a:lstStyle/>
        <a:p>
          <a:r>
            <a:rPr lang="en-GB"/>
            <a:t>Allow employee to be accompanied</a:t>
          </a:r>
        </a:p>
      </dgm:t>
    </dgm:pt>
    <dgm:pt modelId="{5A4E42E2-7362-4B92-851A-89FA2F435FE3}" type="parTrans" cxnId="{BBF6DEA0-A68C-43EB-9926-70D1BC06F6A3}">
      <dgm:prSet/>
      <dgm:spPr/>
      <dgm:t>
        <a:bodyPr/>
        <a:lstStyle/>
        <a:p>
          <a:endParaRPr lang="en-GB"/>
        </a:p>
      </dgm:t>
    </dgm:pt>
    <dgm:pt modelId="{E3E9E83C-CE8D-492C-ABA1-7FD24E898889}" type="sibTrans" cxnId="{BBF6DEA0-A68C-43EB-9926-70D1BC06F6A3}">
      <dgm:prSet/>
      <dgm:spPr/>
      <dgm:t>
        <a:bodyPr/>
        <a:lstStyle/>
        <a:p>
          <a:endParaRPr lang="en-GB"/>
        </a:p>
      </dgm:t>
    </dgm:pt>
    <dgm:pt modelId="{5B53D2F1-A67C-4F24-9164-EC9D0EB89ECE}">
      <dgm:prSet phldrT="[Text]"/>
      <dgm:spPr/>
      <dgm:t>
        <a:bodyPr/>
        <a:lstStyle/>
        <a:p>
          <a:r>
            <a:rPr lang="en-GB"/>
            <a:t>Decide on appropriate action</a:t>
          </a:r>
        </a:p>
      </dgm:t>
    </dgm:pt>
    <dgm:pt modelId="{00290D12-EE86-4C12-8404-FB929190676A}" type="parTrans" cxnId="{5002E81A-3FED-47FE-8985-3CD72BE16A22}">
      <dgm:prSet/>
      <dgm:spPr/>
      <dgm:t>
        <a:bodyPr/>
        <a:lstStyle/>
        <a:p>
          <a:endParaRPr lang="en-GB"/>
        </a:p>
      </dgm:t>
    </dgm:pt>
    <dgm:pt modelId="{DABE4945-842F-40F9-A9E7-64245FB08AF0}" type="sibTrans" cxnId="{5002E81A-3FED-47FE-8985-3CD72BE16A22}">
      <dgm:prSet/>
      <dgm:spPr/>
      <dgm:t>
        <a:bodyPr/>
        <a:lstStyle/>
        <a:p>
          <a:endParaRPr lang="en-GB"/>
        </a:p>
      </dgm:t>
    </dgm:pt>
    <dgm:pt modelId="{4308E504-6746-4BEB-AEAB-E24C4CA05D5A}">
      <dgm:prSet phldrT="[Text]"/>
      <dgm:spPr/>
      <dgm:t>
        <a:bodyPr/>
        <a:lstStyle/>
        <a:p>
          <a:r>
            <a:rPr lang="en-GB"/>
            <a:t>Allow employee to take grievance further if not resolved</a:t>
          </a:r>
        </a:p>
      </dgm:t>
    </dgm:pt>
    <dgm:pt modelId="{0353418F-3070-44AF-97BC-951BF37BEDF1}" type="parTrans" cxnId="{2E6F2AE2-F63C-4A8D-8170-B7243F300A72}">
      <dgm:prSet/>
      <dgm:spPr/>
      <dgm:t>
        <a:bodyPr/>
        <a:lstStyle/>
        <a:p>
          <a:endParaRPr lang="en-GB"/>
        </a:p>
      </dgm:t>
    </dgm:pt>
    <dgm:pt modelId="{6F29731D-AB04-40F5-B21F-618371F38A2D}" type="sibTrans" cxnId="{2E6F2AE2-F63C-4A8D-8170-B7243F300A72}">
      <dgm:prSet/>
      <dgm:spPr/>
      <dgm:t>
        <a:bodyPr/>
        <a:lstStyle/>
        <a:p>
          <a:endParaRPr lang="en-GB"/>
        </a:p>
      </dgm:t>
    </dgm:pt>
    <dgm:pt modelId="{F74CA9C4-C181-4026-97E6-D3995DEFC521}" type="pres">
      <dgm:prSet presAssocID="{ED7621B3-AA4F-44D4-BE56-474CA8B6BFF7}" presName="diagram" presStyleCnt="0">
        <dgm:presLayoutVars>
          <dgm:chPref val="1"/>
          <dgm:dir/>
          <dgm:animOne val="branch"/>
          <dgm:animLvl val="lvl"/>
          <dgm:resizeHandles/>
        </dgm:presLayoutVars>
      </dgm:prSet>
      <dgm:spPr/>
    </dgm:pt>
    <dgm:pt modelId="{03F7B817-8764-44B0-8B37-638FBB5B378C}" type="pres">
      <dgm:prSet presAssocID="{03137C42-2718-4692-A99A-576B05E97BC8}" presName="root" presStyleCnt="0"/>
      <dgm:spPr/>
    </dgm:pt>
    <dgm:pt modelId="{05B1CED7-2E4B-41E6-8C8C-EFC1164E8E42}" type="pres">
      <dgm:prSet presAssocID="{03137C42-2718-4692-A99A-576B05E97BC8}" presName="rootComposite" presStyleCnt="0"/>
      <dgm:spPr/>
    </dgm:pt>
    <dgm:pt modelId="{CF153A3B-2C24-4910-AC22-6DBB96EAC909}" type="pres">
      <dgm:prSet presAssocID="{03137C42-2718-4692-A99A-576B05E97BC8}" presName="rootText" presStyleLbl="node1" presStyleIdx="0" presStyleCnt="2"/>
      <dgm:spPr/>
    </dgm:pt>
    <dgm:pt modelId="{57620382-641B-40B2-A71A-9C763733F66D}" type="pres">
      <dgm:prSet presAssocID="{03137C42-2718-4692-A99A-576B05E97BC8}" presName="rootConnector" presStyleLbl="node1" presStyleIdx="0" presStyleCnt="2"/>
      <dgm:spPr/>
    </dgm:pt>
    <dgm:pt modelId="{F8FF6D65-47F1-4E17-A28C-00B583F1E821}" type="pres">
      <dgm:prSet presAssocID="{03137C42-2718-4692-A99A-576B05E97BC8}" presName="childShape" presStyleCnt="0"/>
      <dgm:spPr/>
    </dgm:pt>
    <dgm:pt modelId="{CEA659E9-1B45-4C61-8BF5-E08290E2EEE4}" type="pres">
      <dgm:prSet presAssocID="{DC5A488F-E5BE-414A-95BE-1DD0C489229D}" presName="Name13" presStyleLbl="parChTrans1D2" presStyleIdx="0" presStyleCnt="11"/>
      <dgm:spPr/>
    </dgm:pt>
    <dgm:pt modelId="{357256B1-18C7-4BC9-940A-6A45B23C73EE}" type="pres">
      <dgm:prSet presAssocID="{E5F9906E-7F91-4599-8EB2-C212CC9711BA}" presName="childText" presStyleLbl="bgAcc1" presStyleIdx="0" presStyleCnt="11">
        <dgm:presLayoutVars>
          <dgm:bulletEnabled val="1"/>
        </dgm:presLayoutVars>
      </dgm:prSet>
      <dgm:spPr/>
    </dgm:pt>
    <dgm:pt modelId="{CD92FA94-6F15-40D3-BBF3-0C07F7FB80C8}" type="pres">
      <dgm:prSet presAssocID="{B7EB72F2-6F6E-4CB5-A970-420A0B0A8929}" presName="Name13" presStyleLbl="parChTrans1D2" presStyleIdx="1" presStyleCnt="11"/>
      <dgm:spPr/>
    </dgm:pt>
    <dgm:pt modelId="{6CE81019-32C5-4D0A-AAE9-1752DF85A640}" type="pres">
      <dgm:prSet presAssocID="{5513EB43-49F2-4054-9CE6-704E2CFD13A9}" presName="childText" presStyleLbl="bgAcc1" presStyleIdx="1" presStyleCnt="11">
        <dgm:presLayoutVars>
          <dgm:bulletEnabled val="1"/>
        </dgm:presLayoutVars>
      </dgm:prSet>
      <dgm:spPr/>
    </dgm:pt>
    <dgm:pt modelId="{6BDBBE38-46BF-400B-AFE2-18922B9E9BFC}" type="pres">
      <dgm:prSet presAssocID="{CCEB69AE-73EA-43D2-8B27-27DE75486641}" presName="Name13" presStyleLbl="parChTrans1D2" presStyleIdx="2" presStyleCnt="11"/>
      <dgm:spPr/>
    </dgm:pt>
    <dgm:pt modelId="{FEB79CB4-FD46-4067-B755-175492FA3B37}" type="pres">
      <dgm:prSet presAssocID="{837D2287-2BF8-42C4-9517-73582A123DDD}" presName="childText" presStyleLbl="bgAcc1" presStyleIdx="2" presStyleCnt="11">
        <dgm:presLayoutVars>
          <dgm:bulletEnabled val="1"/>
        </dgm:presLayoutVars>
      </dgm:prSet>
      <dgm:spPr/>
    </dgm:pt>
    <dgm:pt modelId="{F071D904-C877-4DFD-BCB8-4050A047F368}" type="pres">
      <dgm:prSet presAssocID="{0DA83E87-C7CD-42B2-B7F2-43E3ADB0F735}" presName="Name13" presStyleLbl="parChTrans1D2" presStyleIdx="3" presStyleCnt="11"/>
      <dgm:spPr/>
    </dgm:pt>
    <dgm:pt modelId="{159630AA-750F-4EDF-AA44-F12AECF3D771}" type="pres">
      <dgm:prSet presAssocID="{ACA8C9FF-B84C-419B-9807-EE0E6939227F}" presName="childText" presStyleLbl="bgAcc1" presStyleIdx="3" presStyleCnt="11">
        <dgm:presLayoutVars>
          <dgm:bulletEnabled val="1"/>
        </dgm:presLayoutVars>
      </dgm:prSet>
      <dgm:spPr/>
    </dgm:pt>
    <dgm:pt modelId="{5917FE14-3311-4F04-9CC1-02A9BECE03C2}" type="pres">
      <dgm:prSet presAssocID="{D020564D-BBDF-4499-AA49-88C1187C1185}" presName="Name13" presStyleLbl="parChTrans1D2" presStyleIdx="4" presStyleCnt="11"/>
      <dgm:spPr/>
    </dgm:pt>
    <dgm:pt modelId="{873F9DAC-9FE9-4A66-8DBC-14194DABA7EC}" type="pres">
      <dgm:prSet presAssocID="{043504F1-AD0C-46EF-A0F1-8C856981B607}" presName="childText" presStyleLbl="bgAcc1" presStyleIdx="4" presStyleCnt="11">
        <dgm:presLayoutVars>
          <dgm:bulletEnabled val="1"/>
        </dgm:presLayoutVars>
      </dgm:prSet>
      <dgm:spPr/>
    </dgm:pt>
    <dgm:pt modelId="{1C308D51-7B4F-4E27-928A-BE2C0E47CE5A}" type="pres">
      <dgm:prSet presAssocID="{6E62B6BB-92A5-4BD0-A93B-12F29B0642D5}" presName="Name13" presStyleLbl="parChTrans1D2" presStyleIdx="5" presStyleCnt="11"/>
      <dgm:spPr/>
    </dgm:pt>
    <dgm:pt modelId="{9FBD8D31-3B76-48A0-BF32-6135A261BDDB}" type="pres">
      <dgm:prSet presAssocID="{2BC2219F-7D94-40E0-8CF1-CBB2246511B8}" presName="childText" presStyleLbl="bgAcc1" presStyleIdx="5" presStyleCnt="11">
        <dgm:presLayoutVars>
          <dgm:bulletEnabled val="1"/>
        </dgm:presLayoutVars>
      </dgm:prSet>
      <dgm:spPr/>
    </dgm:pt>
    <dgm:pt modelId="{0DC7882B-ADEE-4F23-B408-72CDC70DAE49}" type="pres">
      <dgm:prSet presAssocID="{3B400CAA-F6E3-4791-A529-093BDC50948D}" presName="root" presStyleCnt="0"/>
      <dgm:spPr/>
    </dgm:pt>
    <dgm:pt modelId="{744FB30F-2E6C-4BB4-9379-26229E8E7989}" type="pres">
      <dgm:prSet presAssocID="{3B400CAA-F6E3-4791-A529-093BDC50948D}" presName="rootComposite" presStyleCnt="0"/>
      <dgm:spPr/>
    </dgm:pt>
    <dgm:pt modelId="{53F87875-D86B-45D6-AB09-6E6D22A62092}" type="pres">
      <dgm:prSet presAssocID="{3B400CAA-F6E3-4791-A529-093BDC50948D}" presName="rootText" presStyleLbl="node1" presStyleIdx="1" presStyleCnt="2"/>
      <dgm:spPr/>
    </dgm:pt>
    <dgm:pt modelId="{ADEE091F-0F0C-484C-B6C1-EB9B7342A36F}" type="pres">
      <dgm:prSet presAssocID="{3B400CAA-F6E3-4791-A529-093BDC50948D}" presName="rootConnector" presStyleLbl="node1" presStyleIdx="1" presStyleCnt="2"/>
      <dgm:spPr/>
    </dgm:pt>
    <dgm:pt modelId="{D0ECA9A6-1E92-4C2B-BCD3-96250702A431}" type="pres">
      <dgm:prSet presAssocID="{3B400CAA-F6E3-4791-A529-093BDC50948D}" presName="childShape" presStyleCnt="0"/>
      <dgm:spPr/>
    </dgm:pt>
    <dgm:pt modelId="{2EDD28E2-26C7-4F95-B53F-580260C83EC8}" type="pres">
      <dgm:prSet presAssocID="{54843381-FD36-4D71-9F43-CE9424920E4C}" presName="Name13" presStyleLbl="parChTrans1D2" presStyleIdx="6" presStyleCnt="11"/>
      <dgm:spPr/>
    </dgm:pt>
    <dgm:pt modelId="{8EE7BED8-7F0E-4580-92AD-0AAD39CD226D}" type="pres">
      <dgm:prSet presAssocID="{4CAE8845-BFE9-4541-824B-969C6402548C}" presName="childText" presStyleLbl="bgAcc1" presStyleIdx="6" presStyleCnt="11">
        <dgm:presLayoutVars>
          <dgm:bulletEnabled val="1"/>
        </dgm:presLayoutVars>
      </dgm:prSet>
      <dgm:spPr/>
    </dgm:pt>
    <dgm:pt modelId="{19D05CBA-ED04-4FA6-9789-90DF755102A3}" type="pres">
      <dgm:prSet presAssocID="{218BABC3-0CB0-4AA9-BB90-1DDBE8990A9B}" presName="Name13" presStyleLbl="parChTrans1D2" presStyleIdx="7" presStyleCnt="11"/>
      <dgm:spPr/>
    </dgm:pt>
    <dgm:pt modelId="{D907333E-22C2-47BD-869C-0BD423638E7A}" type="pres">
      <dgm:prSet presAssocID="{A57CD14B-8BA0-446A-B69B-5AC6ED3B3CA0}" presName="childText" presStyleLbl="bgAcc1" presStyleIdx="7" presStyleCnt="11">
        <dgm:presLayoutVars>
          <dgm:bulletEnabled val="1"/>
        </dgm:presLayoutVars>
      </dgm:prSet>
      <dgm:spPr/>
    </dgm:pt>
    <dgm:pt modelId="{4373DE62-7F80-476A-84FC-8A8EA60FFB24}" type="pres">
      <dgm:prSet presAssocID="{5A4E42E2-7362-4B92-851A-89FA2F435FE3}" presName="Name13" presStyleLbl="parChTrans1D2" presStyleIdx="8" presStyleCnt="11"/>
      <dgm:spPr/>
    </dgm:pt>
    <dgm:pt modelId="{4C541D2C-331E-4991-8015-9E4227DB36D9}" type="pres">
      <dgm:prSet presAssocID="{6A8BA911-805C-41CC-8D4D-07656D7F74AE}" presName="childText" presStyleLbl="bgAcc1" presStyleIdx="8" presStyleCnt="11">
        <dgm:presLayoutVars>
          <dgm:bulletEnabled val="1"/>
        </dgm:presLayoutVars>
      </dgm:prSet>
      <dgm:spPr/>
    </dgm:pt>
    <dgm:pt modelId="{16BD33D7-DD45-4FD5-869C-F881484FD8E8}" type="pres">
      <dgm:prSet presAssocID="{00290D12-EE86-4C12-8404-FB929190676A}" presName="Name13" presStyleLbl="parChTrans1D2" presStyleIdx="9" presStyleCnt="11"/>
      <dgm:spPr/>
    </dgm:pt>
    <dgm:pt modelId="{E66B1480-5D3C-4B11-B3DC-A844AA75D6E9}" type="pres">
      <dgm:prSet presAssocID="{5B53D2F1-A67C-4F24-9164-EC9D0EB89ECE}" presName="childText" presStyleLbl="bgAcc1" presStyleIdx="9" presStyleCnt="11">
        <dgm:presLayoutVars>
          <dgm:bulletEnabled val="1"/>
        </dgm:presLayoutVars>
      </dgm:prSet>
      <dgm:spPr/>
    </dgm:pt>
    <dgm:pt modelId="{33602421-1BCC-4B7F-9BC8-0078AF6FDD0B}" type="pres">
      <dgm:prSet presAssocID="{0353418F-3070-44AF-97BC-951BF37BEDF1}" presName="Name13" presStyleLbl="parChTrans1D2" presStyleIdx="10" presStyleCnt="11"/>
      <dgm:spPr/>
    </dgm:pt>
    <dgm:pt modelId="{72ADD6A3-FF5A-43E1-830F-F0601DC3416E}" type="pres">
      <dgm:prSet presAssocID="{4308E504-6746-4BEB-AEAB-E24C4CA05D5A}" presName="childText" presStyleLbl="bgAcc1" presStyleIdx="10" presStyleCnt="11">
        <dgm:presLayoutVars>
          <dgm:bulletEnabled val="1"/>
        </dgm:presLayoutVars>
      </dgm:prSet>
      <dgm:spPr/>
    </dgm:pt>
  </dgm:ptLst>
  <dgm:cxnLst>
    <dgm:cxn modelId="{B5F1DA00-9D32-406D-A85D-A26D103F3BF7}" srcId="{ED7621B3-AA4F-44D4-BE56-474CA8B6BFF7}" destId="{03137C42-2718-4692-A99A-576B05E97BC8}" srcOrd="0" destOrd="0" parTransId="{C9A3F64A-DC7E-4D66-83A2-9CF5F3694F85}" sibTransId="{849BFD0A-B139-4A4A-9676-26F0C73C94F6}"/>
    <dgm:cxn modelId="{592B8205-319A-40AA-8E43-BA4B9E6970BA}" srcId="{03137C42-2718-4692-A99A-576B05E97BC8}" destId="{837D2287-2BF8-42C4-9517-73582A123DDD}" srcOrd="2" destOrd="0" parTransId="{CCEB69AE-73EA-43D2-8B27-27DE75486641}" sibTransId="{277910F4-0A42-4CDF-8CC4-4EAE09D0B5FC}"/>
    <dgm:cxn modelId="{37AC4F09-FBD4-48DE-AB9E-992245125FED}" type="presOf" srcId="{4CAE8845-BFE9-4541-824B-969C6402548C}" destId="{8EE7BED8-7F0E-4580-92AD-0AAD39CD226D}" srcOrd="0" destOrd="0" presId="urn:microsoft.com/office/officeart/2005/8/layout/hierarchy3"/>
    <dgm:cxn modelId="{67ADE715-DABC-415B-BD1A-E52A361EEAE0}" type="presOf" srcId="{5B53D2F1-A67C-4F24-9164-EC9D0EB89ECE}" destId="{E66B1480-5D3C-4B11-B3DC-A844AA75D6E9}" srcOrd="0" destOrd="0" presId="urn:microsoft.com/office/officeart/2005/8/layout/hierarchy3"/>
    <dgm:cxn modelId="{5002E81A-3FED-47FE-8985-3CD72BE16A22}" srcId="{3B400CAA-F6E3-4791-A529-093BDC50948D}" destId="{5B53D2F1-A67C-4F24-9164-EC9D0EB89ECE}" srcOrd="3" destOrd="0" parTransId="{00290D12-EE86-4C12-8404-FB929190676A}" sibTransId="{DABE4945-842F-40F9-A9E7-64245FB08AF0}"/>
    <dgm:cxn modelId="{7319F123-060F-4DC2-B708-C0139FF713ED}" type="presOf" srcId="{00290D12-EE86-4C12-8404-FB929190676A}" destId="{16BD33D7-DD45-4FD5-869C-F881484FD8E8}" srcOrd="0" destOrd="0" presId="urn:microsoft.com/office/officeart/2005/8/layout/hierarchy3"/>
    <dgm:cxn modelId="{BF40D832-1597-4067-8610-F67AC3E570A3}" type="presOf" srcId="{3B400CAA-F6E3-4791-A529-093BDC50948D}" destId="{ADEE091F-0F0C-484C-B6C1-EB9B7342A36F}" srcOrd="1" destOrd="0" presId="urn:microsoft.com/office/officeart/2005/8/layout/hierarchy3"/>
    <dgm:cxn modelId="{D8060433-A7F7-4367-9877-7EF50294C47F}" srcId="{03137C42-2718-4692-A99A-576B05E97BC8}" destId="{2BC2219F-7D94-40E0-8CF1-CBB2246511B8}" srcOrd="5" destOrd="0" parTransId="{6E62B6BB-92A5-4BD0-A93B-12F29B0642D5}" sibTransId="{82685711-A2E3-4C69-AFBA-8870F9CB101D}"/>
    <dgm:cxn modelId="{8C146D60-A285-4076-959D-80ECE9874C9C}" srcId="{3B400CAA-F6E3-4791-A529-093BDC50948D}" destId="{A57CD14B-8BA0-446A-B69B-5AC6ED3B3CA0}" srcOrd="1" destOrd="0" parTransId="{218BABC3-0CB0-4AA9-BB90-1DDBE8990A9B}" sibTransId="{4C94F143-089D-4473-B5A1-59264316248E}"/>
    <dgm:cxn modelId="{87F0DB41-65F3-486A-A5AA-86943762850A}" type="presOf" srcId="{A57CD14B-8BA0-446A-B69B-5AC6ED3B3CA0}" destId="{D907333E-22C2-47BD-869C-0BD423638E7A}" srcOrd="0" destOrd="0" presId="urn:microsoft.com/office/officeart/2005/8/layout/hierarchy3"/>
    <dgm:cxn modelId="{0AE88B42-5F92-4C1A-A7F0-EBFB534792C6}" type="presOf" srcId="{3B400CAA-F6E3-4791-A529-093BDC50948D}" destId="{53F87875-D86B-45D6-AB09-6E6D22A62092}" srcOrd="0" destOrd="0" presId="urn:microsoft.com/office/officeart/2005/8/layout/hierarchy3"/>
    <dgm:cxn modelId="{39288B63-16B1-48D3-AC99-92C7CC207DD2}" srcId="{03137C42-2718-4692-A99A-576B05E97BC8}" destId="{043504F1-AD0C-46EF-A0F1-8C856981B607}" srcOrd="4" destOrd="0" parTransId="{D020564D-BBDF-4499-AA49-88C1187C1185}" sibTransId="{E235DE1B-B0C5-4A4B-82C1-4EA7DB95D361}"/>
    <dgm:cxn modelId="{9B49C447-8173-450A-9869-06748260E463}" srcId="{03137C42-2718-4692-A99A-576B05E97BC8}" destId="{5513EB43-49F2-4054-9CE6-704E2CFD13A9}" srcOrd="1" destOrd="0" parTransId="{B7EB72F2-6F6E-4CB5-A970-420A0B0A8929}" sibTransId="{62A7B882-75F2-4FB2-A6C0-629F6716FCE7}"/>
    <dgm:cxn modelId="{B2468D6C-1118-494E-B523-81EB53AF4612}" type="presOf" srcId="{B7EB72F2-6F6E-4CB5-A970-420A0B0A8929}" destId="{CD92FA94-6F15-40D3-BBF3-0C07F7FB80C8}" srcOrd="0" destOrd="0" presId="urn:microsoft.com/office/officeart/2005/8/layout/hierarchy3"/>
    <dgm:cxn modelId="{60F0954C-DCC1-4F63-BF34-99A56867C655}" type="presOf" srcId="{E5F9906E-7F91-4599-8EB2-C212CC9711BA}" destId="{357256B1-18C7-4BC9-940A-6A45B23C73EE}" srcOrd="0" destOrd="0" presId="urn:microsoft.com/office/officeart/2005/8/layout/hierarchy3"/>
    <dgm:cxn modelId="{9203825A-BBBD-40AC-9612-BC0C161E4BB6}" type="presOf" srcId="{54843381-FD36-4D71-9F43-CE9424920E4C}" destId="{2EDD28E2-26C7-4F95-B53F-580260C83EC8}" srcOrd="0" destOrd="0" presId="urn:microsoft.com/office/officeart/2005/8/layout/hierarchy3"/>
    <dgm:cxn modelId="{31D6C17A-66C3-4161-965B-7D76FA7F4531}" type="presOf" srcId="{5513EB43-49F2-4054-9CE6-704E2CFD13A9}" destId="{6CE81019-32C5-4D0A-AAE9-1752DF85A640}" srcOrd="0" destOrd="0" presId="urn:microsoft.com/office/officeart/2005/8/layout/hierarchy3"/>
    <dgm:cxn modelId="{CD7FA28C-70C3-48A4-ACC3-9632711BB486}" type="presOf" srcId="{4308E504-6746-4BEB-AEAB-E24C4CA05D5A}" destId="{72ADD6A3-FF5A-43E1-830F-F0601DC3416E}" srcOrd="0" destOrd="0" presId="urn:microsoft.com/office/officeart/2005/8/layout/hierarchy3"/>
    <dgm:cxn modelId="{E991E98F-E610-4FD7-91BF-F248D359D6A4}" type="presOf" srcId="{03137C42-2718-4692-A99A-576B05E97BC8}" destId="{CF153A3B-2C24-4910-AC22-6DBB96EAC909}" srcOrd="0" destOrd="0" presId="urn:microsoft.com/office/officeart/2005/8/layout/hierarchy3"/>
    <dgm:cxn modelId="{D9BEA490-F66F-4808-985D-24E0157CB008}" type="presOf" srcId="{0DA83E87-C7CD-42B2-B7F2-43E3ADB0F735}" destId="{F071D904-C877-4DFD-BCB8-4050A047F368}" srcOrd="0" destOrd="0" presId="urn:microsoft.com/office/officeart/2005/8/layout/hierarchy3"/>
    <dgm:cxn modelId="{AF88CA9A-61B7-4D3E-AD3C-443E461A3483}" type="presOf" srcId="{D020564D-BBDF-4499-AA49-88C1187C1185}" destId="{5917FE14-3311-4F04-9CC1-02A9BECE03C2}" srcOrd="0" destOrd="0" presId="urn:microsoft.com/office/officeart/2005/8/layout/hierarchy3"/>
    <dgm:cxn modelId="{EB61849B-0FA4-4ED2-B56A-16E08B69F07B}" type="presOf" srcId="{043504F1-AD0C-46EF-A0F1-8C856981B607}" destId="{873F9DAC-9FE9-4A66-8DBC-14194DABA7EC}" srcOrd="0" destOrd="0" presId="urn:microsoft.com/office/officeart/2005/8/layout/hierarchy3"/>
    <dgm:cxn modelId="{8E0D839E-02C1-4B48-BB7F-8074129CB6D8}" type="presOf" srcId="{5A4E42E2-7362-4B92-851A-89FA2F435FE3}" destId="{4373DE62-7F80-476A-84FC-8A8EA60FFB24}" srcOrd="0" destOrd="0" presId="urn:microsoft.com/office/officeart/2005/8/layout/hierarchy3"/>
    <dgm:cxn modelId="{50C2399F-B4A8-45C4-A0C0-E719FF178D21}" srcId="{ED7621B3-AA4F-44D4-BE56-474CA8B6BFF7}" destId="{3B400CAA-F6E3-4791-A529-093BDC50948D}" srcOrd="1" destOrd="0" parTransId="{DFC7B1F2-465F-44E2-B650-88E526942E83}" sibTransId="{068167A2-762E-4B45-93E6-F7DBB58D4F5A}"/>
    <dgm:cxn modelId="{E171C2A0-F8CB-4AAE-B0F5-715E3D02A715}" type="presOf" srcId="{837D2287-2BF8-42C4-9517-73582A123DDD}" destId="{FEB79CB4-FD46-4067-B755-175492FA3B37}" srcOrd="0" destOrd="0" presId="urn:microsoft.com/office/officeart/2005/8/layout/hierarchy3"/>
    <dgm:cxn modelId="{BBF6DEA0-A68C-43EB-9926-70D1BC06F6A3}" srcId="{3B400CAA-F6E3-4791-A529-093BDC50948D}" destId="{6A8BA911-805C-41CC-8D4D-07656D7F74AE}" srcOrd="2" destOrd="0" parTransId="{5A4E42E2-7362-4B92-851A-89FA2F435FE3}" sibTransId="{E3E9E83C-CE8D-492C-ABA1-7FD24E898889}"/>
    <dgm:cxn modelId="{779586A2-3123-4B38-A40E-54E618883966}" type="presOf" srcId="{ACA8C9FF-B84C-419B-9807-EE0E6939227F}" destId="{159630AA-750F-4EDF-AA44-F12AECF3D771}" srcOrd="0" destOrd="0" presId="urn:microsoft.com/office/officeart/2005/8/layout/hierarchy3"/>
    <dgm:cxn modelId="{51BE1BA8-9C98-473D-A3DB-F43724786772}" srcId="{03137C42-2718-4692-A99A-576B05E97BC8}" destId="{ACA8C9FF-B84C-419B-9807-EE0E6939227F}" srcOrd="3" destOrd="0" parTransId="{0DA83E87-C7CD-42B2-B7F2-43E3ADB0F735}" sibTransId="{296264BF-F60F-4B70-B218-8588F3EDDDA9}"/>
    <dgm:cxn modelId="{F9B8A2AA-5B1D-4EF7-BC18-5886FFB588EA}" srcId="{3B400CAA-F6E3-4791-A529-093BDC50948D}" destId="{4CAE8845-BFE9-4541-824B-969C6402548C}" srcOrd="0" destOrd="0" parTransId="{54843381-FD36-4D71-9F43-CE9424920E4C}" sibTransId="{A2848E9B-75E2-4DD1-B87D-7FBB065F6DE7}"/>
    <dgm:cxn modelId="{B19EB9AF-E201-4082-A5CD-8A8C15941316}" srcId="{03137C42-2718-4692-A99A-576B05E97BC8}" destId="{E5F9906E-7F91-4599-8EB2-C212CC9711BA}" srcOrd="0" destOrd="0" parTransId="{DC5A488F-E5BE-414A-95BE-1DD0C489229D}" sibTransId="{4180143F-0C28-4D45-8768-057A382D6D73}"/>
    <dgm:cxn modelId="{222595BE-8328-45CF-ACC1-8EFEB643DBC1}" type="presOf" srcId="{DC5A488F-E5BE-414A-95BE-1DD0C489229D}" destId="{CEA659E9-1B45-4C61-8BF5-E08290E2EEE4}" srcOrd="0" destOrd="0" presId="urn:microsoft.com/office/officeart/2005/8/layout/hierarchy3"/>
    <dgm:cxn modelId="{A31F32BF-BE49-4B81-917A-076ED8FACDB6}" type="presOf" srcId="{6A8BA911-805C-41CC-8D4D-07656D7F74AE}" destId="{4C541D2C-331E-4991-8015-9E4227DB36D9}" srcOrd="0" destOrd="0" presId="urn:microsoft.com/office/officeart/2005/8/layout/hierarchy3"/>
    <dgm:cxn modelId="{8B8332C1-9DF2-4019-9651-F082D96CCB1A}" type="presOf" srcId="{2BC2219F-7D94-40E0-8CF1-CBB2246511B8}" destId="{9FBD8D31-3B76-48A0-BF32-6135A261BDDB}" srcOrd="0" destOrd="0" presId="urn:microsoft.com/office/officeart/2005/8/layout/hierarchy3"/>
    <dgm:cxn modelId="{954AC2CD-D3DE-441B-879B-73D7969B2BAB}" type="presOf" srcId="{0353418F-3070-44AF-97BC-951BF37BEDF1}" destId="{33602421-1BCC-4B7F-9BC8-0078AF6FDD0B}" srcOrd="0" destOrd="0" presId="urn:microsoft.com/office/officeart/2005/8/layout/hierarchy3"/>
    <dgm:cxn modelId="{2E6F2AE2-F63C-4A8D-8170-B7243F300A72}" srcId="{3B400CAA-F6E3-4791-A529-093BDC50948D}" destId="{4308E504-6746-4BEB-AEAB-E24C4CA05D5A}" srcOrd="4" destOrd="0" parTransId="{0353418F-3070-44AF-97BC-951BF37BEDF1}" sibTransId="{6F29731D-AB04-40F5-B21F-618371F38A2D}"/>
    <dgm:cxn modelId="{BE8A73E7-2F5C-4663-AA97-9E612C35A129}" type="presOf" srcId="{ED7621B3-AA4F-44D4-BE56-474CA8B6BFF7}" destId="{F74CA9C4-C181-4026-97E6-D3995DEFC521}" srcOrd="0" destOrd="0" presId="urn:microsoft.com/office/officeart/2005/8/layout/hierarchy3"/>
    <dgm:cxn modelId="{8F9F7DEB-3A11-4933-B026-2D8E4DCE22A4}" type="presOf" srcId="{218BABC3-0CB0-4AA9-BB90-1DDBE8990A9B}" destId="{19D05CBA-ED04-4FA6-9789-90DF755102A3}" srcOrd="0" destOrd="0" presId="urn:microsoft.com/office/officeart/2005/8/layout/hierarchy3"/>
    <dgm:cxn modelId="{C76512F1-B5A1-4E46-91F4-460667B8F25C}" type="presOf" srcId="{03137C42-2718-4692-A99A-576B05E97BC8}" destId="{57620382-641B-40B2-A71A-9C763733F66D}" srcOrd="1" destOrd="0" presId="urn:microsoft.com/office/officeart/2005/8/layout/hierarchy3"/>
    <dgm:cxn modelId="{1C4950F4-63AD-4FBA-B1A0-6BD8CB5F64E2}" type="presOf" srcId="{6E62B6BB-92A5-4BD0-A93B-12F29B0642D5}" destId="{1C308D51-7B4F-4E27-928A-BE2C0E47CE5A}" srcOrd="0" destOrd="0" presId="urn:microsoft.com/office/officeart/2005/8/layout/hierarchy3"/>
    <dgm:cxn modelId="{BA8EEBFF-7A7B-4230-B02D-5023B9BA9DA3}" type="presOf" srcId="{CCEB69AE-73EA-43D2-8B27-27DE75486641}" destId="{6BDBBE38-46BF-400B-AFE2-18922B9E9BFC}" srcOrd="0" destOrd="0" presId="urn:microsoft.com/office/officeart/2005/8/layout/hierarchy3"/>
    <dgm:cxn modelId="{E3F80D66-9B03-4E0A-B6E8-75E19BF42A69}" type="presParOf" srcId="{F74CA9C4-C181-4026-97E6-D3995DEFC521}" destId="{03F7B817-8764-44B0-8B37-638FBB5B378C}" srcOrd="0" destOrd="0" presId="urn:microsoft.com/office/officeart/2005/8/layout/hierarchy3"/>
    <dgm:cxn modelId="{532A2440-B300-4E85-8E9A-D8C1096EEB1E}" type="presParOf" srcId="{03F7B817-8764-44B0-8B37-638FBB5B378C}" destId="{05B1CED7-2E4B-41E6-8C8C-EFC1164E8E42}" srcOrd="0" destOrd="0" presId="urn:microsoft.com/office/officeart/2005/8/layout/hierarchy3"/>
    <dgm:cxn modelId="{55B5215F-68BC-468B-8F9A-42EF228A15DC}" type="presParOf" srcId="{05B1CED7-2E4B-41E6-8C8C-EFC1164E8E42}" destId="{CF153A3B-2C24-4910-AC22-6DBB96EAC909}" srcOrd="0" destOrd="0" presId="urn:microsoft.com/office/officeart/2005/8/layout/hierarchy3"/>
    <dgm:cxn modelId="{B2AE4C52-F4FF-436B-B1E5-A1A49E2F5AB0}" type="presParOf" srcId="{05B1CED7-2E4B-41E6-8C8C-EFC1164E8E42}" destId="{57620382-641B-40B2-A71A-9C763733F66D}" srcOrd="1" destOrd="0" presId="urn:microsoft.com/office/officeart/2005/8/layout/hierarchy3"/>
    <dgm:cxn modelId="{47C625FE-1CFD-45D9-95BC-412CE6E30862}" type="presParOf" srcId="{03F7B817-8764-44B0-8B37-638FBB5B378C}" destId="{F8FF6D65-47F1-4E17-A28C-00B583F1E821}" srcOrd="1" destOrd="0" presId="urn:microsoft.com/office/officeart/2005/8/layout/hierarchy3"/>
    <dgm:cxn modelId="{55FB0F25-B928-4EB9-B06A-9E4405131627}" type="presParOf" srcId="{F8FF6D65-47F1-4E17-A28C-00B583F1E821}" destId="{CEA659E9-1B45-4C61-8BF5-E08290E2EEE4}" srcOrd="0" destOrd="0" presId="urn:microsoft.com/office/officeart/2005/8/layout/hierarchy3"/>
    <dgm:cxn modelId="{CBD9EFE4-B2BE-419A-BB78-5F94DBED1BF8}" type="presParOf" srcId="{F8FF6D65-47F1-4E17-A28C-00B583F1E821}" destId="{357256B1-18C7-4BC9-940A-6A45B23C73EE}" srcOrd="1" destOrd="0" presId="urn:microsoft.com/office/officeart/2005/8/layout/hierarchy3"/>
    <dgm:cxn modelId="{00520914-C891-4DE8-BD70-1E85D58CF03B}" type="presParOf" srcId="{F8FF6D65-47F1-4E17-A28C-00B583F1E821}" destId="{CD92FA94-6F15-40D3-BBF3-0C07F7FB80C8}" srcOrd="2" destOrd="0" presId="urn:microsoft.com/office/officeart/2005/8/layout/hierarchy3"/>
    <dgm:cxn modelId="{ADB8755E-3ED3-4B02-BB17-3D990D925857}" type="presParOf" srcId="{F8FF6D65-47F1-4E17-A28C-00B583F1E821}" destId="{6CE81019-32C5-4D0A-AAE9-1752DF85A640}" srcOrd="3" destOrd="0" presId="urn:microsoft.com/office/officeart/2005/8/layout/hierarchy3"/>
    <dgm:cxn modelId="{CBA5AA82-FFB2-4174-B436-16C4834AD323}" type="presParOf" srcId="{F8FF6D65-47F1-4E17-A28C-00B583F1E821}" destId="{6BDBBE38-46BF-400B-AFE2-18922B9E9BFC}" srcOrd="4" destOrd="0" presId="urn:microsoft.com/office/officeart/2005/8/layout/hierarchy3"/>
    <dgm:cxn modelId="{096010BB-0AD1-47F4-951D-4E70924B6CA5}" type="presParOf" srcId="{F8FF6D65-47F1-4E17-A28C-00B583F1E821}" destId="{FEB79CB4-FD46-4067-B755-175492FA3B37}" srcOrd="5" destOrd="0" presId="urn:microsoft.com/office/officeart/2005/8/layout/hierarchy3"/>
    <dgm:cxn modelId="{BAB890A7-371D-4FF4-840E-571DC63AA515}" type="presParOf" srcId="{F8FF6D65-47F1-4E17-A28C-00B583F1E821}" destId="{F071D904-C877-4DFD-BCB8-4050A047F368}" srcOrd="6" destOrd="0" presId="urn:microsoft.com/office/officeart/2005/8/layout/hierarchy3"/>
    <dgm:cxn modelId="{CB9FC514-A768-445C-A441-E9061257E4AB}" type="presParOf" srcId="{F8FF6D65-47F1-4E17-A28C-00B583F1E821}" destId="{159630AA-750F-4EDF-AA44-F12AECF3D771}" srcOrd="7" destOrd="0" presId="urn:microsoft.com/office/officeart/2005/8/layout/hierarchy3"/>
    <dgm:cxn modelId="{FB2665AC-4972-45C6-8C1C-8AF7BE85ABBA}" type="presParOf" srcId="{F8FF6D65-47F1-4E17-A28C-00B583F1E821}" destId="{5917FE14-3311-4F04-9CC1-02A9BECE03C2}" srcOrd="8" destOrd="0" presId="urn:microsoft.com/office/officeart/2005/8/layout/hierarchy3"/>
    <dgm:cxn modelId="{86DC3344-CFA2-43EA-9C20-325AD6FEBA72}" type="presParOf" srcId="{F8FF6D65-47F1-4E17-A28C-00B583F1E821}" destId="{873F9DAC-9FE9-4A66-8DBC-14194DABA7EC}" srcOrd="9" destOrd="0" presId="urn:microsoft.com/office/officeart/2005/8/layout/hierarchy3"/>
    <dgm:cxn modelId="{72B229DE-0562-452D-BDBA-9F597171DF88}" type="presParOf" srcId="{F8FF6D65-47F1-4E17-A28C-00B583F1E821}" destId="{1C308D51-7B4F-4E27-928A-BE2C0E47CE5A}" srcOrd="10" destOrd="0" presId="urn:microsoft.com/office/officeart/2005/8/layout/hierarchy3"/>
    <dgm:cxn modelId="{0BC348F9-7183-4CB1-BB57-03917E51D090}" type="presParOf" srcId="{F8FF6D65-47F1-4E17-A28C-00B583F1E821}" destId="{9FBD8D31-3B76-48A0-BF32-6135A261BDDB}" srcOrd="11" destOrd="0" presId="urn:microsoft.com/office/officeart/2005/8/layout/hierarchy3"/>
    <dgm:cxn modelId="{4286396B-E76A-4E22-BF63-94ECC4AB37CE}" type="presParOf" srcId="{F74CA9C4-C181-4026-97E6-D3995DEFC521}" destId="{0DC7882B-ADEE-4F23-B408-72CDC70DAE49}" srcOrd="1" destOrd="0" presId="urn:microsoft.com/office/officeart/2005/8/layout/hierarchy3"/>
    <dgm:cxn modelId="{636368CF-622A-4D1C-9DED-88E6B3E271B5}" type="presParOf" srcId="{0DC7882B-ADEE-4F23-B408-72CDC70DAE49}" destId="{744FB30F-2E6C-4BB4-9379-26229E8E7989}" srcOrd="0" destOrd="0" presId="urn:microsoft.com/office/officeart/2005/8/layout/hierarchy3"/>
    <dgm:cxn modelId="{49F00959-8CCD-4F35-B29B-4817945605F8}" type="presParOf" srcId="{744FB30F-2E6C-4BB4-9379-26229E8E7989}" destId="{53F87875-D86B-45D6-AB09-6E6D22A62092}" srcOrd="0" destOrd="0" presId="urn:microsoft.com/office/officeart/2005/8/layout/hierarchy3"/>
    <dgm:cxn modelId="{353C4D30-5700-43A9-A13E-F3C3C5DB8171}" type="presParOf" srcId="{744FB30F-2E6C-4BB4-9379-26229E8E7989}" destId="{ADEE091F-0F0C-484C-B6C1-EB9B7342A36F}" srcOrd="1" destOrd="0" presId="urn:microsoft.com/office/officeart/2005/8/layout/hierarchy3"/>
    <dgm:cxn modelId="{DAAC5AB7-0781-4AD7-AC90-A4B35E5E6D01}" type="presParOf" srcId="{0DC7882B-ADEE-4F23-B408-72CDC70DAE49}" destId="{D0ECA9A6-1E92-4C2B-BCD3-96250702A431}" srcOrd="1" destOrd="0" presId="urn:microsoft.com/office/officeart/2005/8/layout/hierarchy3"/>
    <dgm:cxn modelId="{9B253172-3747-4461-BF48-7BE848A2CFAF}" type="presParOf" srcId="{D0ECA9A6-1E92-4C2B-BCD3-96250702A431}" destId="{2EDD28E2-26C7-4F95-B53F-580260C83EC8}" srcOrd="0" destOrd="0" presId="urn:microsoft.com/office/officeart/2005/8/layout/hierarchy3"/>
    <dgm:cxn modelId="{FF6F9729-4516-4956-8210-12DA6C9258C8}" type="presParOf" srcId="{D0ECA9A6-1E92-4C2B-BCD3-96250702A431}" destId="{8EE7BED8-7F0E-4580-92AD-0AAD39CD226D}" srcOrd="1" destOrd="0" presId="urn:microsoft.com/office/officeart/2005/8/layout/hierarchy3"/>
    <dgm:cxn modelId="{E4AD7939-8B68-4E4E-947C-63EB2184C830}" type="presParOf" srcId="{D0ECA9A6-1E92-4C2B-BCD3-96250702A431}" destId="{19D05CBA-ED04-4FA6-9789-90DF755102A3}" srcOrd="2" destOrd="0" presId="urn:microsoft.com/office/officeart/2005/8/layout/hierarchy3"/>
    <dgm:cxn modelId="{A9A0650A-2238-447E-8438-C92ACC86615C}" type="presParOf" srcId="{D0ECA9A6-1E92-4C2B-BCD3-96250702A431}" destId="{D907333E-22C2-47BD-869C-0BD423638E7A}" srcOrd="3" destOrd="0" presId="urn:microsoft.com/office/officeart/2005/8/layout/hierarchy3"/>
    <dgm:cxn modelId="{534E7887-E882-466E-8FF7-0F960FC5D2B5}" type="presParOf" srcId="{D0ECA9A6-1E92-4C2B-BCD3-96250702A431}" destId="{4373DE62-7F80-476A-84FC-8A8EA60FFB24}" srcOrd="4" destOrd="0" presId="urn:microsoft.com/office/officeart/2005/8/layout/hierarchy3"/>
    <dgm:cxn modelId="{838FAA84-B929-4371-88AE-4B19B3C5A577}" type="presParOf" srcId="{D0ECA9A6-1E92-4C2B-BCD3-96250702A431}" destId="{4C541D2C-331E-4991-8015-9E4227DB36D9}" srcOrd="5" destOrd="0" presId="urn:microsoft.com/office/officeart/2005/8/layout/hierarchy3"/>
    <dgm:cxn modelId="{DC25D991-32EE-4EBD-8649-41946D77A5D8}" type="presParOf" srcId="{D0ECA9A6-1E92-4C2B-BCD3-96250702A431}" destId="{16BD33D7-DD45-4FD5-869C-F881484FD8E8}" srcOrd="6" destOrd="0" presId="urn:microsoft.com/office/officeart/2005/8/layout/hierarchy3"/>
    <dgm:cxn modelId="{0F8B9B1D-A90E-4EBE-8C96-1BB339B2C72D}" type="presParOf" srcId="{D0ECA9A6-1E92-4C2B-BCD3-96250702A431}" destId="{E66B1480-5D3C-4B11-B3DC-A844AA75D6E9}" srcOrd="7" destOrd="0" presId="urn:microsoft.com/office/officeart/2005/8/layout/hierarchy3"/>
    <dgm:cxn modelId="{3ACC623F-E5E4-4A3B-BF3A-AE4051CD0DE1}" type="presParOf" srcId="{D0ECA9A6-1E92-4C2B-BCD3-96250702A431}" destId="{33602421-1BCC-4B7F-9BC8-0078AF6FDD0B}" srcOrd="8" destOrd="0" presId="urn:microsoft.com/office/officeart/2005/8/layout/hierarchy3"/>
    <dgm:cxn modelId="{C6896DD7-2A20-407E-8D43-F85122DC7DA3}" type="presParOf" srcId="{D0ECA9A6-1E92-4C2B-BCD3-96250702A431}" destId="{72ADD6A3-FF5A-43E1-830F-F0601DC3416E}" srcOrd="9" destOrd="0" presId="urn:microsoft.com/office/officeart/2005/8/layout/hierarchy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B67FB8-93FA-4511-89A0-7C221EC94980}">
      <dsp:nvSpPr>
        <dsp:cNvPr id="0" name=""/>
        <dsp:cNvSpPr/>
      </dsp:nvSpPr>
      <dsp:spPr>
        <a:xfrm>
          <a:off x="0" y="142489"/>
          <a:ext cx="977205" cy="390882"/>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ACAS Early Conciliation</a:t>
          </a:r>
        </a:p>
      </dsp:txBody>
      <dsp:txXfrm>
        <a:off x="195441" y="142489"/>
        <a:ext cx="586323" cy="390882"/>
      </dsp:txXfrm>
    </dsp:sp>
    <dsp:sp modelId="{383BCAE1-CC04-4FF1-AB02-611D825CB9BC}">
      <dsp:nvSpPr>
        <dsp:cNvPr id="0" name=""/>
        <dsp:cNvSpPr/>
      </dsp:nvSpPr>
      <dsp:spPr>
        <a:xfrm>
          <a:off x="879484" y="142489"/>
          <a:ext cx="977205" cy="390882"/>
        </a:xfrm>
        <a:prstGeom prst="chevron">
          <a:avLst/>
        </a:prstGeom>
        <a:solidFill>
          <a:schemeClr val="accent2">
            <a:hueOff val="-242561"/>
            <a:satOff val="-13988"/>
            <a:lumOff val="14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ET1</a:t>
          </a:r>
        </a:p>
      </dsp:txBody>
      <dsp:txXfrm>
        <a:off x="1074925" y="142489"/>
        <a:ext cx="586323" cy="390882"/>
      </dsp:txXfrm>
    </dsp:sp>
    <dsp:sp modelId="{37DC8B4A-C00B-4D58-98BA-F8E8B9238A48}">
      <dsp:nvSpPr>
        <dsp:cNvPr id="0" name=""/>
        <dsp:cNvSpPr/>
      </dsp:nvSpPr>
      <dsp:spPr>
        <a:xfrm>
          <a:off x="1758969" y="142489"/>
          <a:ext cx="977205" cy="390882"/>
        </a:xfrm>
        <a:prstGeom prst="chevron">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ET3</a:t>
          </a:r>
        </a:p>
      </dsp:txBody>
      <dsp:txXfrm>
        <a:off x="1954410" y="142489"/>
        <a:ext cx="586323" cy="390882"/>
      </dsp:txXfrm>
    </dsp:sp>
    <dsp:sp modelId="{2180CA27-6DCC-442B-AC3D-EFD389837EF3}">
      <dsp:nvSpPr>
        <dsp:cNvPr id="0" name=""/>
        <dsp:cNvSpPr/>
      </dsp:nvSpPr>
      <dsp:spPr>
        <a:xfrm>
          <a:off x="2630504" y="142489"/>
          <a:ext cx="977205" cy="390882"/>
        </a:xfrm>
        <a:prstGeom prst="chevron">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Preliminary Hearing</a:t>
          </a:r>
        </a:p>
      </dsp:txBody>
      <dsp:txXfrm>
        <a:off x="2825945" y="142489"/>
        <a:ext cx="586323" cy="390882"/>
      </dsp:txXfrm>
    </dsp:sp>
    <dsp:sp modelId="{6554291C-33DB-4F7F-A723-2C327D1BBFFD}">
      <dsp:nvSpPr>
        <dsp:cNvPr id="0" name=""/>
        <dsp:cNvSpPr/>
      </dsp:nvSpPr>
      <dsp:spPr>
        <a:xfrm>
          <a:off x="3517939" y="142489"/>
          <a:ext cx="977205" cy="390882"/>
        </a:xfrm>
        <a:prstGeom prst="chevron">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The Hearing</a:t>
          </a:r>
        </a:p>
      </dsp:txBody>
      <dsp:txXfrm>
        <a:off x="3713380" y="142489"/>
        <a:ext cx="586323" cy="390882"/>
      </dsp:txXfrm>
    </dsp:sp>
    <dsp:sp modelId="{E9BF609C-12C1-4A73-8985-59A650A2861A}">
      <dsp:nvSpPr>
        <dsp:cNvPr id="0" name=""/>
        <dsp:cNvSpPr/>
      </dsp:nvSpPr>
      <dsp:spPr>
        <a:xfrm>
          <a:off x="4397424" y="142489"/>
          <a:ext cx="977205" cy="390882"/>
        </a:xfrm>
        <a:prstGeom prst="chevron">
          <a:avLst/>
        </a:prstGeom>
        <a:solidFill>
          <a:schemeClr val="accent2">
            <a:hueOff val="-1212803"/>
            <a:satOff val="-69940"/>
            <a:lumOff val="71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The Judgement</a:t>
          </a:r>
        </a:p>
      </dsp:txBody>
      <dsp:txXfrm>
        <a:off x="4592865" y="142489"/>
        <a:ext cx="586323" cy="390882"/>
      </dsp:txXfrm>
    </dsp:sp>
    <dsp:sp modelId="{DAD0ECDA-FA53-4769-B98B-BA82ED6CED6D}">
      <dsp:nvSpPr>
        <dsp:cNvPr id="0" name=""/>
        <dsp:cNvSpPr/>
      </dsp:nvSpPr>
      <dsp:spPr>
        <a:xfrm>
          <a:off x="5276909" y="142489"/>
          <a:ext cx="977205" cy="390882"/>
        </a:xfrm>
        <a:prstGeom prst="chevr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Review Decision</a:t>
          </a:r>
        </a:p>
      </dsp:txBody>
      <dsp:txXfrm>
        <a:off x="5472350" y="142489"/>
        <a:ext cx="586323" cy="3908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153A3B-2C24-4910-AC22-6DBB96EAC909}">
      <dsp:nvSpPr>
        <dsp:cNvPr id="0" name=""/>
        <dsp:cNvSpPr/>
      </dsp:nvSpPr>
      <dsp:spPr>
        <a:xfrm>
          <a:off x="1896330" y="558"/>
          <a:ext cx="752772" cy="376386"/>
        </a:xfrm>
        <a:prstGeom prst="roundRect">
          <a:avLst>
            <a:gd name="adj" fmla="val 10000"/>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t>Disciplinary</a:t>
          </a:r>
        </a:p>
      </dsp:txBody>
      <dsp:txXfrm>
        <a:off x="1907354" y="11582"/>
        <a:ext cx="730724" cy="354338"/>
      </dsp:txXfrm>
    </dsp:sp>
    <dsp:sp modelId="{CEA659E9-1B45-4C61-8BF5-E08290E2EEE4}">
      <dsp:nvSpPr>
        <dsp:cNvPr id="0" name=""/>
        <dsp:cNvSpPr/>
      </dsp:nvSpPr>
      <dsp:spPr>
        <a:xfrm>
          <a:off x="1925888" y="376944"/>
          <a:ext cx="91440" cy="282289"/>
        </a:xfrm>
        <a:custGeom>
          <a:avLst/>
          <a:gdLst/>
          <a:ahLst/>
          <a:cxnLst/>
          <a:rect l="0" t="0" r="0" b="0"/>
          <a:pathLst>
            <a:path>
              <a:moveTo>
                <a:pt x="45720" y="0"/>
              </a:moveTo>
              <a:lnTo>
                <a:pt x="45720" y="282289"/>
              </a:lnTo>
              <a:lnTo>
                <a:pt x="120997" y="282289"/>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7256B1-18C7-4BC9-940A-6A45B23C73EE}">
      <dsp:nvSpPr>
        <dsp:cNvPr id="0" name=""/>
        <dsp:cNvSpPr/>
      </dsp:nvSpPr>
      <dsp:spPr>
        <a:xfrm>
          <a:off x="2046885" y="471041"/>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Establish Facts</a:t>
          </a:r>
        </a:p>
      </dsp:txBody>
      <dsp:txXfrm>
        <a:off x="2057909" y="482065"/>
        <a:ext cx="580170" cy="354338"/>
      </dsp:txXfrm>
    </dsp:sp>
    <dsp:sp modelId="{CD92FA94-6F15-40D3-BBF3-0C07F7FB80C8}">
      <dsp:nvSpPr>
        <dsp:cNvPr id="0" name=""/>
        <dsp:cNvSpPr/>
      </dsp:nvSpPr>
      <dsp:spPr>
        <a:xfrm>
          <a:off x="1925888" y="376944"/>
          <a:ext cx="91440" cy="752772"/>
        </a:xfrm>
        <a:custGeom>
          <a:avLst/>
          <a:gdLst/>
          <a:ahLst/>
          <a:cxnLst/>
          <a:rect l="0" t="0" r="0" b="0"/>
          <a:pathLst>
            <a:path>
              <a:moveTo>
                <a:pt x="45720" y="0"/>
              </a:moveTo>
              <a:lnTo>
                <a:pt x="45720" y="752772"/>
              </a:lnTo>
              <a:lnTo>
                <a:pt x="120997" y="752772"/>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E81019-32C5-4D0A-AAE9-1752DF85A640}">
      <dsp:nvSpPr>
        <dsp:cNvPr id="0" name=""/>
        <dsp:cNvSpPr/>
      </dsp:nvSpPr>
      <dsp:spPr>
        <a:xfrm>
          <a:off x="2046885" y="941523"/>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48142"/>
              <a:satOff val="1017"/>
              <a:lumOff val="27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Inform employee of the problem</a:t>
          </a:r>
        </a:p>
      </dsp:txBody>
      <dsp:txXfrm>
        <a:off x="2057909" y="952547"/>
        <a:ext cx="580170" cy="354338"/>
      </dsp:txXfrm>
    </dsp:sp>
    <dsp:sp modelId="{6BDBBE38-46BF-400B-AFE2-18922B9E9BFC}">
      <dsp:nvSpPr>
        <dsp:cNvPr id="0" name=""/>
        <dsp:cNvSpPr/>
      </dsp:nvSpPr>
      <dsp:spPr>
        <a:xfrm>
          <a:off x="1925888" y="376944"/>
          <a:ext cx="91440" cy="1223255"/>
        </a:xfrm>
        <a:custGeom>
          <a:avLst/>
          <a:gdLst/>
          <a:ahLst/>
          <a:cxnLst/>
          <a:rect l="0" t="0" r="0" b="0"/>
          <a:pathLst>
            <a:path>
              <a:moveTo>
                <a:pt x="45720" y="0"/>
              </a:moveTo>
              <a:lnTo>
                <a:pt x="45720" y="1223255"/>
              </a:lnTo>
              <a:lnTo>
                <a:pt x="120997" y="1223255"/>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B79CB4-FD46-4067-B755-175492FA3B37}">
      <dsp:nvSpPr>
        <dsp:cNvPr id="0" name=""/>
        <dsp:cNvSpPr/>
      </dsp:nvSpPr>
      <dsp:spPr>
        <a:xfrm>
          <a:off x="2046885" y="1412006"/>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96283"/>
              <a:satOff val="2033"/>
              <a:lumOff val="541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Hold a meeting with the employee</a:t>
          </a:r>
        </a:p>
      </dsp:txBody>
      <dsp:txXfrm>
        <a:off x="2057909" y="1423030"/>
        <a:ext cx="580170" cy="354338"/>
      </dsp:txXfrm>
    </dsp:sp>
    <dsp:sp modelId="{F071D904-C877-4DFD-BCB8-4050A047F368}">
      <dsp:nvSpPr>
        <dsp:cNvPr id="0" name=""/>
        <dsp:cNvSpPr/>
      </dsp:nvSpPr>
      <dsp:spPr>
        <a:xfrm>
          <a:off x="1925888" y="376944"/>
          <a:ext cx="91440" cy="1693738"/>
        </a:xfrm>
        <a:custGeom>
          <a:avLst/>
          <a:gdLst/>
          <a:ahLst/>
          <a:cxnLst/>
          <a:rect l="0" t="0" r="0" b="0"/>
          <a:pathLst>
            <a:path>
              <a:moveTo>
                <a:pt x="45720" y="0"/>
              </a:moveTo>
              <a:lnTo>
                <a:pt x="45720" y="1693738"/>
              </a:lnTo>
              <a:lnTo>
                <a:pt x="120997" y="1693738"/>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630AA-750F-4EDF-AA44-F12AECF3D771}">
      <dsp:nvSpPr>
        <dsp:cNvPr id="0" name=""/>
        <dsp:cNvSpPr/>
      </dsp:nvSpPr>
      <dsp:spPr>
        <a:xfrm>
          <a:off x="2046885" y="1882489"/>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144425"/>
              <a:satOff val="3050"/>
              <a:lumOff val="812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Allow employee to be accompanied</a:t>
          </a:r>
        </a:p>
      </dsp:txBody>
      <dsp:txXfrm>
        <a:off x="2057909" y="1893513"/>
        <a:ext cx="580170" cy="354338"/>
      </dsp:txXfrm>
    </dsp:sp>
    <dsp:sp modelId="{5917FE14-3311-4F04-9CC1-02A9BECE03C2}">
      <dsp:nvSpPr>
        <dsp:cNvPr id="0" name=""/>
        <dsp:cNvSpPr/>
      </dsp:nvSpPr>
      <dsp:spPr>
        <a:xfrm>
          <a:off x="1925888" y="376944"/>
          <a:ext cx="91440" cy="2164221"/>
        </a:xfrm>
        <a:custGeom>
          <a:avLst/>
          <a:gdLst/>
          <a:ahLst/>
          <a:cxnLst/>
          <a:rect l="0" t="0" r="0" b="0"/>
          <a:pathLst>
            <a:path>
              <a:moveTo>
                <a:pt x="45720" y="0"/>
              </a:moveTo>
              <a:lnTo>
                <a:pt x="45720" y="2164221"/>
              </a:lnTo>
              <a:lnTo>
                <a:pt x="120997" y="2164221"/>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3F9DAC-9FE9-4A66-8DBC-14194DABA7EC}">
      <dsp:nvSpPr>
        <dsp:cNvPr id="0" name=""/>
        <dsp:cNvSpPr/>
      </dsp:nvSpPr>
      <dsp:spPr>
        <a:xfrm>
          <a:off x="2046885" y="2352972"/>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192566"/>
              <a:satOff val="4066"/>
              <a:lumOff val="1083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Decide on appropriate action</a:t>
          </a:r>
        </a:p>
      </dsp:txBody>
      <dsp:txXfrm>
        <a:off x="2057909" y="2363996"/>
        <a:ext cx="580170" cy="354338"/>
      </dsp:txXfrm>
    </dsp:sp>
    <dsp:sp modelId="{1C308D51-7B4F-4E27-928A-BE2C0E47CE5A}">
      <dsp:nvSpPr>
        <dsp:cNvPr id="0" name=""/>
        <dsp:cNvSpPr/>
      </dsp:nvSpPr>
      <dsp:spPr>
        <a:xfrm>
          <a:off x="1925888" y="376944"/>
          <a:ext cx="91440" cy="2634704"/>
        </a:xfrm>
        <a:custGeom>
          <a:avLst/>
          <a:gdLst/>
          <a:ahLst/>
          <a:cxnLst/>
          <a:rect l="0" t="0" r="0" b="0"/>
          <a:pathLst>
            <a:path>
              <a:moveTo>
                <a:pt x="45720" y="0"/>
              </a:moveTo>
              <a:lnTo>
                <a:pt x="45720" y="2634704"/>
              </a:lnTo>
              <a:lnTo>
                <a:pt x="120997" y="2634704"/>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BD8D31-3B76-48A0-BF32-6135A261BDDB}">
      <dsp:nvSpPr>
        <dsp:cNvPr id="0" name=""/>
        <dsp:cNvSpPr/>
      </dsp:nvSpPr>
      <dsp:spPr>
        <a:xfrm>
          <a:off x="2046885" y="2823455"/>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240708"/>
              <a:satOff val="5083"/>
              <a:lumOff val="1354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Provide opportunity to appeal</a:t>
          </a:r>
        </a:p>
      </dsp:txBody>
      <dsp:txXfrm>
        <a:off x="2057909" y="2834479"/>
        <a:ext cx="580170" cy="354338"/>
      </dsp:txXfrm>
    </dsp:sp>
    <dsp:sp modelId="{53F87875-D86B-45D6-AB09-6E6D22A62092}">
      <dsp:nvSpPr>
        <dsp:cNvPr id="0" name=""/>
        <dsp:cNvSpPr/>
      </dsp:nvSpPr>
      <dsp:spPr>
        <a:xfrm>
          <a:off x="2837296" y="558"/>
          <a:ext cx="752772" cy="376386"/>
        </a:xfrm>
        <a:prstGeom prst="roundRect">
          <a:avLst>
            <a:gd name="adj" fmla="val 10000"/>
          </a:avLst>
        </a:prstGeom>
        <a:solidFill>
          <a:schemeClr val="accent2">
            <a:shade val="80000"/>
            <a:hueOff val="-481415"/>
            <a:satOff val="10166"/>
            <a:lumOff val="270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t>Grievance</a:t>
          </a:r>
        </a:p>
      </dsp:txBody>
      <dsp:txXfrm>
        <a:off x="2848320" y="11582"/>
        <a:ext cx="730724" cy="354338"/>
      </dsp:txXfrm>
    </dsp:sp>
    <dsp:sp modelId="{2EDD28E2-26C7-4F95-B53F-580260C83EC8}">
      <dsp:nvSpPr>
        <dsp:cNvPr id="0" name=""/>
        <dsp:cNvSpPr/>
      </dsp:nvSpPr>
      <dsp:spPr>
        <a:xfrm>
          <a:off x="2866853" y="376944"/>
          <a:ext cx="91440" cy="282289"/>
        </a:xfrm>
        <a:custGeom>
          <a:avLst/>
          <a:gdLst/>
          <a:ahLst/>
          <a:cxnLst/>
          <a:rect l="0" t="0" r="0" b="0"/>
          <a:pathLst>
            <a:path>
              <a:moveTo>
                <a:pt x="45720" y="0"/>
              </a:moveTo>
              <a:lnTo>
                <a:pt x="45720" y="282289"/>
              </a:lnTo>
              <a:lnTo>
                <a:pt x="120997" y="282289"/>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E7BED8-7F0E-4580-92AD-0AAD39CD226D}">
      <dsp:nvSpPr>
        <dsp:cNvPr id="0" name=""/>
        <dsp:cNvSpPr/>
      </dsp:nvSpPr>
      <dsp:spPr>
        <a:xfrm>
          <a:off x="2987851" y="471041"/>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288849"/>
              <a:satOff val="6100"/>
              <a:lumOff val="1624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Let employer know nature of grievance</a:t>
          </a:r>
        </a:p>
      </dsp:txBody>
      <dsp:txXfrm>
        <a:off x="2998875" y="482065"/>
        <a:ext cx="580170" cy="354338"/>
      </dsp:txXfrm>
    </dsp:sp>
    <dsp:sp modelId="{19D05CBA-ED04-4FA6-9789-90DF755102A3}">
      <dsp:nvSpPr>
        <dsp:cNvPr id="0" name=""/>
        <dsp:cNvSpPr/>
      </dsp:nvSpPr>
      <dsp:spPr>
        <a:xfrm>
          <a:off x="2866853" y="376944"/>
          <a:ext cx="91440" cy="752772"/>
        </a:xfrm>
        <a:custGeom>
          <a:avLst/>
          <a:gdLst/>
          <a:ahLst/>
          <a:cxnLst/>
          <a:rect l="0" t="0" r="0" b="0"/>
          <a:pathLst>
            <a:path>
              <a:moveTo>
                <a:pt x="45720" y="0"/>
              </a:moveTo>
              <a:lnTo>
                <a:pt x="45720" y="752772"/>
              </a:lnTo>
              <a:lnTo>
                <a:pt x="120997" y="752772"/>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07333E-22C2-47BD-869C-0BD423638E7A}">
      <dsp:nvSpPr>
        <dsp:cNvPr id="0" name=""/>
        <dsp:cNvSpPr/>
      </dsp:nvSpPr>
      <dsp:spPr>
        <a:xfrm>
          <a:off x="2987851" y="941523"/>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336991"/>
              <a:satOff val="7116"/>
              <a:lumOff val="1895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Hold meeting to establish facts</a:t>
          </a:r>
        </a:p>
      </dsp:txBody>
      <dsp:txXfrm>
        <a:off x="2998875" y="952547"/>
        <a:ext cx="580170" cy="354338"/>
      </dsp:txXfrm>
    </dsp:sp>
    <dsp:sp modelId="{4373DE62-7F80-476A-84FC-8A8EA60FFB24}">
      <dsp:nvSpPr>
        <dsp:cNvPr id="0" name=""/>
        <dsp:cNvSpPr/>
      </dsp:nvSpPr>
      <dsp:spPr>
        <a:xfrm>
          <a:off x="2866853" y="376944"/>
          <a:ext cx="91440" cy="1223255"/>
        </a:xfrm>
        <a:custGeom>
          <a:avLst/>
          <a:gdLst/>
          <a:ahLst/>
          <a:cxnLst/>
          <a:rect l="0" t="0" r="0" b="0"/>
          <a:pathLst>
            <a:path>
              <a:moveTo>
                <a:pt x="45720" y="0"/>
              </a:moveTo>
              <a:lnTo>
                <a:pt x="45720" y="1223255"/>
              </a:lnTo>
              <a:lnTo>
                <a:pt x="120997" y="1223255"/>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541D2C-331E-4991-8015-9E4227DB36D9}">
      <dsp:nvSpPr>
        <dsp:cNvPr id="0" name=""/>
        <dsp:cNvSpPr/>
      </dsp:nvSpPr>
      <dsp:spPr>
        <a:xfrm>
          <a:off x="2987851" y="1412006"/>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385132"/>
              <a:satOff val="8133"/>
              <a:lumOff val="216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Allow employee to be accompanied</a:t>
          </a:r>
        </a:p>
      </dsp:txBody>
      <dsp:txXfrm>
        <a:off x="2998875" y="1423030"/>
        <a:ext cx="580170" cy="354338"/>
      </dsp:txXfrm>
    </dsp:sp>
    <dsp:sp modelId="{16BD33D7-DD45-4FD5-869C-F881484FD8E8}">
      <dsp:nvSpPr>
        <dsp:cNvPr id="0" name=""/>
        <dsp:cNvSpPr/>
      </dsp:nvSpPr>
      <dsp:spPr>
        <a:xfrm>
          <a:off x="2866853" y="376944"/>
          <a:ext cx="91440" cy="1693738"/>
        </a:xfrm>
        <a:custGeom>
          <a:avLst/>
          <a:gdLst/>
          <a:ahLst/>
          <a:cxnLst/>
          <a:rect l="0" t="0" r="0" b="0"/>
          <a:pathLst>
            <a:path>
              <a:moveTo>
                <a:pt x="45720" y="0"/>
              </a:moveTo>
              <a:lnTo>
                <a:pt x="45720" y="1693738"/>
              </a:lnTo>
              <a:lnTo>
                <a:pt x="120997" y="1693738"/>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6B1480-5D3C-4B11-B3DC-A844AA75D6E9}">
      <dsp:nvSpPr>
        <dsp:cNvPr id="0" name=""/>
        <dsp:cNvSpPr/>
      </dsp:nvSpPr>
      <dsp:spPr>
        <a:xfrm>
          <a:off x="2987851" y="1882489"/>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433274"/>
              <a:satOff val="9149"/>
              <a:lumOff val="2437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Decide on appropriate action</a:t>
          </a:r>
        </a:p>
      </dsp:txBody>
      <dsp:txXfrm>
        <a:off x="2998875" y="1893513"/>
        <a:ext cx="580170" cy="354338"/>
      </dsp:txXfrm>
    </dsp:sp>
    <dsp:sp modelId="{33602421-1BCC-4B7F-9BC8-0078AF6FDD0B}">
      <dsp:nvSpPr>
        <dsp:cNvPr id="0" name=""/>
        <dsp:cNvSpPr/>
      </dsp:nvSpPr>
      <dsp:spPr>
        <a:xfrm>
          <a:off x="2866853" y="376944"/>
          <a:ext cx="91440" cy="2164221"/>
        </a:xfrm>
        <a:custGeom>
          <a:avLst/>
          <a:gdLst/>
          <a:ahLst/>
          <a:cxnLst/>
          <a:rect l="0" t="0" r="0" b="0"/>
          <a:pathLst>
            <a:path>
              <a:moveTo>
                <a:pt x="45720" y="0"/>
              </a:moveTo>
              <a:lnTo>
                <a:pt x="45720" y="2164221"/>
              </a:lnTo>
              <a:lnTo>
                <a:pt x="120997" y="2164221"/>
              </a:lnTo>
            </a:path>
          </a:pathLst>
        </a:custGeom>
        <a:noFill/>
        <a:ln w="12700" cap="flat" cmpd="sng" algn="ctr">
          <a:solidFill>
            <a:schemeClr val="accent2">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ADD6A3-FF5A-43E1-830F-F0601DC3416E}">
      <dsp:nvSpPr>
        <dsp:cNvPr id="0" name=""/>
        <dsp:cNvSpPr/>
      </dsp:nvSpPr>
      <dsp:spPr>
        <a:xfrm>
          <a:off x="2987851" y="2352972"/>
          <a:ext cx="602218" cy="376386"/>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481415"/>
              <a:satOff val="10166"/>
              <a:lumOff val="2708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Allow employee to take grievance further if not resolved</a:t>
          </a:r>
        </a:p>
      </dsp:txBody>
      <dsp:txXfrm>
        <a:off x="2998875" y="2363996"/>
        <a:ext cx="580170" cy="35433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Ste20</b:Tag>
    <b:SourceType>InternetSite</b:SourceType>
    <b:Guid>{1B23E526-792B-43CB-9F4F-07C56834AF85}</b:Guid>
    <b:Title>Employment law in the UK: the court system</b:Title>
    <b:Year>2020</b:Year>
    <b:Author>
      <b:Author>
        <b:NameList>
          <b:Person>
            <b:Last>Taylor</b:Last>
            <b:First>Stephen</b:First>
          </b:Person>
        </b:NameList>
      </b:Author>
    </b:Author>
    <b:InternetSiteTitle>CIPD</b:InternetSiteTitle>
    <b:Month>April</b:Month>
    <b:Day>23</b:Day>
    <b:URL>https://www.cipd.co.uk/knowledge/fundamentals/emp-law/about/court-system</b:URL>
    <b:RefOrder>1</b:RefOrder>
  </b:Source>
  <b:Source>
    <b:Tag>CIP20</b:Tag>
    <b:SourceType>Report</b:SourceType>
    <b:Guid>{AF70621E-A4AD-4CE6-8322-D904A04FDD18}</b:Guid>
    <b:Title>Employment law updates for CIPD tutors and students</b:Title>
    <b:Year>2020</b:Year>
    <b:Author>
      <b:Author>
        <b:NameList>
          <b:Person>
            <b:Last>CIPD</b:Last>
          </b:Person>
        </b:NameList>
      </b:Author>
    </b:Author>
    <b:Publisher>Chartered Institute of Personnel and Development</b:Publisher>
    <b:City>London</b:City>
    <b:RefOrder>2</b:RefOrder>
  </b:Source>
  <b:Source>
    <b:Tag>Pro</b:Tag>
    <b:SourceType>InternetSite</b:SourceType>
    <b:Guid>{82004BC7-549A-4271-AE89-5785B3FC36BB}</b:Guid>
    <b:Title>Protected Characteristics</b:Title>
    <b:InternetSiteTitle>Equality and Human Rights Commission</b:InternetSiteTitle>
    <b:URL>https://www.equalityhumanrights.com/en/equality-act/protected-characteristics</b:URL>
    <b:RefOrder>4</b:RefOrder>
  </b:Source>
  <b:Source>
    <b:Tag>Ste</b:Tag>
    <b:SourceType>BookSection</b:SourceType>
    <b:Guid>{0D317389-3822-43E8-8069-8D950132D297}</b:Guid>
    <b:Title>Employment Law</b:Title>
    <b:Author>
      <b:Author>
        <b:NameList>
          <b:Person>
            <b:Last>Wilkinson</b:Last>
            <b:First>Stephen</b:First>
            <b:Middle>Taylor &amp; Krystal</b:Middle>
          </b:Person>
        </b:NameList>
      </b:Author>
    </b:Author>
    <b:BookTitle>Human Resource Management: People and Organisations </b:BookTitle>
    <b:City>London</b:City>
    <b:Publisher>CIPD</b:Publisher>
    <b:RefOrder>3</b:RefOrder>
  </b:Source>
</b:Sources>
</file>

<file path=customXml/itemProps1.xml><?xml version="1.0" encoding="utf-8"?>
<ds:datastoreItem xmlns:ds="http://schemas.openxmlformats.org/officeDocument/2006/customXml" ds:itemID="{686696B8-04C3-4DFF-AE98-6896984F9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749</TotalTime>
  <Pages>14</Pages>
  <Words>5318</Words>
  <Characters>30318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35565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Nicola Harris</cp:lastModifiedBy>
  <cp:revision>96</cp:revision>
  <dcterms:created xsi:type="dcterms:W3CDTF">2020-03-18T16:20:00Z</dcterms:created>
  <dcterms:modified xsi:type="dcterms:W3CDTF">2020-04-27T10:06:00Z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2a00f0c4-f12c-4aac-8982-1c7a2f35ec0e</vt:lpwstr>
  </property>
</Properties>
</file>