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0E134A" w14:textId="03DE438B" w:rsidR="007D3E3D" w:rsidRPr="00F4115B" w:rsidRDefault="007D3E3D" w:rsidP="007D3E3D">
      <w:pPr>
        <w:jc w:val="center"/>
        <w:rPr>
          <w:b/>
          <w:i/>
          <w:iCs/>
          <w:color w:val="ED7D31" w:themeColor="accent2"/>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115B">
        <w:rPr>
          <w:b/>
          <w:i/>
          <w:iCs/>
          <w:color w:val="ED7D31" w:themeColor="accent2"/>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Well-being and Lifestyles</w:t>
      </w:r>
    </w:p>
    <w:p w14:paraId="7FD75C31" w14:textId="77777777" w:rsidR="007D3E3D" w:rsidRDefault="007D3E3D">
      <w:pPr>
        <w:rPr>
          <w:b/>
          <w:bCs/>
          <w:i/>
          <w:iCs/>
          <w:highlight w:val="yellow"/>
          <w:u w:val="single"/>
        </w:rPr>
      </w:pPr>
    </w:p>
    <w:p w14:paraId="486066D5" w14:textId="6CB99ECD" w:rsidR="00192009" w:rsidRPr="00F4115B" w:rsidRDefault="00855944">
      <w:pPr>
        <w:rPr>
          <w:b/>
          <w:bCs/>
          <w:i/>
          <w:iCs/>
          <w:color w:val="00B0F0"/>
          <w:u w:val="single"/>
        </w:rPr>
      </w:pPr>
      <w:r w:rsidRPr="00F4115B">
        <w:rPr>
          <w:b/>
          <w:bCs/>
          <w:i/>
          <w:iCs/>
          <w:color w:val="00B0F0"/>
          <w:u w:val="single"/>
        </w:rPr>
        <w:t>Introduction</w:t>
      </w:r>
    </w:p>
    <w:p w14:paraId="6BC25B46" w14:textId="534383EA" w:rsidR="00855944" w:rsidRPr="00F4115B" w:rsidRDefault="00855944">
      <w:pPr>
        <w:rPr>
          <w:color w:val="00B0F0"/>
        </w:rPr>
      </w:pPr>
      <w:r w:rsidRPr="00F4115B">
        <w:rPr>
          <w:color w:val="00B0F0"/>
        </w:rPr>
        <w:t>In contemporary discourse, within this poster, it will examine and define the concepts of health, well-being and lifestyles, including the significant gained attention and involvement it has towards early years. Health, well-being, and lifestyles are intrinsically linked concepts, each contributing to the overall quality of an individual’s life</w:t>
      </w:r>
      <w:r w:rsidR="00F4115B" w:rsidRPr="00F4115B">
        <w:rPr>
          <w:color w:val="00B0F0"/>
        </w:rPr>
        <w:t xml:space="preserve"> (Health, 2023)</w:t>
      </w:r>
      <w:r w:rsidRPr="00F4115B">
        <w:rPr>
          <w:color w:val="00B0F0"/>
        </w:rPr>
        <w:t xml:space="preserve">. They intersect in various ways to influence an individual’s physical, mental and social state. When one of a child’s needs in the areas of health, wellbeing, or lifestyle is not met, it can cause wide-ranging </w:t>
      </w:r>
      <w:r w:rsidR="00A243BD">
        <w:rPr>
          <w:color w:val="00B0F0"/>
        </w:rPr>
        <w:t>outcomes</w:t>
      </w:r>
      <w:r w:rsidRPr="00F4115B">
        <w:rPr>
          <w:color w:val="00B0F0"/>
        </w:rPr>
        <w:t xml:space="preserve"> on the</w:t>
      </w:r>
      <w:r w:rsidR="00B84472">
        <w:rPr>
          <w:color w:val="00B0F0"/>
        </w:rPr>
        <w:t xml:space="preserve"> child’s integrated</w:t>
      </w:r>
      <w:r w:rsidRPr="00F4115B">
        <w:rPr>
          <w:color w:val="00B0F0"/>
        </w:rPr>
        <w:t xml:space="preserve"> development and quality of life</w:t>
      </w:r>
      <w:r w:rsidR="00F4115B" w:rsidRPr="00F4115B">
        <w:rPr>
          <w:color w:val="00B0F0"/>
        </w:rPr>
        <w:t xml:space="preserve"> (</w:t>
      </w:r>
      <w:proofErr w:type="spellStart"/>
      <w:r w:rsidR="00F4115B" w:rsidRPr="00F4115B">
        <w:rPr>
          <w:color w:val="00B0F0"/>
        </w:rPr>
        <w:t>Mollborn</w:t>
      </w:r>
      <w:proofErr w:type="spellEnd"/>
      <w:r w:rsidR="00F4115B" w:rsidRPr="00F4115B">
        <w:rPr>
          <w:color w:val="00B0F0"/>
        </w:rPr>
        <w:t xml:space="preserve"> </w:t>
      </w:r>
      <w:r w:rsidR="00F4115B" w:rsidRPr="00F4115B">
        <w:rPr>
          <w:i/>
          <w:iCs/>
          <w:color w:val="00B0F0"/>
        </w:rPr>
        <w:t>et al.,</w:t>
      </w:r>
      <w:r w:rsidR="00F4115B" w:rsidRPr="00F4115B">
        <w:rPr>
          <w:color w:val="00B0F0"/>
        </w:rPr>
        <w:t xml:space="preserve"> 2014)</w:t>
      </w:r>
      <w:r w:rsidRPr="00F4115B">
        <w:rPr>
          <w:color w:val="00B0F0"/>
        </w:rPr>
        <w:t xml:space="preserve">. </w:t>
      </w:r>
    </w:p>
    <w:p w14:paraId="6F8EA7A7" w14:textId="4EC29AB8" w:rsidR="00855944" w:rsidRPr="008C595B" w:rsidRDefault="00855944"/>
    <w:p w14:paraId="07F54513" w14:textId="6767A398" w:rsidR="00855944" w:rsidRPr="008C595B" w:rsidRDefault="00855944"/>
    <w:p w14:paraId="0DFBF92E" w14:textId="3ED617B9" w:rsidR="00855944" w:rsidRPr="00F4115B" w:rsidRDefault="00855944">
      <w:pPr>
        <w:rPr>
          <w:b/>
          <w:bCs/>
          <w:i/>
          <w:iCs/>
          <w:color w:val="00B050"/>
          <w:u w:val="single"/>
        </w:rPr>
      </w:pPr>
      <w:r w:rsidRPr="00F4115B">
        <w:rPr>
          <w:b/>
          <w:bCs/>
          <w:i/>
          <w:iCs/>
          <w:color w:val="00B050"/>
          <w:u w:val="single"/>
        </w:rPr>
        <w:t>Health</w:t>
      </w:r>
    </w:p>
    <w:p w14:paraId="2AA311E3" w14:textId="792F92E7" w:rsidR="00F4115B" w:rsidRPr="00F4115B" w:rsidRDefault="00855944" w:rsidP="00F4115B">
      <w:pPr>
        <w:rPr>
          <w:color w:val="00B050"/>
        </w:rPr>
      </w:pPr>
      <w:r w:rsidRPr="00F4115B">
        <w:rPr>
          <w:color w:val="00B050"/>
        </w:rPr>
        <w:t>Health is a multidimensional concept encompassing physical, mental and social wellbeing. It is a holistic state that goes beyond the mere absence of disease, involving the capacity to live a fulfilling and productive life</w:t>
      </w:r>
      <w:r w:rsidR="004F4775" w:rsidRPr="00F4115B">
        <w:rPr>
          <w:color w:val="00B050"/>
        </w:rPr>
        <w:t xml:space="preserve"> (Svalastog, 2017)</w:t>
      </w:r>
      <w:r w:rsidRPr="00F4115B">
        <w:rPr>
          <w:color w:val="00B050"/>
        </w:rPr>
        <w:t xml:space="preserve">. The understanding of health in a comprehensive manner, allows the promotion of supporting overall wellbeing and addressing </w:t>
      </w:r>
    </w:p>
    <w:p w14:paraId="0121E7EE" w14:textId="18DBCCD6" w:rsidR="00F4115B" w:rsidRDefault="00855944" w:rsidP="00F4115B">
      <w:pPr>
        <w:rPr>
          <w:color w:val="00B050"/>
        </w:rPr>
      </w:pPr>
      <w:r w:rsidRPr="00F4115B">
        <w:rPr>
          <w:color w:val="00B050"/>
        </w:rPr>
        <w:t>the diverse factors that influence health. Viewing health holistically recognises that physical, mental, and social aspects of health are all interconnected</w:t>
      </w:r>
      <w:r w:rsidR="004F4775" w:rsidRPr="00F4115B">
        <w:rPr>
          <w:color w:val="00B050"/>
        </w:rPr>
        <w:t xml:space="preserve"> (World Health Organisation, 2022)</w:t>
      </w:r>
      <w:r w:rsidRPr="00F4115B">
        <w:rPr>
          <w:color w:val="00B050"/>
        </w:rPr>
        <w:t>. For instance, if a child is going through a physical illness, or witnessing a family member become physically ill, this may impact and can lead to mental health issues. The Welsh Government</w:t>
      </w:r>
      <w:r w:rsidR="004F4775" w:rsidRPr="00F4115B">
        <w:rPr>
          <w:color w:val="00B050"/>
        </w:rPr>
        <w:t xml:space="preserve"> (2022)</w:t>
      </w:r>
      <w:r w:rsidRPr="00F4115B">
        <w:rPr>
          <w:color w:val="00B050"/>
        </w:rPr>
        <w:t xml:space="preserve"> places emphasis on health through various legislation, policies and curriculum aimed at ensuring the wellbeing of children. The Health and Social Care Committee of the Senedd Cymru </w:t>
      </w:r>
      <w:r w:rsidR="00F4115B" w:rsidRPr="00F4115B">
        <w:rPr>
          <w:color w:val="00B050"/>
        </w:rPr>
        <w:t xml:space="preserve">(2024) </w:t>
      </w:r>
      <w:r w:rsidRPr="00F4115B">
        <w:rPr>
          <w:color w:val="00B050"/>
        </w:rPr>
        <w:t>is tasked with scrutinising policies and legislation related to physical, mental, and public health, holding the Welsh Government accountable and ensuring that health services meet the needs of all individuals</w:t>
      </w:r>
      <w:r w:rsidR="004F4775" w:rsidRPr="00F4115B">
        <w:rPr>
          <w:color w:val="00B050"/>
        </w:rPr>
        <w:t xml:space="preserve"> (Welsh Parliament, 2024)</w:t>
      </w:r>
      <w:r w:rsidRPr="00F4115B">
        <w:rPr>
          <w:color w:val="00B050"/>
        </w:rPr>
        <w:t xml:space="preserve">. Key legislation that are supported and utilised in Wales includes the Health Act 2003 and the Mental Health Measure 2010, </w:t>
      </w:r>
      <w:r w:rsidR="00DE1534" w:rsidRPr="00F4115B">
        <w:rPr>
          <w:color w:val="00B050"/>
        </w:rPr>
        <w:t>enabling</w:t>
      </w:r>
      <w:r w:rsidRPr="00F4115B">
        <w:rPr>
          <w:color w:val="00B050"/>
        </w:rPr>
        <w:t xml:space="preserve"> individuals to receive the correct care and delivery towards their health respectfully</w:t>
      </w:r>
      <w:r w:rsidR="004F4775" w:rsidRPr="00F4115B">
        <w:rPr>
          <w:color w:val="00B050"/>
        </w:rPr>
        <w:t xml:space="preserve"> (Welsh Government, 2016)</w:t>
      </w:r>
      <w:r w:rsidRPr="00F4115B">
        <w:rPr>
          <w:color w:val="00B050"/>
        </w:rPr>
        <w:t xml:space="preserve">. </w:t>
      </w:r>
    </w:p>
    <w:p w14:paraId="2E18B145" w14:textId="79423888" w:rsidR="00F4115B" w:rsidRDefault="00F4115B" w:rsidP="00F4115B">
      <w:r>
        <w:rPr>
          <w:noProof/>
        </w:rPr>
        <mc:AlternateContent>
          <mc:Choice Requires="wps">
            <w:drawing>
              <wp:anchor distT="0" distB="0" distL="114300" distR="114300" simplePos="0" relativeHeight="251667456" behindDoc="0" locked="0" layoutInCell="1" allowOverlap="1" wp14:anchorId="7C7FA14A" wp14:editId="4C6DFFA1">
                <wp:simplePos x="0" y="0"/>
                <wp:positionH relativeFrom="column">
                  <wp:posOffset>4777740</wp:posOffset>
                </wp:positionH>
                <wp:positionV relativeFrom="paragraph">
                  <wp:posOffset>148590</wp:posOffset>
                </wp:positionV>
                <wp:extent cx="628650" cy="502920"/>
                <wp:effectExtent l="0" t="0" r="19050" b="17780"/>
                <wp:wrapNone/>
                <wp:docPr id="13" name="Text Box 13"/>
                <wp:cNvGraphicFramePr/>
                <a:graphic xmlns:a="http://schemas.openxmlformats.org/drawingml/2006/main">
                  <a:graphicData uri="http://schemas.microsoft.com/office/word/2010/wordprocessingShape">
                    <wps:wsp>
                      <wps:cNvSpPr txBox="1"/>
                      <wps:spPr>
                        <a:xfrm>
                          <a:off x="0" y="0"/>
                          <a:ext cx="628650" cy="502920"/>
                        </a:xfrm>
                        <a:prstGeom prst="rect">
                          <a:avLst/>
                        </a:prstGeom>
                        <a:solidFill>
                          <a:schemeClr val="lt1"/>
                        </a:solidFill>
                        <a:ln w="6350">
                          <a:solidFill>
                            <a:prstClr val="black"/>
                          </a:solidFill>
                        </a:ln>
                      </wps:spPr>
                      <wps:txbx>
                        <w:txbxContent>
                          <w:p w14:paraId="1072908F" w14:textId="1B48C400" w:rsidR="00F4115B" w:rsidRPr="00F4115B" w:rsidRDefault="00F4115B">
                            <w:pPr>
                              <w:rPr>
                                <w:b/>
                                <w:bCs/>
                              </w:rPr>
                            </w:pPr>
                            <w:r w:rsidRPr="00F4115B">
                              <w:rPr>
                                <w:b/>
                                <w:bCs/>
                                <w:highlight w:val="yellow"/>
                              </w:rPr>
                              <w:t>Sage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C7FA14A" id="_x0000_t202" coordsize="21600,21600" o:spt="202" path="m,l,21600r21600,l21600,xe">
                <v:stroke joinstyle="miter"/>
                <v:path gradientshapeok="t" o:connecttype="rect"/>
              </v:shapetype>
              <v:shape id="Text Box 13" o:spid="_x0000_s1026" type="#_x0000_t202" style="position:absolute;margin-left:376.2pt;margin-top:11.7pt;width:49.5pt;height:39.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" fillcolor="white [3201]" strokeweight=".5pt">
                <v:textbox>
                  <w:txbxContent>
                    <w:p w14:paraId="1072908F" w14:textId="1B48C400" w:rsidR="00F4115B" w:rsidRPr="00F4115B" w:rsidRDefault="00F4115B">
                      <w:pPr>
                        <w:rPr>
                          <w:b/>
                          <w:bCs/>
                        </w:rPr>
                      </w:pPr>
                      <w:r w:rsidRPr="00F4115B">
                        <w:rPr>
                          <w:b/>
                          <w:bCs/>
                          <w:highlight w:val="yellow"/>
                        </w:rPr>
                        <w:t>Sage (2020)</w:t>
                      </w:r>
                    </w:p>
                  </w:txbxContent>
                </v:textbox>
              </v:shape>
            </w:pict>
          </mc:Fallback>
        </mc:AlternateContent>
      </w:r>
      <w:r>
        <w:rPr>
          <w:noProof/>
        </w:rPr>
        <w:drawing>
          <wp:anchor distT="0" distB="0" distL="114300" distR="114300" simplePos="0" relativeHeight="251666432" behindDoc="0" locked="0" layoutInCell="1" allowOverlap="1" wp14:anchorId="73A222A9" wp14:editId="37750C9B">
            <wp:simplePos x="0" y="0"/>
            <wp:positionH relativeFrom="column">
              <wp:posOffset>2948940</wp:posOffset>
            </wp:positionH>
            <wp:positionV relativeFrom="paragraph">
              <wp:posOffset>45720</wp:posOffset>
            </wp:positionV>
            <wp:extent cx="2583180" cy="2320290"/>
            <wp:effectExtent l="0" t="0" r="0" b="3810"/>
            <wp:wrapSquare wrapText="bothSides"/>
            <wp:docPr id="12" name="Picture 12" descr="Emotional Wellbeing in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65" descr="Emotional Wellbeing in Kids"/>
                    <pic:cNvPicPr>
                      <a:picLocks noChangeAspect="1" noChangeArrowheads="1"/>
                    </pic:cNvPicPr>
                  </pic:nvPicPr>
                  <pic:blipFill rotWithShape="1">
                    <a:blip r:embed="rId6">
                      <a:extLst>
                        <a:ext uri="{28A0092B-C50C-407E-A947-70E740481C1C}">
                          <a14:useLocalDpi xmlns:a14="http://schemas.microsoft.com/office/drawing/2010/main" val="0"/>
                        </a:ext>
                      </a:extLst>
                    </a:blip>
                    <a:srcRect l="20915" r="5229"/>
                    <a:stretch/>
                  </pic:blipFill>
                  <pic:spPr bwMode="auto">
                    <a:xfrm>
                      <a:off x="0" y="0"/>
                      <a:ext cx="2583180" cy="2320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5944" w:rsidRPr="00F4115B">
        <w:rPr>
          <w:color w:val="00B050"/>
        </w:rPr>
        <w:t xml:space="preserve">The Welsh government </w:t>
      </w:r>
      <w:r w:rsidR="004F4775" w:rsidRPr="00F4115B">
        <w:rPr>
          <w:color w:val="00B050"/>
        </w:rPr>
        <w:t xml:space="preserve">(2022) </w:t>
      </w:r>
      <w:r w:rsidR="00855944" w:rsidRPr="00F4115B">
        <w:rPr>
          <w:color w:val="00B050"/>
        </w:rPr>
        <w:t>has also made significant effort to support children</w:t>
      </w:r>
      <w:r>
        <w:fldChar w:fldCharType="begin"/>
      </w:r>
      <w:r>
        <w:instrText xml:space="preserve"> INCLUDEPICTURE "/var/folders/dq/rtb2lnzj6lqcfp9xdb6zxh100000gn/T/com.microsoft.Word/WebArchiveCopyPasteTempFiles/images?q=tbnANd9GcQsSi_HSjBhQG4X7DU3xEjMArfBc6Eigm1JgA&amp;s" \* MERGEFORMATINET </w:instrText>
      </w:r>
      <w:r>
        <w:fldChar w:fldCharType="separate"/>
      </w:r>
      <w:r>
        <w:fldChar w:fldCharType="end"/>
      </w:r>
    </w:p>
    <w:p w14:paraId="64646774" w14:textId="045571EC" w:rsidR="00F4115B" w:rsidRPr="00F4115B" w:rsidRDefault="00855944" w:rsidP="00F4115B">
      <w:pPr>
        <w:rPr>
          <w:rFonts w:eastAsiaTheme="minorHAnsi"/>
          <w:color w:val="00B050"/>
          <w:lang w:eastAsia="en-US"/>
        </w:rPr>
      </w:pPr>
      <w:r w:rsidRPr="00F4115B">
        <w:rPr>
          <w:color w:val="00B050"/>
        </w:rPr>
        <w:t>’s health through the new curriculum for Wales</w:t>
      </w:r>
      <w:r w:rsidR="004F4775" w:rsidRPr="00F4115B">
        <w:rPr>
          <w:color w:val="00B050"/>
        </w:rPr>
        <w:t>.</w:t>
      </w:r>
      <w:r w:rsidRPr="00F4115B">
        <w:rPr>
          <w:color w:val="00B050"/>
        </w:rPr>
        <w:t xml:space="preserve"> The curriculum includes Health and Wellbeing as one of the six areas of learning and experience. This approach aims to embed health and </w:t>
      </w:r>
    </w:p>
    <w:p w14:paraId="160140EC" w14:textId="7A380B15" w:rsidR="00F4115B" w:rsidRPr="00F4115B" w:rsidRDefault="00855944" w:rsidP="00F4115B">
      <w:pPr>
        <w:rPr>
          <w:color w:val="00B050"/>
        </w:rPr>
      </w:pPr>
      <w:r w:rsidRPr="00F4115B">
        <w:rPr>
          <w:color w:val="00B050"/>
        </w:rPr>
        <w:t>wellbeing into the core of education, ensuring that these aspects are prioritised alongside traditional academic subjects</w:t>
      </w:r>
      <w:r w:rsidR="004F4775" w:rsidRPr="00F4115B">
        <w:rPr>
          <w:color w:val="00B050"/>
        </w:rPr>
        <w:t xml:space="preserve"> (Welsh Government, 2020)</w:t>
      </w:r>
      <w:r w:rsidRPr="00F4115B">
        <w:rPr>
          <w:color w:val="00B050"/>
        </w:rPr>
        <w:t xml:space="preserve">. The components of Health and Wellbeing focuses on physical health, mental and emotional wellbeing, </w:t>
      </w:r>
      <w:r w:rsidR="00B84472">
        <w:rPr>
          <w:color w:val="00B050"/>
        </w:rPr>
        <w:t>judgement</w:t>
      </w:r>
      <w:r w:rsidRPr="00F4115B">
        <w:rPr>
          <w:color w:val="00B050"/>
        </w:rPr>
        <w:t xml:space="preserve">, social influences, and </w:t>
      </w:r>
      <w:r w:rsidR="00B84472">
        <w:rPr>
          <w:color w:val="00B050"/>
        </w:rPr>
        <w:t xml:space="preserve">positive </w:t>
      </w:r>
      <w:r w:rsidRPr="00F4115B">
        <w:rPr>
          <w:color w:val="00B050"/>
        </w:rPr>
        <w:t>relationships</w:t>
      </w:r>
      <w:r w:rsidR="004F4775" w:rsidRPr="00F4115B">
        <w:rPr>
          <w:color w:val="00B050"/>
        </w:rPr>
        <w:t xml:space="preserve"> (</w:t>
      </w:r>
      <w:proofErr w:type="spellStart"/>
      <w:r w:rsidR="004F4775" w:rsidRPr="00F4115B">
        <w:rPr>
          <w:color w:val="00B050"/>
        </w:rPr>
        <w:t>Sinnema</w:t>
      </w:r>
      <w:proofErr w:type="spellEnd"/>
      <w:r w:rsidR="004F4775" w:rsidRPr="00F4115B">
        <w:rPr>
          <w:color w:val="00B050"/>
        </w:rPr>
        <w:t xml:space="preserve"> </w:t>
      </w:r>
      <w:r w:rsidR="004F4775" w:rsidRPr="00F4115B">
        <w:rPr>
          <w:i/>
          <w:iCs/>
          <w:color w:val="00B050"/>
        </w:rPr>
        <w:t>et al.,</w:t>
      </w:r>
      <w:r w:rsidR="004F4775" w:rsidRPr="00F4115B">
        <w:rPr>
          <w:color w:val="00B050"/>
        </w:rPr>
        <w:t xml:space="preserve"> 2020)</w:t>
      </w:r>
      <w:r w:rsidRPr="00F4115B">
        <w:rPr>
          <w:color w:val="00B050"/>
        </w:rPr>
        <w:t xml:space="preserve">. Mental health within children refers to their emotional, </w:t>
      </w:r>
      <w:r w:rsidR="00A243BD">
        <w:rPr>
          <w:color w:val="00B050"/>
        </w:rPr>
        <w:t>intellectual</w:t>
      </w:r>
      <w:r w:rsidRPr="00F4115B">
        <w:rPr>
          <w:color w:val="00B050"/>
        </w:rPr>
        <w:t xml:space="preserve">, and social wellbeing. It encompasses how children </w:t>
      </w:r>
      <w:r w:rsidR="00A243BD">
        <w:rPr>
          <w:color w:val="00B050"/>
        </w:rPr>
        <w:t>ponder</w:t>
      </w:r>
      <w:r w:rsidRPr="00F4115B">
        <w:rPr>
          <w:color w:val="00B050"/>
        </w:rPr>
        <w:t xml:space="preserve">, </w:t>
      </w:r>
      <w:proofErr w:type="spellStart"/>
      <w:r w:rsidR="00A243BD">
        <w:rPr>
          <w:color w:val="00B050"/>
        </w:rPr>
        <w:t>percieve</w:t>
      </w:r>
      <w:proofErr w:type="spellEnd"/>
      <w:r w:rsidRPr="00F4115B">
        <w:rPr>
          <w:color w:val="00B050"/>
        </w:rPr>
        <w:t>, and behave in various situations, also influenced by biological environmental and social factors</w:t>
      </w:r>
      <w:r w:rsidR="00E60C1E" w:rsidRPr="00F4115B">
        <w:rPr>
          <w:color w:val="00B050"/>
        </w:rPr>
        <w:t xml:space="preserve"> (Gadermann </w:t>
      </w:r>
      <w:r w:rsidR="00E60C1E" w:rsidRPr="00F4115B">
        <w:rPr>
          <w:i/>
          <w:iCs/>
          <w:color w:val="00B050"/>
        </w:rPr>
        <w:t>et al.,</w:t>
      </w:r>
      <w:r w:rsidR="00E60C1E" w:rsidRPr="00F4115B">
        <w:rPr>
          <w:color w:val="00B050"/>
        </w:rPr>
        <w:t xml:space="preserve"> 2015)</w:t>
      </w:r>
      <w:r w:rsidRPr="00F4115B">
        <w:rPr>
          <w:color w:val="00B050"/>
        </w:rPr>
        <w:t xml:space="preserve">. There are several factors that can impact a child’s mental health, </w:t>
      </w:r>
      <w:r w:rsidRPr="00F4115B">
        <w:rPr>
          <w:color w:val="00B050"/>
        </w:rPr>
        <w:lastRenderedPageBreak/>
        <w:t>including the environment of the child, stressful home situations such as abuse, neglect or living within poverty. Social factors, conflicts that may occur with family and friends, parental style of choice, family dynamics, bullying or soc</w:t>
      </w:r>
      <w:r w:rsidR="00F4115B" w:rsidRPr="00F4115B">
        <w:rPr>
          <w:color w:val="00B050"/>
        </w:rPr>
        <w:fldChar w:fldCharType="begin"/>
      </w:r>
      <w:r w:rsidR="00F4115B" w:rsidRPr="00F4115B">
        <w:rPr>
          <w:color w:val="00B050"/>
        </w:rPr>
        <w:instrText xml:space="preserve"> INCLUDEPICTURE "/var/folders/dq/rtb2lnzj6lqcfp9xdb6zxh100000gn/T/com.microsoft.Word/WebArchiveCopyPasteTempFiles/images?q=tbnANd9GcQX4F4HLIkAyGKlO1u6x4GzbGBooJo153C1jA&amp;s" \* MERGEFORMATINET </w:instrText>
      </w:r>
      <w:r w:rsidR="00F4115B" w:rsidRPr="00F4115B">
        <w:rPr>
          <w:color w:val="00B050"/>
        </w:rPr>
        <w:fldChar w:fldCharType="separate"/>
      </w:r>
      <w:r w:rsidR="00F4115B" w:rsidRPr="00F4115B">
        <w:rPr>
          <w:color w:val="00B050"/>
        </w:rPr>
        <w:fldChar w:fldCharType="end"/>
      </w:r>
    </w:p>
    <w:p w14:paraId="2DEEBD3E" w14:textId="05638F32" w:rsidR="00DE1534" w:rsidRPr="00F4115B" w:rsidRDefault="00855944" w:rsidP="00E60C1E">
      <w:pPr>
        <w:rPr>
          <w:color w:val="00B050"/>
        </w:rPr>
      </w:pPr>
      <w:proofErr w:type="spellStart"/>
      <w:r w:rsidRPr="00F4115B">
        <w:rPr>
          <w:color w:val="00B050"/>
        </w:rPr>
        <w:t>ial</w:t>
      </w:r>
      <w:proofErr w:type="spellEnd"/>
      <w:r w:rsidRPr="00F4115B">
        <w:rPr>
          <w:color w:val="00B050"/>
        </w:rPr>
        <w:t xml:space="preserve"> isolation</w:t>
      </w:r>
      <w:r w:rsidR="004F4775" w:rsidRPr="00F4115B">
        <w:rPr>
          <w:color w:val="00B050"/>
        </w:rPr>
        <w:t xml:space="preserve"> (NSPCC, 2022)</w:t>
      </w:r>
      <w:r w:rsidRPr="00F4115B">
        <w:rPr>
          <w:color w:val="00B050"/>
        </w:rPr>
        <w:t>.</w:t>
      </w:r>
      <w:r w:rsidR="007D3E3D" w:rsidRPr="00F4115B">
        <w:rPr>
          <w:color w:val="00B050"/>
        </w:rPr>
        <w:t xml:space="preserve"> </w:t>
      </w:r>
      <w:r w:rsidR="00E60C1E" w:rsidRPr="00F4115B">
        <w:rPr>
          <w:color w:val="00B050"/>
        </w:rPr>
        <w:t xml:space="preserve">Healthy relationships </w:t>
      </w:r>
      <w:r w:rsidR="00B84472">
        <w:rPr>
          <w:color w:val="00B050"/>
        </w:rPr>
        <w:t xml:space="preserve">supply </w:t>
      </w:r>
      <w:r w:rsidR="00E60C1E" w:rsidRPr="00F4115B">
        <w:rPr>
          <w:color w:val="00B050"/>
        </w:rPr>
        <w:t xml:space="preserve">a crucial </w:t>
      </w:r>
      <w:r w:rsidR="00A243BD">
        <w:rPr>
          <w:color w:val="00B050"/>
        </w:rPr>
        <w:t>part</w:t>
      </w:r>
      <w:r w:rsidR="00E60C1E" w:rsidRPr="00F4115B">
        <w:rPr>
          <w:color w:val="00B050"/>
        </w:rPr>
        <w:t xml:space="preserve"> in promoting children’s </w:t>
      </w:r>
      <w:r w:rsidR="00A243BD">
        <w:rPr>
          <w:color w:val="00B050"/>
        </w:rPr>
        <w:t>wellness</w:t>
      </w:r>
      <w:r w:rsidR="00E60C1E" w:rsidRPr="00F4115B">
        <w:rPr>
          <w:color w:val="00B050"/>
        </w:rPr>
        <w:t xml:space="preserve">, as increasing </w:t>
      </w:r>
      <w:proofErr w:type="spellStart"/>
      <w:r w:rsidR="00A243BD">
        <w:rPr>
          <w:color w:val="00B050"/>
        </w:rPr>
        <w:t>decleration</w:t>
      </w:r>
      <w:proofErr w:type="spellEnd"/>
      <w:r w:rsidR="00E60C1E" w:rsidRPr="00F4115B">
        <w:rPr>
          <w:color w:val="00B050"/>
        </w:rPr>
        <w:t xml:space="preserve"> have identified that neglect and parental inconsistencies in building a loving bond with the child may lead to mental health issues and quality of happiness in later life (Winston and Chicot, 2016). </w:t>
      </w:r>
    </w:p>
    <w:p w14:paraId="0B9C9275" w14:textId="77777777" w:rsidR="00DE1534" w:rsidRDefault="00DE1534" w:rsidP="00E60C1E"/>
    <w:p w14:paraId="7B8EAA7B" w14:textId="4714E67E" w:rsidR="00E60C1E" w:rsidRPr="00F4115B" w:rsidRDefault="00F4115B" w:rsidP="00E60C1E">
      <w:pPr>
        <w:rPr>
          <w:color w:val="00B050"/>
        </w:rPr>
      </w:pPr>
      <w:r w:rsidRPr="00F4115B">
        <w:rPr>
          <w:noProof/>
          <w:color w:val="00B050"/>
        </w:rPr>
        <mc:AlternateContent>
          <mc:Choice Requires="wps">
            <w:drawing>
              <wp:anchor distT="0" distB="0" distL="114300" distR="114300" simplePos="0" relativeHeight="251665408" behindDoc="0" locked="0" layoutInCell="1" allowOverlap="1" wp14:anchorId="66A2FF3E" wp14:editId="1B624A42">
                <wp:simplePos x="0" y="0"/>
                <wp:positionH relativeFrom="column">
                  <wp:posOffset>-397510</wp:posOffset>
                </wp:positionH>
                <wp:positionV relativeFrom="paragraph">
                  <wp:posOffset>-119380</wp:posOffset>
                </wp:positionV>
                <wp:extent cx="2263140" cy="342900"/>
                <wp:effectExtent l="0" t="0" r="10160" b="12700"/>
                <wp:wrapNone/>
                <wp:docPr id="11" name="Text Box 11"/>
                <wp:cNvGraphicFramePr/>
                <a:graphic xmlns:a="http://schemas.openxmlformats.org/drawingml/2006/main">
                  <a:graphicData uri="http://schemas.microsoft.com/office/word/2010/wordprocessingShape">
                    <wps:wsp>
                      <wps:cNvSpPr txBox="1"/>
                      <wps:spPr>
                        <a:xfrm>
                          <a:off x="0" y="0"/>
                          <a:ext cx="2263140" cy="342900"/>
                        </a:xfrm>
                        <a:prstGeom prst="rect">
                          <a:avLst/>
                        </a:prstGeom>
                        <a:solidFill>
                          <a:schemeClr val="lt1"/>
                        </a:solidFill>
                        <a:ln w="6350">
                          <a:solidFill>
                            <a:prstClr val="black"/>
                          </a:solidFill>
                        </a:ln>
                      </wps:spPr>
                      <wps:txbx>
                        <w:txbxContent>
                          <w:p w14:paraId="5CCED2CE" w14:textId="0F50CD84" w:rsidR="00F4115B" w:rsidRPr="00F4115B" w:rsidRDefault="00F4115B">
                            <w:pPr>
                              <w:rPr>
                                <w:b/>
                                <w:bCs/>
                              </w:rPr>
                            </w:pPr>
                            <w:r w:rsidRPr="00F4115B">
                              <w:rPr>
                                <w:b/>
                                <w:bCs/>
                                <w:highlight w:val="yellow"/>
                              </w:rPr>
                              <w:t>Thornton and Bootstrap (</w:t>
                            </w:r>
                            <w:proofErr w:type="spellStart"/>
                            <w:r w:rsidRPr="00F4115B">
                              <w:rPr>
                                <w:b/>
                                <w:bCs/>
                                <w:highlight w:val="yellow"/>
                              </w:rPr>
                              <w:t>n.d</w:t>
                            </w:r>
                            <w:proofErr w:type="spellEnd"/>
                            <w:r w:rsidRPr="00F4115B">
                              <w:rPr>
                                <w:b/>
                                <w:bCs/>
                                <w:highlight w:val="yellow"/>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A2FF3E" id="Text Box 11" o:spid="_x0000_s1027" type="#_x0000_t202" style="position:absolute;margin-left:-31.3pt;margin-top:-9.4pt;width:178.2pt;height:27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" fillcolor="white [3201]" strokeweight=".5pt">
                <v:textbox>
                  <w:txbxContent>
                    <w:p w14:paraId="5CCED2CE" w14:textId="0F50CD84" w:rsidR="00F4115B" w:rsidRPr="00F4115B" w:rsidRDefault="00F4115B">
                      <w:pPr>
                        <w:rPr>
                          <w:b/>
                          <w:bCs/>
                        </w:rPr>
                      </w:pPr>
                      <w:r w:rsidRPr="00F4115B">
                        <w:rPr>
                          <w:b/>
                          <w:bCs/>
                          <w:highlight w:val="yellow"/>
                        </w:rPr>
                        <w:t>Thornton and Bootstrap (</w:t>
                      </w:r>
                      <w:proofErr w:type="spellStart"/>
                      <w:r w:rsidRPr="00F4115B">
                        <w:rPr>
                          <w:b/>
                          <w:bCs/>
                          <w:highlight w:val="yellow"/>
                        </w:rPr>
                        <w:t>n.d</w:t>
                      </w:r>
                      <w:proofErr w:type="spellEnd"/>
                      <w:r w:rsidRPr="00F4115B">
                        <w:rPr>
                          <w:b/>
                          <w:bCs/>
                          <w:highlight w:val="yellow"/>
                        </w:rPr>
                        <w:t>)</w:t>
                      </w:r>
                    </w:p>
                  </w:txbxContent>
                </v:textbox>
              </v:shape>
            </w:pict>
          </mc:Fallback>
        </mc:AlternateContent>
      </w:r>
      <w:r w:rsidRPr="00F4115B">
        <w:rPr>
          <w:noProof/>
          <w:color w:val="00B050"/>
        </w:rPr>
        <w:drawing>
          <wp:anchor distT="0" distB="0" distL="114300" distR="114300" simplePos="0" relativeHeight="251664384" behindDoc="0" locked="0" layoutInCell="1" allowOverlap="1" wp14:anchorId="6A1DD856" wp14:editId="61D80E5F">
            <wp:simplePos x="0" y="0"/>
            <wp:positionH relativeFrom="column">
              <wp:posOffset>-400050</wp:posOffset>
            </wp:positionH>
            <wp:positionV relativeFrom="paragraph">
              <wp:posOffset>25400</wp:posOffset>
            </wp:positionV>
            <wp:extent cx="3497580" cy="2320290"/>
            <wp:effectExtent l="25400" t="25400" r="20320" b="29210"/>
            <wp:wrapSquare wrapText="bothSides"/>
            <wp:docPr id="10" name="Picture 10" descr="Montessori Apprentice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69" descr="Montessori Apprentice Acade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7580" cy="2320290"/>
                    </a:xfrm>
                    <a:prstGeom prst="rect">
                      <a:avLst/>
                    </a:prstGeom>
                    <a:noFill/>
                    <a:ln w="19050">
                      <a:solidFill>
                        <a:srgbClr val="00B050"/>
                      </a:solidFill>
                    </a:ln>
                  </pic:spPr>
                </pic:pic>
              </a:graphicData>
            </a:graphic>
            <wp14:sizeRelH relativeFrom="page">
              <wp14:pctWidth>0</wp14:pctWidth>
            </wp14:sizeRelH>
            <wp14:sizeRelV relativeFrom="page">
              <wp14:pctHeight>0</wp14:pctHeight>
            </wp14:sizeRelV>
          </wp:anchor>
        </w:drawing>
      </w:r>
      <w:r w:rsidR="00E60C1E" w:rsidRPr="00F4115B">
        <w:rPr>
          <w:color w:val="00B050"/>
        </w:rPr>
        <w:t xml:space="preserve">Theorist </w:t>
      </w:r>
      <w:r w:rsidR="00DE1534" w:rsidRPr="00F4115B">
        <w:rPr>
          <w:color w:val="00B050"/>
        </w:rPr>
        <w:t>Bowlby</w:t>
      </w:r>
      <w:r w:rsidR="00E60C1E" w:rsidRPr="00F4115B">
        <w:rPr>
          <w:color w:val="00B050"/>
        </w:rPr>
        <w:t xml:space="preserve"> voiced th</w:t>
      </w:r>
      <w:r w:rsidR="008C595B" w:rsidRPr="00F4115B">
        <w:rPr>
          <w:color w:val="00B050"/>
        </w:rPr>
        <w:t>e</w:t>
      </w:r>
      <w:r w:rsidR="00E60C1E" w:rsidRPr="00F4115B">
        <w:rPr>
          <w:color w:val="00B050"/>
        </w:rPr>
        <w:t xml:space="preserve"> need of children being supplied with good relationships as it supported their health, referring to the importance of attachment theory. </w:t>
      </w:r>
      <w:r w:rsidR="00DE1534" w:rsidRPr="00F4115B">
        <w:rPr>
          <w:color w:val="00B050"/>
        </w:rPr>
        <w:t>Bowlby’s</w:t>
      </w:r>
      <w:r w:rsidR="00E60C1E" w:rsidRPr="00F4115B">
        <w:rPr>
          <w:color w:val="00B050"/>
        </w:rPr>
        <w:t xml:space="preserve"> </w:t>
      </w:r>
      <w:r w:rsidR="00DE1534" w:rsidRPr="00F4115B">
        <w:rPr>
          <w:color w:val="00B050"/>
        </w:rPr>
        <w:t>attachment</w:t>
      </w:r>
      <w:r w:rsidR="00E60C1E" w:rsidRPr="00F4115B">
        <w:rPr>
          <w:color w:val="00B050"/>
        </w:rPr>
        <w:t xml:space="preserve"> theory </w:t>
      </w:r>
      <w:r w:rsidR="00B84472">
        <w:rPr>
          <w:color w:val="00B050"/>
        </w:rPr>
        <w:t>accentuates</w:t>
      </w:r>
      <w:r w:rsidR="00E60C1E" w:rsidRPr="00F4115B">
        <w:rPr>
          <w:color w:val="00B050"/>
        </w:rPr>
        <w:t xml:space="preserve"> the</w:t>
      </w:r>
      <w:r w:rsidR="00B84472">
        <w:rPr>
          <w:color w:val="00B050"/>
        </w:rPr>
        <w:t xml:space="preserve"> greatness </w:t>
      </w:r>
      <w:r w:rsidR="00E60C1E" w:rsidRPr="00F4115B">
        <w:rPr>
          <w:color w:val="00B050"/>
        </w:rPr>
        <w:t>of secure attachments between children and their caregivers for healthy development</w:t>
      </w:r>
      <w:r w:rsidR="004F4775" w:rsidRPr="00F4115B">
        <w:rPr>
          <w:color w:val="00B050"/>
        </w:rPr>
        <w:t xml:space="preserve"> (Fletcher and Gallichan, 2016)</w:t>
      </w:r>
      <w:r w:rsidR="00E60C1E" w:rsidRPr="00F4115B">
        <w:rPr>
          <w:color w:val="00B050"/>
        </w:rPr>
        <w:t xml:space="preserve">. </w:t>
      </w:r>
      <w:r w:rsidR="00DE1534" w:rsidRPr="00F4115B">
        <w:rPr>
          <w:color w:val="00B050"/>
        </w:rPr>
        <w:t>Bowlby</w:t>
      </w:r>
      <w:r w:rsidR="00E60C1E" w:rsidRPr="00F4115B">
        <w:rPr>
          <w:color w:val="00B050"/>
        </w:rPr>
        <w:t xml:space="preserve"> </w:t>
      </w:r>
      <w:r w:rsidRPr="00F4115B">
        <w:rPr>
          <w:color w:val="00B050"/>
        </w:rPr>
        <w:t>believed</w:t>
      </w:r>
      <w:r w:rsidR="00E60C1E" w:rsidRPr="00F4115B">
        <w:rPr>
          <w:color w:val="00B050"/>
        </w:rPr>
        <w:t xml:space="preserve"> that there was a critical period for the formation of attachment</w:t>
      </w:r>
      <w:r w:rsidRPr="00F4115B">
        <w:rPr>
          <w:color w:val="00B050"/>
        </w:rPr>
        <w:t xml:space="preserve">, which was </w:t>
      </w:r>
      <w:r w:rsidR="00E60C1E" w:rsidRPr="00F4115B">
        <w:rPr>
          <w:color w:val="00B050"/>
        </w:rPr>
        <w:t xml:space="preserve">during infancy, early attachment provided </w:t>
      </w:r>
      <w:r w:rsidR="008C595B" w:rsidRPr="00F4115B">
        <w:rPr>
          <w:color w:val="00B050"/>
        </w:rPr>
        <w:t>is</w:t>
      </w:r>
      <w:r w:rsidR="00E60C1E" w:rsidRPr="00F4115B">
        <w:rPr>
          <w:color w:val="00B050"/>
        </w:rPr>
        <w:t xml:space="preserve"> believed to have significant and an enduring </w:t>
      </w:r>
      <w:r w:rsidR="00A243BD">
        <w:rPr>
          <w:color w:val="00B050"/>
        </w:rPr>
        <w:t xml:space="preserve">influence </w:t>
      </w:r>
      <w:r w:rsidR="00E60C1E" w:rsidRPr="00F4115B">
        <w:rPr>
          <w:color w:val="00B050"/>
        </w:rPr>
        <w:t>on a child’s social and emotional development</w:t>
      </w:r>
      <w:r w:rsidR="004F4775" w:rsidRPr="00F4115B">
        <w:rPr>
          <w:color w:val="00B050"/>
        </w:rPr>
        <w:t xml:space="preserve"> (Van Rosmalen </w:t>
      </w:r>
      <w:r w:rsidR="004F4775" w:rsidRPr="00F4115B">
        <w:rPr>
          <w:i/>
          <w:iCs/>
          <w:color w:val="00B050"/>
        </w:rPr>
        <w:t>et al.,</w:t>
      </w:r>
      <w:r w:rsidR="004F4775" w:rsidRPr="00F4115B">
        <w:rPr>
          <w:color w:val="00B050"/>
        </w:rPr>
        <w:t xml:space="preserve"> 2016)</w:t>
      </w:r>
      <w:r w:rsidR="00E60C1E" w:rsidRPr="00F4115B">
        <w:rPr>
          <w:color w:val="00B050"/>
        </w:rPr>
        <w:t xml:space="preserve">. Caregivers serve as a </w:t>
      </w:r>
      <w:r w:rsidR="00A243BD">
        <w:rPr>
          <w:color w:val="00B050"/>
        </w:rPr>
        <w:t>dependable</w:t>
      </w:r>
      <w:r w:rsidR="00E60C1E" w:rsidRPr="00F4115B">
        <w:rPr>
          <w:color w:val="00B050"/>
        </w:rPr>
        <w:t xml:space="preserve"> </w:t>
      </w:r>
      <w:r w:rsidR="00A243BD">
        <w:rPr>
          <w:color w:val="00B050"/>
        </w:rPr>
        <w:t>foundation</w:t>
      </w:r>
      <w:r w:rsidR="00E60C1E" w:rsidRPr="00F4115B">
        <w:rPr>
          <w:color w:val="00B050"/>
        </w:rPr>
        <w:t xml:space="preserve"> </w:t>
      </w:r>
      <w:r w:rsidR="00A243BD">
        <w:rPr>
          <w:color w:val="00B050"/>
        </w:rPr>
        <w:t xml:space="preserve">where </w:t>
      </w:r>
      <w:r w:rsidR="00E60C1E" w:rsidRPr="00F4115B">
        <w:rPr>
          <w:color w:val="00B050"/>
        </w:rPr>
        <w:t xml:space="preserve">children can </w:t>
      </w:r>
      <w:r w:rsidR="00A243BD">
        <w:rPr>
          <w:color w:val="00B050"/>
        </w:rPr>
        <w:t>inspect</w:t>
      </w:r>
      <w:r w:rsidR="00E60C1E" w:rsidRPr="00F4115B">
        <w:rPr>
          <w:color w:val="00B050"/>
        </w:rPr>
        <w:t xml:space="preserve"> their </w:t>
      </w:r>
      <w:r w:rsidR="00A243BD">
        <w:rPr>
          <w:color w:val="00B050"/>
        </w:rPr>
        <w:t>surroundings</w:t>
      </w:r>
      <w:r w:rsidR="00E60C1E" w:rsidRPr="00F4115B">
        <w:rPr>
          <w:color w:val="00B050"/>
        </w:rPr>
        <w:t xml:space="preserve"> and seek co</w:t>
      </w:r>
      <w:r w:rsidR="00A243BD">
        <w:rPr>
          <w:color w:val="00B050"/>
        </w:rPr>
        <w:t>nsolation</w:t>
      </w:r>
      <w:r w:rsidR="00E60C1E" w:rsidRPr="00F4115B">
        <w:rPr>
          <w:color w:val="00B050"/>
        </w:rPr>
        <w:t xml:space="preserve"> and support when needed. Research suggests that positive social connections with caregivers are associated with improved knowledge of physical health outcomes in children, as supportive relationships may promote behaviours such as exercise, healthy eating and a balanced lifestyle</w:t>
      </w:r>
      <w:r w:rsidR="004F4775" w:rsidRPr="00F4115B">
        <w:rPr>
          <w:color w:val="00B050"/>
        </w:rPr>
        <w:t xml:space="preserve"> (Lin, 2018)</w:t>
      </w:r>
      <w:r w:rsidR="00E60C1E" w:rsidRPr="00F4115B">
        <w:rPr>
          <w:color w:val="00B050"/>
        </w:rPr>
        <w:t xml:space="preserve">. </w:t>
      </w:r>
      <w:r w:rsidRPr="00F4115B">
        <w:rPr>
          <w:color w:val="00B050"/>
        </w:rPr>
        <w:t xml:space="preserve">Health shapes cognitive abilities, influencing everything from brain structure to functional capabilities, the brain requires a continuous supply of nutrients, such as iron, iodine and glucose, to function optimally (Goyal </w:t>
      </w:r>
      <w:r w:rsidRPr="00F4115B">
        <w:rPr>
          <w:i/>
          <w:iCs/>
          <w:color w:val="00B050"/>
        </w:rPr>
        <w:t>et al.,</w:t>
      </w:r>
      <w:r w:rsidRPr="00F4115B">
        <w:rPr>
          <w:color w:val="00B050"/>
        </w:rPr>
        <w:t xml:space="preserve"> 2015). </w:t>
      </w:r>
      <w:r w:rsidR="00E60C1E" w:rsidRPr="00F4115B">
        <w:rPr>
          <w:color w:val="00B050"/>
        </w:rPr>
        <w:t>The impact of glucose can have effects towards not only cognitive development and performance, but a child’s mood and behaviour. There is ongoing research into the relationship between glucose metabolism and attention disorders, such as ADHD</w:t>
      </w:r>
      <w:r w:rsidR="004F4775" w:rsidRPr="00F4115B">
        <w:rPr>
          <w:color w:val="00B050"/>
        </w:rPr>
        <w:t xml:space="preserve"> (Landau and Pinhas-Hamiel, 2019)</w:t>
      </w:r>
      <w:r w:rsidR="00E60C1E" w:rsidRPr="00F4115B">
        <w:rPr>
          <w:color w:val="00B050"/>
        </w:rPr>
        <w:t>. Studies show that the imbalances in glucose levels may exacerbate symptoms of hyperactivity and inattention, suggesting that the need for a managed diet within children that ensures stable glucose may be beneficial for managing these symptoms</w:t>
      </w:r>
      <w:r w:rsidR="004F4775" w:rsidRPr="00F4115B">
        <w:rPr>
          <w:color w:val="00B050"/>
        </w:rPr>
        <w:t xml:space="preserve"> (Lukovac </w:t>
      </w:r>
      <w:r w:rsidR="004F4775" w:rsidRPr="00F4115B">
        <w:rPr>
          <w:i/>
          <w:iCs/>
          <w:color w:val="00B050"/>
        </w:rPr>
        <w:t>et al.,</w:t>
      </w:r>
      <w:r w:rsidR="004F4775" w:rsidRPr="00F4115B">
        <w:rPr>
          <w:color w:val="00B050"/>
        </w:rPr>
        <w:t xml:space="preserve"> 2024)</w:t>
      </w:r>
      <w:r w:rsidR="00E60C1E" w:rsidRPr="00F4115B">
        <w:rPr>
          <w:color w:val="00B050"/>
        </w:rPr>
        <w:t xml:space="preserve">. </w:t>
      </w:r>
    </w:p>
    <w:p w14:paraId="3658F05F" w14:textId="2B2F32FC" w:rsidR="00855944" w:rsidRPr="008C595B" w:rsidRDefault="00855944"/>
    <w:p w14:paraId="714A6B8E" w14:textId="3B2EE0C5" w:rsidR="00E60C1E" w:rsidRPr="00F4115B" w:rsidRDefault="00E60C1E">
      <w:pPr>
        <w:rPr>
          <w:b/>
          <w:bCs/>
          <w:i/>
          <w:iCs/>
          <w:color w:val="FF0000"/>
          <w:u w:val="single"/>
        </w:rPr>
      </w:pPr>
      <w:r w:rsidRPr="00F4115B">
        <w:rPr>
          <w:b/>
          <w:bCs/>
          <w:i/>
          <w:iCs/>
          <w:color w:val="FF0000"/>
          <w:u w:val="single"/>
        </w:rPr>
        <w:t>Wellbeing</w:t>
      </w:r>
    </w:p>
    <w:p w14:paraId="2E794B7E" w14:textId="3A8172E6" w:rsidR="00E60C1E" w:rsidRPr="00F4115B" w:rsidRDefault="00E60C1E">
      <w:pPr>
        <w:rPr>
          <w:color w:val="FF0000"/>
        </w:rPr>
      </w:pPr>
      <w:r w:rsidRPr="00F4115B">
        <w:rPr>
          <w:color w:val="FF0000"/>
        </w:rPr>
        <w:t xml:space="preserve">Wellbeing </w:t>
      </w:r>
      <w:r w:rsidR="00B84472">
        <w:rPr>
          <w:color w:val="FF0000"/>
        </w:rPr>
        <w:t>alludes</w:t>
      </w:r>
      <w:r w:rsidRPr="00F4115B">
        <w:rPr>
          <w:color w:val="FF0000"/>
        </w:rPr>
        <w:t xml:space="preserve"> to the overall state of health, </w:t>
      </w:r>
      <w:r w:rsidR="00B84472">
        <w:rPr>
          <w:color w:val="FF0000"/>
        </w:rPr>
        <w:t>pleasure</w:t>
      </w:r>
      <w:r w:rsidRPr="00F4115B">
        <w:rPr>
          <w:color w:val="FF0000"/>
        </w:rPr>
        <w:t xml:space="preserve">, and prosperity experienced by an individual. Wellbeing is influenced by factors such as physical health, mental and emotional </w:t>
      </w:r>
      <w:r w:rsidR="00DE1534" w:rsidRPr="00F4115B">
        <w:rPr>
          <w:color w:val="FF0000"/>
        </w:rPr>
        <w:t>resilience</w:t>
      </w:r>
      <w:r w:rsidRPr="00F4115B">
        <w:rPr>
          <w:color w:val="FF0000"/>
        </w:rPr>
        <w:t xml:space="preserve">, social relationships and a sense of </w:t>
      </w:r>
      <w:r w:rsidR="00A243BD">
        <w:rPr>
          <w:color w:val="FF0000"/>
        </w:rPr>
        <w:t>determination</w:t>
      </w:r>
      <w:r w:rsidRPr="00F4115B">
        <w:rPr>
          <w:color w:val="FF0000"/>
        </w:rPr>
        <w:t xml:space="preserve"> and meaning</w:t>
      </w:r>
      <w:r w:rsidR="004F4775" w:rsidRPr="00F4115B">
        <w:rPr>
          <w:color w:val="FF0000"/>
        </w:rPr>
        <w:t xml:space="preserve"> (World Health Organisation, 2022)</w:t>
      </w:r>
      <w:r w:rsidRPr="00F4115B">
        <w:rPr>
          <w:color w:val="FF0000"/>
        </w:rPr>
        <w:t xml:space="preserve">. Wellbeing is subjective and can vary greatly from each individual, but it generally reflects a </w:t>
      </w:r>
      <w:r w:rsidR="00A243BD">
        <w:rPr>
          <w:color w:val="FF0000"/>
        </w:rPr>
        <w:t xml:space="preserve">perception </w:t>
      </w:r>
      <w:r w:rsidRPr="00F4115B">
        <w:rPr>
          <w:color w:val="FF0000"/>
        </w:rPr>
        <w:t xml:space="preserve">of fulfilment, satisfaction, and balance in one’s </w:t>
      </w:r>
      <w:r w:rsidR="00A243BD">
        <w:rPr>
          <w:color w:val="FF0000"/>
        </w:rPr>
        <w:t>existence</w:t>
      </w:r>
      <w:r w:rsidR="004F4775" w:rsidRPr="00F4115B">
        <w:rPr>
          <w:color w:val="FF0000"/>
        </w:rPr>
        <w:t xml:space="preserve"> (NHS, 2022)</w:t>
      </w:r>
      <w:r w:rsidRPr="00F4115B">
        <w:rPr>
          <w:color w:val="FF0000"/>
        </w:rPr>
        <w:t xml:space="preserve">. </w:t>
      </w:r>
      <w:r w:rsidR="00DE1534" w:rsidRPr="00F4115B">
        <w:rPr>
          <w:color w:val="FF0000"/>
        </w:rPr>
        <w:t>Achieving</w:t>
      </w:r>
      <w:r w:rsidRPr="00F4115B">
        <w:rPr>
          <w:color w:val="FF0000"/>
        </w:rPr>
        <w:t xml:space="preserve"> and maintaining wellbeing often involves adopting a healthy lifestyle, nurturing positive relationships, managing stress </w:t>
      </w:r>
      <w:r w:rsidR="00DE1534" w:rsidRPr="00F4115B">
        <w:rPr>
          <w:color w:val="FF0000"/>
        </w:rPr>
        <w:t>effectively</w:t>
      </w:r>
      <w:r w:rsidRPr="00F4115B">
        <w:rPr>
          <w:color w:val="FF0000"/>
        </w:rPr>
        <w:t xml:space="preserve"> and pursuing opportunities that bring joy and fulfilment</w:t>
      </w:r>
      <w:r w:rsidR="004F4775" w:rsidRPr="00F4115B">
        <w:rPr>
          <w:color w:val="FF0000"/>
        </w:rPr>
        <w:t xml:space="preserve"> (Ruggeri </w:t>
      </w:r>
      <w:r w:rsidR="004F4775" w:rsidRPr="00F4115B">
        <w:rPr>
          <w:i/>
          <w:iCs/>
          <w:color w:val="FF0000"/>
        </w:rPr>
        <w:t>et al.,</w:t>
      </w:r>
      <w:r w:rsidR="004F4775" w:rsidRPr="00F4115B">
        <w:rPr>
          <w:color w:val="FF0000"/>
        </w:rPr>
        <w:t xml:space="preserve"> 2020)</w:t>
      </w:r>
      <w:r w:rsidRPr="00F4115B">
        <w:rPr>
          <w:color w:val="FF0000"/>
        </w:rPr>
        <w:t xml:space="preserve">. The holistic nature of wellbeing recognises that it is not solely determined by one aspect of life, but by a </w:t>
      </w:r>
      <w:r w:rsidRPr="00F4115B">
        <w:rPr>
          <w:color w:val="FF0000"/>
        </w:rPr>
        <w:lastRenderedPageBreak/>
        <w:t>combination of physical, mental, emotional, social and spiritual factors</w:t>
      </w:r>
      <w:r w:rsidR="004F4775" w:rsidRPr="00F4115B">
        <w:rPr>
          <w:color w:val="FF0000"/>
        </w:rPr>
        <w:t xml:space="preserve"> (Holland, 2018).</w:t>
      </w:r>
      <w:r w:rsidRPr="00F4115B">
        <w:rPr>
          <w:color w:val="FF0000"/>
        </w:rPr>
        <w:t xml:space="preserve"> </w:t>
      </w:r>
      <w:r w:rsidR="00A243BD">
        <w:rPr>
          <w:color w:val="FF0000"/>
        </w:rPr>
        <w:t>Primary</w:t>
      </w:r>
      <w:r w:rsidRPr="00F4115B">
        <w:rPr>
          <w:color w:val="FF0000"/>
        </w:rPr>
        <w:t xml:space="preserve"> childhood is a </w:t>
      </w:r>
      <w:r w:rsidR="00A243BD">
        <w:rPr>
          <w:color w:val="FF0000"/>
        </w:rPr>
        <w:t>duration</w:t>
      </w:r>
      <w:r w:rsidRPr="00F4115B">
        <w:rPr>
          <w:color w:val="FF0000"/>
        </w:rPr>
        <w:t xml:space="preserve"> for forming secure attachments and positive relationships with caregivers, family members and peers</w:t>
      </w:r>
      <w:r w:rsidR="004F4775" w:rsidRPr="00F4115B">
        <w:rPr>
          <w:color w:val="FF0000"/>
        </w:rPr>
        <w:t xml:space="preserve"> (Opie </w:t>
      </w:r>
      <w:r w:rsidR="004F4775" w:rsidRPr="00F4115B">
        <w:rPr>
          <w:i/>
          <w:iCs/>
          <w:color w:val="FF0000"/>
        </w:rPr>
        <w:t>et al.,</w:t>
      </w:r>
      <w:r w:rsidR="004F4775" w:rsidRPr="00F4115B">
        <w:rPr>
          <w:color w:val="FF0000"/>
        </w:rPr>
        <w:t xml:space="preserve"> 2020)</w:t>
      </w:r>
      <w:r w:rsidRPr="00F4115B">
        <w:rPr>
          <w:color w:val="FF0000"/>
        </w:rPr>
        <w:t>. Wellbeing during this time supports the development of secure attachment bonds, providing children with a sense of safety, security and emotional connections, fundamentally laying the path for healthy relationships throughout life</w:t>
      </w:r>
      <w:r w:rsidR="004F4775" w:rsidRPr="00F4115B">
        <w:rPr>
          <w:color w:val="FF0000"/>
        </w:rPr>
        <w:t xml:space="preserve"> (Lewis, 2019)</w:t>
      </w:r>
      <w:r w:rsidRPr="00F4115B">
        <w:rPr>
          <w:color w:val="FF0000"/>
        </w:rPr>
        <w:t xml:space="preserve">. </w:t>
      </w:r>
      <w:r w:rsidRPr="00F4115B">
        <w:rPr>
          <w:color w:val="FF0000"/>
        </w:rPr>
        <w:t xml:space="preserve">According to research undertaken by Jirout </w:t>
      </w:r>
      <w:r w:rsidRPr="00F4115B">
        <w:rPr>
          <w:i/>
          <w:iCs/>
          <w:color w:val="FF0000"/>
        </w:rPr>
        <w:t>et al.,</w:t>
      </w:r>
      <w:r w:rsidRPr="00F4115B">
        <w:rPr>
          <w:color w:val="FF0000"/>
        </w:rPr>
        <w:t xml:space="preserve"> (2019), </w:t>
      </w:r>
      <w:r w:rsidR="00A243BD">
        <w:rPr>
          <w:color w:val="FF0000"/>
        </w:rPr>
        <w:t>grasping</w:t>
      </w:r>
      <w:r w:rsidRPr="00F4115B">
        <w:rPr>
          <w:color w:val="FF0000"/>
        </w:rPr>
        <w:t xml:space="preserve"> children’s health and wellbeing through the lens of the ecological model provides a comprehensive view of how various environmental systems interact to shape </w:t>
      </w:r>
      <w:r w:rsidR="00F4115B" w:rsidRPr="00F4115B">
        <w:rPr>
          <w:color w:val="FF0000"/>
        </w:rPr>
        <w:fldChar w:fldCharType="begin"/>
      </w:r>
      <w:r w:rsidR="00F4115B" w:rsidRPr="00F4115B">
        <w:rPr>
          <w:color w:val="FF0000"/>
        </w:rPr>
        <w:instrText xml:space="preserve"> INCLUDEPICTURE "/var/folders/dq/rtb2lnzj6lqcfp9xdb6zxh100000gn/T/com.microsoft.Word/WebArchiveCopyPasteTempFiles/Ecological-Theory-1024x1024-1.png" \* MERGEFORMATINET </w:instrText>
      </w:r>
      <w:r w:rsidR="00F4115B" w:rsidRPr="00F4115B">
        <w:rPr>
          <w:color w:val="FF0000"/>
        </w:rPr>
        <w:fldChar w:fldCharType="separate"/>
      </w:r>
      <w:r w:rsidR="00F4115B" w:rsidRPr="00F4115B">
        <w:rPr>
          <w:color w:val="FF0000"/>
        </w:rPr>
        <w:fldChar w:fldCharType="end"/>
      </w:r>
      <w:r w:rsidRPr="00F4115B">
        <w:rPr>
          <w:color w:val="FF0000"/>
        </w:rPr>
        <w:t xml:space="preserve">children’s development. The ecological model, introduced by Bronfenbrenner, is highly relevant to children’s health as it recognises that children’s </w:t>
      </w:r>
      <w:r w:rsidR="00F4115B" w:rsidRPr="00F4115B">
        <w:rPr>
          <w:noProof/>
          <w:color w:val="FF0000"/>
        </w:rPr>
        <w:drawing>
          <wp:anchor distT="0" distB="0" distL="114300" distR="114300" simplePos="0" relativeHeight="251662336" behindDoc="0" locked="0" layoutInCell="1" allowOverlap="1" wp14:anchorId="2FCAC308" wp14:editId="6E142457">
            <wp:simplePos x="0" y="0"/>
            <wp:positionH relativeFrom="column">
              <wp:posOffset>3246120</wp:posOffset>
            </wp:positionH>
            <wp:positionV relativeFrom="paragraph">
              <wp:posOffset>377190</wp:posOffset>
            </wp:positionV>
            <wp:extent cx="2736850" cy="2736850"/>
            <wp:effectExtent l="25400" t="25400" r="31750" b="31750"/>
            <wp:wrapSquare wrapText="bothSides"/>
            <wp:docPr id="6" name="Picture 6" descr="Ecological Theory – The Whole Child: Development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cological Theory – The Whole Child: Development in the Early Yea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6850" cy="2736850"/>
                    </a:xfrm>
                    <a:prstGeom prst="rect">
                      <a:avLst/>
                    </a:prstGeom>
                    <a:noFill/>
                    <a:ln w="19050">
                      <a:solidFill>
                        <a:srgbClr val="FF0000"/>
                      </a:solidFill>
                    </a:ln>
                  </pic:spPr>
                </pic:pic>
              </a:graphicData>
            </a:graphic>
            <wp14:sizeRelH relativeFrom="page">
              <wp14:pctWidth>0</wp14:pctWidth>
            </wp14:sizeRelH>
            <wp14:sizeRelV relativeFrom="page">
              <wp14:pctHeight>0</wp14:pctHeight>
            </wp14:sizeRelV>
          </wp:anchor>
        </w:drawing>
      </w:r>
      <w:r w:rsidRPr="00F4115B">
        <w:rPr>
          <w:color w:val="FF0000"/>
        </w:rPr>
        <w:t>wellbeing is influenced by the complex interplay between a child and their surrounding environments</w:t>
      </w:r>
      <w:r w:rsidR="004F4775" w:rsidRPr="00F4115B">
        <w:rPr>
          <w:color w:val="FF0000"/>
        </w:rPr>
        <w:t xml:space="preserve"> (Eriksson et al., 2018)</w:t>
      </w:r>
      <w:r w:rsidRPr="00F4115B">
        <w:rPr>
          <w:color w:val="FF0000"/>
        </w:rPr>
        <w:t xml:space="preserve">, from immediate family, nursery settings and schools to broader societal influences. </w:t>
      </w:r>
      <w:proofErr w:type="spellStart"/>
      <w:r w:rsidRPr="00F4115B">
        <w:rPr>
          <w:color w:val="FF0000"/>
        </w:rPr>
        <w:t>Eudaimonic</w:t>
      </w:r>
      <w:proofErr w:type="spellEnd"/>
      <w:r w:rsidRPr="00F4115B">
        <w:rPr>
          <w:color w:val="FF0000"/>
        </w:rPr>
        <w:t xml:space="preserve"> wellbeing is a concept rooted in Greek philosophy, which refers to flourishing or living in accordance with one’s true nature and potential</w:t>
      </w:r>
      <w:r w:rsidR="004F4775" w:rsidRPr="00F4115B">
        <w:rPr>
          <w:color w:val="FF0000"/>
        </w:rPr>
        <w:t xml:space="preserve"> (Ryff </w:t>
      </w:r>
      <w:r w:rsidR="004F4775" w:rsidRPr="00F4115B">
        <w:rPr>
          <w:i/>
          <w:iCs/>
          <w:color w:val="FF0000"/>
        </w:rPr>
        <w:t xml:space="preserve">et al., </w:t>
      </w:r>
      <w:r w:rsidR="004F4775" w:rsidRPr="00F4115B">
        <w:rPr>
          <w:color w:val="FF0000"/>
        </w:rPr>
        <w:t>2021)</w:t>
      </w:r>
      <w:r w:rsidRPr="00F4115B">
        <w:rPr>
          <w:color w:val="FF0000"/>
        </w:rPr>
        <w:t>. Eudaimonic wellbeing is a deeper and more meaningful form of wellbeing beyond mere happiness or pleasure. It focusses on the pursuit of personal growth, fulfilment, and the realisation of one’s abilities</w:t>
      </w:r>
      <w:r w:rsidR="004F4775" w:rsidRPr="00F4115B">
        <w:rPr>
          <w:color w:val="FF0000"/>
        </w:rPr>
        <w:t xml:space="preserve"> (</w:t>
      </w:r>
      <w:proofErr w:type="spellStart"/>
      <w:r w:rsidR="004F4775" w:rsidRPr="00F4115B">
        <w:rPr>
          <w:color w:val="FF0000"/>
        </w:rPr>
        <w:t>Disabato</w:t>
      </w:r>
      <w:proofErr w:type="spellEnd"/>
      <w:r w:rsidR="004F4775" w:rsidRPr="00F4115B">
        <w:rPr>
          <w:color w:val="FF0000"/>
        </w:rPr>
        <w:t xml:space="preserve"> </w:t>
      </w:r>
      <w:r w:rsidR="004F4775" w:rsidRPr="00F4115B">
        <w:rPr>
          <w:i/>
          <w:iCs/>
          <w:color w:val="FF0000"/>
        </w:rPr>
        <w:t>et al.,</w:t>
      </w:r>
      <w:r w:rsidR="004F4775" w:rsidRPr="00F4115B">
        <w:rPr>
          <w:color w:val="FF0000"/>
        </w:rPr>
        <w:t xml:space="preserve"> 2016)</w:t>
      </w:r>
      <w:r w:rsidRPr="00F4115B">
        <w:rPr>
          <w:color w:val="FF0000"/>
        </w:rPr>
        <w:t xml:space="preserve">. A second form of wellbeing is, hedonic. Hedonic wellbeing focusses on the pursuit of pleasure, happiness and satisfaction in life. It has advanced in the idea that </w:t>
      </w:r>
      <w:r w:rsidR="00F4115B" w:rsidRPr="00F4115B">
        <w:rPr>
          <w:noProof/>
          <w:color w:val="FF0000"/>
        </w:rPr>
        <mc:AlternateContent>
          <mc:Choice Requires="wps">
            <w:drawing>
              <wp:anchor distT="0" distB="0" distL="114300" distR="114300" simplePos="0" relativeHeight="251663360" behindDoc="0" locked="0" layoutInCell="1" allowOverlap="1" wp14:anchorId="79534B08" wp14:editId="23DADA72">
                <wp:simplePos x="0" y="0"/>
                <wp:positionH relativeFrom="column">
                  <wp:posOffset>5703570</wp:posOffset>
                </wp:positionH>
                <wp:positionV relativeFrom="paragraph">
                  <wp:posOffset>2494280</wp:posOffset>
                </wp:positionV>
                <wp:extent cx="651510" cy="617220"/>
                <wp:effectExtent l="0" t="0" r="8890" b="17780"/>
                <wp:wrapNone/>
                <wp:docPr id="7" name="Text Box 7"/>
                <wp:cNvGraphicFramePr/>
                <a:graphic xmlns:a="http://schemas.openxmlformats.org/drawingml/2006/main">
                  <a:graphicData uri="http://schemas.microsoft.com/office/word/2010/wordprocessingShape">
                    <wps:wsp>
                      <wps:cNvSpPr txBox="1"/>
                      <wps:spPr>
                        <a:xfrm>
                          <a:off x="0" y="0"/>
                          <a:ext cx="651510" cy="617220"/>
                        </a:xfrm>
                        <a:prstGeom prst="rect">
                          <a:avLst/>
                        </a:prstGeom>
                        <a:solidFill>
                          <a:schemeClr val="lt1"/>
                        </a:solidFill>
                        <a:ln w="6350">
                          <a:solidFill>
                            <a:prstClr val="black"/>
                          </a:solidFill>
                        </a:ln>
                      </wps:spPr>
                      <wps:txbx>
                        <w:txbxContent>
                          <w:p w14:paraId="13570DCC" w14:textId="7F020F16" w:rsidR="00F4115B" w:rsidRPr="00F4115B" w:rsidRDefault="00F4115B">
                            <w:pPr>
                              <w:rPr>
                                <w:b/>
                                <w:bCs/>
                                <w:sz w:val="18"/>
                                <w:szCs w:val="18"/>
                              </w:rPr>
                            </w:pPr>
                            <w:r w:rsidRPr="00F4115B">
                              <w:rPr>
                                <w:b/>
                                <w:bCs/>
                                <w:sz w:val="18"/>
                                <w:szCs w:val="18"/>
                                <w:highlight w:val="yellow"/>
                              </w:rPr>
                              <w:t xml:space="preserve">Buckley and </w:t>
                            </w:r>
                            <w:proofErr w:type="spellStart"/>
                            <w:r w:rsidRPr="00F4115B">
                              <w:rPr>
                                <w:b/>
                                <w:bCs/>
                                <w:sz w:val="18"/>
                                <w:szCs w:val="18"/>
                                <w:highlight w:val="yellow"/>
                              </w:rPr>
                              <w:t>Budzyna</w:t>
                            </w:r>
                            <w:proofErr w:type="spellEnd"/>
                            <w:r w:rsidRPr="00F4115B">
                              <w:rPr>
                                <w:b/>
                                <w:bCs/>
                                <w:sz w:val="18"/>
                                <w:szCs w:val="18"/>
                                <w:highlight w:val="yellow"/>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34B08" id="Text Box 7" o:spid="_x0000_s1028" type="#_x0000_t202" style="position:absolute;margin-left:449.1pt;margin-top:196.4pt;width:51.3pt;height:48.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" fillcolor="white [3201]" strokeweight=".5pt">
                <v:textbox>
                  <w:txbxContent>
                    <w:p w14:paraId="13570DCC" w14:textId="7F020F16" w:rsidR="00F4115B" w:rsidRPr="00F4115B" w:rsidRDefault="00F4115B">
                      <w:pPr>
                        <w:rPr>
                          <w:b/>
                          <w:bCs/>
                          <w:sz w:val="18"/>
                          <w:szCs w:val="18"/>
                        </w:rPr>
                      </w:pPr>
                      <w:r w:rsidRPr="00F4115B">
                        <w:rPr>
                          <w:b/>
                          <w:bCs/>
                          <w:sz w:val="18"/>
                          <w:szCs w:val="18"/>
                          <w:highlight w:val="yellow"/>
                        </w:rPr>
                        <w:t xml:space="preserve">Buckley and </w:t>
                      </w:r>
                      <w:proofErr w:type="spellStart"/>
                      <w:r w:rsidRPr="00F4115B">
                        <w:rPr>
                          <w:b/>
                          <w:bCs/>
                          <w:sz w:val="18"/>
                          <w:szCs w:val="18"/>
                          <w:highlight w:val="yellow"/>
                        </w:rPr>
                        <w:t>Budzyna</w:t>
                      </w:r>
                      <w:proofErr w:type="spellEnd"/>
                      <w:r w:rsidRPr="00F4115B">
                        <w:rPr>
                          <w:b/>
                          <w:bCs/>
                          <w:sz w:val="18"/>
                          <w:szCs w:val="18"/>
                          <w:highlight w:val="yellow"/>
                        </w:rPr>
                        <w:t xml:space="preserve"> (2023)</w:t>
                      </w:r>
                    </w:p>
                  </w:txbxContent>
                </v:textbox>
              </v:shape>
            </w:pict>
          </mc:Fallback>
        </mc:AlternateContent>
      </w:r>
      <w:r w:rsidRPr="00F4115B">
        <w:rPr>
          <w:color w:val="FF0000"/>
        </w:rPr>
        <w:t xml:space="preserve">wellbeing is primarily determined by the </w:t>
      </w:r>
      <w:r w:rsidR="00A243BD">
        <w:rPr>
          <w:color w:val="FF0000"/>
        </w:rPr>
        <w:t>attendance</w:t>
      </w:r>
      <w:r w:rsidRPr="00F4115B">
        <w:rPr>
          <w:color w:val="FF0000"/>
        </w:rPr>
        <w:t xml:space="preserve"> of positive experiences and </w:t>
      </w:r>
      <w:r w:rsidR="00A243BD">
        <w:rPr>
          <w:color w:val="FF0000"/>
        </w:rPr>
        <w:t>non-attendance</w:t>
      </w:r>
      <w:r w:rsidRPr="00F4115B">
        <w:rPr>
          <w:color w:val="FF0000"/>
        </w:rPr>
        <w:t xml:space="preserve"> of negative</w:t>
      </w:r>
      <w:r w:rsidR="004F4775" w:rsidRPr="00F4115B">
        <w:rPr>
          <w:color w:val="FF0000"/>
        </w:rPr>
        <w:t xml:space="preserve"> (Lee </w:t>
      </w:r>
      <w:r w:rsidR="004F4775" w:rsidRPr="00F4115B">
        <w:rPr>
          <w:i/>
          <w:iCs/>
          <w:color w:val="FF0000"/>
        </w:rPr>
        <w:t>et al</w:t>
      </w:r>
      <w:r w:rsidR="004F4775" w:rsidRPr="00F4115B">
        <w:rPr>
          <w:color w:val="FF0000"/>
        </w:rPr>
        <w:t>., 2021)</w:t>
      </w:r>
      <w:r w:rsidRPr="00F4115B">
        <w:rPr>
          <w:color w:val="FF0000"/>
        </w:rPr>
        <w:t>. Hedonic emphasises the importance of maximising pleasure and reducing pain or discomfort in order to achieve happiness.</w:t>
      </w:r>
      <w:r w:rsidR="00631FD1" w:rsidRPr="00F4115B">
        <w:rPr>
          <w:color w:val="FF0000"/>
        </w:rPr>
        <w:t xml:space="preserve"> Children may express a variety of factors that contribute to their wellbeing based on their experiences, preferences and individual needs (Fattore and Mason, 2017). Children enjoy engaging within play, participating in activities that they find enjoyment and stimulating. Playful experiences such as outdoor and imaginative play, bring excitement and joy to their lives (Brogaard-Clausen and Robson, 2019). The child being able to express themselves, feeling safe, creating healthy relationships, being heard and valued, having a sense of belonging and inclusion, are all perspectives needed to be taken into consideration when supporting a child’s wellbeing, </w:t>
      </w:r>
      <w:r w:rsidR="00631FD1" w:rsidRPr="00F4115B">
        <w:rPr>
          <w:color w:val="FF0000"/>
        </w:rPr>
        <w:t>it is necessary to let the children express their own thoughts and emotions about happiness</w:t>
      </w:r>
      <w:r w:rsidR="00631FD1" w:rsidRPr="00F4115B">
        <w:rPr>
          <w:color w:val="FF0000"/>
        </w:rPr>
        <w:t xml:space="preserve"> (Hong </w:t>
      </w:r>
      <w:r w:rsidR="00631FD1" w:rsidRPr="00F4115B">
        <w:rPr>
          <w:i/>
          <w:iCs/>
          <w:color w:val="FF0000"/>
        </w:rPr>
        <w:t>et al.,</w:t>
      </w:r>
      <w:r w:rsidR="00631FD1" w:rsidRPr="00F4115B">
        <w:rPr>
          <w:color w:val="FF0000"/>
        </w:rPr>
        <w:t xml:space="preserve"> 2016)</w:t>
      </w:r>
      <w:r w:rsidR="00631FD1" w:rsidRPr="00F4115B">
        <w:rPr>
          <w:color w:val="FF0000"/>
        </w:rPr>
        <w:t>. The Welsh Government Play Policy</w:t>
      </w:r>
      <w:r w:rsidR="004F4775" w:rsidRPr="00F4115B">
        <w:rPr>
          <w:color w:val="FF0000"/>
        </w:rPr>
        <w:t>, Play Wales,</w:t>
      </w:r>
      <w:r w:rsidR="00631FD1" w:rsidRPr="00F4115B">
        <w:rPr>
          <w:color w:val="FF0000"/>
        </w:rPr>
        <w:t xml:space="preserve"> is produced to support children’s wellbeing by recognising the importance of play within their lives and promoting opportunities for play in various settings. The policy recognises play as a fundamental aspect of childhood and a huge component to a child’s wellbeing and development</w:t>
      </w:r>
      <w:r w:rsidR="004F4775" w:rsidRPr="00F4115B">
        <w:rPr>
          <w:color w:val="FF0000"/>
        </w:rPr>
        <w:t xml:space="preserve"> (Play Wales, 2022)</w:t>
      </w:r>
      <w:r w:rsidR="00631FD1" w:rsidRPr="00F4115B">
        <w:rPr>
          <w:color w:val="FF0000"/>
        </w:rPr>
        <w:t xml:space="preserve">. The play policy promotes </w:t>
      </w:r>
      <w:r w:rsidR="00DE1534" w:rsidRPr="00F4115B">
        <w:rPr>
          <w:color w:val="FF0000"/>
        </w:rPr>
        <w:t>inclusivity</w:t>
      </w:r>
      <w:r w:rsidR="00631FD1" w:rsidRPr="00F4115B">
        <w:rPr>
          <w:color w:val="FF0000"/>
        </w:rPr>
        <w:t xml:space="preserve"> and accessibility in play opportunities, </w:t>
      </w:r>
      <w:r w:rsidR="00B84472">
        <w:rPr>
          <w:color w:val="FF0000"/>
        </w:rPr>
        <w:t>making certain</w:t>
      </w:r>
      <w:r w:rsidR="00631FD1" w:rsidRPr="00F4115B">
        <w:rPr>
          <w:color w:val="FF0000"/>
        </w:rPr>
        <w:t xml:space="preserve"> that all children, </w:t>
      </w:r>
      <w:r w:rsidR="00B84472">
        <w:rPr>
          <w:color w:val="FF0000"/>
        </w:rPr>
        <w:t>nevertheless</w:t>
      </w:r>
      <w:r w:rsidR="00631FD1" w:rsidRPr="00F4115B">
        <w:rPr>
          <w:color w:val="FF0000"/>
        </w:rPr>
        <w:t xml:space="preserve"> of background or ability, have access to play experiences that support their wellbeing. The policy consists of consulting with children and involving them in decisions that affect their play experiences. By listening to a child’s voice, preferences and perspectives, the policy allows play opportunities to be re</w:t>
      </w:r>
      <w:r w:rsidR="00A243BD">
        <w:rPr>
          <w:color w:val="FF0000"/>
        </w:rPr>
        <w:t>ceptive</w:t>
      </w:r>
      <w:r w:rsidR="00631FD1" w:rsidRPr="00F4115B">
        <w:rPr>
          <w:color w:val="FF0000"/>
        </w:rPr>
        <w:t xml:space="preserve"> to children’s </w:t>
      </w:r>
      <w:r w:rsidR="00A243BD" w:rsidRPr="00F4115B">
        <w:rPr>
          <w:color w:val="FF0000"/>
        </w:rPr>
        <w:t>ne</w:t>
      </w:r>
      <w:r w:rsidR="00A243BD">
        <w:rPr>
          <w:color w:val="FF0000"/>
        </w:rPr>
        <w:t>cessities</w:t>
      </w:r>
      <w:r w:rsidR="00631FD1" w:rsidRPr="00F4115B">
        <w:rPr>
          <w:color w:val="FF0000"/>
        </w:rPr>
        <w:t xml:space="preserve"> and interests</w:t>
      </w:r>
      <w:r w:rsidR="004F4775" w:rsidRPr="00F4115B">
        <w:rPr>
          <w:color w:val="FF0000"/>
        </w:rPr>
        <w:t xml:space="preserve"> (Welsh Government, 2014, pp 16-24)</w:t>
      </w:r>
      <w:r w:rsidR="00631FD1" w:rsidRPr="00F4115B">
        <w:rPr>
          <w:color w:val="FF0000"/>
        </w:rPr>
        <w:t xml:space="preserve">. </w:t>
      </w:r>
      <w:r w:rsidRPr="00F4115B">
        <w:rPr>
          <w:color w:val="FF0000"/>
        </w:rPr>
        <w:t xml:space="preserve">The </w:t>
      </w:r>
      <w:r w:rsidRPr="00F4115B">
        <w:rPr>
          <w:color w:val="FF0000"/>
        </w:rPr>
        <w:t>United Nations Convention on the Rights of the Child</w:t>
      </w:r>
      <w:r w:rsidR="004F4775" w:rsidRPr="00F4115B">
        <w:rPr>
          <w:color w:val="FF0000"/>
        </w:rPr>
        <w:t xml:space="preserve"> </w:t>
      </w:r>
      <w:r w:rsidRPr="00F4115B">
        <w:rPr>
          <w:color w:val="FF0000"/>
        </w:rPr>
        <w:t xml:space="preserve">provide several articles within addresses aspects of children’s wellbeing by promoting their </w:t>
      </w:r>
      <w:r w:rsidRPr="00F4115B">
        <w:rPr>
          <w:color w:val="FF0000"/>
        </w:rPr>
        <w:lastRenderedPageBreak/>
        <w:t xml:space="preserve">rights to protection, health, and education that all contribute to a child’s welfare (Bradford, 2021, pp, 4-8). While the UNCRC does not explicitly use the term ‘well-being’, the principles and provisions outlined in articles 3, 6, 24, 27 and 29 clearly state the </w:t>
      </w:r>
      <w:r w:rsidR="00F4115B" w:rsidRPr="00F4115B">
        <w:rPr>
          <w:noProof/>
          <w:color w:val="FF0000"/>
        </w:rPr>
        <w:drawing>
          <wp:anchor distT="0" distB="0" distL="114300" distR="114300" simplePos="0" relativeHeight="251658240" behindDoc="0" locked="0" layoutInCell="1" allowOverlap="1" wp14:anchorId="77816F32" wp14:editId="4C6A4634">
            <wp:simplePos x="0" y="0"/>
            <wp:positionH relativeFrom="column">
              <wp:posOffset>-502920</wp:posOffset>
            </wp:positionH>
            <wp:positionV relativeFrom="paragraph">
              <wp:posOffset>447040</wp:posOffset>
            </wp:positionV>
            <wp:extent cx="3388360" cy="2520950"/>
            <wp:effectExtent l="12700" t="12700" r="15240" b="19050"/>
            <wp:wrapSquare wrapText="bothSides"/>
            <wp:docPr id="2"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8360" cy="2520950"/>
                    </a:xfrm>
                    <a:prstGeom prst="rect">
                      <a:avLst/>
                    </a:prstGeom>
                    <a:noFill/>
                    <a:ln w="12700">
                      <a:solidFill>
                        <a:srgbClr val="FFFF00"/>
                      </a:solidFill>
                    </a:ln>
                  </pic:spPr>
                </pic:pic>
              </a:graphicData>
            </a:graphic>
            <wp14:sizeRelH relativeFrom="page">
              <wp14:pctWidth>0</wp14:pctWidth>
            </wp14:sizeRelH>
            <wp14:sizeRelV relativeFrom="page">
              <wp14:pctHeight>0</wp14:pctHeight>
            </wp14:sizeRelV>
          </wp:anchor>
        </w:drawing>
      </w:r>
      <w:r w:rsidRPr="00F4115B">
        <w:rPr>
          <w:color w:val="FF0000"/>
        </w:rPr>
        <w:t>aim to promote and protect children’s overall welfare and quality of life</w:t>
      </w:r>
      <w:r w:rsidR="004F4775" w:rsidRPr="00F4115B">
        <w:rPr>
          <w:color w:val="FF0000"/>
        </w:rPr>
        <w:t xml:space="preserve"> (UNICEF, </w:t>
      </w:r>
      <w:proofErr w:type="spellStart"/>
      <w:r w:rsidR="004F4775" w:rsidRPr="00F4115B">
        <w:rPr>
          <w:color w:val="FF0000"/>
        </w:rPr>
        <w:t>n.d</w:t>
      </w:r>
      <w:proofErr w:type="spellEnd"/>
      <w:r w:rsidR="004F4775" w:rsidRPr="00F4115B">
        <w:rPr>
          <w:color w:val="FF0000"/>
        </w:rPr>
        <w:t>)</w:t>
      </w:r>
      <w:r w:rsidRPr="00F4115B">
        <w:rPr>
          <w:color w:val="FF0000"/>
        </w:rPr>
        <w:t xml:space="preserve">. Maslow’s hierarchy of needs provides a useful framework for understanding the various </w:t>
      </w:r>
      <w:r w:rsidR="00F4115B" w:rsidRPr="00F4115B">
        <w:rPr>
          <w:noProof/>
          <w:color w:val="FF0000"/>
        </w:rPr>
        <mc:AlternateContent>
          <mc:Choice Requires="wps">
            <w:drawing>
              <wp:anchor distT="0" distB="0" distL="114300" distR="114300" simplePos="0" relativeHeight="251661312" behindDoc="0" locked="0" layoutInCell="1" allowOverlap="1" wp14:anchorId="03A71E73" wp14:editId="2AF2599B">
                <wp:simplePos x="0" y="0"/>
                <wp:positionH relativeFrom="column">
                  <wp:posOffset>-377190</wp:posOffset>
                </wp:positionH>
                <wp:positionV relativeFrom="paragraph">
                  <wp:posOffset>612140</wp:posOffset>
                </wp:positionV>
                <wp:extent cx="800100" cy="537210"/>
                <wp:effectExtent l="0" t="0" r="12700" b="8890"/>
                <wp:wrapNone/>
                <wp:docPr id="5" name="Text Box 5"/>
                <wp:cNvGraphicFramePr/>
                <a:graphic xmlns:a="http://schemas.openxmlformats.org/drawingml/2006/main">
                  <a:graphicData uri="http://schemas.microsoft.com/office/word/2010/wordprocessingShape">
                    <wps:wsp>
                      <wps:cNvSpPr txBox="1"/>
                      <wps:spPr>
                        <a:xfrm>
                          <a:off x="0" y="0"/>
                          <a:ext cx="800100" cy="537210"/>
                        </a:xfrm>
                        <a:prstGeom prst="rect">
                          <a:avLst/>
                        </a:prstGeom>
                        <a:solidFill>
                          <a:schemeClr val="lt1"/>
                        </a:solidFill>
                        <a:ln w="6350">
                          <a:solidFill>
                            <a:prstClr val="black"/>
                          </a:solidFill>
                        </a:ln>
                      </wps:spPr>
                      <wps:txbx>
                        <w:txbxContent>
                          <w:p w14:paraId="22F2353E" w14:textId="0DD1D771" w:rsidR="00F4115B" w:rsidRPr="00F4115B" w:rsidRDefault="00F4115B">
                            <w:pPr>
                              <w:rPr>
                                <w:b/>
                                <w:bCs/>
                              </w:rPr>
                            </w:pPr>
                            <w:r w:rsidRPr="00F4115B">
                              <w:rPr>
                                <w:b/>
                                <w:bCs/>
                                <w:highlight w:val="yellow"/>
                              </w:rPr>
                              <w:t>McLeod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A71E73" id="Text Box 5" o:spid="_x0000_s1029" type="#_x0000_t202" style="position:absolute;margin-left:-29.7pt;margin-top:48.2pt;width:63pt;height:42.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" fillcolor="white [3201]" strokeweight=".5pt">
                <v:textbox>
                  <w:txbxContent>
                    <w:p w14:paraId="22F2353E" w14:textId="0DD1D771" w:rsidR="00F4115B" w:rsidRPr="00F4115B" w:rsidRDefault="00F4115B">
                      <w:pPr>
                        <w:rPr>
                          <w:b/>
                          <w:bCs/>
                        </w:rPr>
                      </w:pPr>
                      <w:r w:rsidRPr="00F4115B">
                        <w:rPr>
                          <w:b/>
                          <w:bCs/>
                          <w:highlight w:val="yellow"/>
                        </w:rPr>
                        <w:t>McLeod (2024)</w:t>
                      </w:r>
                    </w:p>
                  </w:txbxContent>
                </v:textbox>
              </v:shape>
            </w:pict>
          </mc:Fallback>
        </mc:AlternateContent>
      </w:r>
      <w:r w:rsidRPr="00F4115B">
        <w:rPr>
          <w:color w:val="FF0000"/>
        </w:rPr>
        <w:t>factors that contributes to wellbeing within children</w:t>
      </w:r>
      <w:r w:rsidR="004F4775" w:rsidRPr="00F4115B">
        <w:rPr>
          <w:color w:val="FF0000"/>
        </w:rPr>
        <w:t xml:space="preserve"> (Hale </w:t>
      </w:r>
      <w:r w:rsidR="004F4775" w:rsidRPr="00F4115B">
        <w:rPr>
          <w:i/>
          <w:iCs/>
          <w:color w:val="FF0000"/>
        </w:rPr>
        <w:t>et al.,</w:t>
      </w:r>
      <w:r w:rsidR="004F4775" w:rsidRPr="00F4115B">
        <w:rPr>
          <w:color w:val="FF0000"/>
        </w:rPr>
        <w:t xml:space="preserve"> 2018)</w:t>
      </w:r>
      <w:r w:rsidRPr="00F4115B">
        <w:rPr>
          <w:color w:val="FF0000"/>
        </w:rPr>
        <w:t xml:space="preserve">. At the </w:t>
      </w:r>
      <w:r w:rsidR="00A243BD">
        <w:rPr>
          <w:color w:val="FF0000"/>
        </w:rPr>
        <w:t>foundation</w:t>
      </w:r>
      <w:r w:rsidRPr="00F4115B">
        <w:rPr>
          <w:color w:val="FF0000"/>
        </w:rPr>
        <w:t xml:space="preserve"> of Maslow’s hierarchy are physiological needs such as food, water, sleep and shelter. Meeting these basic needs is essential for children’s physical wellbeing, ensuring children have access to these needs lays the f</w:t>
      </w:r>
      <w:r w:rsidR="00F4115B" w:rsidRPr="00F4115B">
        <w:rPr>
          <w:color w:val="FF0000"/>
        </w:rPr>
        <w:fldChar w:fldCharType="begin"/>
      </w:r>
      <w:r w:rsidR="00F4115B" w:rsidRPr="00F4115B">
        <w:rPr>
          <w:color w:val="FF0000"/>
        </w:rPr>
        <w:instrText xml:space="preserve"> INCLUDEPICTURE "/var/folders/dq/rtb2lnzj6lqcfp9xdb6zxh100000gn/T/com.microsoft.Word/WebArchiveCopyPasteTempFiles/maslow-5.jpg" \* MERGEFORMATINET </w:instrText>
      </w:r>
      <w:r w:rsidR="00F4115B" w:rsidRPr="00F4115B">
        <w:rPr>
          <w:color w:val="FF0000"/>
        </w:rPr>
        <w:fldChar w:fldCharType="separate"/>
      </w:r>
      <w:r w:rsidR="00F4115B" w:rsidRPr="00F4115B">
        <w:rPr>
          <w:color w:val="FF0000"/>
        </w:rPr>
        <w:fldChar w:fldCharType="end"/>
      </w:r>
      <w:r w:rsidRPr="00F4115B">
        <w:rPr>
          <w:color w:val="FF0000"/>
        </w:rPr>
        <w:t>oundation for their overall health and vitality</w:t>
      </w:r>
      <w:r w:rsidR="004F4775" w:rsidRPr="00F4115B">
        <w:rPr>
          <w:color w:val="FF0000"/>
        </w:rPr>
        <w:t xml:space="preserve"> (Andy, 2023)</w:t>
      </w:r>
      <w:r w:rsidRPr="00F4115B">
        <w:rPr>
          <w:color w:val="FF0000"/>
        </w:rPr>
        <w:t>. By addressing and supplying the children will all the needs outlined in Maslow’s hierarchy, the bottom tier has to be fulfilled before caregivers can advance to the top of the hierarchy, contributing to a child’s wellbeing and flourishment. If caregivers fail to provide for a child’s needs, it can have negative consequences towards the child’s wellbeing and development</w:t>
      </w:r>
      <w:r w:rsidR="004F4775" w:rsidRPr="00F4115B">
        <w:rPr>
          <w:color w:val="FF0000"/>
        </w:rPr>
        <w:t xml:space="preserve"> (Mooi </w:t>
      </w:r>
      <w:r w:rsidR="004F4775" w:rsidRPr="00F4115B">
        <w:rPr>
          <w:i/>
          <w:iCs/>
          <w:color w:val="FF0000"/>
        </w:rPr>
        <w:t>et al.,</w:t>
      </w:r>
      <w:r w:rsidR="004F4775" w:rsidRPr="00F4115B">
        <w:rPr>
          <w:color w:val="FF0000"/>
        </w:rPr>
        <w:t xml:space="preserve"> 2020)</w:t>
      </w:r>
      <w:r w:rsidRPr="00F4115B">
        <w:rPr>
          <w:color w:val="FF0000"/>
        </w:rPr>
        <w:t xml:space="preserve">. Neglecting a child’s basic needs can </w:t>
      </w:r>
      <w:r w:rsidR="00A243BD">
        <w:rPr>
          <w:color w:val="FF0000"/>
        </w:rPr>
        <w:t>conduct</w:t>
      </w:r>
      <w:r w:rsidRPr="00F4115B">
        <w:rPr>
          <w:color w:val="FF0000"/>
        </w:rPr>
        <w:t xml:space="preserve"> to physical health </w:t>
      </w:r>
      <w:r w:rsidR="00A243BD">
        <w:rPr>
          <w:color w:val="FF0000"/>
        </w:rPr>
        <w:t>complications</w:t>
      </w:r>
      <w:r w:rsidRPr="00F4115B">
        <w:rPr>
          <w:color w:val="FF0000"/>
        </w:rPr>
        <w:t>, such as malnutrition, illness or delayed growth and development</w:t>
      </w:r>
      <w:r w:rsidR="004F4775" w:rsidRPr="00F4115B">
        <w:rPr>
          <w:color w:val="FF0000"/>
        </w:rPr>
        <w:t xml:space="preserve"> (Main, 2014)</w:t>
      </w:r>
      <w:r w:rsidRPr="00F4115B">
        <w:rPr>
          <w:color w:val="FF0000"/>
        </w:rPr>
        <w:t>. Failure to provide a safe, secure environment, a lack of love and emotional support are all concerns that can lead to a child being in harm, resulting in lasting negative effects on their holistic wellbeing</w:t>
      </w:r>
      <w:r w:rsidR="004F4775" w:rsidRPr="00F4115B">
        <w:rPr>
          <w:color w:val="FF0000"/>
        </w:rPr>
        <w:t xml:space="preserve"> (McCormick </w:t>
      </w:r>
      <w:r w:rsidR="004F4775" w:rsidRPr="00F4115B">
        <w:rPr>
          <w:i/>
          <w:iCs/>
          <w:color w:val="FF0000"/>
        </w:rPr>
        <w:t>et al.,</w:t>
      </w:r>
      <w:r w:rsidR="004F4775" w:rsidRPr="00F4115B">
        <w:rPr>
          <w:color w:val="FF0000"/>
        </w:rPr>
        <w:t xml:space="preserve"> 2013).</w:t>
      </w:r>
    </w:p>
    <w:p w14:paraId="0E588607" w14:textId="18DAE2A2" w:rsidR="00E60C1E" w:rsidRPr="008C595B" w:rsidRDefault="00E60C1E"/>
    <w:p w14:paraId="0C7DFDFD" w14:textId="77777777" w:rsidR="007D3E3D" w:rsidRPr="008C595B" w:rsidRDefault="007D3E3D">
      <w:pPr>
        <w:rPr>
          <w:b/>
          <w:bCs/>
          <w:i/>
          <w:iCs/>
          <w:u w:val="single"/>
        </w:rPr>
      </w:pPr>
    </w:p>
    <w:p w14:paraId="117D0D2F" w14:textId="00D1D250" w:rsidR="00E60C1E" w:rsidRPr="00F4115B" w:rsidRDefault="00E60C1E">
      <w:pPr>
        <w:rPr>
          <w:b/>
          <w:bCs/>
          <w:i/>
          <w:iCs/>
          <w:color w:val="7030A0"/>
          <w:u w:val="single"/>
        </w:rPr>
      </w:pPr>
      <w:r w:rsidRPr="00F4115B">
        <w:rPr>
          <w:b/>
          <w:bCs/>
          <w:i/>
          <w:iCs/>
          <w:color w:val="7030A0"/>
          <w:u w:val="single"/>
        </w:rPr>
        <w:t>Lifestyl</w:t>
      </w:r>
      <w:r w:rsidR="007D3E3D" w:rsidRPr="00F4115B">
        <w:rPr>
          <w:b/>
          <w:bCs/>
          <w:i/>
          <w:iCs/>
          <w:color w:val="7030A0"/>
          <w:u w:val="single"/>
        </w:rPr>
        <w:t>es</w:t>
      </w:r>
      <w:r w:rsidRPr="00F4115B">
        <w:rPr>
          <w:b/>
          <w:bCs/>
          <w:i/>
          <w:iCs/>
          <w:color w:val="7030A0"/>
          <w:u w:val="single"/>
        </w:rPr>
        <w:t xml:space="preserve"> </w:t>
      </w:r>
    </w:p>
    <w:p w14:paraId="20402591" w14:textId="1639D3BB" w:rsidR="00631FD1" w:rsidRPr="00F4115B" w:rsidRDefault="00F4115B">
      <w:pPr>
        <w:rPr>
          <w:color w:val="7030A0"/>
        </w:rPr>
      </w:pPr>
      <w:r w:rsidRPr="00F4115B">
        <w:rPr>
          <w:noProof/>
          <w:color w:val="7030A0"/>
        </w:rPr>
        <mc:AlternateContent>
          <mc:Choice Requires="wps">
            <w:drawing>
              <wp:anchor distT="0" distB="0" distL="114300" distR="114300" simplePos="0" relativeHeight="251660288" behindDoc="0" locked="0" layoutInCell="1" allowOverlap="1" wp14:anchorId="7B5FB21D" wp14:editId="338E54BB">
                <wp:simplePos x="0" y="0"/>
                <wp:positionH relativeFrom="column">
                  <wp:posOffset>3134360</wp:posOffset>
                </wp:positionH>
                <wp:positionV relativeFrom="paragraph">
                  <wp:posOffset>1842770</wp:posOffset>
                </wp:positionV>
                <wp:extent cx="948690" cy="514350"/>
                <wp:effectExtent l="0" t="0" r="16510" b="19050"/>
                <wp:wrapNone/>
                <wp:docPr id="4" name="Text Box 4"/>
                <wp:cNvGraphicFramePr/>
                <a:graphic xmlns:a="http://schemas.openxmlformats.org/drawingml/2006/main">
                  <a:graphicData uri="http://schemas.microsoft.com/office/word/2010/wordprocessingShape">
                    <wps:wsp>
                      <wps:cNvSpPr txBox="1"/>
                      <wps:spPr>
                        <a:xfrm>
                          <a:off x="0" y="0"/>
                          <a:ext cx="948690" cy="514350"/>
                        </a:xfrm>
                        <a:prstGeom prst="rect">
                          <a:avLst/>
                        </a:prstGeom>
                        <a:solidFill>
                          <a:schemeClr val="lt1"/>
                        </a:solidFill>
                        <a:ln w="6350">
                          <a:solidFill>
                            <a:prstClr val="black"/>
                          </a:solidFill>
                        </a:ln>
                      </wps:spPr>
                      <wps:txbx>
                        <w:txbxContent>
                          <w:p w14:paraId="7262781D" w14:textId="37C9553D" w:rsidR="00F4115B" w:rsidRPr="00F4115B" w:rsidRDefault="00F4115B">
                            <w:pPr>
                              <w:rPr>
                                <w:b/>
                                <w:bCs/>
                                <w:sz w:val="18"/>
                                <w:szCs w:val="18"/>
                              </w:rPr>
                            </w:pPr>
                            <w:r w:rsidRPr="00F4115B">
                              <w:rPr>
                                <w:b/>
                                <w:bCs/>
                                <w:sz w:val="18"/>
                                <w:szCs w:val="18"/>
                                <w:highlight w:val="yellow"/>
                              </w:rPr>
                              <w:t>The Early Years &amp; Childcare Service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FB21D" id="Text Box 4" o:spid="_x0000_s1030" type="#_x0000_t202" style="position:absolute;margin-left:246.8pt;margin-top:145.1pt;width:74.7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" fillcolor="white [3201]" strokeweight=".5pt">
                <v:textbox>
                  <w:txbxContent>
                    <w:p w14:paraId="7262781D" w14:textId="37C9553D" w:rsidR="00F4115B" w:rsidRPr="00F4115B" w:rsidRDefault="00F4115B">
                      <w:pPr>
                        <w:rPr>
                          <w:b/>
                          <w:bCs/>
                          <w:sz w:val="18"/>
                          <w:szCs w:val="18"/>
                        </w:rPr>
                      </w:pPr>
                      <w:r w:rsidRPr="00F4115B">
                        <w:rPr>
                          <w:b/>
                          <w:bCs/>
                          <w:sz w:val="18"/>
                          <w:szCs w:val="18"/>
                          <w:highlight w:val="yellow"/>
                        </w:rPr>
                        <w:t>The Early Years &amp; Childcare Service (2021)</w:t>
                      </w:r>
                    </w:p>
                  </w:txbxContent>
                </v:textbox>
              </v:shape>
            </w:pict>
          </mc:Fallback>
        </mc:AlternateContent>
      </w:r>
      <w:r w:rsidRPr="00F4115B">
        <w:rPr>
          <w:noProof/>
          <w:color w:val="7030A0"/>
        </w:rPr>
        <w:drawing>
          <wp:anchor distT="0" distB="0" distL="114300" distR="114300" simplePos="0" relativeHeight="251659264" behindDoc="0" locked="0" layoutInCell="1" allowOverlap="1" wp14:anchorId="789B5B78" wp14:editId="41D9564E">
            <wp:simplePos x="0" y="0"/>
            <wp:positionH relativeFrom="column">
              <wp:posOffset>3200400</wp:posOffset>
            </wp:positionH>
            <wp:positionV relativeFrom="paragraph">
              <wp:posOffset>1639570</wp:posOffset>
            </wp:positionV>
            <wp:extent cx="2862580" cy="2180590"/>
            <wp:effectExtent l="25400" t="25400" r="20320" b="29210"/>
            <wp:wrapSquare wrapText="bothSides"/>
            <wp:docPr id="3" name="Picture 3" descr="Vygotsky Theory ZPD -1 Zone Of Proximal Development, 49%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ygotsky Theory ZPD -1 Zone Of Proximal Development, 49% OF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62580" cy="2180590"/>
                    </a:xfrm>
                    <a:prstGeom prst="rect">
                      <a:avLst/>
                    </a:prstGeom>
                    <a:noFill/>
                    <a:ln w="19050">
                      <a:solidFill>
                        <a:srgbClr val="00B0F0"/>
                      </a:solidFill>
                    </a:ln>
                  </pic:spPr>
                </pic:pic>
              </a:graphicData>
            </a:graphic>
            <wp14:sizeRelH relativeFrom="page">
              <wp14:pctWidth>0</wp14:pctWidth>
            </wp14:sizeRelH>
            <wp14:sizeRelV relativeFrom="page">
              <wp14:pctHeight>0</wp14:pctHeight>
            </wp14:sizeRelV>
          </wp:anchor>
        </w:drawing>
      </w:r>
      <w:r w:rsidR="00631FD1" w:rsidRPr="00F4115B">
        <w:rPr>
          <w:color w:val="7030A0"/>
        </w:rPr>
        <w:t xml:space="preserve">A lifestyle </w:t>
      </w:r>
      <w:r w:rsidR="00B84472">
        <w:rPr>
          <w:color w:val="7030A0"/>
        </w:rPr>
        <w:t>assigns</w:t>
      </w:r>
      <w:r w:rsidR="00631FD1" w:rsidRPr="00F4115B">
        <w:rPr>
          <w:color w:val="7030A0"/>
        </w:rPr>
        <w:t xml:space="preserve"> to the way in which an individual </w:t>
      </w:r>
      <w:r w:rsidR="00B84472">
        <w:rPr>
          <w:color w:val="7030A0"/>
        </w:rPr>
        <w:t>desires</w:t>
      </w:r>
      <w:r w:rsidR="00631FD1" w:rsidRPr="00F4115B">
        <w:rPr>
          <w:color w:val="7030A0"/>
        </w:rPr>
        <w:t xml:space="preserve"> to live their life, including their habits, behaviours, interests and values</w:t>
      </w:r>
      <w:r w:rsidR="004F4775" w:rsidRPr="00F4115B">
        <w:rPr>
          <w:color w:val="7030A0"/>
        </w:rPr>
        <w:t xml:space="preserve"> (Sobel, 2013)</w:t>
      </w:r>
      <w:r w:rsidR="00631FD1" w:rsidRPr="00F4115B">
        <w:rPr>
          <w:color w:val="7030A0"/>
        </w:rPr>
        <w:t xml:space="preserve">. It encompasses various </w:t>
      </w:r>
      <w:r w:rsidR="00A243BD">
        <w:rPr>
          <w:color w:val="7030A0"/>
        </w:rPr>
        <w:t>outlooks</w:t>
      </w:r>
      <w:r w:rsidR="00631FD1" w:rsidRPr="00F4115B">
        <w:rPr>
          <w:color w:val="7030A0"/>
        </w:rPr>
        <w:t xml:space="preserve"> of daily life also, such as diet, exercise, sleep, work and social interactions. A person’s lifestyle is i</w:t>
      </w:r>
      <w:r w:rsidR="00B84472">
        <w:rPr>
          <w:color w:val="7030A0"/>
        </w:rPr>
        <w:t>mpacted</w:t>
      </w:r>
      <w:r w:rsidR="00631FD1" w:rsidRPr="00F4115B">
        <w:rPr>
          <w:color w:val="7030A0"/>
        </w:rPr>
        <w:t xml:space="preserve"> by factors such as culture, upbringing, socioeconomic status, p</w:t>
      </w:r>
      <w:r w:rsidR="00B84472">
        <w:rPr>
          <w:color w:val="7030A0"/>
        </w:rPr>
        <w:t xml:space="preserve">articular </w:t>
      </w:r>
      <w:r w:rsidR="00631FD1" w:rsidRPr="00F4115B">
        <w:rPr>
          <w:color w:val="7030A0"/>
        </w:rPr>
        <w:t xml:space="preserve">beliefs and environmental influences. Lifestyle choices can have </w:t>
      </w:r>
      <w:r w:rsidR="00B84472">
        <w:rPr>
          <w:color w:val="7030A0"/>
        </w:rPr>
        <w:t>significance</w:t>
      </w:r>
      <w:r w:rsidR="00631FD1" w:rsidRPr="00F4115B">
        <w:rPr>
          <w:color w:val="7030A0"/>
        </w:rPr>
        <w:t xml:space="preserve"> on an individual’s health, wellbeing, and </w:t>
      </w:r>
      <w:r w:rsidR="00A243BD">
        <w:rPr>
          <w:color w:val="7030A0"/>
        </w:rPr>
        <w:t>subjective wellbeing</w:t>
      </w:r>
      <w:r w:rsidR="00631FD1" w:rsidRPr="00F4115B">
        <w:rPr>
          <w:color w:val="7030A0"/>
        </w:rPr>
        <w:t>, as well as their overall satisfaction</w:t>
      </w:r>
      <w:r w:rsidR="004F4775" w:rsidRPr="00F4115B">
        <w:rPr>
          <w:color w:val="7030A0"/>
        </w:rPr>
        <w:t xml:space="preserve"> (Carlson, 2020)</w:t>
      </w:r>
      <w:r w:rsidR="00631FD1" w:rsidRPr="00F4115B">
        <w:rPr>
          <w:color w:val="7030A0"/>
        </w:rPr>
        <w:t>. Practitioners play a huge role on supporting children’s adoption of a healthy lifestyle</w:t>
      </w:r>
      <w:r w:rsidR="004F4775" w:rsidRPr="00F4115B">
        <w:rPr>
          <w:color w:val="7030A0"/>
        </w:rPr>
        <w:t xml:space="preserve"> (NDNA, n.d)</w:t>
      </w:r>
      <w:r w:rsidR="00631FD1" w:rsidRPr="00F4115B">
        <w:rPr>
          <w:color w:val="7030A0"/>
        </w:rPr>
        <w:t>. Practitioners are able to educate and make children and families aware of the importance a healthy lifestyle has towards a child’s development. Practitioners can serve as role models by demonstrating healthy behaviours themselves</w:t>
      </w:r>
      <w:r w:rsidR="004F4775" w:rsidRPr="00F4115B">
        <w:rPr>
          <w:color w:val="7030A0"/>
        </w:rPr>
        <w:t xml:space="preserve"> (</w:t>
      </w:r>
      <w:proofErr w:type="spellStart"/>
      <w:r w:rsidR="004F4775" w:rsidRPr="00F4115B">
        <w:rPr>
          <w:color w:val="7030A0"/>
        </w:rPr>
        <w:t>B</w:t>
      </w:r>
      <w:r w:rsidRPr="00F4115B">
        <w:rPr>
          <w:color w:val="7030A0"/>
        </w:rPr>
        <w:fldChar w:fldCharType="begin"/>
      </w:r>
      <w:r w:rsidRPr="00F4115B">
        <w:rPr>
          <w:color w:val="7030A0"/>
        </w:rPr>
        <w:instrText xml:space="preserve"> INCLUDEPICTURE "/var/folders/dq/rtb2lnzj6lqcfp9xdb6zxh100000gn/T/com.microsoft.Word/WebArchiveCopyPasteTempFiles/Vygotsky-Zone-of-Proximal-Development-1024x780.jpg" \* MERGEFORMATINET </w:instrText>
      </w:r>
      <w:r w:rsidRPr="00F4115B">
        <w:rPr>
          <w:color w:val="7030A0"/>
        </w:rPr>
        <w:fldChar w:fldCharType="separate"/>
      </w:r>
      <w:r w:rsidRPr="00F4115B">
        <w:rPr>
          <w:color w:val="7030A0"/>
        </w:rPr>
        <w:fldChar w:fldCharType="end"/>
      </w:r>
      <w:r w:rsidR="004F4775" w:rsidRPr="00F4115B">
        <w:rPr>
          <w:color w:val="7030A0"/>
        </w:rPr>
        <w:t>arnados</w:t>
      </w:r>
      <w:proofErr w:type="spellEnd"/>
      <w:r w:rsidR="004F4775" w:rsidRPr="00F4115B">
        <w:rPr>
          <w:color w:val="7030A0"/>
        </w:rPr>
        <w:t>, 2024)</w:t>
      </w:r>
      <w:r w:rsidR="00631FD1" w:rsidRPr="00F4115B">
        <w:rPr>
          <w:color w:val="7030A0"/>
        </w:rPr>
        <w:t>. This includes eating and providing nutritious foods, engaging in play and physical activity, practising self-care, such as toothbrushing and managing stress efficiently</w:t>
      </w:r>
      <w:r w:rsidR="004F4775" w:rsidRPr="00F4115B">
        <w:rPr>
          <w:color w:val="7030A0"/>
        </w:rPr>
        <w:t xml:space="preserve"> (Dalal </w:t>
      </w:r>
      <w:r w:rsidR="004F4775" w:rsidRPr="00F4115B">
        <w:rPr>
          <w:i/>
          <w:iCs/>
          <w:color w:val="7030A0"/>
        </w:rPr>
        <w:t>et al.,</w:t>
      </w:r>
      <w:r w:rsidR="004F4775" w:rsidRPr="00F4115B">
        <w:rPr>
          <w:color w:val="7030A0"/>
        </w:rPr>
        <w:t xml:space="preserve"> 2022)</w:t>
      </w:r>
      <w:r w:rsidR="00631FD1" w:rsidRPr="00F4115B">
        <w:rPr>
          <w:color w:val="7030A0"/>
        </w:rPr>
        <w:t xml:space="preserve">. Vygotsky’s </w:t>
      </w:r>
      <w:r w:rsidR="00631FD1" w:rsidRPr="00F4115B">
        <w:rPr>
          <w:color w:val="7030A0"/>
        </w:rPr>
        <w:lastRenderedPageBreak/>
        <w:t xml:space="preserve">Sociocultural theory </w:t>
      </w:r>
      <w:r w:rsidR="00A243BD">
        <w:rPr>
          <w:color w:val="7030A0"/>
        </w:rPr>
        <w:t>accentuates</w:t>
      </w:r>
      <w:r w:rsidR="00631FD1" w:rsidRPr="00F4115B">
        <w:rPr>
          <w:color w:val="7030A0"/>
        </w:rPr>
        <w:t xml:space="preserve"> the </w:t>
      </w:r>
      <w:r w:rsidR="00A243BD">
        <w:rPr>
          <w:color w:val="7030A0"/>
        </w:rPr>
        <w:t>involvement</w:t>
      </w:r>
      <w:r w:rsidR="00631FD1" w:rsidRPr="00F4115B">
        <w:rPr>
          <w:color w:val="7030A0"/>
        </w:rPr>
        <w:t xml:space="preserve"> of social interactions and cultural </w:t>
      </w:r>
      <w:r w:rsidR="00A243BD">
        <w:rPr>
          <w:color w:val="7030A0"/>
        </w:rPr>
        <w:t>factors</w:t>
      </w:r>
      <w:r w:rsidR="00631FD1" w:rsidRPr="00F4115B">
        <w:rPr>
          <w:color w:val="7030A0"/>
        </w:rPr>
        <w:t xml:space="preserve"> in children’s development, children </w:t>
      </w:r>
      <w:r w:rsidR="00B84472">
        <w:rPr>
          <w:color w:val="7030A0"/>
        </w:rPr>
        <w:t>acquire knowledge</w:t>
      </w:r>
      <w:r w:rsidR="00631FD1" w:rsidRPr="00F4115B">
        <w:rPr>
          <w:color w:val="7030A0"/>
        </w:rPr>
        <w:t xml:space="preserve"> through interactions and by observing and imitating the behaviours of more </w:t>
      </w:r>
      <w:r w:rsidR="00DE1534" w:rsidRPr="00F4115B">
        <w:rPr>
          <w:color w:val="7030A0"/>
        </w:rPr>
        <w:t>knowledgeable</w:t>
      </w:r>
      <w:r w:rsidR="00631FD1" w:rsidRPr="00F4115B">
        <w:rPr>
          <w:color w:val="7030A0"/>
        </w:rPr>
        <w:t xml:space="preserve"> individuals, such as parents, practitioners and peers</w:t>
      </w:r>
      <w:r w:rsidR="004F4775" w:rsidRPr="00F4115B">
        <w:rPr>
          <w:color w:val="7030A0"/>
        </w:rPr>
        <w:t xml:space="preserve"> (Cabrera, 2021)</w:t>
      </w:r>
      <w:r w:rsidR="00631FD1" w:rsidRPr="00F4115B">
        <w:rPr>
          <w:color w:val="7030A0"/>
        </w:rPr>
        <w:t xml:space="preserve">. By engaging in joint activities with children and families, providing culturally relevant guidance, practitioners are able to promote healthy habits within the child’s environment. </w:t>
      </w:r>
      <w:r w:rsidR="004F4775" w:rsidRPr="00F4115B">
        <w:rPr>
          <w:color w:val="7030A0"/>
        </w:rPr>
        <w:t xml:space="preserve">A healthy lifestyle plays a large role in preventing and managing illnesses within children, obesity being a main factor. Healthy eating and </w:t>
      </w:r>
      <w:r w:rsidR="00B84472">
        <w:rPr>
          <w:color w:val="7030A0"/>
        </w:rPr>
        <w:t xml:space="preserve">arranged </w:t>
      </w:r>
      <w:r w:rsidR="004F4775" w:rsidRPr="00F4115B">
        <w:rPr>
          <w:color w:val="7030A0"/>
        </w:rPr>
        <w:t xml:space="preserve">physical activity help prevent </w:t>
      </w:r>
      <w:r w:rsidR="00A243BD">
        <w:rPr>
          <w:color w:val="7030A0"/>
        </w:rPr>
        <w:t xml:space="preserve">early years </w:t>
      </w:r>
      <w:r w:rsidR="004F4775" w:rsidRPr="00F4115B">
        <w:rPr>
          <w:color w:val="7030A0"/>
        </w:rPr>
        <w:t xml:space="preserve">obesity, which is </w:t>
      </w:r>
      <w:r w:rsidR="00B84472">
        <w:rPr>
          <w:color w:val="7030A0"/>
        </w:rPr>
        <w:t xml:space="preserve">correlated </w:t>
      </w:r>
      <w:r w:rsidR="004F4775" w:rsidRPr="00F4115B">
        <w:rPr>
          <w:color w:val="7030A0"/>
        </w:rPr>
        <w:t xml:space="preserve">with an </w:t>
      </w:r>
      <w:r w:rsidR="00A243BD">
        <w:rPr>
          <w:color w:val="7030A0"/>
        </w:rPr>
        <w:t>enlarged risks</w:t>
      </w:r>
      <w:r w:rsidR="004F4775" w:rsidRPr="00F4115B">
        <w:rPr>
          <w:color w:val="7030A0"/>
        </w:rPr>
        <w:t xml:space="preserve"> of numerous health problem, type 2 diabetes, high blood pressure and cardiovascular disease (Public Health England, 2021). The most recent statistic available for obesity within children in Wales are from the year 2020-2021. The survey found that 17.6% of children were classed as obese in Wales, which is significant as this is the data from two out of seven of the public health boards (Public Health Wales, 2022). The children who are obese tend to stay obese in adulthood and prone to higher risk of illnesses (Sahoo </w:t>
      </w:r>
      <w:r w:rsidR="004F4775" w:rsidRPr="00F4115B">
        <w:rPr>
          <w:i/>
          <w:iCs/>
          <w:color w:val="7030A0"/>
        </w:rPr>
        <w:t>et al.,</w:t>
      </w:r>
      <w:r w:rsidR="004F4775" w:rsidRPr="00F4115B">
        <w:rPr>
          <w:color w:val="7030A0"/>
        </w:rPr>
        <w:t xml:space="preserve"> 2015).  There is a clear socioeconomic gradient, with children from more </w:t>
      </w:r>
      <w:r w:rsidR="00A243BD">
        <w:rPr>
          <w:color w:val="7030A0"/>
        </w:rPr>
        <w:t>underprivileged</w:t>
      </w:r>
      <w:r w:rsidR="004F4775" w:rsidRPr="00F4115B">
        <w:rPr>
          <w:color w:val="7030A0"/>
        </w:rPr>
        <w:t xml:space="preserve"> areas being more </w:t>
      </w:r>
      <w:r w:rsidR="00A243BD">
        <w:rPr>
          <w:color w:val="7030A0"/>
        </w:rPr>
        <w:t>presumably</w:t>
      </w:r>
      <w:r w:rsidR="004F4775" w:rsidRPr="00F4115B">
        <w:rPr>
          <w:color w:val="7030A0"/>
        </w:rPr>
        <w:t xml:space="preserve"> to be obese </w:t>
      </w:r>
      <w:r w:rsidR="00A243BD">
        <w:rPr>
          <w:color w:val="7030A0"/>
        </w:rPr>
        <w:t xml:space="preserve">in </w:t>
      </w:r>
      <w:proofErr w:type="spellStart"/>
      <w:r w:rsidR="00A243BD">
        <w:rPr>
          <w:color w:val="7030A0"/>
        </w:rPr>
        <w:t>comparisson</w:t>
      </w:r>
      <w:proofErr w:type="spellEnd"/>
      <w:r w:rsidR="004F4775" w:rsidRPr="00F4115B">
        <w:rPr>
          <w:color w:val="7030A0"/>
        </w:rPr>
        <w:t xml:space="preserve"> to children from s</w:t>
      </w:r>
      <w:r w:rsidR="00A243BD">
        <w:rPr>
          <w:color w:val="7030A0"/>
        </w:rPr>
        <w:t>lighter</w:t>
      </w:r>
      <w:r w:rsidR="004F4775" w:rsidRPr="00F4115B">
        <w:rPr>
          <w:color w:val="7030A0"/>
        </w:rPr>
        <w:t xml:space="preserve"> </w:t>
      </w:r>
      <w:r w:rsidR="00B84472">
        <w:rPr>
          <w:color w:val="7030A0"/>
        </w:rPr>
        <w:t>poverty-stricken</w:t>
      </w:r>
      <w:r w:rsidR="004F4775" w:rsidRPr="00F4115B">
        <w:rPr>
          <w:color w:val="7030A0"/>
        </w:rPr>
        <w:t xml:space="preserve"> areas (Nguyen </w:t>
      </w:r>
      <w:r w:rsidR="004F4775" w:rsidRPr="00F4115B">
        <w:rPr>
          <w:i/>
          <w:iCs/>
          <w:color w:val="7030A0"/>
        </w:rPr>
        <w:t>et al.,</w:t>
      </w:r>
      <w:r w:rsidR="004F4775" w:rsidRPr="00F4115B">
        <w:rPr>
          <w:color w:val="7030A0"/>
        </w:rPr>
        <w:t xml:space="preserve"> 2021). Children within deprived areas or living within poverty have a higher chance of becoming obese due to a combination of social, economic, environmental and </w:t>
      </w:r>
      <w:r w:rsidR="00DE1534" w:rsidRPr="00F4115B">
        <w:rPr>
          <w:color w:val="7030A0"/>
        </w:rPr>
        <w:t>behavioural</w:t>
      </w:r>
      <w:r w:rsidR="004F4775" w:rsidRPr="00F4115B">
        <w:rPr>
          <w:color w:val="7030A0"/>
        </w:rPr>
        <w:t xml:space="preserve"> factors. Children from deprived areas lack access to affordable and nutritious foods, such as fresh fruit</w:t>
      </w:r>
      <w:r w:rsidR="008C595B" w:rsidRPr="00F4115B">
        <w:rPr>
          <w:color w:val="7030A0"/>
        </w:rPr>
        <w:t xml:space="preserve">, </w:t>
      </w:r>
      <w:r w:rsidR="00DE1534" w:rsidRPr="00F4115B">
        <w:rPr>
          <w:color w:val="7030A0"/>
        </w:rPr>
        <w:t>vegetables</w:t>
      </w:r>
      <w:r w:rsidR="004F4775" w:rsidRPr="00F4115B">
        <w:rPr>
          <w:color w:val="7030A0"/>
        </w:rPr>
        <w:t xml:space="preserve"> and lean proteins. Instead, leading to a diet that is affordable but is high in processed and unhealthy foods but low in the essential nutrients that children need (Cetateanu and Jones, 2014). </w:t>
      </w:r>
    </w:p>
    <w:p w14:paraId="5056098D" w14:textId="0FB94D67" w:rsidR="00631FD1" w:rsidRPr="00F4115B" w:rsidRDefault="00631FD1">
      <w:pPr>
        <w:rPr>
          <w:b/>
          <w:bCs/>
          <w:i/>
          <w:iCs/>
          <w:color w:val="7030A0"/>
          <w:u w:val="single"/>
        </w:rPr>
      </w:pPr>
    </w:p>
    <w:p w14:paraId="52DB2077" w14:textId="7BE1BD08" w:rsidR="00631FD1" w:rsidRPr="00F4115B" w:rsidRDefault="004F4775">
      <w:pPr>
        <w:rPr>
          <w:b/>
          <w:bCs/>
          <w:i/>
          <w:iCs/>
          <w:color w:val="FF85FF"/>
          <w:u w:val="single"/>
        </w:rPr>
      </w:pPr>
      <w:r w:rsidRPr="00F4115B">
        <w:rPr>
          <w:b/>
          <w:bCs/>
          <w:i/>
          <w:iCs/>
          <w:color w:val="FF85FF"/>
          <w:u w:val="single"/>
        </w:rPr>
        <w:t>Conclusion</w:t>
      </w:r>
    </w:p>
    <w:p w14:paraId="491E2EB5" w14:textId="67A4A60D" w:rsidR="004F4775" w:rsidRPr="00F4115B" w:rsidRDefault="004F4775">
      <w:pPr>
        <w:rPr>
          <w:color w:val="FF85FF"/>
        </w:rPr>
      </w:pPr>
      <w:r w:rsidRPr="00F4115B">
        <w:rPr>
          <w:color w:val="FF85FF"/>
        </w:rPr>
        <w:t xml:space="preserve">To conclude, the research found provides in-depth knowledge </w:t>
      </w:r>
      <w:r w:rsidR="00F4115B" w:rsidRPr="00F4115B">
        <w:rPr>
          <w:color w:val="FF85FF"/>
        </w:rPr>
        <w:t xml:space="preserve">and undeniable </w:t>
      </w:r>
      <w:r w:rsidRPr="00F4115B">
        <w:rPr>
          <w:color w:val="FF85FF"/>
        </w:rPr>
        <w:t xml:space="preserve">on the interconnection between health, well-being and lifestyle has towards a child’s development. </w:t>
      </w:r>
      <w:r w:rsidR="00F4115B" w:rsidRPr="00F4115B">
        <w:rPr>
          <w:color w:val="FF85FF"/>
        </w:rPr>
        <w:t xml:space="preserve">A holistic approach to health that </w:t>
      </w:r>
      <w:r w:rsidR="00B84472">
        <w:rPr>
          <w:color w:val="FF85FF"/>
        </w:rPr>
        <w:t>surrounds</w:t>
      </w:r>
      <w:r w:rsidR="00F4115B" w:rsidRPr="00F4115B">
        <w:rPr>
          <w:color w:val="FF85FF"/>
        </w:rPr>
        <w:t xml:space="preserve"> nutrition, physical activity, and mental wellbeing is essential for the comprehensive development of children. These elements not only contribute to physical growth but also play a critical role in cognitive development, emotional stability, and social skills. It is apparent that practitioners, and children building strong relationships is paramount towards a successful life and healthy development towards a child, with the support and guidance that theorists and the Welsh Government has supplied for practitioners to support children holistically throughout their lives. </w:t>
      </w:r>
    </w:p>
    <w:p w14:paraId="3A347212" w14:textId="0908ED04" w:rsidR="008C595B" w:rsidRDefault="008C595B"/>
    <w:p w14:paraId="36796914" w14:textId="6AC0E7B3" w:rsidR="008C595B" w:rsidRDefault="008C595B"/>
    <w:p w14:paraId="0585AA27" w14:textId="73DD51C3" w:rsidR="008C595B" w:rsidRDefault="008C595B"/>
    <w:p w14:paraId="0C969D81" w14:textId="0925147D" w:rsidR="008C595B" w:rsidRDefault="008C595B"/>
    <w:p w14:paraId="6E8FC2D8" w14:textId="1C32C498" w:rsidR="008C595B" w:rsidRDefault="008C595B"/>
    <w:p w14:paraId="7C07A8AE" w14:textId="02328B93" w:rsidR="008C595B" w:rsidRDefault="008C595B"/>
    <w:p w14:paraId="68213EF9" w14:textId="5E79B59E" w:rsidR="008C595B" w:rsidRDefault="008C595B"/>
    <w:p w14:paraId="7E395319" w14:textId="7835EB14" w:rsidR="008C595B" w:rsidRDefault="008C595B"/>
    <w:p w14:paraId="478847FD" w14:textId="523E9A23" w:rsidR="008C595B" w:rsidRDefault="008C595B"/>
    <w:p w14:paraId="46AC19C4" w14:textId="53654101" w:rsidR="008C595B" w:rsidRDefault="008C595B"/>
    <w:p w14:paraId="6E7BA42B" w14:textId="1855F98A" w:rsidR="008C595B" w:rsidRDefault="008C595B"/>
    <w:p w14:paraId="3552D69C" w14:textId="45FFF058" w:rsidR="008C595B" w:rsidRDefault="008C595B"/>
    <w:p w14:paraId="06B4395D" w14:textId="4B094CA6" w:rsidR="008C595B" w:rsidRDefault="008C595B"/>
    <w:p w14:paraId="7AD377DC" w14:textId="0CA49D1F" w:rsidR="00F4115B" w:rsidRDefault="00F4115B" w:rsidP="008C595B">
      <w:pPr>
        <w:spacing w:after="240" w:line="540" w:lineRule="atLeast"/>
        <w:outlineLvl w:val="0"/>
        <w:rPr>
          <w:b/>
          <w:bCs/>
          <w:color w:val="000000"/>
          <w:kern w:val="36"/>
        </w:rPr>
      </w:pPr>
    </w:p>
    <w:p w14:paraId="222C6F3A" w14:textId="77777777" w:rsidR="00F4115B" w:rsidRDefault="00F4115B" w:rsidP="008C595B">
      <w:pPr>
        <w:spacing w:after="240" w:line="540" w:lineRule="atLeast"/>
        <w:outlineLvl w:val="0"/>
        <w:rPr>
          <w:b/>
          <w:bCs/>
          <w:color w:val="000000"/>
          <w:kern w:val="36"/>
        </w:rPr>
      </w:pPr>
    </w:p>
    <w:p w14:paraId="23D33882" w14:textId="2FB62C6F" w:rsidR="008C595B" w:rsidRPr="008C595B" w:rsidRDefault="008C595B" w:rsidP="008C595B">
      <w:pPr>
        <w:spacing w:after="240" w:line="540" w:lineRule="atLeast"/>
        <w:outlineLvl w:val="0"/>
        <w:rPr>
          <w:b/>
          <w:bCs/>
          <w:color w:val="000000"/>
          <w:kern w:val="36"/>
        </w:rPr>
      </w:pPr>
      <w:r w:rsidRPr="008C595B">
        <w:rPr>
          <w:b/>
          <w:bCs/>
          <w:color w:val="000000"/>
          <w:kern w:val="36"/>
        </w:rPr>
        <w:t>Reference list</w:t>
      </w:r>
      <w:r>
        <w:rPr>
          <w:b/>
          <w:bCs/>
          <w:color w:val="000000"/>
          <w:kern w:val="36"/>
        </w:rPr>
        <w:t xml:space="preserve"> (Poster) </w:t>
      </w:r>
    </w:p>
    <w:p w14:paraId="792B880C" w14:textId="04E0B5F2" w:rsidR="008C595B" w:rsidRPr="008C595B" w:rsidRDefault="008C595B" w:rsidP="008C595B">
      <w:pPr>
        <w:spacing w:after="240" w:line="360" w:lineRule="atLeast"/>
        <w:rPr>
          <w:color w:val="000000"/>
        </w:rPr>
      </w:pPr>
      <w:r w:rsidRPr="008C595B">
        <w:rPr>
          <w:color w:val="000000"/>
        </w:rPr>
        <w:t>Andy (2023). </w:t>
      </w:r>
      <w:r w:rsidRPr="008C595B">
        <w:rPr>
          <w:i/>
          <w:iCs/>
          <w:color w:val="000000"/>
        </w:rPr>
        <w:t>Maslow’s Hierarchy Of Needs &amp; How It Is Applied In Theracare’s Learning Strategies?</w:t>
      </w:r>
      <w:r w:rsidRPr="008C595B">
        <w:rPr>
          <w:color w:val="000000"/>
        </w:rPr>
        <w:t xml:space="preserve"> [online] Theracare. Available at: </w:t>
      </w:r>
      <w:hyperlink r:id="rId11" w:history="1">
        <w:r w:rsidR="00F4115B" w:rsidRPr="008C595B">
          <w:rPr>
            <w:rStyle w:val="Hyperlink"/>
          </w:rPr>
          <w:t>https://theracareaz.com/maslows-hierarchy-of-needs-how-it-is-applied-in-theracares-learning-strategies/</w:t>
        </w:r>
      </w:hyperlink>
      <w:r w:rsidRPr="008C595B">
        <w:rPr>
          <w:color w:val="000000"/>
        </w:rPr>
        <w:t>.</w:t>
      </w:r>
      <w:r w:rsidR="00F4115B">
        <w:rPr>
          <w:color w:val="000000"/>
        </w:rPr>
        <w:t xml:space="preserve"> (Accessed: 20</w:t>
      </w:r>
      <w:r w:rsidR="00F4115B" w:rsidRPr="00F4115B">
        <w:rPr>
          <w:color w:val="000000"/>
          <w:vertAlign w:val="superscript"/>
        </w:rPr>
        <w:t>th</w:t>
      </w:r>
      <w:r w:rsidR="00F4115B">
        <w:rPr>
          <w:color w:val="000000"/>
        </w:rPr>
        <w:t xml:space="preserve"> May 2024)</w:t>
      </w:r>
    </w:p>
    <w:p w14:paraId="160F36BD" w14:textId="6ECA17B3" w:rsidR="008C595B" w:rsidRPr="008C595B" w:rsidRDefault="008C595B" w:rsidP="008C595B">
      <w:pPr>
        <w:spacing w:after="240" w:line="360" w:lineRule="atLeast"/>
        <w:rPr>
          <w:color w:val="000000"/>
        </w:rPr>
      </w:pPr>
      <w:r w:rsidRPr="008C595B">
        <w:rPr>
          <w:color w:val="000000"/>
        </w:rPr>
        <w:t>Ashrafi, G. and Ryan, T.A. (2017). Glucose metabolism in nerve terminals. </w:t>
      </w:r>
      <w:r w:rsidRPr="008C595B">
        <w:rPr>
          <w:i/>
          <w:iCs/>
          <w:color w:val="000000"/>
        </w:rPr>
        <w:t>Current opinion in neurobiology</w:t>
      </w:r>
      <w:r w:rsidRPr="008C595B">
        <w:rPr>
          <w:color w:val="000000"/>
        </w:rPr>
        <w:t xml:space="preserve">, [online] 45, pp.156–161. </w:t>
      </w:r>
      <w:proofErr w:type="spellStart"/>
      <w:proofErr w:type="gramStart"/>
      <w:r w:rsidRPr="008C595B">
        <w:rPr>
          <w:color w:val="000000"/>
        </w:rPr>
        <w:t>doi:https</w:t>
      </w:r>
      <w:proofErr w:type="spellEnd"/>
      <w:r w:rsidRPr="008C595B">
        <w:rPr>
          <w:color w:val="000000"/>
        </w:rPr>
        <w:t>://doi.org/10.1016/j.conb.2017.03.007</w:t>
      </w:r>
      <w:proofErr w:type="gramEnd"/>
      <w:r w:rsidRPr="008C595B">
        <w:rPr>
          <w:color w:val="000000"/>
        </w:rPr>
        <w:t>.</w:t>
      </w:r>
      <w:r w:rsidR="00F4115B">
        <w:rPr>
          <w:color w:val="000000"/>
        </w:rPr>
        <w:t xml:space="preserve"> </w:t>
      </w:r>
      <w:r w:rsidR="00F4115B">
        <w:rPr>
          <w:color w:val="000000"/>
        </w:rPr>
        <w:t>(Accessed: 7</w:t>
      </w:r>
      <w:r w:rsidR="00F4115B" w:rsidRPr="00F4115B">
        <w:rPr>
          <w:color w:val="000000"/>
          <w:vertAlign w:val="superscript"/>
        </w:rPr>
        <w:t>th</w:t>
      </w:r>
      <w:r w:rsidR="00F4115B">
        <w:rPr>
          <w:color w:val="000000"/>
        </w:rPr>
        <w:t xml:space="preserve"> June 2024)</w:t>
      </w:r>
    </w:p>
    <w:p w14:paraId="60B3A63B" w14:textId="531C2AB8" w:rsidR="008C595B" w:rsidRPr="008C595B" w:rsidRDefault="008C595B" w:rsidP="008C595B">
      <w:pPr>
        <w:spacing w:after="240" w:line="360" w:lineRule="atLeast"/>
        <w:rPr>
          <w:color w:val="000000"/>
        </w:rPr>
      </w:pPr>
      <w:proofErr w:type="spellStart"/>
      <w:r w:rsidRPr="008C595B">
        <w:rPr>
          <w:color w:val="000000"/>
        </w:rPr>
        <w:t>Barnados</w:t>
      </w:r>
      <w:proofErr w:type="spellEnd"/>
      <w:r w:rsidRPr="008C595B">
        <w:rPr>
          <w:color w:val="000000"/>
        </w:rPr>
        <w:t xml:space="preserve"> (2024). </w:t>
      </w:r>
      <w:r w:rsidRPr="008C595B">
        <w:rPr>
          <w:i/>
          <w:iCs/>
          <w:color w:val="000000"/>
        </w:rPr>
        <w:t>Healthy lifestyles - pre-school</w:t>
      </w:r>
      <w:r w:rsidRPr="008C595B">
        <w:rPr>
          <w:color w:val="000000"/>
        </w:rPr>
        <w:t xml:space="preserve">. [online] Barnardo’s Family Space. Available at: </w:t>
      </w:r>
      <w:hyperlink r:id="rId12" w:history="1">
        <w:r w:rsidR="00F4115B" w:rsidRPr="008C595B">
          <w:rPr>
            <w:rStyle w:val="Hyperlink"/>
          </w:rPr>
          <w:t>https://families.barnardos.org.uk/pre-school/healthy-lifestyles</w:t>
        </w:r>
      </w:hyperlink>
      <w:r w:rsidRPr="008C595B">
        <w:rPr>
          <w:color w:val="000000"/>
        </w:rPr>
        <w:t>.</w:t>
      </w:r>
      <w:r w:rsidR="00F4115B">
        <w:rPr>
          <w:color w:val="000000"/>
        </w:rPr>
        <w:t xml:space="preserve"> (Accessed: 31</w:t>
      </w:r>
      <w:r w:rsidR="00F4115B" w:rsidRPr="00F4115B">
        <w:rPr>
          <w:color w:val="000000"/>
          <w:vertAlign w:val="superscript"/>
        </w:rPr>
        <w:t>st</w:t>
      </w:r>
      <w:r w:rsidR="00F4115B">
        <w:rPr>
          <w:color w:val="000000"/>
        </w:rPr>
        <w:t xml:space="preserve"> May 2024)</w:t>
      </w:r>
    </w:p>
    <w:p w14:paraId="66FD20C3" w14:textId="5DA1583F" w:rsidR="008C595B" w:rsidRPr="008C595B" w:rsidRDefault="008C595B" w:rsidP="008C595B">
      <w:pPr>
        <w:spacing w:after="240" w:line="360" w:lineRule="atLeast"/>
        <w:rPr>
          <w:color w:val="000000"/>
        </w:rPr>
      </w:pPr>
      <w:r w:rsidRPr="008C595B">
        <w:rPr>
          <w:color w:val="000000"/>
        </w:rPr>
        <w:t>Bradford, H. (2021). </w:t>
      </w:r>
      <w:r w:rsidRPr="008C595B">
        <w:rPr>
          <w:i/>
          <w:iCs/>
          <w:color w:val="000000"/>
        </w:rPr>
        <w:t>The wellbeing of children under three</w:t>
      </w:r>
      <w:r w:rsidRPr="008C595B">
        <w:rPr>
          <w:color w:val="000000"/>
        </w:rPr>
        <w:t xml:space="preserve">. Abingdon, </w:t>
      </w:r>
      <w:proofErr w:type="gramStart"/>
      <w:r w:rsidRPr="008C595B">
        <w:rPr>
          <w:color w:val="000000"/>
        </w:rPr>
        <w:t>Oxon ;</w:t>
      </w:r>
      <w:proofErr w:type="gramEnd"/>
      <w:r w:rsidRPr="008C595B">
        <w:rPr>
          <w:color w:val="000000"/>
        </w:rPr>
        <w:t xml:space="preserve"> New York, Ny: Routledge.</w:t>
      </w:r>
      <w:r w:rsidR="00F4115B">
        <w:rPr>
          <w:color w:val="000000"/>
        </w:rPr>
        <w:t xml:space="preserve"> </w:t>
      </w:r>
      <w:r w:rsidR="00F4115B">
        <w:rPr>
          <w:color w:val="000000"/>
        </w:rPr>
        <w:t xml:space="preserve">(Accessed: </w:t>
      </w:r>
      <w:r w:rsidR="00F4115B">
        <w:rPr>
          <w:color w:val="000000"/>
        </w:rPr>
        <w:t>9</w:t>
      </w:r>
      <w:r w:rsidR="00F4115B" w:rsidRPr="00F4115B">
        <w:rPr>
          <w:color w:val="000000"/>
          <w:vertAlign w:val="superscript"/>
        </w:rPr>
        <w:t>th</w:t>
      </w:r>
      <w:r w:rsidR="00F4115B">
        <w:rPr>
          <w:color w:val="000000"/>
        </w:rPr>
        <w:t xml:space="preserve"> June 2024)</w:t>
      </w:r>
    </w:p>
    <w:p w14:paraId="17DED84C" w14:textId="111E03D7" w:rsidR="008C595B" w:rsidRDefault="008C595B" w:rsidP="008C595B">
      <w:pPr>
        <w:spacing w:after="240" w:line="360" w:lineRule="atLeast"/>
        <w:rPr>
          <w:color w:val="000000"/>
        </w:rPr>
      </w:pPr>
      <w:proofErr w:type="spellStart"/>
      <w:r w:rsidRPr="008C595B">
        <w:rPr>
          <w:color w:val="000000"/>
        </w:rPr>
        <w:t>Brogaard</w:t>
      </w:r>
      <w:proofErr w:type="spellEnd"/>
      <w:r w:rsidRPr="008C595B">
        <w:rPr>
          <w:color w:val="000000"/>
        </w:rPr>
        <w:t xml:space="preserve">-Clausen, S. and Robson, S. (2019). Friendships for </w:t>
      </w:r>
      <w:proofErr w:type="gramStart"/>
      <w:r w:rsidRPr="008C595B">
        <w:rPr>
          <w:color w:val="000000"/>
        </w:rPr>
        <w:t>wellbeing?:</w:t>
      </w:r>
      <w:proofErr w:type="gramEnd"/>
      <w:r w:rsidRPr="008C595B">
        <w:rPr>
          <w:color w:val="000000"/>
        </w:rPr>
        <w:t xml:space="preserve"> Parents’ and Practitioners’ Positioning of Young Children’s Friendships in the Evaluation of Wellbeing Factors. </w:t>
      </w:r>
      <w:r w:rsidRPr="008C595B">
        <w:rPr>
          <w:i/>
          <w:iCs/>
          <w:color w:val="000000"/>
        </w:rPr>
        <w:t>International Journal of Early Years Education</w:t>
      </w:r>
      <w:r w:rsidRPr="008C595B">
        <w:rPr>
          <w:color w:val="000000"/>
        </w:rPr>
        <w:t xml:space="preserve">, 27(4), pp.1–15. </w:t>
      </w:r>
      <w:proofErr w:type="spellStart"/>
      <w:proofErr w:type="gramStart"/>
      <w:r w:rsidRPr="008C595B">
        <w:rPr>
          <w:color w:val="000000"/>
        </w:rPr>
        <w:t>doi:https</w:t>
      </w:r>
      <w:proofErr w:type="spellEnd"/>
      <w:r w:rsidRPr="008C595B">
        <w:rPr>
          <w:color w:val="000000"/>
        </w:rPr>
        <w:t>://doi.org/10.1080/09669760.2019.1629881</w:t>
      </w:r>
      <w:proofErr w:type="gramEnd"/>
      <w:r w:rsidRPr="008C595B">
        <w:rPr>
          <w:color w:val="000000"/>
        </w:rPr>
        <w:t>.</w:t>
      </w:r>
      <w:r w:rsidR="00F4115B">
        <w:rPr>
          <w:color w:val="000000"/>
        </w:rPr>
        <w:t xml:space="preserve"> (Accessed: 2</w:t>
      </w:r>
      <w:r w:rsidR="00F4115B" w:rsidRPr="00F4115B">
        <w:rPr>
          <w:color w:val="000000"/>
          <w:vertAlign w:val="superscript"/>
        </w:rPr>
        <w:t>nd</w:t>
      </w:r>
      <w:r w:rsidR="00F4115B">
        <w:rPr>
          <w:color w:val="000000"/>
        </w:rPr>
        <w:t xml:space="preserve"> June 2024)</w:t>
      </w:r>
    </w:p>
    <w:p w14:paraId="628B9734" w14:textId="0C1596E1" w:rsidR="00F4115B" w:rsidRPr="008C595B" w:rsidRDefault="00F4115B" w:rsidP="00F4115B">
      <w:pPr>
        <w:spacing w:after="240" w:line="360" w:lineRule="atLeast"/>
        <w:rPr>
          <w:color w:val="000000"/>
        </w:rPr>
      </w:pPr>
      <w:r>
        <w:rPr>
          <w:color w:val="000000"/>
        </w:rPr>
        <w:t xml:space="preserve">Buckley, D. and </w:t>
      </w:r>
      <w:proofErr w:type="spellStart"/>
      <w:r>
        <w:rPr>
          <w:color w:val="000000"/>
        </w:rPr>
        <w:t>Budzyna</w:t>
      </w:r>
      <w:proofErr w:type="spellEnd"/>
      <w:r>
        <w:rPr>
          <w:color w:val="000000"/>
        </w:rPr>
        <w:t>, D. (2023). Ecological Theory.</w:t>
      </w:r>
      <w:r>
        <w:rPr>
          <w:rStyle w:val="apple-converted-space"/>
          <w:color w:val="000000"/>
        </w:rPr>
        <w:t> </w:t>
      </w:r>
      <w:r>
        <w:rPr>
          <w:i/>
          <w:iCs/>
          <w:color w:val="000000"/>
        </w:rPr>
        <w:t>rotel.pressbooks.pub</w:t>
      </w:r>
      <w:r>
        <w:rPr>
          <w:color w:val="000000"/>
        </w:rPr>
        <w:t xml:space="preserve">. [online] Available at: </w:t>
      </w:r>
      <w:hyperlink r:id="rId13" w:history="1">
        <w:r w:rsidRPr="0043521D">
          <w:rPr>
            <w:rStyle w:val="Hyperlink"/>
          </w:rPr>
          <w:t>https://rotel.pressbooks.pub/whole-child/chapter/ecological-theory-2/</w:t>
        </w:r>
      </w:hyperlink>
      <w:r>
        <w:rPr>
          <w:color w:val="000000"/>
        </w:rPr>
        <w:t>.</w:t>
      </w:r>
      <w:r>
        <w:rPr>
          <w:color w:val="000000"/>
        </w:rPr>
        <w:t xml:space="preserve"> </w:t>
      </w:r>
      <w:r>
        <w:rPr>
          <w:color w:val="000000"/>
        </w:rPr>
        <w:t>(Accessed: 7</w:t>
      </w:r>
      <w:r w:rsidRPr="00F4115B">
        <w:rPr>
          <w:color w:val="000000"/>
          <w:vertAlign w:val="superscript"/>
        </w:rPr>
        <w:t>th</w:t>
      </w:r>
      <w:r>
        <w:rPr>
          <w:color w:val="000000"/>
        </w:rPr>
        <w:t xml:space="preserve"> June 2024)</w:t>
      </w:r>
    </w:p>
    <w:p w14:paraId="5B1C8DF6" w14:textId="4DEF5E42" w:rsidR="008C595B" w:rsidRPr="008C595B" w:rsidRDefault="008C595B" w:rsidP="008C595B">
      <w:pPr>
        <w:spacing w:after="240" w:line="360" w:lineRule="atLeast"/>
        <w:rPr>
          <w:color w:val="000000"/>
        </w:rPr>
      </w:pPr>
      <w:r w:rsidRPr="008C595B">
        <w:rPr>
          <w:color w:val="000000"/>
        </w:rPr>
        <w:t>Cabrera, E. (2021). </w:t>
      </w:r>
      <w:r w:rsidRPr="008C595B">
        <w:rPr>
          <w:i/>
          <w:iCs/>
          <w:color w:val="000000"/>
        </w:rPr>
        <w:t xml:space="preserve">Digital Commons @ CSUMB Digital Commons @ CSUMB Capstone Projects and </w:t>
      </w:r>
      <w:proofErr w:type="gramStart"/>
      <w:r w:rsidRPr="008C595B">
        <w:rPr>
          <w:i/>
          <w:iCs/>
          <w:color w:val="000000"/>
        </w:rPr>
        <w:t>Master’s</w:t>
      </w:r>
      <w:proofErr w:type="gramEnd"/>
      <w:r w:rsidRPr="008C595B">
        <w:rPr>
          <w:i/>
          <w:iCs/>
          <w:color w:val="000000"/>
        </w:rPr>
        <w:t xml:space="preserve"> Theses Capstone Projects and Master’s Theses Promoting Healthy Living Among Families Promoting Healthy Living Among Families</w:t>
      </w:r>
      <w:r w:rsidRPr="008C595B">
        <w:rPr>
          <w:color w:val="000000"/>
        </w:rPr>
        <w:t xml:space="preserve">. [online] Available at: </w:t>
      </w:r>
      <w:hyperlink r:id="rId14" w:history="1">
        <w:r w:rsidR="00F4115B" w:rsidRPr="008C595B">
          <w:rPr>
            <w:rStyle w:val="Hyperlink"/>
          </w:rPr>
          <w:t>https://digitalcommons.csumb.edu/cgi/viewcontent.cgi?article=2142&amp;context=caps_thes_all</w:t>
        </w:r>
      </w:hyperlink>
      <w:r w:rsidRPr="008C595B">
        <w:rPr>
          <w:color w:val="000000"/>
        </w:rPr>
        <w:t>.</w:t>
      </w:r>
      <w:r w:rsidR="00F4115B">
        <w:rPr>
          <w:color w:val="000000"/>
        </w:rPr>
        <w:t xml:space="preserve"> </w:t>
      </w:r>
      <w:r w:rsidR="00F4115B">
        <w:rPr>
          <w:color w:val="000000"/>
        </w:rPr>
        <w:t xml:space="preserve">(Accessed: </w:t>
      </w:r>
      <w:r w:rsidR="00F4115B">
        <w:rPr>
          <w:color w:val="000000"/>
        </w:rPr>
        <w:t>10</w:t>
      </w:r>
      <w:r w:rsidR="00F4115B" w:rsidRPr="00F4115B">
        <w:rPr>
          <w:color w:val="000000"/>
          <w:vertAlign w:val="superscript"/>
        </w:rPr>
        <w:t>th</w:t>
      </w:r>
      <w:r w:rsidR="00F4115B">
        <w:rPr>
          <w:color w:val="000000"/>
        </w:rPr>
        <w:t xml:space="preserve"> June 2024)</w:t>
      </w:r>
    </w:p>
    <w:p w14:paraId="717EF29A" w14:textId="51D7D0A5" w:rsidR="008C595B" w:rsidRPr="008C595B" w:rsidRDefault="008C595B" w:rsidP="008C595B">
      <w:pPr>
        <w:spacing w:after="240" w:line="360" w:lineRule="atLeast"/>
        <w:rPr>
          <w:color w:val="000000"/>
        </w:rPr>
      </w:pPr>
      <w:r w:rsidRPr="008C595B">
        <w:rPr>
          <w:color w:val="000000"/>
        </w:rPr>
        <w:t>Carlson, J. (2020). Lifestyle. </w:t>
      </w:r>
      <w:r w:rsidRPr="008C595B">
        <w:rPr>
          <w:i/>
          <w:iCs/>
          <w:color w:val="000000"/>
        </w:rPr>
        <w:t>Springer eBooks</w:t>
      </w:r>
      <w:r w:rsidRPr="008C595B">
        <w:rPr>
          <w:color w:val="000000"/>
        </w:rPr>
        <w:t xml:space="preserve">, pp.1283–1284. </w:t>
      </w:r>
      <w:proofErr w:type="spellStart"/>
      <w:proofErr w:type="gramStart"/>
      <w:r w:rsidRPr="008C595B">
        <w:rPr>
          <w:color w:val="000000"/>
        </w:rPr>
        <w:t>doi:https</w:t>
      </w:r>
      <w:proofErr w:type="spellEnd"/>
      <w:r w:rsidRPr="008C595B">
        <w:rPr>
          <w:color w:val="000000"/>
        </w:rPr>
        <w:t>://doi.org/10.1007/978-3-030-39903-0_1144</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6F8AD1D2" w14:textId="24158217" w:rsidR="00F4115B" w:rsidRPr="008C595B" w:rsidRDefault="008C595B" w:rsidP="00F4115B">
      <w:pPr>
        <w:spacing w:after="240" w:line="360" w:lineRule="atLeast"/>
        <w:rPr>
          <w:color w:val="000000"/>
        </w:rPr>
      </w:pPr>
      <w:proofErr w:type="spellStart"/>
      <w:r w:rsidRPr="008C595B">
        <w:rPr>
          <w:color w:val="000000"/>
        </w:rPr>
        <w:t>Cetateanu</w:t>
      </w:r>
      <w:proofErr w:type="spellEnd"/>
      <w:r w:rsidRPr="008C595B">
        <w:rPr>
          <w:color w:val="000000"/>
        </w:rPr>
        <w:t xml:space="preserve">, A. and Jones, A. (2014). Understanding the relationship between food environments, deprivation and childhood overweight and obesity: Evidence from a cross </w:t>
      </w:r>
      <w:r w:rsidRPr="008C595B">
        <w:rPr>
          <w:color w:val="000000"/>
        </w:rPr>
        <w:lastRenderedPageBreak/>
        <w:t>sectional England-wide study. </w:t>
      </w:r>
      <w:r w:rsidRPr="008C595B">
        <w:rPr>
          <w:i/>
          <w:iCs/>
          <w:color w:val="000000"/>
        </w:rPr>
        <w:t>Health &amp; Place</w:t>
      </w:r>
      <w:r w:rsidRPr="008C595B">
        <w:rPr>
          <w:color w:val="000000"/>
        </w:rPr>
        <w:t xml:space="preserve">, [online] 27(100), pp.68–76. </w:t>
      </w:r>
      <w:proofErr w:type="spellStart"/>
      <w:proofErr w:type="gramStart"/>
      <w:r w:rsidRPr="008C595B">
        <w:rPr>
          <w:color w:val="000000"/>
        </w:rPr>
        <w:t>doi:https</w:t>
      </w:r>
      <w:proofErr w:type="spellEnd"/>
      <w:r w:rsidRPr="008C595B">
        <w:rPr>
          <w:color w:val="000000"/>
        </w:rPr>
        <w:t>://doi.org/10.1016/j.healthplace.2014.01.007</w:t>
      </w:r>
      <w:proofErr w:type="gramEnd"/>
      <w:r w:rsidRPr="008C595B">
        <w:rPr>
          <w:color w:val="000000"/>
        </w:rPr>
        <w:t>.</w:t>
      </w:r>
      <w:r w:rsidR="00F4115B" w:rsidRPr="00F4115B">
        <w:rPr>
          <w:color w:val="000000"/>
        </w:rPr>
        <w:t xml:space="preserve"> </w:t>
      </w:r>
      <w:r w:rsidR="00F4115B">
        <w:rPr>
          <w:color w:val="000000"/>
        </w:rPr>
        <w:t xml:space="preserve">(Accessed: </w:t>
      </w:r>
      <w:r w:rsidR="00F4115B">
        <w:rPr>
          <w:color w:val="000000"/>
        </w:rPr>
        <w:t>9</w:t>
      </w:r>
      <w:r w:rsidR="00F4115B" w:rsidRPr="00F4115B">
        <w:rPr>
          <w:color w:val="000000"/>
          <w:vertAlign w:val="superscript"/>
        </w:rPr>
        <w:t>th</w:t>
      </w:r>
      <w:r w:rsidR="00F4115B">
        <w:rPr>
          <w:color w:val="000000"/>
        </w:rPr>
        <w:t xml:space="preserve"> June 2024)</w:t>
      </w:r>
    </w:p>
    <w:p w14:paraId="2E2DEECA" w14:textId="3BA0566E" w:rsidR="008C595B" w:rsidRPr="008C595B" w:rsidRDefault="008C595B" w:rsidP="008C595B">
      <w:pPr>
        <w:spacing w:after="240" w:line="360" w:lineRule="atLeast"/>
        <w:rPr>
          <w:color w:val="000000"/>
        </w:rPr>
      </w:pPr>
    </w:p>
    <w:p w14:paraId="332E8424" w14:textId="32564426" w:rsidR="008C595B" w:rsidRPr="008C595B" w:rsidRDefault="008C595B" w:rsidP="008C595B">
      <w:pPr>
        <w:spacing w:after="240" w:line="360" w:lineRule="atLeast"/>
        <w:rPr>
          <w:color w:val="000000"/>
        </w:rPr>
      </w:pPr>
      <w:proofErr w:type="spellStart"/>
      <w:r w:rsidRPr="008C595B">
        <w:rPr>
          <w:color w:val="000000"/>
        </w:rPr>
        <w:t>Dalal</w:t>
      </w:r>
      <w:proofErr w:type="spellEnd"/>
      <w:r w:rsidRPr="008C595B">
        <w:rPr>
          <w:color w:val="000000"/>
        </w:rPr>
        <w:t xml:space="preserve">, M., Cazorla-Lancaster, Y., Chu, C.G. and Agarwal, N. (2022). Healthy </w:t>
      </w:r>
      <w:proofErr w:type="gramStart"/>
      <w:r w:rsidRPr="008C595B">
        <w:rPr>
          <w:color w:val="000000"/>
        </w:rPr>
        <w:t>From</w:t>
      </w:r>
      <w:proofErr w:type="gramEnd"/>
      <w:r w:rsidRPr="008C595B">
        <w:rPr>
          <w:color w:val="000000"/>
        </w:rPr>
        <w:t xml:space="preserve"> the Start—Lifestyle Interventions in Early Childhood. </w:t>
      </w:r>
      <w:r w:rsidRPr="008C595B">
        <w:rPr>
          <w:i/>
          <w:iCs/>
          <w:color w:val="000000"/>
        </w:rPr>
        <w:t>American Journal of Lifestyle Medicine</w:t>
      </w:r>
      <w:r w:rsidRPr="008C595B">
        <w:rPr>
          <w:color w:val="000000"/>
        </w:rPr>
        <w:t xml:space="preserve">, 16(5), p.155982762210876. </w:t>
      </w:r>
      <w:proofErr w:type="spellStart"/>
      <w:proofErr w:type="gramStart"/>
      <w:r w:rsidRPr="008C595B">
        <w:rPr>
          <w:color w:val="000000"/>
        </w:rPr>
        <w:t>doi:https</w:t>
      </w:r>
      <w:proofErr w:type="spellEnd"/>
      <w:r w:rsidRPr="008C595B">
        <w:rPr>
          <w:color w:val="000000"/>
        </w:rPr>
        <w:t>://doi.org/10.1177/15598276221087672</w:t>
      </w:r>
      <w:proofErr w:type="gramEnd"/>
      <w:r w:rsidRPr="008C595B">
        <w:rPr>
          <w:color w:val="000000"/>
        </w:rPr>
        <w:t>.</w:t>
      </w:r>
      <w:r w:rsidR="00F4115B">
        <w:rPr>
          <w:color w:val="000000"/>
        </w:rPr>
        <w:t xml:space="preserve"> </w:t>
      </w:r>
      <w:r w:rsidR="00F4115B">
        <w:rPr>
          <w:color w:val="000000"/>
        </w:rPr>
        <w:t xml:space="preserve">(Accessed: </w:t>
      </w:r>
      <w:r w:rsidR="00F4115B">
        <w:rPr>
          <w:color w:val="000000"/>
        </w:rPr>
        <w:t>7</w:t>
      </w:r>
      <w:r w:rsidR="00F4115B" w:rsidRPr="00F4115B">
        <w:rPr>
          <w:color w:val="000000"/>
          <w:vertAlign w:val="superscript"/>
        </w:rPr>
        <w:t>th</w:t>
      </w:r>
      <w:r w:rsidR="00F4115B">
        <w:rPr>
          <w:color w:val="000000"/>
        </w:rPr>
        <w:t xml:space="preserve"> </w:t>
      </w:r>
      <w:r w:rsidR="00F4115B">
        <w:rPr>
          <w:color w:val="000000"/>
        </w:rPr>
        <w:t>June 2024)</w:t>
      </w:r>
    </w:p>
    <w:p w14:paraId="1A901ADE" w14:textId="565A16A6" w:rsidR="008C595B" w:rsidRPr="008C595B" w:rsidRDefault="008C595B" w:rsidP="008C595B">
      <w:pPr>
        <w:spacing w:after="240" w:line="360" w:lineRule="atLeast"/>
        <w:rPr>
          <w:color w:val="000000"/>
        </w:rPr>
      </w:pPr>
      <w:proofErr w:type="spellStart"/>
      <w:r w:rsidRPr="008C595B">
        <w:rPr>
          <w:color w:val="000000"/>
        </w:rPr>
        <w:t>Dienel</w:t>
      </w:r>
      <w:proofErr w:type="spellEnd"/>
      <w:r w:rsidRPr="008C595B">
        <w:rPr>
          <w:color w:val="000000"/>
        </w:rPr>
        <w:t>, G.A. (2019). Brain Glucose Metabolism: Integration of Energetics with Function. </w:t>
      </w:r>
      <w:r w:rsidRPr="008C595B">
        <w:rPr>
          <w:i/>
          <w:iCs/>
          <w:color w:val="000000"/>
        </w:rPr>
        <w:t>Physiological Reviews</w:t>
      </w:r>
      <w:r w:rsidRPr="008C595B">
        <w:rPr>
          <w:color w:val="000000"/>
        </w:rPr>
        <w:t xml:space="preserve">, [online] 99(1), pp.949–1045. </w:t>
      </w:r>
      <w:proofErr w:type="spellStart"/>
      <w:proofErr w:type="gramStart"/>
      <w:r w:rsidRPr="008C595B">
        <w:rPr>
          <w:color w:val="000000"/>
        </w:rPr>
        <w:t>doi:https</w:t>
      </w:r>
      <w:proofErr w:type="spellEnd"/>
      <w:r w:rsidRPr="008C595B">
        <w:rPr>
          <w:color w:val="000000"/>
        </w:rPr>
        <w:t>://doi.org/10.1152/physrev.00062.2017</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25637C8F" w14:textId="1C1DE1F6" w:rsidR="008C595B" w:rsidRPr="008C595B" w:rsidRDefault="008C595B" w:rsidP="008C595B">
      <w:pPr>
        <w:spacing w:after="240" w:line="360" w:lineRule="atLeast"/>
        <w:rPr>
          <w:color w:val="000000"/>
        </w:rPr>
      </w:pPr>
      <w:proofErr w:type="spellStart"/>
      <w:r w:rsidRPr="008C595B">
        <w:rPr>
          <w:color w:val="000000"/>
        </w:rPr>
        <w:t>Disabato</w:t>
      </w:r>
      <w:proofErr w:type="spellEnd"/>
      <w:r w:rsidRPr="008C595B">
        <w:rPr>
          <w:color w:val="000000"/>
        </w:rPr>
        <w:t xml:space="preserve">, D.J., Goodman, F.R., </w:t>
      </w:r>
      <w:proofErr w:type="spellStart"/>
      <w:r w:rsidRPr="008C595B">
        <w:rPr>
          <w:color w:val="000000"/>
        </w:rPr>
        <w:t>Kashdan</w:t>
      </w:r>
      <w:proofErr w:type="spellEnd"/>
      <w:r w:rsidRPr="008C595B">
        <w:rPr>
          <w:color w:val="000000"/>
        </w:rPr>
        <w:t xml:space="preserve">, T.B., Short, J.L. and Jarden, A. (2016). Different types of well-being? A cross-cultural examination of hedonic and </w:t>
      </w:r>
      <w:proofErr w:type="spellStart"/>
      <w:r w:rsidRPr="008C595B">
        <w:rPr>
          <w:color w:val="000000"/>
        </w:rPr>
        <w:t>eudaimonic</w:t>
      </w:r>
      <w:proofErr w:type="spellEnd"/>
      <w:r w:rsidRPr="008C595B">
        <w:rPr>
          <w:color w:val="000000"/>
        </w:rPr>
        <w:t xml:space="preserve"> well-being. </w:t>
      </w:r>
      <w:r w:rsidRPr="008C595B">
        <w:rPr>
          <w:i/>
          <w:iCs/>
          <w:color w:val="000000"/>
        </w:rPr>
        <w:t>Psychological Assessment</w:t>
      </w:r>
      <w:r w:rsidRPr="008C595B">
        <w:rPr>
          <w:color w:val="000000"/>
        </w:rPr>
        <w:t xml:space="preserve">, 28(5), pp.471–482. </w:t>
      </w:r>
      <w:proofErr w:type="spellStart"/>
      <w:proofErr w:type="gramStart"/>
      <w:r w:rsidRPr="008C595B">
        <w:rPr>
          <w:color w:val="000000"/>
        </w:rPr>
        <w:t>doi:https</w:t>
      </w:r>
      <w:proofErr w:type="spellEnd"/>
      <w:r w:rsidRPr="008C595B">
        <w:rPr>
          <w:color w:val="000000"/>
        </w:rPr>
        <w:t>://doi.org/10.1037/pas0000209</w:t>
      </w:r>
      <w:proofErr w:type="gramEnd"/>
      <w:r w:rsidRPr="008C595B">
        <w:rPr>
          <w:color w:val="000000"/>
        </w:rPr>
        <w:t>.</w:t>
      </w:r>
      <w:r w:rsidR="00F4115B">
        <w:rPr>
          <w:color w:val="000000"/>
        </w:rPr>
        <w:t xml:space="preserve"> </w:t>
      </w:r>
      <w:r w:rsidR="00F4115B">
        <w:rPr>
          <w:color w:val="000000"/>
        </w:rPr>
        <w:t>(Accessed: 2</w:t>
      </w:r>
      <w:r w:rsidR="00F4115B">
        <w:rPr>
          <w:color w:val="000000"/>
        </w:rPr>
        <w:t>7</w:t>
      </w:r>
      <w:r w:rsidR="00F4115B" w:rsidRPr="00F4115B">
        <w:rPr>
          <w:color w:val="000000"/>
          <w:vertAlign w:val="superscript"/>
        </w:rPr>
        <w:t>th</w:t>
      </w:r>
      <w:r w:rsidR="00F4115B">
        <w:rPr>
          <w:color w:val="000000"/>
        </w:rPr>
        <w:t xml:space="preserve"> May 2024)</w:t>
      </w:r>
    </w:p>
    <w:p w14:paraId="74AE3F7B" w14:textId="3633C6E2" w:rsidR="008C595B" w:rsidRPr="008C595B" w:rsidRDefault="008C595B" w:rsidP="008C595B">
      <w:pPr>
        <w:spacing w:after="240" w:line="360" w:lineRule="atLeast"/>
        <w:rPr>
          <w:color w:val="000000"/>
        </w:rPr>
      </w:pPr>
      <w:r w:rsidRPr="008C595B">
        <w:rPr>
          <w:color w:val="000000"/>
        </w:rPr>
        <w:t xml:space="preserve">Eriksson, M., </w:t>
      </w:r>
      <w:proofErr w:type="spellStart"/>
      <w:r w:rsidRPr="008C595B">
        <w:rPr>
          <w:color w:val="000000"/>
        </w:rPr>
        <w:t>Ghazinour</w:t>
      </w:r>
      <w:proofErr w:type="spellEnd"/>
      <w:r w:rsidRPr="008C595B">
        <w:rPr>
          <w:color w:val="000000"/>
        </w:rPr>
        <w:t xml:space="preserve">, M. and </w:t>
      </w:r>
      <w:proofErr w:type="spellStart"/>
      <w:r w:rsidRPr="008C595B">
        <w:rPr>
          <w:color w:val="000000"/>
        </w:rPr>
        <w:t>Hammarström</w:t>
      </w:r>
      <w:proofErr w:type="spellEnd"/>
      <w:r w:rsidRPr="008C595B">
        <w:rPr>
          <w:color w:val="000000"/>
        </w:rPr>
        <w:t>, A. (2018). Different uses of Bronfenbrenner’s ecological theory in public mental health research: what is their value for guiding public mental health policy and practice? </w:t>
      </w:r>
      <w:r w:rsidRPr="008C595B">
        <w:rPr>
          <w:i/>
          <w:iCs/>
          <w:color w:val="000000"/>
        </w:rPr>
        <w:t>Social Theory &amp; Health</w:t>
      </w:r>
      <w:r w:rsidRPr="008C595B">
        <w:rPr>
          <w:color w:val="000000"/>
        </w:rPr>
        <w:t xml:space="preserve">, [online] 16(4), pp.414–433. </w:t>
      </w:r>
      <w:proofErr w:type="spellStart"/>
      <w:proofErr w:type="gramStart"/>
      <w:r w:rsidRPr="008C595B">
        <w:rPr>
          <w:color w:val="000000"/>
        </w:rPr>
        <w:t>doi:https</w:t>
      </w:r>
      <w:proofErr w:type="spellEnd"/>
      <w:r w:rsidRPr="008C595B">
        <w:rPr>
          <w:color w:val="000000"/>
        </w:rPr>
        <w:t>://doi.org/10.1057/s41285-018-0065-6</w:t>
      </w:r>
      <w:proofErr w:type="gramEnd"/>
      <w:r w:rsidRPr="008C595B">
        <w:rPr>
          <w:color w:val="000000"/>
        </w:rPr>
        <w:t>.</w:t>
      </w:r>
      <w:r w:rsidR="00F4115B">
        <w:rPr>
          <w:color w:val="000000"/>
        </w:rPr>
        <w:t xml:space="preserve"> </w:t>
      </w:r>
      <w:r w:rsidR="00F4115B">
        <w:rPr>
          <w:color w:val="000000"/>
        </w:rPr>
        <w:t>(Accessed: 2</w:t>
      </w:r>
      <w:r w:rsidR="00F4115B" w:rsidRPr="00F4115B">
        <w:rPr>
          <w:color w:val="000000"/>
          <w:vertAlign w:val="superscript"/>
        </w:rPr>
        <w:t>nd</w:t>
      </w:r>
      <w:r w:rsidR="00F4115B">
        <w:rPr>
          <w:color w:val="000000"/>
        </w:rPr>
        <w:t xml:space="preserve"> June 2024)</w:t>
      </w:r>
    </w:p>
    <w:p w14:paraId="5BC6411A" w14:textId="5BCD4A5C" w:rsidR="008C595B" w:rsidRPr="008C595B" w:rsidRDefault="008C595B" w:rsidP="008C595B">
      <w:pPr>
        <w:spacing w:after="240" w:line="360" w:lineRule="atLeast"/>
        <w:rPr>
          <w:color w:val="000000"/>
        </w:rPr>
      </w:pPr>
      <w:proofErr w:type="spellStart"/>
      <w:r w:rsidRPr="008C595B">
        <w:rPr>
          <w:color w:val="000000"/>
        </w:rPr>
        <w:t>Fattore</w:t>
      </w:r>
      <w:proofErr w:type="spellEnd"/>
      <w:r w:rsidRPr="008C595B">
        <w:rPr>
          <w:color w:val="000000"/>
        </w:rPr>
        <w:t>, T. and Mason, J. (2017). The Significance of the Social for Child Well-Being. </w:t>
      </w:r>
      <w:r w:rsidRPr="008C595B">
        <w:rPr>
          <w:i/>
          <w:iCs/>
          <w:color w:val="000000"/>
        </w:rPr>
        <w:t>Children &amp; Society</w:t>
      </w:r>
      <w:r w:rsidRPr="008C595B">
        <w:rPr>
          <w:color w:val="000000"/>
        </w:rPr>
        <w:t xml:space="preserve">, 31(4), pp.276–289. </w:t>
      </w:r>
      <w:proofErr w:type="spellStart"/>
      <w:proofErr w:type="gramStart"/>
      <w:r w:rsidRPr="008C595B">
        <w:rPr>
          <w:color w:val="000000"/>
        </w:rPr>
        <w:t>doi:https</w:t>
      </w:r>
      <w:proofErr w:type="spellEnd"/>
      <w:r w:rsidRPr="008C595B">
        <w:rPr>
          <w:color w:val="000000"/>
        </w:rPr>
        <w:t>://doi.org/10.1111/chso.12205</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5FBC602E" w14:textId="0C82344A" w:rsidR="008C595B" w:rsidRPr="008C595B" w:rsidRDefault="008C595B" w:rsidP="008C595B">
      <w:pPr>
        <w:spacing w:after="240" w:line="360" w:lineRule="atLeast"/>
        <w:rPr>
          <w:color w:val="000000"/>
        </w:rPr>
      </w:pPr>
      <w:r w:rsidRPr="008C595B">
        <w:rPr>
          <w:color w:val="000000"/>
        </w:rPr>
        <w:t xml:space="preserve">Fletcher, H.K. and </w:t>
      </w:r>
      <w:proofErr w:type="spellStart"/>
      <w:r w:rsidRPr="008C595B">
        <w:rPr>
          <w:color w:val="000000"/>
        </w:rPr>
        <w:t>Gallichan</w:t>
      </w:r>
      <w:proofErr w:type="spellEnd"/>
      <w:r w:rsidRPr="008C595B">
        <w:rPr>
          <w:color w:val="000000"/>
        </w:rPr>
        <w:t>, D.J. (2016). An Overview of Attachment Theory. </w:t>
      </w:r>
      <w:r w:rsidRPr="008C595B">
        <w:rPr>
          <w:i/>
          <w:iCs/>
          <w:color w:val="000000"/>
        </w:rPr>
        <w:t>Attachment in Intellectual and Developmental Disability</w:t>
      </w:r>
      <w:r w:rsidRPr="008C595B">
        <w:rPr>
          <w:color w:val="000000"/>
        </w:rPr>
        <w:t xml:space="preserve">, pp.8–32. </w:t>
      </w:r>
      <w:proofErr w:type="spellStart"/>
      <w:proofErr w:type="gramStart"/>
      <w:r w:rsidRPr="008C595B">
        <w:rPr>
          <w:color w:val="000000"/>
        </w:rPr>
        <w:t>doi:https</w:t>
      </w:r>
      <w:proofErr w:type="spellEnd"/>
      <w:r w:rsidRPr="008C595B">
        <w:rPr>
          <w:color w:val="000000"/>
        </w:rPr>
        <w:t>://doi.org/10.1002/9781118938119.ch2</w:t>
      </w:r>
      <w:proofErr w:type="gramEnd"/>
      <w:r w:rsidRPr="008C595B">
        <w:rPr>
          <w:color w:val="000000"/>
        </w:rPr>
        <w:t>.</w:t>
      </w:r>
      <w:r w:rsidR="00F4115B">
        <w:rPr>
          <w:color w:val="000000"/>
        </w:rPr>
        <w:t xml:space="preserve"> </w:t>
      </w:r>
      <w:r w:rsidR="00F4115B">
        <w:rPr>
          <w:color w:val="000000"/>
        </w:rPr>
        <w:t>(Accessed: 2</w:t>
      </w:r>
      <w:r w:rsidR="00F4115B">
        <w:rPr>
          <w:color w:val="000000"/>
        </w:rPr>
        <w:t>4</w:t>
      </w:r>
      <w:r w:rsidR="00F4115B" w:rsidRPr="00F4115B">
        <w:rPr>
          <w:color w:val="000000"/>
          <w:vertAlign w:val="superscript"/>
        </w:rPr>
        <w:t>th</w:t>
      </w:r>
      <w:r w:rsidR="00F4115B">
        <w:rPr>
          <w:color w:val="000000"/>
        </w:rPr>
        <w:t xml:space="preserve"> May 2024)</w:t>
      </w:r>
    </w:p>
    <w:p w14:paraId="43DB97CD" w14:textId="6DAA9571" w:rsidR="00F4115B" w:rsidRDefault="008C595B" w:rsidP="008C595B">
      <w:pPr>
        <w:spacing w:after="240" w:line="360" w:lineRule="atLeast"/>
        <w:rPr>
          <w:color w:val="000000"/>
        </w:rPr>
      </w:pPr>
      <w:proofErr w:type="spellStart"/>
      <w:r w:rsidRPr="008C595B">
        <w:rPr>
          <w:color w:val="000000"/>
        </w:rPr>
        <w:t>Gadermann</w:t>
      </w:r>
      <w:proofErr w:type="spellEnd"/>
      <w:r w:rsidRPr="008C595B">
        <w:rPr>
          <w:color w:val="000000"/>
        </w:rPr>
        <w:t xml:space="preserve">, A.M., </w:t>
      </w:r>
      <w:proofErr w:type="spellStart"/>
      <w:r w:rsidRPr="008C595B">
        <w:rPr>
          <w:color w:val="000000"/>
        </w:rPr>
        <w:t>Guhn</w:t>
      </w:r>
      <w:proofErr w:type="spellEnd"/>
      <w:r w:rsidRPr="008C595B">
        <w:rPr>
          <w:color w:val="000000"/>
        </w:rPr>
        <w:t xml:space="preserve">, M., </w:t>
      </w:r>
      <w:proofErr w:type="spellStart"/>
      <w:r w:rsidRPr="008C595B">
        <w:rPr>
          <w:color w:val="000000"/>
        </w:rPr>
        <w:t>Schonert-Reichl</w:t>
      </w:r>
      <w:proofErr w:type="spellEnd"/>
      <w:r w:rsidRPr="008C595B">
        <w:rPr>
          <w:color w:val="000000"/>
        </w:rPr>
        <w:t xml:space="preserve">, K.A., Hymel, S., Thomson, K. and Hertzman, C. (2015). A Population-Based Study of Children’s Well-Being and Health: The Relative </w:t>
      </w:r>
      <w:r w:rsidR="00F4115B">
        <w:rPr>
          <w:color w:val="000000"/>
        </w:rPr>
        <w:t>(Accessed: 20</w:t>
      </w:r>
      <w:r w:rsidR="00F4115B" w:rsidRPr="00F4115B">
        <w:rPr>
          <w:color w:val="000000"/>
          <w:vertAlign w:val="superscript"/>
        </w:rPr>
        <w:t>th</w:t>
      </w:r>
      <w:r w:rsidR="00F4115B">
        <w:rPr>
          <w:color w:val="000000"/>
        </w:rPr>
        <w:t xml:space="preserve"> May 2024)</w:t>
      </w:r>
    </w:p>
    <w:p w14:paraId="7FF64DCF" w14:textId="4A4B9AE2" w:rsidR="00F4115B" w:rsidRDefault="00F4115B" w:rsidP="00F4115B">
      <w:pPr>
        <w:pStyle w:val="NormalWeb"/>
        <w:spacing w:before="0" w:beforeAutospacing="0" w:after="240" w:afterAutospacing="0" w:line="360" w:lineRule="atLeast"/>
        <w:rPr>
          <w:color w:val="000000"/>
        </w:rPr>
      </w:pPr>
      <w:r>
        <w:rPr>
          <w:color w:val="000000"/>
        </w:rPr>
        <w:t xml:space="preserve">Goyal, M.S., Venkatesh, S., </w:t>
      </w:r>
      <w:proofErr w:type="spellStart"/>
      <w:r>
        <w:rPr>
          <w:color w:val="000000"/>
        </w:rPr>
        <w:t>Milbrandt</w:t>
      </w:r>
      <w:proofErr w:type="spellEnd"/>
      <w:r>
        <w:rPr>
          <w:color w:val="000000"/>
        </w:rPr>
        <w:t xml:space="preserve">, J., Gordon, J.I. and </w:t>
      </w:r>
      <w:proofErr w:type="spellStart"/>
      <w:r>
        <w:rPr>
          <w:color w:val="000000"/>
        </w:rPr>
        <w:t>Raichle</w:t>
      </w:r>
      <w:proofErr w:type="spellEnd"/>
      <w:r>
        <w:rPr>
          <w:color w:val="000000"/>
        </w:rPr>
        <w:t>, M.E. (2015). Feeding the brain and nurturing the mind: Linking nutrition and the gut microbiota to brain development.</w:t>
      </w:r>
      <w:r>
        <w:rPr>
          <w:rStyle w:val="apple-converted-space"/>
          <w:color w:val="000000"/>
        </w:rPr>
        <w:t> </w:t>
      </w:r>
      <w:r>
        <w:rPr>
          <w:i/>
          <w:iCs/>
          <w:color w:val="000000"/>
        </w:rPr>
        <w:t>Proceedings of the National Academy of Sciences</w:t>
      </w:r>
      <w:r>
        <w:rPr>
          <w:color w:val="000000"/>
        </w:rPr>
        <w:t xml:space="preserve">, 112(46), pp.14105–14112. </w:t>
      </w:r>
      <w:proofErr w:type="spellStart"/>
      <w:proofErr w:type="gramStart"/>
      <w:r>
        <w:rPr>
          <w:color w:val="000000"/>
        </w:rPr>
        <w:t>doi:https</w:t>
      </w:r>
      <w:proofErr w:type="spellEnd"/>
      <w:r>
        <w:rPr>
          <w:color w:val="000000"/>
        </w:rPr>
        <w:t>://doi.org/10.1073/pnas.1511465112</w:t>
      </w:r>
      <w:proofErr w:type="gramEnd"/>
      <w:r>
        <w:rPr>
          <w:color w:val="000000"/>
        </w:rPr>
        <w:t>.</w:t>
      </w:r>
      <w:r>
        <w:rPr>
          <w:color w:val="000000"/>
        </w:rPr>
        <w:t xml:space="preserve"> </w:t>
      </w:r>
      <w:r>
        <w:rPr>
          <w:color w:val="000000"/>
        </w:rPr>
        <w:t>(Accessed: 2</w:t>
      </w:r>
      <w:r>
        <w:rPr>
          <w:color w:val="000000"/>
        </w:rPr>
        <w:t>7</w:t>
      </w:r>
      <w:r w:rsidRPr="00F4115B">
        <w:rPr>
          <w:color w:val="000000"/>
          <w:vertAlign w:val="superscript"/>
        </w:rPr>
        <w:t>th</w:t>
      </w:r>
      <w:r>
        <w:rPr>
          <w:color w:val="000000"/>
        </w:rPr>
        <w:t xml:space="preserve"> May 2024)</w:t>
      </w:r>
    </w:p>
    <w:p w14:paraId="58C2A777" w14:textId="3FDBD07B" w:rsidR="008C595B" w:rsidRPr="008C595B" w:rsidRDefault="008C595B" w:rsidP="008C595B">
      <w:pPr>
        <w:spacing w:after="240" w:line="360" w:lineRule="atLeast"/>
        <w:rPr>
          <w:color w:val="000000"/>
        </w:rPr>
      </w:pPr>
      <w:r w:rsidRPr="008C595B">
        <w:rPr>
          <w:color w:val="000000"/>
        </w:rPr>
        <w:lastRenderedPageBreak/>
        <w:t>Importance of Social Relationships, Health-Related Activities, and Income. </w:t>
      </w:r>
      <w:r w:rsidRPr="008C595B">
        <w:rPr>
          <w:i/>
          <w:iCs/>
          <w:color w:val="000000"/>
        </w:rPr>
        <w:t>Journal of Happiness Studies</w:t>
      </w:r>
      <w:r w:rsidRPr="008C595B">
        <w:rPr>
          <w:color w:val="000000"/>
        </w:rPr>
        <w:t xml:space="preserve">, 17(5), pp.1847–1872. </w:t>
      </w:r>
      <w:proofErr w:type="spellStart"/>
      <w:proofErr w:type="gramStart"/>
      <w:r w:rsidRPr="008C595B">
        <w:rPr>
          <w:color w:val="000000"/>
        </w:rPr>
        <w:t>doi:https</w:t>
      </w:r>
      <w:proofErr w:type="spellEnd"/>
      <w:r w:rsidRPr="008C595B">
        <w:rPr>
          <w:color w:val="000000"/>
        </w:rPr>
        <w:t>://doi.org/10.1007/s10902-015-9673-1</w:t>
      </w:r>
      <w:proofErr w:type="gramEnd"/>
      <w:r w:rsidRPr="008C595B">
        <w:rPr>
          <w:color w:val="000000"/>
        </w:rPr>
        <w:t>.</w:t>
      </w:r>
      <w:r w:rsidR="00F4115B">
        <w:rPr>
          <w:color w:val="000000"/>
        </w:rPr>
        <w:t xml:space="preserve"> </w:t>
      </w:r>
      <w:r w:rsidR="00F4115B">
        <w:rPr>
          <w:color w:val="000000"/>
        </w:rPr>
        <w:t>(Accessed: 2</w:t>
      </w:r>
      <w:r w:rsidR="00F4115B">
        <w:rPr>
          <w:color w:val="000000"/>
        </w:rPr>
        <w:t>9</w:t>
      </w:r>
      <w:r w:rsidR="00F4115B" w:rsidRPr="00F4115B">
        <w:rPr>
          <w:color w:val="000000"/>
          <w:vertAlign w:val="superscript"/>
        </w:rPr>
        <w:t>th</w:t>
      </w:r>
      <w:r w:rsidR="00F4115B">
        <w:rPr>
          <w:color w:val="000000"/>
        </w:rPr>
        <w:t xml:space="preserve"> May 2024)</w:t>
      </w:r>
    </w:p>
    <w:p w14:paraId="3E9F6981" w14:textId="48034469" w:rsidR="008C595B" w:rsidRDefault="008C595B" w:rsidP="008C595B">
      <w:pPr>
        <w:spacing w:after="240" w:line="360" w:lineRule="atLeast"/>
        <w:rPr>
          <w:color w:val="000000"/>
        </w:rPr>
      </w:pPr>
      <w:r w:rsidRPr="008C595B">
        <w:rPr>
          <w:color w:val="000000"/>
        </w:rPr>
        <w:t>Hale, A.J., Ricotta, D.N., Freed, J., Smith, C.C. and Huang, G.C. (2018). Adapting Maslow’s Hierarchy of Needs as a Framework for Resident Wellness. </w:t>
      </w:r>
      <w:r w:rsidRPr="008C595B">
        <w:rPr>
          <w:i/>
          <w:iCs/>
          <w:color w:val="000000"/>
        </w:rPr>
        <w:t>Teaching and Learning in Medicine</w:t>
      </w:r>
      <w:r w:rsidRPr="008C595B">
        <w:rPr>
          <w:color w:val="000000"/>
        </w:rPr>
        <w:t xml:space="preserve">, [online] 31(1), pp.109–118. </w:t>
      </w:r>
      <w:proofErr w:type="spellStart"/>
      <w:proofErr w:type="gramStart"/>
      <w:r w:rsidRPr="008C595B">
        <w:rPr>
          <w:color w:val="000000"/>
        </w:rPr>
        <w:t>doi:https</w:t>
      </w:r>
      <w:proofErr w:type="spellEnd"/>
      <w:r w:rsidRPr="008C595B">
        <w:rPr>
          <w:color w:val="000000"/>
        </w:rPr>
        <w:t>://doi.org/10.1080/10401334.2018.1456928</w:t>
      </w:r>
      <w:proofErr w:type="gramEnd"/>
      <w:r w:rsidRPr="008C595B">
        <w:rPr>
          <w:color w:val="000000"/>
        </w:rPr>
        <w:t>.</w:t>
      </w:r>
      <w:r w:rsidR="00F4115B" w:rsidRPr="00F4115B">
        <w:rPr>
          <w:color w:val="000000"/>
        </w:rPr>
        <w:t xml:space="preserve"> </w:t>
      </w:r>
      <w:r w:rsidR="00F4115B">
        <w:rPr>
          <w:color w:val="000000"/>
        </w:rPr>
        <w:t xml:space="preserve">(Accessed: </w:t>
      </w:r>
      <w:r w:rsidR="00F4115B">
        <w:rPr>
          <w:color w:val="000000"/>
        </w:rPr>
        <w:t>3</w:t>
      </w:r>
      <w:r w:rsidR="00F4115B">
        <w:rPr>
          <w:color w:val="000000"/>
        </w:rPr>
        <w:t>0</w:t>
      </w:r>
      <w:r w:rsidR="00F4115B" w:rsidRPr="00F4115B">
        <w:rPr>
          <w:color w:val="000000"/>
          <w:vertAlign w:val="superscript"/>
        </w:rPr>
        <w:t>th</w:t>
      </w:r>
      <w:r w:rsidR="00F4115B">
        <w:rPr>
          <w:color w:val="000000"/>
        </w:rPr>
        <w:t xml:space="preserve"> May 2024)</w:t>
      </w:r>
    </w:p>
    <w:p w14:paraId="3FEB0E34" w14:textId="08D183E8" w:rsidR="00F4115B" w:rsidRPr="008C595B" w:rsidRDefault="00F4115B" w:rsidP="00F4115B">
      <w:pPr>
        <w:pStyle w:val="NormalWeb"/>
        <w:spacing w:before="0" w:beforeAutospacing="0" w:after="240" w:afterAutospacing="0" w:line="360" w:lineRule="atLeast"/>
        <w:rPr>
          <w:color w:val="000000"/>
        </w:rPr>
      </w:pPr>
      <w:r>
        <w:rPr>
          <w:color w:val="000000"/>
        </w:rPr>
        <w:t>Health, G. (2023).</w:t>
      </w:r>
      <w:r>
        <w:rPr>
          <w:rStyle w:val="apple-converted-space"/>
          <w:color w:val="000000"/>
        </w:rPr>
        <w:t> </w:t>
      </w:r>
      <w:r>
        <w:rPr>
          <w:i/>
          <w:iCs/>
          <w:color w:val="000000"/>
        </w:rPr>
        <w:t>The Interconnectedness of Mental Health and Physical Well-being</w:t>
      </w:r>
      <w:r>
        <w:rPr>
          <w:color w:val="000000"/>
        </w:rPr>
        <w:t xml:space="preserve">. [online] General Health Advocacy. Available at: </w:t>
      </w:r>
      <w:hyperlink r:id="rId15" w:history="1">
        <w:r w:rsidRPr="0043521D">
          <w:rPr>
            <w:rStyle w:val="Hyperlink"/>
          </w:rPr>
          <w:t>https://generalhealthadvocacy.com/overall-health-and-well-being-interconnectedness/</w:t>
        </w:r>
      </w:hyperlink>
      <w:r>
        <w:rPr>
          <w:color w:val="000000"/>
        </w:rPr>
        <w:t>.</w:t>
      </w:r>
      <w:r>
        <w:rPr>
          <w:color w:val="000000"/>
        </w:rPr>
        <w:t xml:space="preserve"> </w:t>
      </w:r>
      <w:r>
        <w:rPr>
          <w:color w:val="000000"/>
        </w:rPr>
        <w:t>(Accessed: 2</w:t>
      </w:r>
      <w:r w:rsidRPr="00F4115B">
        <w:rPr>
          <w:color w:val="000000"/>
          <w:vertAlign w:val="superscript"/>
        </w:rPr>
        <w:t>nd</w:t>
      </w:r>
      <w:r>
        <w:rPr>
          <w:color w:val="000000"/>
        </w:rPr>
        <w:t xml:space="preserve"> June 2024)</w:t>
      </w:r>
    </w:p>
    <w:p w14:paraId="049F5B93" w14:textId="52F0E23C" w:rsidR="008C595B" w:rsidRPr="008C595B" w:rsidRDefault="008C595B" w:rsidP="008C595B">
      <w:pPr>
        <w:spacing w:after="240" w:line="360" w:lineRule="atLeast"/>
        <w:rPr>
          <w:color w:val="000000"/>
        </w:rPr>
      </w:pPr>
      <w:r w:rsidRPr="008C595B">
        <w:rPr>
          <w:color w:val="000000"/>
        </w:rPr>
        <w:t>Holland, T.M. (2018). </w:t>
      </w:r>
      <w:r w:rsidRPr="008C595B">
        <w:rPr>
          <w:i/>
          <w:iCs/>
          <w:color w:val="000000"/>
        </w:rPr>
        <w:t>Dignity Health | What Is Holistic Health Care, Anyway?</w:t>
      </w:r>
      <w:r w:rsidRPr="008C595B">
        <w:rPr>
          <w:color w:val="000000"/>
        </w:rPr>
        <w:t xml:space="preserve"> [online] www.dignityhealth.org. Available at: </w:t>
      </w:r>
      <w:hyperlink r:id="rId16" w:history="1">
        <w:r w:rsidR="00F4115B" w:rsidRPr="008C595B">
          <w:rPr>
            <w:rStyle w:val="Hyperlink"/>
          </w:rPr>
          <w:t>https://www.dignityhealth.org/articles/what-is-holistic-health-care-anyway#:~:text=Holistic%20health%20is%20about%20caring</w:t>
        </w:r>
      </w:hyperlink>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7088C47B" w14:textId="78FBD8B8" w:rsidR="008C595B" w:rsidRDefault="008C595B" w:rsidP="008C595B">
      <w:pPr>
        <w:spacing w:after="240" w:line="360" w:lineRule="atLeast"/>
        <w:rPr>
          <w:color w:val="000000"/>
        </w:rPr>
      </w:pPr>
      <w:r w:rsidRPr="008C595B">
        <w:rPr>
          <w:color w:val="000000"/>
        </w:rPr>
        <w:t xml:space="preserve">Hong, Y., Kim, H. and </w:t>
      </w:r>
      <w:proofErr w:type="spellStart"/>
      <w:r w:rsidRPr="008C595B">
        <w:rPr>
          <w:color w:val="000000"/>
        </w:rPr>
        <w:t>Jeun</w:t>
      </w:r>
      <w:proofErr w:type="spellEnd"/>
      <w:r w:rsidRPr="008C595B">
        <w:rPr>
          <w:color w:val="000000"/>
        </w:rPr>
        <w:t>, W. (2016). A Study on What Makes Young Children Happy. </w:t>
      </w:r>
      <w:r w:rsidRPr="008C595B">
        <w:rPr>
          <w:i/>
          <w:iCs/>
          <w:color w:val="000000"/>
        </w:rPr>
        <w:t xml:space="preserve">Asia-Pacific Journal </w:t>
      </w:r>
      <w:proofErr w:type="gramStart"/>
      <w:r w:rsidRPr="008C595B">
        <w:rPr>
          <w:i/>
          <w:iCs/>
          <w:color w:val="000000"/>
        </w:rPr>
        <w:t>Of</w:t>
      </w:r>
      <w:proofErr w:type="gramEnd"/>
      <w:r w:rsidRPr="008C595B">
        <w:rPr>
          <w:i/>
          <w:iCs/>
          <w:color w:val="000000"/>
        </w:rPr>
        <w:t xml:space="preserve"> Research In Early Childhood Education</w:t>
      </w:r>
      <w:r w:rsidRPr="008C595B">
        <w:rPr>
          <w:color w:val="000000"/>
        </w:rPr>
        <w:t xml:space="preserve">, 10(2), pp.47–70. </w:t>
      </w:r>
      <w:proofErr w:type="spellStart"/>
      <w:proofErr w:type="gramStart"/>
      <w:r w:rsidRPr="008C595B">
        <w:rPr>
          <w:color w:val="000000"/>
        </w:rPr>
        <w:t>doi:https</w:t>
      </w:r>
      <w:proofErr w:type="spellEnd"/>
      <w:r w:rsidRPr="008C595B">
        <w:rPr>
          <w:color w:val="000000"/>
        </w:rPr>
        <w:t>://doi.org/10.17206/apjrece.2016.10.2.47</w:t>
      </w:r>
      <w:proofErr w:type="gramEnd"/>
      <w:r w:rsidRPr="008C595B">
        <w:rPr>
          <w:color w:val="000000"/>
        </w:rPr>
        <w:t>.</w:t>
      </w:r>
      <w:r w:rsidR="00F4115B">
        <w:rPr>
          <w:color w:val="000000"/>
        </w:rPr>
        <w:t xml:space="preserve"> </w:t>
      </w:r>
      <w:r w:rsidR="00F4115B">
        <w:rPr>
          <w:color w:val="000000"/>
        </w:rPr>
        <w:t>(Accessed: 2</w:t>
      </w:r>
      <w:r w:rsidR="00F4115B">
        <w:rPr>
          <w:color w:val="000000"/>
        </w:rPr>
        <w:t>4</w:t>
      </w:r>
      <w:r w:rsidR="00F4115B" w:rsidRPr="00F4115B">
        <w:rPr>
          <w:color w:val="000000"/>
          <w:vertAlign w:val="superscript"/>
        </w:rPr>
        <w:t>th</w:t>
      </w:r>
      <w:r w:rsidR="00F4115B">
        <w:rPr>
          <w:color w:val="000000"/>
        </w:rPr>
        <w:t xml:space="preserve"> May 2024)</w:t>
      </w:r>
    </w:p>
    <w:p w14:paraId="76FAD435" w14:textId="77777777" w:rsidR="00F4115B" w:rsidRDefault="00F4115B" w:rsidP="00F4115B"/>
    <w:p w14:paraId="328016E3" w14:textId="494CC615" w:rsidR="00F4115B" w:rsidRPr="008C595B" w:rsidRDefault="00F4115B" w:rsidP="00F4115B">
      <w:pPr>
        <w:pStyle w:val="NormalWeb"/>
        <w:spacing w:before="0" w:beforeAutospacing="0" w:after="240" w:afterAutospacing="0" w:line="360" w:lineRule="atLeast"/>
        <w:rPr>
          <w:color w:val="000000"/>
        </w:rPr>
      </w:pPr>
      <w:r>
        <w:rPr>
          <w:color w:val="000000"/>
        </w:rPr>
        <w:t>Jacob Thornton, and Bootstrap (n.d.).</w:t>
      </w:r>
      <w:r>
        <w:rPr>
          <w:rStyle w:val="apple-converted-space"/>
          <w:color w:val="000000"/>
        </w:rPr>
        <w:t> </w:t>
      </w:r>
      <w:r>
        <w:rPr>
          <w:i/>
          <w:iCs/>
          <w:color w:val="000000"/>
        </w:rPr>
        <w:t>Level 2 Early Years Practitioner Apprenticeships</w:t>
      </w:r>
      <w:r>
        <w:rPr>
          <w:color w:val="000000"/>
        </w:rPr>
        <w:t xml:space="preserve">. [online] Montessori Apprentice Academy. Available at: https://montessoriapprentice.co.uk/our-courses/level-2-apprenticeship/ </w:t>
      </w:r>
      <w:r>
        <w:rPr>
          <w:color w:val="000000"/>
        </w:rPr>
        <w:t>(</w:t>
      </w:r>
      <w:r>
        <w:rPr>
          <w:color w:val="000000"/>
        </w:rPr>
        <w:t>Accessed</w:t>
      </w:r>
      <w:r>
        <w:rPr>
          <w:color w:val="000000"/>
        </w:rPr>
        <w:t>:</w:t>
      </w:r>
      <w:r>
        <w:rPr>
          <w:color w:val="000000"/>
        </w:rPr>
        <w:t xml:space="preserve"> 16 Jun</w:t>
      </w:r>
      <w:r>
        <w:rPr>
          <w:color w:val="000000"/>
        </w:rPr>
        <w:t xml:space="preserve">e </w:t>
      </w:r>
      <w:r>
        <w:rPr>
          <w:color w:val="000000"/>
        </w:rPr>
        <w:t>2024</w:t>
      </w:r>
      <w:r>
        <w:rPr>
          <w:color w:val="000000"/>
        </w:rPr>
        <w:t>)</w:t>
      </w:r>
    </w:p>
    <w:p w14:paraId="49E697B9" w14:textId="45792F58" w:rsidR="008C595B" w:rsidRPr="008C595B" w:rsidRDefault="008C595B" w:rsidP="008C595B">
      <w:pPr>
        <w:spacing w:after="240" w:line="360" w:lineRule="atLeast"/>
        <w:rPr>
          <w:color w:val="000000"/>
        </w:rPr>
      </w:pPr>
      <w:proofErr w:type="spellStart"/>
      <w:r w:rsidRPr="008C595B">
        <w:rPr>
          <w:color w:val="000000"/>
        </w:rPr>
        <w:t>Jirout</w:t>
      </w:r>
      <w:proofErr w:type="spellEnd"/>
      <w:r w:rsidRPr="008C595B">
        <w:rPr>
          <w:color w:val="000000"/>
        </w:rPr>
        <w:t xml:space="preserve">, J., </w:t>
      </w:r>
      <w:proofErr w:type="spellStart"/>
      <w:r w:rsidRPr="008C595B">
        <w:rPr>
          <w:color w:val="000000"/>
        </w:rPr>
        <w:t>LoCasale</w:t>
      </w:r>
      <w:proofErr w:type="spellEnd"/>
      <w:r w:rsidRPr="008C595B">
        <w:rPr>
          <w:color w:val="000000"/>
        </w:rPr>
        <w:t xml:space="preserve">-Crouch, J., Turnbull, K., Gu, Y., </w:t>
      </w:r>
      <w:proofErr w:type="spellStart"/>
      <w:r w:rsidRPr="008C595B">
        <w:rPr>
          <w:color w:val="000000"/>
        </w:rPr>
        <w:t>Cubides</w:t>
      </w:r>
      <w:proofErr w:type="spellEnd"/>
      <w:r w:rsidRPr="008C595B">
        <w:rPr>
          <w:color w:val="000000"/>
        </w:rPr>
        <w:t xml:space="preserve">, M., </w:t>
      </w:r>
      <w:proofErr w:type="spellStart"/>
      <w:r w:rsidRPr="008C595B">
        <w:rPr>
          <w:color w:val="000000"/>
        </w:rPr>
        <w:t>Garzione</w:t>
      </w:r>
      <w:proofErr w:type="spellEnd"/>
      <w:r w:rsidRPr="008C595B">
        <w:rPr>
          <w:color w:val="000000"/>
        </w:rPr>
        <w:t xml:space="preserve">, S., Evans, T.M., </w:t>
      </w:r>
      <w:proofErr w:type="spellStart"/>
      <w:r w:rsidRPr="008C595B">
        <w:rPr>
          <w:color w:val="000000"/>
        </w:rPr>
        <w:t>Weltman</w:t>
      </w:r>
      <w:proofErr w:type="spellEnd"/>
      <w:r w:rsidRPr="008C595B">
        <w:rPr>
          <w:color w:val="000000"/>
        </w:rPr>
        <w:t>, A.L. and Kranz, S. (2019). How Lifestyle Factors Affect Cognitive and Executive Function and the Ability to Learn in Children. </w:t>
      </w:r>
      <w:r w:rsidRPr="008C595B">
        <w:rPr>
          <w:i/>
          <w:iCs/>
          <w:color w:val="000000"/>
        </w:rPr>
        <w:t>Nutrients</w:t>
      </w:r>
      <w:r w:rsidRPr="008C595B">
        <w:rPr>
          <w:color w:val="000000"/>
        </w:rPr>
        <w:t xml:space="preserve">, [online] 11(8). </w:t>
      </w:r>
      <w:proofErr w:type="spellStart"/>
      <w:proofErr w:type="gramStart"/>
      <w:r w:rsidRPr="008C595B">
        <w:rPr>
          <w:color w:val="000000"/>
        </w:rPr>
        <w:t>doi:https</w:t>
      </w:r>
      <w:proofErr w:type="spellEnd"/>
      <w:r w:rsidRPr="008C595B">
        <w:rPr>
          <w:color w:val="000000"/>
        </w:rPr>
        <w:t>://doi.org/10.3390/nu11081953</w:t>
      </w:r>
      <w:proofErr w:type="gramEnd"/>
      <w:r w:rsidRPr="008C595B">
        <w:rPr>
          <w:color w:val="000000"/>
        </w:rPr>
        <w:t>.</w:t>
      </w:r>
      <w:r w:rsidR="00F4115B">
        <w:rPr>
          <w:color w:val="000000"/>
        </w:rPr>
        <w:t xml:space="preserve"> </w:t>
      </w:r>
      <w:r w:rsidR="00F4115B">
        <w:rPr>
          <w:color w:val="000000"/>
        </w:rPr>
        <w:t>(Accessed: 2</w:t>
      </w:r>
      <w:r w:rsidR="00F4115B" w:rsidRPr="00F4115B">
        <w:rPr>
          <w:color w:val="000000"/>
          <w:vertAlign w:val="superscript"/>
        </w:rPr>
        <w:t>nd</w:t>
      </w:r>
      <w:r w:rsidR="00F4115B">
        <w:rPr>
          <w:color w:val="000000"/>
        </w:rPr>
        <w:t xml:space="preserve"> June 2024)</w:t>
      </w:r>
    </w:p>
    <w:p w14:paraId="2E57638F" w14:textId="5FB8E998" w:rsidR="008C595B" w:rsidRPr="008C595B" w:rsidRDefault="008C595B" w:rsidP="008C595B">
      <w:pPr>
        <w:spacing w:after="240" w:line="360" w:lineRule="atLeast"/>
        <w:rPr>
          <w:color w:val="000000"/>
        </w:rPr>
      </w:pPr>
      <w:r w:rsidRPr="008C595B">
        <w:rPr>
          <w:color w:val="000000"/>
        </w:rPr>
        <w:t xml:space="preserve">Landau, Z. and </w:t>
      </w:r>
      <w:proofErr w:type="spellStart"/>
      <w:r w:rsidRPr="008C595B">
        <w:rPr>
          <w:color w:val="000000"/>
        </w:rPr>
        <w:t>Pinhas-Hamiel</w:t>
      </w:r>
      <w:proofErr w:type="spellEnd"/>
      <w:r w:rsidRPr="008C595B">
        <w:rPr>
          <w:color w:val="000000"/>
        </w:rPr>
        <w:t>, O. (2019). Attention Deficit/Hyperactivity, the Metabolic Syndrome, and Type 2 Diabetes. </w:t>
      </w:r>
      <w:r w:rsidRPr="008C595B">
        <w:rPr>
          <w:i/>
          <w:iCs/>
          <w:color w:val="000000"/>
        </w:rPr>
        <w:t>Current Diabetes Reports</w:t>
      </w:r>
      <w:r w:rsidRPr="008C595B">
        <w:rPr>
          <w:color w:val="000000"/>
        </w:rPr>
        <w:t xml:space="preserve">, 19(8). </w:t>
      </w:r>
      <w:proofErr w:type="spellStart"/>
      <w:proofErr w:type="gramStart"/>
      <w:r w:rsidRPr="008C595B">
        <w:rPr>
          <w:color w:val="000000"/>
        </w:rPr>
        <w:t>doi:https</w:t>
      </w:r>
      <w:proofErr w:type="spellEnd"/>
      <w:r w:rsidRPr="008C595B">
        <w:rPr>
          <w:color w:val="000000"/>
        </w:rPr>
        <w:t>://doi.org/10.1007/s11892-019-1174-x</w:t>
      </w:r>
      <w:proofErr w:type="gramEnd"/>
      <w:r w:rsidRPr="008C595B">
        <w:rPr>
          <w:color w:val="000000"/>
        </w:rPr>
        <w:t>.</w:t>
      </w:r>
      <w:r w:rsidR="00F4115B">
        <w:rPr>
          <w:color w:val="000000"/>
        </w:rPr>
        <w:t xml:space="preserve"> </w:t>
      </w:r>
      <w:r w:rsidR="00F4115B">
        <w:rPr>
          <w:color w:val="000000"/>
        </w:rPr>
        <w:t>(Accessed: 2</w:t>
      </w:r>
      <w:r w:rsidR="00F4115B" w:rsidRPr="00F4115B">
        <w:rPr>
          <w:color w:val="000000"/>
          <w:vertAlign w:val="superscript"/>
        </w:rPr>
        <w:t>nd</w:t>
      </w:r>
      <w:r w:rsidR="00F4115B">
        <w:rPr>
          <w:color w:val="000000"/>
        </w:rPr>
        <w:t xml:space="preserve"> June 2024)</w:t>
      </w:r>
    </w:p>
    <w:p w14:paraId="69932622" w14:textId="60B2BEC1" w:rsidR="008C595B" w:rsidRPr="008C595B" w:rsidRDefault="008C595B" w:rsidP="008C595B">
      <w:pPr>
        <w:spacing w:after="240" w:line="360" w:lineRule="atLeast"/>
        <w:rPr>
          <w:color w:val="000000"/>
        </w:rPr>
      </w:pPr>
      <w:r w:rsidRPr="008C595B">
        <w:rPr>
          <w:color w:val="000000"/>
        </w:rPr>
        <w:t xml:space="preserve">Lee, M.T., </w:t>
      </w:r>
      <w:proofErr w:type="spellStart"/>
      <w:r w:rsidRPr="008C595B">
        <w:rPr>
          <w:color w:val="000000"/>
        </w:rPr>
        <w:t>Kubzansky</w:t>
      </w:r>
      <w:proofErr w:type="spellEnd"/>
      <w:r w:rsidRPr="008C595B">
        <w:rPr>
          <w:color w:val="000000"/>
        </w:rPr>
        <w:t xml:space="preserve">, L.D. and </w:t>
      </w:r>
      <w:proofErr w:type="spellStart"/>
      <w:r w:rsidRPr="008C595B">
        <w:rPr>
          <w:color w:val="000000"/>
        </w:rPr>
        <w:t>VanderWeele</w:t>
      </w:r>
      <w:proofErr w:type="spellEnd"/>
      <w:r w:rsidRPr="008C595B">
        <w:rPr>
          <w:color w:val="000000"/>
        </w:rPr>
        <w:t>, T.J. (2021). </w:t>
      </w:r>
      <w:r w:rsidRPr="008C595B">
        <w:rPr>
          <w:i/>
          <w:iCs/>
          <w:color w:val="000000"/>
        </w:rPr>
        <w:t>Measuring Well-Being: Interdisciplinary Perspectives from the Social Sciences and the Humanities</w:t>
      </w:r>
      <w:r w:rsidRPr="008C595B">
        <w:rPr>
          <w:color w:val="000000"/>
        </w:rPr>
        <w:t>. [online] </w:t>
      </w:r>
      <w:r w:rsidRPr="008C595B">
        <w:rPr>
          <w:i/>
          <w:iCs/>
          <w:color w:val="000000"/>
        </w:rPr>
        <w:t>Google Books</w:t>
      </w:r>
      <w:r w:rsidRPr="008C595B">
        <w:rPr>
          <w:color w:val="000000"/>
        </w:rPr>
        <w:t xml:space="preserve">. Oxford University Press. Available at: </w:t>
      </w:r>
      <w:r w:rsidRPr="008C595B">
        <w:rPr>
          <w:color w:val="000000"/>
        </w:rPr>
        <w:lastRenderedPageBreak/>
        <w:t xml:space="preserve">https://books.google.co.uk/books?hl=en&amp;lr=&amp;id=CNEiEAAAQBAJ&amp;oi=fnd&amp;pg=PA92&amp;dq=Hedonic+wellbeing+&amp;ots=qrLdOh0UyQ&amp;sig=XV9r_DTvGsF-HY1w8sF-nOkswJA&amp;redir_esc=y#v=onepage&amp;q=Hedonic%20wellbeing&amp;f=false </w:t>
      </w:r>
      <w:r w:rsidR="00F4115B">
        <w:rPr>
          <w:color w:val="000000"/>
        </w:rPr>
        <w:t>(</w:t>
      </w:r>
      <w:r w:rsidRPr="008C595B">
        <w:rPr>
          <w:color w:val="000000"/>
        </w:rPr>
        <w:t>Accessed 8 Jun</w:t>
      </w:r>
      <w:r w:rsidR="00F4115B">
        <w:rPr>
          <w:color w:val="000000"/>
        </w:rPr>
        <w:t xml:space="preserve">e </w:t>
      </w:r>
      <w:r w:rsidRPr="008C595B">
        <w:rPr>
          <w:color w:val="000000"/>
        </w:rPr>
        <w:t>2024</w:t>
      </w:r>
      <w:r w:rsidR="00F4115B">
        <w:rPr>
          <w:color w:val="000000"/>
        </w:rPr>
        <w:t>)</w:t>
      </w:r>
      <w:r w:rsidRPr="008C595B">
        <w:rPr>
          <w:color w:val="000000"/>
        </w:rPr>
        <w:t>.</w:t>
      </w:r>
    </w:p>
    <w:p w14:paraId="4D2AE79A" w14:textId="52F3CD65" w:rsidR="008C595B" w:rsidRPr="008C595B" w:rsidRDefault="008C595B" w:rsidP="008C595B">
      <w:pPr>
        <w:spacing w:after="240" w:line="360" w:lineRule="atLeast"/>
        <w:rPr>
          <w:color w:val="000000"/>
        </w:rPr>
      </w:pPr>
      <w:r w:rsidRPr="008C595B">
        <w:rPr>
          <w:color w:val="000000"/>
        </w:rPr>
        <w:t>Lewis, A. (2019). Examining the concept of well-being and early childhood: Adopting multi-disciplinary perspectives. </w:t>
      </w:r>
      <w:r w:rsidRPr="008C595B">
        <w:rPr>
          <w:i/>
          <w:iCs/>
          <w:color w:val="000000"/>
        </w:rPr>
        <w:t>Journal of Early Childhood Research</w:t>
      </w:r>
      <w:r w:rsidRPr="008C595B">
        <w:rPr>
          <w:color w:val="000000"/>
        </w:rPr>
        <w:t xml:space="preserve">, 17(4), pp.294–308. </w:t>
      </w:r>
      <w:proofErr w:type="spellStart"/>
      <w:proofErr w:type="gramStart"/>
      <w:r w:rsidRPr="008C595B">
        <w:rPr>
          <w:color w:val="000000"/>
        </w:rPr>
        <w:t>doi:https</w:t>
      </w:r>
      <w:proofErr w:type="spellEnd"/>
      <w:r w:rsidRPr="008C595B">
        <w:rPr>
          <w:color w:val="000000"/>
        </w:rPr>
        <w:t>://doi.org/10.1177/1476718x19860553</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0203E574" w14:textId="1F9DF53B" w:rsidR="008C595B" w:rsidRPr="008C595B" w:rsidRDefault="008C595B" w:rsidP="008C595B">
      <w:pPr>
        <w:spacing w:after="240" w:line="360" w:lineRule="atLeast"/>
        <w:rPr>
          <w:color w:val="000000"/>
        </w:rPr>
      </w:pPr>
      <w:r w:rsidRPr="008C595B">
        <w:rPr>
          <w:color w:val="000000"/>
        </w:rPr>
        <w:t>Lin, C.-H. (2018). The relationships between child well-being, caregiving stress, and social engagement among informal and formal kinship care families. </w:t>
      </w:r>
      <w:r w:rsidRPr="008C595B">
        <w:rPr>
          <w:i/>
          <w:iCs/>
          <w:color w:val="000000"/>
        </w:rPr>
        <w:t>Children and Youth Services Review</w:t>
      </w:r>
      <w:r w:rsidRPr="008C595B">
        <w:rPr>
          <w:color w:val="000000"/>
        </w:rPr>
        <w:t xml:space="preserve">, 93, pp.203–216. </w:t>
      </w:r>
      <w:proofErr w:type="spellStart"/>
      <w:proofErr w:type="gramStart"/>
      <w:r w:rsidRPr="008C595B">
        <w:rPr>
          <w:color w:val="000000"/>
        </w:rPr>
        <w:t>doi:https</w:t>
      </w:r>
      <w:proofErr w:type="spellEnd"/>
      <w:r w:rsidRPr="008C595B">
        <w:rPr>
          <w:color w:val="000000"/>
        </w:rPr>
        <w:t>://doi.org/10.1016/j.childyouth.2018.07.016</w:t>
      </w:r>
      <w:proofErr w:type="gramEnd"/>
      <w:r w:rsidRPr="008C595B">
        <w:rPr>
          <w:color w:val="000000"/>
        </w:rPr>
        <w:t>.</w:t>
      </w:r>
      <w:r w:rsidR="00F4115B">
        <w:rPr>
          <w:color w:val="000000"/>
        </w:rPr>
        <w:t xml:space="preserve"> </w:t>
      </w:r>
      <w:r w:rsidR="00F4115B">
        <w:rPr>
          <w:color w:val="000000"/>
        </w:rPr>
        <w:t>(Accessed: 2</w:t>
      </w:r>
      <w:r w:rsidR="00F4115B">
        <w:rPr>
          <w:color w:val="000000"/>
        </w:rPr>
        <w:t>7</w:t>
      </w:r>
      <w:r w:rsidR="00F4115B" w:rsidRPr="00F4115B">
        <w:rPr>
          <w:color w:val="000000"/>
          <w:vertAlign w:val="superscript"/>
        </w:rPr>
        <w:t>th</w:t>
      </w:r>
      <w:r w:rsidR="00F4115B">
        <w:rPr>
          <w:color w:val="000000"/>
        </w:rPr>
        <w:t xml:space="preserve"> May 2024)</w:t>
      </w:r>
    </w:p>
    <w:p w14:paraId="6A8632D5" w14:textId="6333DAFC" w:rsidR="008C595B" w:rsidRPr="008C595B" w:rsidRDefault="008C595B" w:rsidP="008C595B">
      <w:pPr>
        <w:spacing w:after="240" w:line="360" w:lineRule="atLeast"/>
        <w:rPr>
          <w:color w:val="000000"/>
        </w:rPr>
      </w:pPr>
      <w:proofErr w:type="spellStart"/>
      <w:r w:rsidRPr="008C595B">
        <w:rPr>
          <w:color w:val="000000"/>
        </w:rPr>
        <w:t>Lukovac</w:t>
      </w:r>
      <w:proofErr w:type="spellEnd"/>
      <w:r w:rsidRPr="008C595B">
        <w:rPr>
          <w:color w:val="000000"/>
        </w:rPr>
        <w:t xml:space="preserve">, T., Olivera </w:t>
      </w:r>
      <w:proofErr w:type="spellStart"/>
      <w:r w:rsidRPr="008C595B">
        <w:rPr>
          <w:color w:val="000000"/>
        </w:rPr>
        <w:t>Aleksić</w:t>
      </w:r>
      <w:proofErr w:type="spellEnd"/>
      <w:r w:rsidRPr="008C595B">
        <w:rPr>
          <w:color w:val="000000"/>
        </w:rPr>
        <w:t xml:space="preserve"> </w:t>
      </w:r>
      <w:proofErr w:type="spellStart"/>
      <w:r w:rsidRPr="008C595B">
        <w:rPr>
          <w:color w:val="000000"/>
        </w:rPr>
        <w:t>Hil</w:t>
      </w:r>
      <w:proofErr w:type="spellEnd"/>
      <w:r w:rsidRPr="008C595B">
        <w:rPr>
          <w:color w:val="000000"/>
        </w:rPr>
        <w:t xml:space="preserve">, </w:t>
      </w:r>
      <w:proofErr w:type="spellStart"/>
      <w:r w:rsidRPr="008C595B">
        <w:rPr>
          <w:color w:val="000000"/>
        </w:rPr>
        <w:t>Milka</w:t>
      </w:r>
      <w:proofErr w:type="spellEnd"/>
      <w:r w:rsidRPr="008C595B">
        <w:rPr>
          <w:color w:val="000000"/>
        </w:rPr>
        <w:t xml:space="preserve"> </w:t>
      </w:r>
      <w:proofErr w:type="spellStart"/>
      <w:r w:rsidRPr="008C595B">
        <w:rPr>
          <w:color w:val="000000"/>
        </w:rPr>
        <w:t>Popović</w:t>
      </w:r>
      <w:proofErr w:type="spellEnd"/>
      <w:r w:rsidRPr="008C595B">
        <w:rPr>
          <w:color w:val="000000"/>
        </w:rPr>
        <w:t xml:space="preserve">, Tatjana </w:t>
      </w:r>
      <w:proofErr w:type="spellStart"/>
      <w:r w:rsidRPr="008C595B">
        <w:rPr>
          <w:color w:val="000000"/>
        </w:rPr>
        <w:t>Savić</w:t>
      </w:r>
      <w:proofErr w:type="spellEnd"/>
      <w:r w:rsidRPr="008C595B">
        <w:rPr>
          <w:color w:val="000000"/>
        </w:rPr>
        <w:t>, Pavlović, A.M. and Dragan Pavlović (2024). Serum levels of glucose, thyroid stimulating hormone, and free thyroxine in boys diagnosed with attention deficit hyperactivity disorder: a cross-sectional pilot study. </w:t>
      </w:r>
      <w:r w:rsidRPr="008C595B">
        <w:rPr>
          <w:i/>
          <w:iCs/>
          <w:color w:val="000000"/>
        </w:rPr>
        <w:t>BMC Neurology</w:t>
      </w:r>
      <w:r w:rsidRPr="008C595B">
        <w:rPr>
          <w:color w:val="000000"/>
        </w:rPr>
        <w:t xml:space="preserve">, 24(1). </w:t>
      </w:r>
      <w:proofErr w:type="spellStart"/>
      <w:proofErr w:type="gramStart"/>
      <w:r w:rsidRPr="008C595B">
        <w:rPr>
          <w:color w:val="000000"/>
        </w:rPr>
        <w:t>doi:https</w:t>
      </w:r>
      <w:proofErr w:type="spellEnd"/>
      <w:r w:rsidRPr="008C595B">
        <w:rPr>
          <w:color w:val="000000"/>
        </w:rPr>
        <w:t>://doi.org/10.1186/s12883-024-03563-w</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39590F37" w14:textId="4008EE52" w:rsidR="008C595B" w:rsidRPr="008C595B" w:rsidRDefault="008C595B" w:rsidP="008C595B">
      <w:pPr>
        <w:spacing w:after="240" w:line="360" w:lineRule="atLeast"/>
        <w:rPr>
          <w:color w:val="000000"/>
        </w:rPr>
      </w:pPr>
      <w:r w:rsidRPr="008C595B">
        <w:rPr>
          <w:color w:val="000000"/>
        </w:rPr>
        <w:t>Main, G. (2014). Child Poverty and Children’s Subjective Well-Being. </w:t>
      </w:r>
      <w:r w:rsidRPr="008C595B">
        <w:rPr>
          <w:i/>
          <w:iCs/>
          <w:color w:val="000000"/>
        </w:rPr>
        <w:t>Child Indicators Research</w:t>
      </w:r>
      <w:r w:rsidRPr="008C595B">
        <w:rPr>
          <w:color w:val="000000"/>
        </w:rPr>
        <w:t xml:space="preserve">, 7(3), pp.451–472. </w:t>
      </w:r>
      <w:proofErr w:type="spellStart"/>
      <w:proofErr w:type="gramStart"/>
      <w:r w:rsidRPr="008C595B">
        <w:rPr>
          <w:color w:val="000000"/>
        </w:rPr>
        <w:t>doi:https</w:t>
      </w:r>
      <w:proofErr w:type="spellEnd"/>
      <w:r w:rsidRPr="008C595B">
        <w:rPr>
          <w:color w:val="000000"/>
        </w:rPr>
        <w:t>://doi.org/10.1007/s12187-014-9237-7</w:t>
      </w:r>
      <w:proofErr w:type="gramEnd"/>
      <w:r w:rsidRPr="008C595B">
        <w:rPr>
          <w:color w:val="000000"/>
        </w:rPr>
        <w:t>.</w:t>
      </w:r>
      <w:r w:rsidR="00F4115B">
        <w:rPr>
          <w:color w:val="000000"/>
        </w:rPr>
        <w:t xml:space="preserve"> </w:t>
      </w:r>
      <w:r w:rsidR="00F4115B">
        <w:rPr>
          <w:color w:val="000000"/>
        </w:rPr>
        <w:t>(Accessed: 2</w:t>
      </w:r>
      <w:r w:rsidR="00F4115B">
        <w:rPr>
          <w:color w:val="000000"/>
        </w:rPr>
        <w:t>5</w:t>
      </w:r>
      <w:r w:rsidR="00F4115B" w:rsidRPr="00F4115B">
        <w:rPr>
          <w:color w:val="000000"/>
          <w:vertAlign w:val="superscript"/>
        </w:rPr>
        <w:t>th</w:t>
      </w:r>
      <w:r w:rsidR="00F4115B">
        <w:rPr>
          <w:color w:val="000000"/>
        </w:rPr>
        <w:t xml:space="preserve"> May 2024)</w:t>
      </w:r>
    </w:p>
    <w:p w14:paraId="28A988CC" w14:textId="21706D4C" w:rsidR="008C595B" w:rsidRDefault="008C595B" w:rsidP="008C595B">
      <w:pPr>
        <w:spacing w:after="240" w:line="360" w:lineRule="atLeast"/>
        <w:rPr>
          <w:color w:val="000000"/>
        </w:rPr>
      </w:pPr>
      <w:r w:rsidRPr="008C595B">
        <w:rPr>
          <w:color w:val="000000"/>
        </w:rPr>
        <w:t xml:space="preserve">McCormick, M.P., Cappella, E., O’Connor, E.E. and </w:t>
      </w:r>
      <w:proofErr w:type="spellStart"/>
      <w:r w:rsidRPr="008C595B">
        <w:rPr>
          <w:color w:val="000000"/>
        </w:rPr>
        <w:t>McClowry</w:t>
      </w:r>
      <w:proofErr w:type="spellEnd"/>
      <w:r w:rsidRPr="008C595B">
        <w:rPr>
          <w:color w:val="000000"/>
        </w:rPr>
        <w:t xml:space="preserve">, S.G. (2013). Parent Involvement, Emotional Support, and </w:t>
      </w:r>
      <w:proofErr w:type="spellStart"/>
      <w:r w:rsidRPr="008C595B">
        <w:rPr>
          <w:color w:val="000000"/>
        </w:rPr>
        <w:t>Behavior</w:t>
      </w:r>
      <w:proofErr w:type="spellEnd"/>
      <w:r w:rsidRPr="008C595B">
        <w:rPr>
          <w:color w:val="000000"/>
        </w:rPr>
        <w:t xml:space="preserve"> Problems. </w:t>
      </w:r>
      <w:r w:rsidRPr="008C595B">
        <w:rPr>
          <w:i/>
          <w:iCs/>
          <w:color w:val="000000"/>
        </w:rPr>
        <w:t>The Elementary School Journal</w:t>
      </w:r>
      <w:r w:rsidRPr="008C595B">
        <w:rPr>
          <w:color w:val="000000"/>
        </w:rPr>
        <w:t xml:space="preserve">, [online] 114(2), pp.277–300. </w:t>
      </w:r>
      <w:proofErr w:type="spellStart"/>
      <w:proofErr w:type="gramStart"/>
      <w:r w:rsidRPr="008C595B">
        <w:rPr>
          <w:color w:val="000000"/>
        </w:rPr>
        <w:t>doi:https</w:t>
      </w:r>
      <w:proofErr w:type="spellEnd"/>
      <w:r w:rsidRPr="008C595B">
        <w:rPr>
          <w:color w:val="000000"/>
        </w:rPr>
        <w:t>://doi.org/10.1086/673200</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26A5AD99" w14:textId="641384C8" w:rsidR="00F4115B" w:rsidRPr="008C595B" w:rsidRDefault="00F4115B" w:rsidP="00F4115B">
      <w:pPr>
        <w:pStyle w:val="NormalWeb"/>
        <w:spacing w:before="0" w:beforeAutospacing="0" w:after="240" w:afterAutospacing="0" w:line="360" w:lineRule="atLeast"/>
        <w:rPr>
          <w:color w:val="000000"/>
        </w:rPr>
      </w:pPr>
      <w:r>
        <w:rPr>
          <w:color w:val="000000"/>
        </w:rPr>
        <w:t>McLeod, S. (2024).</w:t>
      </w:r>
      <w:r>
        <w:rPr>
          <w:rStyle w:val="apple-converted-space"/>
          <w:color w:val="000000"/>
        </w:rPr>
        <w:t> </w:t>
      </w:r>
      <w:r>
        <w:rPr>
          <w:i/>
          <w:iCs/>
          <w:color w:val="000000"/>
        </w:rPr>
        <w:t>Maslow’s hierarchy of needs</w:t>
      </w:r>
      <w:r>
        <w:rPr>
          <w:color w:val="000000"/>
        </w:rPr>
        <w:t xml:space="preserve">. [online] Simply Psychology. Available at: </w:t>
      </w:r>
      <w:hyperlink r:id="rId17" w:history="1">
        <w:r w:rsidRPr="0043521D">
          <w:rPr>
            <w:rStyle w:val="Hyperlink"/>
          </w:rPr>
          <w:t>https://www.simplypsychology.org/maslow.html</w:t>
        </w:r>
      </w:hyperlink>
      <w:r>
        <w:rPr>
          <w:color w:val="000000"/>
        </w:rPr>
        <w:t>.</w:t>
      </w:r>
      <w:r>
        <w:rPr>
          <w:color w:val="000000"/>
        </w:rPr>
        <w:t xml:space="preserve"> </w:t>
      </w:r>
      <w:r>
        <w:rPr>
          <w:color w:val="000000"/>
        </w:rPr>
        <w:t>(Accessed: 2</w:t>
      </w:r>
      <w:r w:rsidRPr="00F4115B">
        <w:rPr>
          <w:color w:val="000000"/>
          <w:vertAlign w:val="superscript"/>
        </w:rPr>
        <w:t>nd</w:t>
      </w:r>
      <w:r>
        <w:rPr>
          <w:color w:val="000000"/>
        </w:rPr>
        <w:t xml:space="preserve"> June 2024)</w:t>
      </w:r>
    </w:p>
    <w:p w14:paraId="0AF1CF75" w14:textId="3A5DB058" w:rsidR="008C595B" w:rsidRPr="008C595B" w:rsidRDefault="008C595B" w:rsidP="008C595B">
      <w:pPr>
        <w:spacing w:after="240" w:line="360" w:lineRule="atLeast"/>
        <w:rPr>
          <w:color w:val="000000"/>
        </w:rPr>
      </w:pPr>
      <w:r w:rsidRPr="008C595B">
        <w:rPr>
          <w:color w:val="000000"/>
        </w:rPr>
        <w:t xml:space="preserve">Mergenthaler, P., Lindauer, U., </w:t>
      </w:r>
      <w:proofErr w:type="spellStart"/>
      <w:r w:rsidRPr="008C595B">
        <w:rPr>
          <w:color w:val="000000"/>
        </w:rPr>
        <w:t>Dienel</w:t>
      </w:r>
      <w:proofErr w:type="spellEnd"/>
      <w:r w:rsidRPr="008C595B">
        <w:rPr>
          <w:color w:val="000000"/>
        </w:rPr>
        <w:t xml:space="preserve">, G.A. and Meisel, A. (2013). Sugar for the brain: </w:t>
      </w:r>
      <w:proofErr w:type="gramStart"/>
      <w:r w:rsidRPr="008C595B">
        <w:rPr>
          <w:color w:val="000000"/>
        </w:rPr>
        <w:t>the</w:t>
      </w:r>
      <w:proofErr w:type="gramEnd"/>
      <w:r w:rsidRPr="008C595B">
        <w:rPr>
          <w:color w:val="000000"/>
        </w:rPr>
        <w:t xml:space="preserve"> Role of Glucose in Physiological and Pathological Brain Function. </w:t>
      </w:r>
      <w:r w:rsidRPr="008C595B">
        <w:rPr>
          <w:i/>
          <w:iCs/>
          <w:color w:val="000000"/>
        </w:rPr>
        <w:t>Trends in Neurosciences</w:t>
      </w:r>
      <w:r w:rsidRPr="008C595B">
        <w:rPr>
          <w:color w:val="000000"/>
        </w:rPr>
        <w:t xml:space="preserve">, 36(10), pp.587–597. </w:t>
      </w:r>
      <w:proofErr w:type="spellStart"/>
      <w:proofErr w:type="gramStart"/>
      <w:r w:rsidRPr="008C595B">
        <w:rPr>
          <w:color w:val="000000"/>
        </w:rPr>
        <w:t>doi:https</w:t>
      </w:r>
      <w:proofErr w:type="spellEnd"/>
      <w:r w:rsidRPr="008C595B">
        <w:rPr>
          <w:color w:val="000000"/>
        </w:rPr>
        <w:t>://doi.org/10.1016/j.tins.2013.07.001</w:t>
      </w:r>
      <w:proofErr w:type="gramEnd"/>
      <w:r w:rsidRPr="008C595B">
        <w:rPr>
          <w:color w:val="000000"/>
        </w:rPr>
        <w:t>.</w:t>
      </w:r>
      <w:r w:rsidR="00F4115B">
        <w:rPr>
          <w:color w:val="000000"/>
        </w:rPr>
        <w:t xml:space="preserve"> </w:t>
      </w:r>
      <w:r w:rsidR="00F4115B">
        <w:rPr>
          <w:color w:val="000000"/>
        </w:rPr>
        <w:t>(Accessed: 2</w:t>
      </w:r>
      <w:r w:rsidR="00F4115B">
        <w:rPr>
          <w:color w:val="000000"/>
        </w:rPr>
        <w:t>5</w:t>
      </w:r>
      <w:r w:rsidR="00F4115B" w:rsidRPr="00F4115B">
        <w:rPr>
          <w:color w:val="000000"/>
          <w:vertAlign w:val="superscript"/>
        </w:rPr>
        <w:t>th</w:t>
      </w:r>
      <w:r w:rsidR="00F4115B">
        <w:rPr>
          <w:color w:val="000000"/>
        </w:rPr>
        <w:t xml:space="preserve"> May 2024)</w:t>
      </w:r>
    </w:p>
    <w:p w14:paraId="79B06AB5" w14:textId="3FF3ABCE" w:rsidR="008C595B" w:rsidRDefault="008C595B" w:rsidP="008C595B">
      <w:pPr>
        <w:spacing w:after="240" w:line="360" w:lineRule="atLeast"/>
        <w:rPr>
          <w:color w:val="000000"/>
        </w:rPr>
      </w:pPr>
      <w:r w:rsidRPr="008C595B">
        <w:rPr>
          <w:color w:val="000000"/>
        </w:rPr>
        <w:t xml:space="preserve">Mooi, N.M. and </w:t>
      </w:r>
      <w:proofErr w:type="spellStart"/>
      <w:r w:rsidRPr="008C595B">
        <w:rPr>
          <w:color w:val="000000"/>
        </w:rPr>
        <w:t>Ncama</w:t>
      </w:r>
      <w:proofErr w:type="spellEnd"/>
      <w:r w:rsidRPr="008C595B">
        <w:rPr>
          <w:color w:val="000000"/>
        </w:rPr>
        <w:t>, B.P. (2020). Perceived needs of patients and family caregivers regarding home-based enteral nutritional therapy in South Africa: A qualitative study. </w:t>
      </w:r>
      <w:r w:rsidRPr="008C595B">
        <w:rPr>
          <w:i/>
          <w:iCs/>
          <w:color w:val="000000"/>
        </w:rPr>
        <w:t>PLOS ONE</w:t>
      </w:r>
      <w:r w:rsidRPr="008C595B">
        <w:rPr>
          <w:color w:val="000000"/>
        </w:rPr>
        <w:t xml:space="preserve">, 15(2), p.e0228924. </w:t>
      </w:r>
      <w:proofErr w:type="spellStart"/>
      <w:proofErr w:type="gramStart"/>
      <w:r w:rsidRPr="008C595B">
        <w:rPr>
          <w:color w:val="000000"/>
        </w:rPr>
        <w:t>doi:https</w:t>
      </w:r>
      <w:proofErr w:type="spellEnd"/>
      <w:r w:rsidRPr="008C595B">
        <w:rPr>
          <w:color w:val="000000"/>
        </w:rPr>
        <w:t>://doi.org/10.1371/journal.pone.0228924</w:t>
      </w:r>
      <w:proofErr w:type="gramEnd"/>
      <w:r w:rsidRPr="008C595B">
        <w:rPr>
          <w:color w:val="000000"/>
        </w:rPr>
        <w:t>.</w:t>
      </w:r>
      <w:r w:rsidR="00F4115B">
        <w:rPr>
          <w:color w:val="000000"/>
        </w:rPr>
        <w:t xml:space="preserve"> </w:t>
      </w:r>
      <w:r w:rsidR="00F4115B">
        <w:rPr>
          <w:color w:val="000000"/>
        </w:rPr>
        <w:t>(Accessed: 2</w:t>
      </w:r>
      <w:r w:rsidR="00F4115B">
        <w:rPr>
          <w:color w:val="000000"/>
        </w:rPr>
        <w:t>7</w:t>
      </w:r>
      <w:r w:rsidR="00F4115B" w:rsidRPr="00F4115B">
        <w:rPr>
          <w:color w:val="000000"/>
          <w:vertAlign w:val="superscript"/>
        </w:rPr>
        <w:t>th</w:t>
      </w:r>
      <w:r w:rsidR="00F4115B">
        <w:rPr>
          <w:color w:val="000000"/>
        </w:rPr>
        <w:t xml:space="preserve"> May 2024)</w:t>
      </w:r>
    </w:p>
    <w:p w14:paraId="7FE3DDD6" w14:textId="165082CF" w:rsidR="00F4115B" w:rsidRPr="008C595B" w:rsidRDefault="00F4115B" w:rsidP="00F4115B">
      <w:pPr>
        <w:pStyle w:val="NormalWeb"/>
        <w:spacing w:before="0" w:beforeAutospacing="0" w:after="240" w:afterAutospacing="0" w:line="360" w:lineRule="atLeast"/>
        <w:rPr>
          <w:color w:val="000000"/>
        </w:rPr>
      </w:pPr>
      <w:proofErr w:type="spellStart"/>
      <w:r>
        <w:rPr>
          <w:color w:val="000000"/>
        </w:rPr>
        <w:lastRenderedPageBreak/>
        <w:t>Mollborn</w:t>
      </w:r>
      <w:proofErr w:type="spellEnd"/>
      <w:r>
        <w:rPr>
          <w:color w:val="000000"/>
        </w:rPr>
        <w:t xml:space="preserve">, S., James-Hawkins, L., Lawrence, E. and </w:t>
      </w:r>
      <w:proofErr w:type="spellStart"/>
      <w:r>
        <w:rPr>
          <w:color w:val="000000"/>
        </w:rPr>
        <w:t>Fomby</w:t>
      </w:r>
      <w:proofErr w:type="spellEnd"/>
      <w:r>
        <w:rPr>
          <w:color w:val="000000"/>
        </w:rPr>
        <w:t>, P. (2014). Health Lifestyles in Early Childhood.</w:t>
      </w:r>
      <w:r>
        <w:rPr>
          <w:rStyle w:val="apple-converted-space"/>
          <w:color w:val="000000"/>
        </w:rPr>
        <w:t> </w:t>
      </w:r>
      <w:r>
        <w:rPr>
          <w:i/>
          <w:iCs/>
          <w:color w:val="000000"/>
        </w:rPr>
        <w:t xml:space="preserve">Journal of Health and Social </w:t>
      </w:r>
      <w:proofErr w:type="spellStart"/>
      <w:r>
        <w:rPr>
          <w:i/>
          <w:iCs/>
          <w:color w:val="000000"/>
        </w:rPr>
        <w:t>Behavior</w:t>
      </w:r>
      <w:proofErr w:type="spellEnd"/>
      <w:r>
        <w:rPr>
          <w:color w:val="000000"/>
        </w:rPr>
        <w:t xml:space="preserve">, 55(4), pp.386–402. </w:t>
      </w:r>
      <w:proofErr w:type="spellStart"/>
      <w:proofErr w:type="gramStart"/>
      <w:r>
        <w:rPr>
          <w:color w:val="000000"/>
        </w:rPr>
        <w:t>doi:https</w:t>
      </w:r>
      <w:proofErr w:type="spellEnd"/>
      <w:r>
        <w:rPr>
          <w:color w:val="000000"/>
        </w:rPr>
        <w:t>://doi.org/10.1177/0022146514555981</w:t>
      </w:r>
      <w:proofErr w:type="gramEnd"/>
      <w:r>
        <w:rPr>
          <w:color w:val="000000"/>
        </w:rPr>
        <w:t>.</w:t>
      </w:r>
      <w:r>
        <w:rPr>
          <w:color w:val="000000"/>
        </w:rPr>
        <w:t xml:space="preserve"> </w:t>
      </w:r>
      <w:r>
        <w:rPr>
          <w:color w:val="000000"/>
        </w:rPr>
        <w:t>(Accessed: 2</w:t>
      </w:r>
      <w:r>
        <w:rPr>
          <w:color w:val="000000"/>
        </w:rPr>
        <w:t>4</w:t>
      </w:r>
      <w:r w:rsidRPr="00F4115B">
        <w:rPr>
          <w:color w:val="000000"/>
          <w:vertAlign w:val="superscript"/>
        </w:rPr>
        <w:t>th</w:t>
      </w:r>
      <w:r>
        <w:rPr>
          <w:color w:val="000000"/>
        </w:rPr>
        <w:t xml:space="preserve"> May 2024)</w:t>
      </w:r>
    </w:p>
    <w:p w14:paraId="7FFA8C39" w14:textId="02828620" w:rsidR="008C595B" w:rsidRPr="008C595B" w:rsidRDefault="008C595B" w:rsidP="008C595B">
      <w:pPr>
        <w:spacing w:after="240" w:line="360" w:lineRule="atLeast"/>
        <w:rPr>
          <w:color w:val="000000"/>
        </w:rPr>
      </w:pPr>
      <w:r w:rsidRPr="008C595B">
        <w:rPr>
          <w:color w:val="000000"/>
        </w:rPr>
        <w:t>NDNA (n.d.). </w:t>
      </w:r>
      <w:r w:rsidRPr="008C595B">
        <w:rPr>
          <w:i/>
          <w:iCs/>
          <w:color w:val="000000"/>
        </w:rPr>
        <w:t>Supporting healthy eating in early years</w:t>
      </w:r>
      <w:r w:rsidRPr="008C595B">
        <w:rPr>
          <w:color w:val="000000"/>
        </w:rPr>
        <w:t xml:space="preserve">. [online] Available at: https://ndna.org.uk/wp-content/uploads/2021/11/Tip-Supporting-healthy-eating-in-early-years.pdf </w:t>
      </w:r>
      <w:r w:rsidR="00F4115B">
        <w:rPr>
          <w:color w:val="000000"/>
        </w:rPr>
        <w:t>(</w:t>
      </w:r>
      <w:r w:rsidRPr="008C595B">
        <w:rPr>
          <w:color w:val="000000"/>
        </w:rPr>
        <w:t>Accessed</w:t>
      </w:r>
      <w:r w:rsidR="00F4115B">
        <w:rPr>
          <w:color w:val="000000"/>
        </w:rPr>
        <w:t>:</w:t>
      </w:r>
      <w:r w:rsidRPr="008C595B">
        <w:rPr>
          <w:color w:val="000000"/>
        </w:rPr>
        <w:t xml:space="preserve"> 8 Jun</w:t>
      </w:r>
      <w:r w:rsidR="00F4115B">
        <w:rPr>
          <w:color w:val="000000"/>
        </w:rPr>
        <w:t xml:space="preserve">e </w:t>
      </w:r>
      <w:r w:rsidRPr="008C595B">
        <w:rPr>
          <w:color w:val="000000"/>
        </w:rPr>
        <w:t>2024</w:t>
      </w:r>
      <w:r w:rsidR="00F4115B">
        <w:rPr>
          <w:color w:val="000000"/>
        </w:rPr>
        <w:t>)</w:t>
      </w:r>
    </w:p>
    <w:p w14:paraId="49E26B41" w14:textId="4F302A52" w:rsidR="008C595B" w:rsidRPr="008C595B" w:rsidRDefault="008C595B" w:rsidP="008C595B">
      <w:pPr>
        <w:spacing w:after="240" w:line="360" w:lineRule="atLeast"/>
        <w:rPr>
          <w:color w:val="000000"/>
        </w:rPr>
      </w:pPr>
      <w:r w:rsidRPr="008C595B">
        <w:rPr>
          <w:color w:val="000000"/>
        </w:rPr>
        <w:t xml:space="preserve">Nguyen, T.H., </w:t>
      </w:r>
      <w:proofErr w:type="spellStart"/>
      <w:r w:rsidRPr="008C595B">
        <w:rPr>
          <w:color w:val="000000"/>
        </w:rPr>
        <w:t>Götz</w:t>
      </w:r>
      <w:proofErr w:type="spellEnd"/>
      <w:r w:rsidRPr="008C595B">
        <w:rPr>
          <w:color w:val="000000"/>
        </w:rPr>
        <w:t xml:space="preserve">, S., </w:t>
      </w:r>
      <w:proofErr w:type="spellStart"/>
      <w:r w:rsidRPr="008C595B">
        <w:rPr>
          <w:color w:val="000000"/>
        </w:rPr>
        <w:t>Kreffter</w:t>
      </w:r>
      <w:proofErr w:type="spellEnd"/>
      <w:r w:rsidRPr="008C595B">
        <w:rPr>
          <w:color w:val="000000"/>
        </w:rPr>
        <w:t xml:space="preserve">, K., </w:t>
      </w:r>
      <w:proofErr w:type="spellStart"/>
      <w:r w:rsidRPr="008C595B">
        <w:rPr>
          <w:color w:val="000000"/>
        </w:rPr>
        <w:t>Lisak</w:t>
      </w:r>
      <w:proofErr w:type="spellEnd"/>
      <w:r w:rsidRPr="008C595B">
        <w:rPr>
          <w:color w:val="000000"/>
        </w:rPr>
        <w:t xml:space="preserve">-Wahl, S., </w:t>
      </w:r>
      <w:proofErr w:type="spellStart"/>
      <w:r w:rsidRPr="008C595B">
        <w:rPr>
          <w:color w:val="000000"/>
        </w:rPr>
        <w:t>Dragano</w:t>
      </w:r>
      <w:proofErr w:type="spellEnd"/>
      <w:r w:rsidRPr="008C595B">
        <w:rPr>
          <w:color w:val="000000"/>
        </w:rPr>
        <w:t xml:space="preserve">, N. and Weyers, S. (2021). Neighbourhood deprivation and obesity among 5656 pre-school children—findings from mandatory school </w:t>
      </w:r>
      <w:proofErr w:type="spellStart"/>
      <w:r w:rsidRPr="008C595B">
        <w:rPr>
          <w:color w:val="000000"/>
        </w:rPr>
        <w:t>enrollment</w:t>
      </w:r>
      <w:proofErr w:type="spellEnd"/>
      <w:r w:rsidRPr="008C595B">
        <w:rPr>
          <w:color w:val="000000"/>
        </w:rPr>
        <w:t xml:space="preserve"> examinations. </w:t>
      </w:r>
      <w:r w:rsidRPr="008C595B">
        <w:rPr>
          <w:i/>
          <w:iCs/>
          <w:color w:val="000000"/>
        </w:rPr>
        <w:t xml:space="preserve">European Journal of </w:t>
      </w:r>
      <w:proofErr w:type="spellStart"/>
      <w:r w:rsidRPr="008C595B">
        <w:rPr>
          <w:i/>
          <w:iCs/>
          <w:color w:val="000000"/>
        </w:rPr>
        <w:t>Pediatrics</w:t>
      </w:r>
      <w:proofErr w:type="spellEnd"/>
      <w:r w:rsidRPr="008C595B">
        <w:rPr>
          <w:color w:val="000000"/>
        </w:rPr>
        <w:t xml:space="preserve">, 180(6), pp.1947–1954. </w:t>
      </w:r>
      <w:proofErr w:type="spellStart"/>
      <w:proofErr w:type="gramStart"/>
      <w:r w:rsidRPr="008C595B">
        <w:rPr>
          <w:color w:val="000000"/>
        </w:rPr>
        <w:t>doi:https</w:t>
      </w:r>
      <w:proofErr w:type="spellEnd"/>
      <w:r w:rsidRPr="008C595B">
        <w:rPr>
          <w:color w:val="000000"/>
        </w:rPr>
        <w:t>://doi.org/10.1007/s00431-021-03988-2</w:t>
      </w:r>
      <w:proofErr w:type="gramEnd"/>
      <w:r w:rsidRPr="008C595B">
        <w:rPr>
          <w:color w:val="000000"/>
        </w:rPr>
        <w:t>.</w:t>
      </w:r>
      <w:r w:rsidR="00F4115B">
        <w:rPr>
          <w:color w:val="000000"/>
        </w:rPr>
        <w:t xml:space="preserve"> </w:t>
      </w:r>
      <w:r w:rsidR="00F4115B">
        <w:rPr>
          <w:color w:val="000000"/>
        </w:rPr>
        <w:t>(Accessed: 2</w:t>
      </w:r>
      <w:r w:rsidR="00F4115B" w:rsidRPr="00F4115B">
        <w:rPr>
          <w:color w:val="000000"/>
          <w:vertAlign w:val="superscript"/>
        </w:rPr>
        <w:t>nd</w:t>
      </w:r>
      <w:r w:rsidR="00F4115B">
        <w:rPr>
          <w:color w:val="000000"/>
        </w:rPr>
        <w:t xml:space="preserve"> June 2024)</w:t>
      </w:r>
    </w:p>
    <w:p w14:paraId="0E3982E5" w14:textId="5D56A2D7" w:rsidR="008C595B" w:rsidRPr="008C595B" w:rsidRDefault="008C595B" w:rsidP="008C595B">
      <w:pPr>
        <w:spacing w:after="240" w:line="360" w:lineRule="atLeast"/>
        <w:rPr>
          <w:color w:val="000000"/>
        </w:rPr>
      </w:pPr>
      <w:r w:rsidRPr="008C595B">
        <w:rPr>
          <w:color w:val="000000"/>
        </w:rPr>
        <w:t>NHS (2022). </w:t>
      </w:r>
      <w:r w:rsidRPr="008C595B">
        <w:rPr>
          <w:i/>
          <w:iCs/>
          <w:color w:val="000000"/>
        </w:rPr>
        <w:t>Wellbeing</w:t>
      </w:r>
      <w:r w:rsidRPr="008C595B">
        <w:rPr>
          <w:color w:val="000000"/>
        </w:rPr>
        <w:t xml:space="preserve">. [online] NDRS. Available at: </w:t>
      </w:r>
      <w:hyperlink r:id="rId18" w:history="1">
        <w:r w:rsidR="00F4115B" w:rsidRPr="008C595B">
          <w:rPr>
            <w:rStyle w:val="Hyperlink"/>
          </w:rPr>
          <w:t>https://digital.nhs.uk/data-and-information/publications/statistical/health-survey-england-additional-analyses/ethnicity-and-health-2011-2019-experimental-statistics/wellbeing-copy</w:t>
        </w:r>
      </w:hyperlink>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4F5F3C58" w14:textId="3419565B" w:rsidR="008C595B" w:rsidRPr="008C595B" w:rsidRDefault="008C595B" w:rsidP="008C595B">
      <w:pPr>
        <w:spacing w:after="240" w:line="360" w:lineRule="atLeast"/>
        <w:rPr>
          <w:color w:val="000000"/>
        </w:rPr>
      </w:pPr>
      <w:r w:rsidRPr="008C595B">
        <w:rPr>
          <w:color w:val="000000"/>
        </w:rPr>
        <w:t>NSPCC (2022). </w:t>
      </w:r>
      <w:r w:rsidRPr="008C595B">
        <w:rPr>
          <w:i/>
          <w:iCs/>
          <w:color w:val="000000"/>
        </w:rPr>
        <w:t>Child mental health: recognising and responding to issues</w:t>
      </w:r>
      <w:r w:rsidRPr="008C595B">
        <w:rPr>
          <w:color w:val="000000"/>
        </w:rPr>
        <w:t xml:space="preserve">. [online] NSPCC Learning. Available at: </w:t>
      </w:r>
      <w:hyperlink r:id="rId19" w:history="1">
        <w:r w:rsidR="00F4115B" w:rsidRPr="008C595B">
          <w:rPr>
            <w:rStyle w:val="Hyperlink"/>
          </w:rPr>
          <w:t>https://learning.nspcc.org.uk/child-health-development/child-mental-health</w:t>
        </w:r>
      </w:hyperlink>
      <w:r w:rsidRPr="008C595B">
        <w:rPr>
          <w:color w:val="000000"/>
        </w:rPr>
        <w:t>.</w:t>
      </w:r>
      <w:r w:rsidR="00F4115B">
        <w:rPr>
          <w:color w:val="000000"/>
        </w:rPr>
        <w:t xml:space="preserve"> </w:t>
      </w:r>
      <w:r w:rsidR="00F4115B">
        <w:rPr>
          <w:color w:val="000000"/>
        </w:rPr>
        <w:t>(Accessed: 2</w:t>
      </w:r>
      <w:r w:rsidR="00F4115B">
        <w:rPr>
          <w:color w:val="000000"/>
        </w:rPr>
        <w:t>5</w:t>
      </w:r>
      <w:r w:rsidR="00F4115B" w:rsidRPr="00F4115B">
        <w:rPr>
          <w:color w:val="000000"/>
          <w:vertAlign w:val="superscript"/>
        </w:rPr>
        <w:t>th</w:t>
      </w:r>
      <w:r w:rsidR="00F4115B">
        <w:rPr>
          <w:color w:val="000000"/>
        </w:rPr>
        <w:t xml:space="preserve"> May 2024)</w:t>
      </w:r>
    </w:p>
    <w:p w14:paraId="139ADBCE" w14:textId="1F045887" w:rsidR="008C595B" w:rsidRPr="008C595B" w:rsidRDefault="008C595B" w:rsidP="008C595B">
      <w:pPr>
        <w:spacing w:after="240" w:line="360" w:lineRule="atLeast"/>
        <w:rPr>
          <w:color w:val="000000"/>
        </w:rPr>
      </w:pPr>
      <w:r w:rsidRPr="008C595B">
        <w:rPr>
          <w:color w:val="000000"/>
        </w:rPr>
        <w:t xml:space="preserve">Opie, J.E., McIntosh, J.E., </w:t>
      </w:r>
      <w:proofErr w:type="spellStart"/>
      <w:r w:rsidRPr="008C595B">
        <w:rPr>
          <w:color w:val="000000"/>
        </w:rPr>
        <w:t>Esler</w:t>
      </w:r>
      <w:proofErr w:type="spellEnd"/>
      <w:r w:rsidRPr="008C595B">
        <w:rPr>
          <w:color w:val="000000"/>
        </w:rPr>
        <w:t xml:space="preserve">, T.B., </w:t>
      </w:r>
      <w:proofErr w:type="spellStart"/>
      <w:r w:rsidRPr="008C595B">
        <w:rPr>
          <w:color w:val="000000"/>
        </w:rPr>
        <w:t>Duschinsky</w:t>
      </w:r>
      <w:proofErr w:type="spellEnd"/>
      <w:r w:rsidRPr="008C595B">
        <w:rPr>
          <w:color w:val="000000"/>
        </w:rPr>
        <w:t xml:space="preserve">, R., George, C., </w:t>
      </w:r>
      <w:proofErr w:type="spellStart"/>
      <w:r w:rsidRPr="008C595B">
        <w:rPr>
          <w:color w:val="000000"/>
        </w:rPr>
        <w:t>Schore</w:t>
      </w:r>
      <w:proofErr w:type="spellEnd"/>
      <w:r w:rsidRPr="008C595B">
        <w:rPr>
          <w:color w:val="000000"/>
        </w:rPr>
        <w:t xml:space="preserve">, A., </w:t>
      </w:r>
      <w:proofErr w:type="spellStart"/>
      <w:r w:rsidRPr="008C595B">
        <w:rPr>
          <w:color w:val="000000"/>
        </w:rPr>
        <w:t>Kothe</w:t>
      </w:r>
      <w:proofErr w:type="spellEnd"/>
      <w:r w:rsidRPr="008C595B">
        <w:rPr>
          <w:color w:val="000000"/>
        </w:rPr>
        <w:t>, E.J., Tan, E.S., Greenwood, C.J. and Olsson, C.A. (2020). Early Childhood Attachment Stability and change: a meta-analysis. </w:t>
      </w:r>
      <w:r w:rsidRPr="008C595B">
        <w:rPr>
          <w:i/>
          <w:iCs/>
          <w:color w:val="000000"/>
        </w:rPr>
        <w:t>Attachment &amp; Human Development</w:t>
      </w:r>
      <w:r w:rsidRPr="008C595B">
        <w:rPr>
          <w:color w:val="000000"/>
        </w:rPr>
        <w:t xml:space="preserve">, [online] 23(6), pp.1–34. </w:t>
      </w:r>
      <w:proofErr w:type="spellStart"/>
      <w:proofErr w:type="gramStart"/>
      <w:r w:rsidRPr="008C595B">
        <w:rPr>
          <w:color w:val="000000"/>
        </w:rPr>
        <w:t>doi:https</w:t>
      </w:r>
      <w:proofErr w:type="spellEnd"/>
      <w:r w:rsidRPr="008C595B">
        <w:rPr>
          <w:color w:val="000000"/>
        </w:rPr>
        <w:t>://doi.org/10.1080/14616734.2020.1800769</w:t>
      </w:r>
      <w:proofErr w:type="gramEnd"/>
      <w:r w:rsidRPr="008C595B">
        <w:rPr>
          <w:color w:val="000000"/>
        </w:rPr>
        <w:t>.</w:t>
      </w:r>
      <w:r w:rsidR="00F4115B">
        <w:rPr>
          <w:color w:val="000000"/>
        </w:rPr>
        <w:t xml:space="preserve"> </w:t>
      </w:r>
      <w:r w:rsidR="00F4115B">
        <w:rPr>
          <w:color w:val="000000"/>
        </w:rPr>
        <w:t>(Accessed: 2</w:t>
      </w:r>
      <w:r w:rsidR="00F4115B">
        <w:rPr>
          <w:color w:val="000000"/>
        </w:rPr>
        <w:t>4</w:t>
      </w:r>
      <w:r w:rsidR="00F4115B" w:rsidRPr="00F4115B">
        <w:rPr>
          <w:color w:val="000000"/>
          <w:vertAlign w:val="superscript"/>
        </w:rPr>
        <w:t>th</w:t>
      </w:r>
      <w:r w:rsidR="00F4115B">
        <w:rPr>
          <w:color w:val="000000"/>
        </w:rPr>
        <w:t xml:space="preserve"> May 2024)</w:t>
      </w:r>
    </w:p>
    <w:p w14:paraId="36EF2D87" w14:textId="54A4477C" w:rsidR="008C595B" w:rsidRPr="008C595B" w:rsidRDefault="008C595B" w:rsidP="008C595B">
      <w:pPr>
        <w:spacing w:after="240" w:line="360" w:lineRule="atLeast"/>
        <w:rPr>
          <w:color w:val="000000"/>
        </w:rPr>
      </w:pPr>
      <w:r w:rsidRPr="008C595B">
        <w:rPr>
          <w:color w:val="000000"/>
        </w:rPr>
        <w:t>Play Wales (2022). </w:t>
      </w:r>
      <w:r w:rsidRPr="008C595B">
        <w:rPr>
          <w:i/>
          <w:iCs/>
          <w:color w:val="000000"/>
        </w:rPr>
        <w:t>Play policy and legislation</w:t>
      </w:r>
      <w:r w:rsidRPr="008C595B">
        <w:rPr>
          <w:color w:val="000000"/>
        </w:rPr>
        <w:t xml:space="preserve">. [online] Play Wales. Available at: </w:t>
      </w:r>
      <w:hyperlink r:id="rId20" w:history="1">
        <w:r w:rsidR="00F4115B" w:rsidRPr="008C595B">
          <w:rPr>
            <w:rStyle w:val="Hyperlink"/>
          </w:rPr>
          <w:t>https://play.wales/play-policy-legislation/</w:t>
        </w:r>
      </w:hyperlink>
      <w:r w:rsidRPr="008C595B">
        <w:rPr>
          <w:color w:val="000000"/>
        </w:rPr>
        <w:t>.</w:t>
      </w:r>
      <w:r w:rsidR="00F4115B">
        <w:rPr>
          <w:color w:val="000000"/>
        </w:rPr>
        <w:t xml:space="preserve"> </w:t>
      </w:r>
      <w:r w:rsidR="00F4115B">
        <w:rPr>
          <w:color w:val="000000"/>
        </w:rPr>
        <w:t>(Accessed: 2</w:t>
      </w:r>
      <w:r w:rsidR="00F4115B" w:rsidRPr="00F4115B">
        <w:rPr>
          <w:color w:val="000000"/>
          <w:vertAlign w:val="superscript"/>
        </w:rPr>
        <w:t>nd</w:t>
      </w:r>
      <w:r w:rsidR="00F4115B">
        <w:rPr>
          <w:color w:val="000000"/>
        </w:rPr>
        <w:t xml:space="preserve"> June 2024)</w:t>
      </w:r>
    </w:p>
    <w:p w14:paraId="10B256A8" w14:textId="4279C1C5" w:rsidR="008C595B" w:rsidRPr="008C595B" w:rsidRDefault="008C595B" w:rsidP="008C595B">
      <w:pPr>
        <w:spacing w:after="240" w:line="360" w:lineRule="atLeast"/>
        <w:rPr>
          <w:color w:val="000000"/>
        </w:rPr>
      </w:pPr>
      <w:r w:rsidRPr="008C595B">
        <w:rPr>
          <w:color w:val="000000"/>
        </w:rPr>
        <w:t>Public Health England (2021). </w:t>
      </w:r>
      <w:r w:rsidRPr="008C595B">
        <w:rPr>
          <w:i/>
          <w:iCs/>
          <w:color w:val="000000"/>
        </w:rPr>
        <w:t>Early years high impact area 4: Supporting healthy weight and nutrition</w:t>
      </w:r>
      <w:r w:rsidRPr="008C595B">
        <w:rPr>
          <w:color w:val="000000"/>
        </w:rPr>
        <w:t xml:space="preserve">. [online] GOV.UK. Available at: </w:t>
      </w:r>
      <w:hyperlink r:id="rId21" w:history="1">
        <w:r w:rsidR="00F4115B" w:rsidRPr="008C595B">
          <w:rPr>
            <w:rStyle w:val="Hyperlink"/>
          </w:rPr>
          <w:t>https://www.gov.uk/government/publications/commissioning-of-public-health-services-for-children/early-years-high-impact-area-4-supporting-healthy-weight-and-nutrition</w:t>
        </w:r>
      </w:hyperlink>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24B330DE" w14:textId="5F590A14" w:rsidR="008C595B" w:rsidRPr="008C595B" w:rsidRDefault="008C595B" w:rsidP="008C595B">
      <w:pPr>
        <w:spacing w:after="240" w:line="360" w:lineRule="atLeast"/>
        <w:rPr>
          <w:color w:val="000000"/>
        </w:rPr>
      </w:pPr>
      <w:r w:rsidRPr="008C595B">
        <w:rPr>
          <w:color w:val="000000"/>
        </w:rPr>
        <w:t>Public Health Wales (2022). </w:t>
      </w:r>
      <w:r w:rsidRPr="008C595B">
        <w:rPr>
          <w:i/>
          <w:iCs/>
          <w:color w:val="000000"/>
        </w:rPr>
        <w:t>Child Measurement Programme shows increase in numbers of children with obesity</w:t>
      </w:r>
      <w:r w:rsidRPr="008C595B">
        <w:rPr>
          <w:color w:val="000000"/>
        </w:rPr>
        <w:t xml:space="preserve">. [online] Public Health Wales. Available at: </w:t>
      </w:r>
      <w:hyperlink r:id="rId22" w:history="1">
        <w:r w:rsidR="00F4115B" w:rsidRPr="008C595B">
          <w:rPr>
            <w:rStyle w:val="Hyperlink"/>
          </w:rPr>
          <w:t>https://phw.nhs.wales/news/child-measurement-programme-shows-increase-in-numbers-of-children-with-obesity/</w:t>
        </w:r>
      </w:hyperlink>
      <w:r w:rsidRPr="008C595B">
        <w:rPr>
          <w:color w:val="000000"/>
        </w:rPr>
        <w:t>.</w:t>
      </w:r>
      <w:r w:rsidR="00F4115B">
        <w:rPr>
          <w:color w:val="000000"/>
        </w:rPr>
        <w:t xml:space="preserve"> </w:t>
      </w:r>
      <w:r w:rsidR="00F4115B">
        <w:rPr>
          <w:color w:val="000000"/>
        </w:rPr>
        <w:t>(Accessed: 2</w:t>
      </w:r>
      <w:r w:rsidR="00F4115B">
        <w:rPr>
          <w:color w:val="000000"/>
        </w:rPr>
        <w:t>8</w:t>
      </w:r>
      <w:r w:rsidR="00F4115B" w:rsidRPr="00F4115B">
        <w:rPr>
          <w:color w:val="000000"/>
          <w:vertAlign w:val="superscript"/>
        </w:rPr>
        <w:t>th</w:t>
      </w:r>
      <w:r w:rsidR="00F4115B">
        <w:rPr>
          <w:color w:val="000000"/>
        </w:rPr>
        <w:t xml:space="preserve"> May 2024)</w:t>
      </w:r>
    </w:p>
    <w:p w14:paraId="09667338" w14:textId="5A1143F2" w:rsidR="008C595B" w:rsidRPr="008C595B" w:rsidRDefault="008C595B" w:rsidP="008C595B">
      <w:pPr>
        <w:spacing w:after="240" w:line="360" w:lineRule="atLeast"/>
        <w:rPr>
          <w:color w:val="000000"/>
        </w:rPr>
      </w:pPr>
      <w:r w:rsidRPr="008C595B">
        <w:rPr>
          <w:color w:val="000000"/>
        </w:rPr>
        <w:lastRenderedPageBreak/>
        <w:t>Ruggeri, K., Garcia-Garzon, E., Maguire, Á., Matz, S. and Huppert, F.A. (2020). Well-being is more than happiness and life satisfaction: A multidimensional analysis of 21 countries. </w:t>
      </w:r>
      <w:r w:rsidRPr="008C595B">
        <w:rPr>
          <w:i/>
          <w:iCs/>
          <w:color w:val="000000"/>
        </w:rPr>
        <w:t>Health and Quality of Life Outcomes</w:t>
      </w:r>
      <w:r w:rsidRPr="008C595B">
        <w:rPr>
          <w:color w:val="000000"/>
        </w:rPr>
        <w:t xml:space="preserve">, [online] 18(192). </w:t>
      </w:r>
      <w:proofErr w:type="spellStart"/>
      <w:proofErr w:type="gramStart"/>
      <w:r w:rsidRPr="008C595B">
        <w:rPr>
          <w:color w:val="000000"/>
        </w:rPr>
        <w:t>doi:https</w:t>
      </w:r>
      <w:proofErr w:type="spellEnd"/>
      <w:r w:rsidRPr="008C595B">
        <w:rPr>
          <w:color w:val="000000"/>
        </w:rPr>
        <w:t>://doi.org/10.1186/s12955-020-01423-y</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3A5ED228" w14:textId="15691143" w:rsidR="008C595B" w:rsidRDefault="008C595B" w:rsidP="008C595B">
      <w:pPr>
        <w:spacing w:after="240" w:line="360" w:lineRule="atLeast"/>
        <w:rPr>
          <w:color w:val="000000"/>
        </w:rPr>
      </w:pPr>
      <w:proofErr w:type="spellStart"/>
      <w:r w:rsidRPr="008C595B">
        <w:rPr>
          <w:color w:val="000000"/>
        </w:rPr>
        <w:t>Ryff</w:t>
      </w:r>
      <w:proofErr w:type="spellEnd"/>
      <w:r w:rsidRPr="008C595B">
        <w:rPr>
          <w:color w:val="000000"/>
        </w:rPr>
        <w:t xml:space="preserve">, C., Boylan, J., Kirsch, J., Lee, M. and </w:t>
      </w:r>
      <w:proofErr w:type="spellStart"/>
      <w:r w:rsidRPr="008C595B">
        <w:rPr>
          <w:color w:val="000000"/>
        </w:rPr>
        <w:t>Kubzansky</w:t>
      </w:r>
      <w:proofErr w:type="spellEnd"/>
      <w:r w:rsidRPr="008C595B">
        <w:rPr>
          <w:color w:val="000000"/>
        </w:rPr>
        <w:t>, L. (2021). </w:t>
      </w:r>
      <w:proofErr w:type="spellStart"/>
      <w:r w:rsidRPr="008C595B">
        <w:rPr>
          <w:i/>
          <w:iCs/>
          <w:color w:val="000000"/>
        </w:rPr>
        <w:t>Eudaimonic</w:t>
      </w:r>
      <w:proofErr w:type="spellEnd"/>
      <w:r w:rsidRPr="008C595B">
        <w:rPr>
          <w:i/>
          <w:iCs/>
          <w:color w:val="000000"/>
        </w:rPr>
        <w:t xml:space="preserve"> and Hedonic Well-Being </w:t>
      </w:r>
      <w:proofErr w:type="gramStart"/>
      <w:r w:rsidRPr="008C595B">
        <w:rPr>
          <w:i/>
          <w:iCs/>
          <w:color w:val="000000"/>
        </w:rPr>
        <w:t>An</w:t>
      </w:r>
      <w:proofErr w:type="gramEnd"/>
      <w:r w:rsidRPr="008C595B">
        <w:rPr>
          <w:i/>
          <w:iCs/>
          <w:color w:val="000000"/>
        </w:rPr>
        <w:t xml:space="preserve"> Integrative Perspective with Linkages to Sociodemographic Factors and Health</w:t>
      </w:r>
      <w:r w:rsidRPr="008C595B">
        <w:rPr>
          <w:color w:val="000000"/>
        </w:rPr>
        <w:t xml:space="preserve">. [online] Available at: </w:t>
      </w:r>
      <w:hyperlink r:id="rId23" w:history="1">
        <w:r w:rsidR="00F4115B" w:rsidRPr="008C595B">
          <w:rPr>
            <w:rStyle w:val="Hyperlink"/>
          </w:rPr>
          <w:t>https://aging.wisc.edu/wp-content/uploads/sites/1131/2021/06/Eudaimonic-and-Hedonic-Well-Being.pdf</w:t>
        </w:r>
      </w:hyperlink>
      <w:r w:rsidRPr="008C595B">
        <w:rPr>
          <w:color w:val="000000"/>
        </w:rPr>
        <w:t>.</w:t>
      </w:r>
      <w:r w:rsidR="00F4115B">
        <w:rPr>
          <w:color w:val="000000"/>
        </w:rPr>
        <w:t xml:space="preserve"> </w:t>
      </w:r>
      <w:r w:rsidR="00F4115B">
        <w:rPr>
          <w:color w:val="000000"/>
        </w:rPr>
        <w:t xml:space="preserve">(Accessed: </w:t>
      </w:r>
      <w:r w:rsidR="00F4115B">
        <w:rPr>
          <w:color w:val="000000"/>
        </w:rPr>
        <w:t>30</w:t>
      </w:r>
      <w:r w:rsidR="00F4115B" w:rsidRPr="00F4115B">
        <w:rPr>
          <w:color w:val="000000"/>
          <w:vertAlign w:val="superscript"/>
        </w:rPr>
        <w:t>th</w:t>
      </w:r>
      <w:r w:rsidR="00F4115B">
        <w:rPr>
          <w:color w:val="000000"/>
        </w:rPr>
        <w:t xml:space="preserve"> May 2024)</w:t>
      </w:r>
      <w:r w:rsidR="00F4115B">
        <w:rPr>
          <w:color w:val="000000"/>
        </w:rPr>
        <w:t xml:space="preserve"> </w:t>
      </w:r>
    </w:p>
    <w:p w14:paraId="069FD81A" w14:textId="6AF766B0" w:rsidR="00F4115B" w:rsidRDefault="00F4115B" w:rsidP="00F4115B">
      <w:pPr>
        <w:spacing w:after="240" w:line="360" w:lineRule="atLeast"/>
        <w:rPr>
          <w:color w:val="000000"/>
        </w:rPr>
      </w:pPr>
      <w:r>
        <w:rPr>
          <w:color w:val="000000"/>
        </w:rPr>
        <w:t>Sage, C. (2020).</w:t>
      </w:r>
      <w:r>
        <w:rPr>
          <w:rStyle w:val="apple-converted-space"/>
          <w:color w:val="000000"/>
        </w:rPr>
        <w:t> </w:t>
      </w:r>
      <w:r>
        <w:rPr>
          <w:i/>
          <w:iCs/>
          <w:color w:val="000000"/>
        </w:rPr>
        <w:t>You Should Try This for Emotional Wellbeing in Kids</w:t>
      </w:r>
      <w:r>
        <w:rPr>
          <w:color w:val="000000"/>
        </w:rPr>
        <w:t xml:space="preserve">. [online] Calm Sage - Your Guide to Mental and Emotional Well-being. Available at: </w:t>
      </w:r>
      <w:hyperlink r:id="rId24" w:history="1">
        <w:r w:rsidRPr="0043521D">
          <w:rPr>
            <w:rStyle w:val="Hyperlink"/>
          </w:rPr>
          <w:t>https://www.calmsage.com/emotional-wellbeing-in-kids/</w:t>
        </w:r>
      </w:hyperlink>
      <w:r>
        <w:rPr>
          <w:color w:val="000000"/>
        </w:rPr>
        <w:t>.</w:t>
      </w:r>
      <w:r>
        <w:rPr>
          <w:color w:val="000000"/>
        </w:rPr>
        <w:t xml:space="preserve"> </w:t>
      </w:r>
      <w:r>
        <w:rPr>
          <w:color w:val="000000"/>
        </w:rPr>
        <w:t>(Accessed: 20</w:t>
      </w:r>
      <w:r w:rsidRPr="00F4115B">
        <w:rPr>
          <w:color w:val="000000"/>
          <w:vertAlign w:val="superscript"/>
        </w:rPr>
        <w:t>th</w:t>
      </w:r>
      <w:r>
        <w:rPr>
          <w:color w:val="000000"/>
        </w:rPr>
        <w:t xml:space="preserve"> May 2024)</w:t>
      </w:r>
    </w:p>
    <w:p w14:paraId="62B125D1" w14:textId="1C959B1B" w:rsidR="008C595B" w:rsidRPr="008C595B" w:rsidRDefault="008C595B" w:rsidP="008C595B">
      <w:pPr>
        <w:spacing w:after="240" w:line="360" w:lineRule="atLeast"/>
        <w:rPr>
          <w:color w:val="000000"/>
        </w:rPr>
      </w:pPr>
      <w:r w:rsidRPr="008C595B">
        <w:rPr>
          <w:color w:val="000000"/>
        </w:rPr>
        <w:t xml:space="preserve">Sahoo, K., Sahoo, B., Choudhury, A.K., Sofi, N.Y., Kumar, R. and </w:t>
      </w:r>
      <w:proofErr w:type="spellStart"/>
      <w:r w:rsidRPr="008C595B">
        <w:rPr>
          <w:color w:val="000000"/>
        </w:rPr>
        <w:t>Bhadoria</w:t>
      </w:r>
      <w:proofErr w:type="spellEnd"/>
      <w:r w:rsidRPr="008C595B">
        <w:rPr>
          <w:color w:val="000000"/>
        </w:rPr>
        <w:t>, A.S. (2015). Childhood obesity: Causes and Consequences. </w:t>
      </w:r>
      <w:r w:rsidRPr="008C595B">
        <w:rPr>
          <w:i/>
          <w:iCs/>
          <w:color w:val="000000"/>
        </w:rPr>
        <w:t>Journal of Family Medicine and Primary Care</w:t>
      </w:r>
      <w:r w:rsidRPr="008C595B">
        <w:rPr>
          <w:color w:val="000000"/>
        </w:rPr>
        <w:t xml:space="preserve">, [online] 4(2), p.187. </w:t>
      </w:r>
      <w:proofErr w:type="spellStart"/>
      <w:proofErr w:type="gramStart"/>
      <w:r w:rsidRPr="008C595B">
        <w:rPr>
          <w:color w:val="000000"/>
        </w:rPr>
        <w:t>doi:https</w:t>
      </w:r>
      <w:proofErr w:type="spellEnd"/>
      <w:r w:rsidRPr="008C595B">
        <w:rPr>
          <w:color w:val="000000"/>
        </w:rPr>
        <w:t>://doi.org/10.4103/2249-4863.154628</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077F7E98" w14:textId="6C48AA4E" w:rsidR="00F4115B" w:rsidRDefault="00F4115B" w:rsidP="00F4115B">
      <w:pPr>
        <w:pStyle w:val="NormalWeb"/>
        <w:spacing w:before="0" w:beforeAutospacing="0" w:after="240" w:afterAutospacing="0" w:line="360" w:lineRule="atLeast"/>
        <w:rPr>
          <w:color w:val="000000"/>
        </w:rPr>
      </w:pPr>
      <w:proofErr w:type="spellStart"/>
      <w:proofErr w:type="gramStart"/>
      <w:r>
        <w:rPr>
          <w:color w:val="000000"/>
        </w:rPr>
        <w:t>senedd.wales</w:t>
      </w:r>
      <w:proofErr w:type="spellEnd"/>
      <w:proofErr w:type="gramEnd"/>
      <w:r>
        <w:rPr>
          <w:color w:val="000000"/>
        </w:rPr>
        <w:t>. (2024).</w:t>
      </w:r>
      <w:r>
        <w:rPr>
          <w:rStyle w:val="apple-converted-space"/>
          <w:color w:val="000000"/>
        </w:rPr>
        <w:t> </w:t>
      </w:r>
      <w:r>
        <w:rPr>
          <w:i/>
          <w:iCs/>
          <w:color w:val="000000"/>
        </w:rPr>
        <w:t>Health and Social Care Committee</w:t>
      </w:r>
      <w:r>
        <w:rPr>
          <w:color w:val="000000"/>
        </w:rPr>
        <w:t xml:space="preserve">. [online] Available at: https://senedd.wales/committees/health-and-social-care-committee/#:~:text=The%20Health%20and%20Social%20Care </w:t>
      </w:r>
      <w:r>
        <w:rPr>
          <w:color w:val="000000"/>
        </w:rPr>
        <w:t>(</w:t>
      </w:r>
      <w:r>
        <w:rPr>
          <w:color w:val="000000"/>
        </w:rPr>
        <w:t>Accessed</w:t>
      </w:r>
      <w:r>
        <w:rPr>
          <w:color w:val="000000"/>
        </w:rPr>
        <w:t>:</w:t>
      </w:r>
      <w:r>
        <w:rPr>
          <w:color w:val="000000"/>
        </w:rPr>
        <w:t xml:space="preserve"> 16 Jun</w:t>
      </w:r>
      <w:r>
        <w:rPr>
          <w:color w:val="000000"/>
        </w:rPr>
        <w:t>e</w:t>
      </w:r>
      <w:r>
        <w:rPr>
          <w:color w:val="000000"/>
        </w:rPr>
        <w:t xml:space="preserve"> 2024</w:t>
      </w:r>
      <w:r>
        <w:rPr>
          <w:color w:val="000000"/>
        </w:rPr>
        <w:t>)</w:t>
      </w:r>
      <w:r>
        <w:rPr>
          <w:color w:val="000000"/>
        </w:rPr>
        <w:t>.</w:t>
      </w:r>
    </w:p>
    <w:p w14:paraId="4104A23C" w14:textId="1A5391B7" w:rsidR="008C595B" w:rsidRPr="008C595B" w:rsidRDefault="008C595B" w:rsidP="008C595B">
      <w:pPr>
        <w:spacing w:after="240" w:line="360" w:lineRule="atLeast"/>
        <w:rPr>
          <w:color w:val="000000"/>
        </w:rPr>
      </w:pPr>
      <w:proofErr w:type="spellStart"/>
      <w:r w:rsidRPr="008C595B">
        <w:rPr>
          <w:color w:val="000000"/>
        </w:rPr>
        <w:t>Sinnema</w:t>
      </w:r>
      <w:proofErr w:type="spellEnd"/>
      <w:r w:rsidRPr="008C595B">
        <w:rPr>
          <w:color w:val="000000"/>
        </w:rPr>
        <w:t xml:space="preserve">, C., </w:t>
      </w:r>
      <w:proofErr w:type="spellStart"/>
      <w:r w:rsidRPr="008C595B">
        <w:rPr>
          <w:color w:val="000000"/>
        </w:rPr>
        <w:t>Nieveen</w:t>
      </w:r>
      <w:proofErr w:type="spellEnd"/>
      <w:r w:rsidRPr="008C595B">
        <w:rPr>
          <w:color w:val="000000"/>
        </w:rPr>
        <w:t>, N. and Priestley, M. (2020). Successful futures, successful curriculum: What can Wales learn from international curriculum reforms? </w:t>
      </w:r>
      <w:r w:rsidRPr="008C595B">
        <w:rPr>
          <w:i/>
          <w:iCs/>
          <w:color w:val="000000"/>
        </w:rPr>
        <w:t>The Curriculum Journal</w:t>
      </w:r>
      <w:r w:rsidRPr="008C595B">
        <w:rPr>
          <w:color w:val="000000"/>
        </w:rPr>
        <w:t xml:space="preserve">, 31(2). </w:t>
      </w:r>
      <w:proofErr w:type="spellStart"/>
      <w:proofErr w:type="gramStart"/>
      <w:r w:rsidRPr="008C595B">
        <w:rPr>
          <w:color w:val="000000"/>
        </w:rPr>
        <w:t>doi:https</w:t>
      </w:r>
      <w:proofErr w:type="spellEnd"/>
      <w:r w:rsidRPr="008C595B">
        <w:rPr>
          <w:color w:val="000000"/>
        </w:rPr>
        <w:t>://doi.org/10.1002/curj.17</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69D0B36F" w14:textId="16729A6E" w:rsidR="008C595B" w:rsidRPr="008C595B" w:rsidRDefault="008C595B" w:rsidP="008C595B">
      <w:pPr>
        <w:spacing w:after="240" w:line="360" w:lineRule="atLeast"/>
        <w:rPr>
          <w:color w:val="000000"/>
        </w:rPr>
      </w:pPr>
      <w:r w:rsidRPr="008C595B">
        <w:rPr>
          <w:color w:val="000000"/>
        </w:rPr>
        <w:t>Sobel, M.E. (2013). </w:t>
      </w:r>
      <w:r w:rsidRPr="008C595B">
        <w:rPr>
          <w:i/>
          <w:iCs/>
          <w:color w:val="000000"/>
        </w:rPr>
        <w:t>Lifestyle and Social Structure: Concepts, Definitions, Analyses</w:t>
      </w:r>
      <w:r w:rsidRPr="008C595B">
        <w:rPr>
          <w:color w:val="000000"/>
        </w:rPr>
        <w:t>. [online] </w:t>
      </w:r>
      <w:r w:rsidRPr="008C595B">
        <w:rPr>
          <w:i/>
          <w:iCs/>
          <w:color w:val="000000"/>
        </w:rPr>
        <w:t>Google Books</w:t>
      </w:r>
      <w:r w:rsidRPr="008C595B">
        <w:rPr>
          <w:color w:val="000000"/>
        </w:rPr>
        <w:t xml:space="preserve">. Elsevier. Available at: https://books.google.co.uk/books?hl=en&amp;lr=&amp;id=NnaLBQAAQBAJ&amp;oi=fnd&amp;pg=PP1&amp;dq=define+lifestyle&amp;ots=zybhZshiWK&amp;sig=b8sGiJ-aYclVzh-FqVf-zAf7rgQ&amp;redir_esc=y#v=onepage&amp;q=define%20lifestyle&amp;f=false </w:t>
      </w:r>
      <w:r w:rsidR="00F4115B">
        <w:rPr>
          <w:color w:val="000000"/>
        </w:rPr>
        <w:t>(</w:t>
      </w:r>
      <w:r w:rsidRPr="008C595B">
        <w:rPr>
          <w:color w:val="000000"/>
        </w:rPr>
        <w:t>Accessed</w:t>
      </w:r>
      <w:r w:rsidR="00F4115B">
        <w:rPr>
          <w:color w:val="000000"/>
        </w:rPr>
        <w:t>:</w:t>
      </w:r>
      <w:r w:rsidRPr="008C595B">
        <w:rPr>
          <w:color w:val="000000"/>
        </w:rPr>
        <w:t xml:space="preserve"> 8 Ju</w:t>
      </w:r>
      <w:r w:rsidR="00F4115B">
        <w:rPr>
          <w:color w:val="000000"/>
        </w:rPr>
        <w:t>ne</w:t>
      </w:r>
      <w:r w:rsidRPr="008C595B">
        <w:rPr>
          <w:color w:val="000000"/>
        </w:rPr>
        <w:t xml:space="preserve"> 2024</w:t>
      </w:r>
      <w:r w:rsidR="00F4115B">
        <w:rPr>
          <w:color w:val="000000"/>
        </w:rPr>
        <w:t>)</w:t>
      </w:r>
      <w:r w:rsidRPr="008C595B">
        <w:rPr>
          <w:color w:val="000000"/>
        </w:rPr>
        <w:t>.</w:t>
      </w:r>
    </w:p>
    <w:p w14:paraId="068088C9" w14:textId="6DBFFBF1" w:rsidR="008C595B" w:rsidRPr="008C595B" w:rsidRDefault="008C595B" w:rsidP="008C595B">
      <w:pPr>
        <w:spacing w:after="240" w:line="360" w:lineRule="atLeast"/>
        <w:rPr>
          <w:color w:val="000000"/>
        </w:rPr>
      </w:pPr>
      <w:r w:rsidRPr="008C595B">
        <w:rPr>
          <w:color w:val="000000"/>
        </w:rPr>
        <w:t>Steiner, P. (2019). Brain Fuel Utilization in the Developing Brain. </w:t>
      </w:r>
      <w:r w:rsidRPr="008C595B">
        <w:rPr>
          <w:i/>
          <w:iCs/>
          <w:color w:val="000000"/>
        </w:rPr>
        <w:t>Annals of Nutrition and Metabolism</w:t>
      </w:r>
      <w:r w:rsidRPr="008C595B">
        <w:rPr>
          <w:color w:val="000000"/>
        </w:rPr>
        <w:t xml:space="preserve">, 75(1), pp.8–18. </w:t>
      </w:r>
      <w:proofErr w:type="spellStart"/>
      <w:proofErr w:type="gramStart"/>
      <w:r w:rsidRPr="008C595B">
        <w:rPr>
          <w:color w:val="000000"/>
        </w:rPr>
        <w:t>doi:https</w:t>
      </w:r>
      <w:proofErr w:type="spellEnd"/>
      <w:r w:rsidRPr="008C595B">
        <w:rPr>
          <w:color w:val="000000"/>
        </w:rPr>
        <w:t>://doi.org/10.1159/000508054</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0C0C4A3C" w14:textId="47A0DBB2" w:rsidR="008C595B" w:rsidRDefault="008C595B" w:rsidP="008C595B">
      <w:pPr>
        <w:spacing w:after="240" w:line="360" w:lineRule="atLeast"/>
        <w:rPr>
          <w:color w:val="000000"/>
        </w:rPr>
      </w:pPr>
      <w:proofErr w:type="spellStart"/>
      <w:r w:rsidRPr="008C595B">
        <w:rPr>
          <w:color w:val="000000"/>
        </w:rPr>
        <w:t>Svalastog</w:t>
      </w:r>
      <w:proofErr w:type="spellEnd"/>
      <w:r w:rsidRPr="008C595B">
        <w:rPr>
          <w:color w:val="000000"/>
        </w:rPr>
        <w:t xml:space="preserve">, A.L., </w:t>
      </w:r>
      <w:proofErr w:type="spellStart"/>
      <w:r w:rsidRPr="008C595B">
        <w:rPr>
          <w:color w:val="000000"/>
        </w:rPr>
        <w:t>Donev</w:t>
      </w:r>
      <w:proofErr w:type="spellEnd"/>
      <w:r w:rsidRPr="008C595B">
        <w:rPr>
          <w:color w:val="000000"/>
        </w:rPr>
        <w:t xml:space="preserve">, D., </w:t>
      </w:r>
      <w:proofErr w:type="spellStart"/>
      <w:r w:rsidRPr="008C595B">
        <w:rPr>
          <w:color w:val="000000"/>
        </w:rPr>
        <w:t>Kristoffersen</w:t>
      </w:r>
      <w:proofErr w:type="spellEnd"/>
      <w:r w:rsidRPr="008C595B">
        <w:rPr>
          <w:color w:val="000000"/>
        </w:rPr>
        <w:t xml:space="preserve">, N.J. and </w:t>
      </w:r>
      <w:proofErr w:type="spellStart"/>
      <w:r w:rsidRPr="008C595B">
        <w:rPr>
          <w:color w:val="000000"/>
        </w:rPr>
        <w:t>Gajović</w:t>
      </w:r>
      <w:proofErr w:type="spellEnd"/>
      <w:r w:rsidRPr="008C595B">
        <w:rPr>
          <w:color w:val="000000"/>
        </w:rPr>
        <w:t xml:space="preserve">, S. (2017). Concepts and Definitions of Health and health-related Values in the Knowledge Landscapes of the Digital </w:t>
      </w:r>
      <w:r w:rsidRPr="008C595B">
        <w:rPr>
          <w:color w:val="000000"/>
        </w:rPr>
        <w:lastRenderedPageBreak/>
        <w:t>Society. </w:t>
      </w:r>
      <w:r w:rsidRPr="008C595B">
        <w:rPr>
          <w:i/>
          <w:iCs/>
          <w:color w:val="000000"/>
        </w:rPr>
        <w:t>Croatian Medical Journal</w:t>
      </w:r>
      <w:r w:rsidRPr="008C595B">
        <w:rPr>
          <w:color w:val="000000"/>
        </w:rPr>
        <w:t xml:space="preserve">, [online] 58(6), pp.431–435. </w:t>
      </w:r>
      <w:proofErr w:type="spellStart"/>
      <w:proofErr w:type="gramStart"/>
      <w:r w:rsidRPr="008C595B">
        <w:rPr>
          <w:color w:val="000000"/>
        </w:rPr>
        <w:t>doi:https</w:t>
      </w:r>
      <w:proofErr w:type="spellEnd"/>
      <w:r w:rsidRPr="008C595B">
        <w:rPr>
          <w:color w:val="000000"/>
        </w:rPr>
        <w:t>://doi.org/10.3325/cmj.2017.58.431</w:t>
      </w:r>
      <w:proofErr w:type="gramEnd"/>
      <w:r w:rsidRPr="008C595B">
        <w:rPr>
          <w:color w:val="000000"/>
        </w:rPr>
        <w:t>.</w:t>
      </w:r>
      <w:r w:rsidR="00F4115B">
        <w:rPr>
          <w:color w:val="000000"/>
        </w:rPr>
        <w:t xml:space="preserve"> </w:t>
      </w:r>
      <w:r w:rsidR="00F4115B">
        <w:rPr>
          <w:color w:val="000000"/>
        </w:rPr>
        <w:t>(Accessed: 2</w:t>
      </w:r>
      <w:r w:rsidR="00F4115B">
        <w:rPr>
          <w:color w:val="000000"/>
        </w:rPr>
        <w:t>4</w:t>
      </w:r>
      <w:r w:rsidR="00F4115B" w:rsidRPr="00F4115B">
        <w:rPr>
          <w:color w:val="000000"/>
          <w:vertAlign w:val="superscript"/>
        </w:rPr>
        <w:t>th</w:t>
      </w:r>
      <w:r w:rsidR="00F4115B">
        <w:rPr>
          <w:color w:val="000000"/>
        </w:rPr>
        <w:t xml:space="preserve"> May 2024)</w:t>
      </w:r>
    </w:p>
    <w:p w14:paraId="155B4797" w14:textId="373A45F7" w:rsidR="00F4115B" w:rsidRPr="008C595B" w:rsidRDefault="00F4115B" w:rsidP="00F4115B">
      <w:pPr>
        <w:pStyle w:val="NormalWeb"/>
        <w:spacing w:before="0" w:beforeAutospacing="0" w:after="240" w:afterAutospacing="0" w:line="360" w:lineRule="atLeast"/>
        <w:rPr>
          <w:color w:val="000000"/>
        </w:rPr>
      </w:pPr>
      <w:r>
        <w:rPr>
          <w:color w:val="000000"/>
        </w:rPr>
        <w:t>The Early Years &amp; Childcare Service (2021).</w:t>
      </w:r>
      <w:r>
        <w:rPr>
          <w:rStyle w:val="apple-converted-space"/>
          <w:color w:val="000000"/>
        </w:rPr>
        <w:t> </w:t>
      </w:r>
      <w:r>
        <w:rPr>
          <w:i/>
          <w:iCs/>
          <w:color w:val="000000"/>
        </w:rPr>
        <w:t xml:space="preserve">Exploring pedagogy - introducing lev </w:t>
      </w:r>
      <w:proofErr w:type="spellStart"/>
      <w:r>
        <w:rPr>
          <w:i/>
          <w:iCs/>
          <w:color w:val="000000"/>
        </w:rPr>
        <w:t>vygotsky</w:t>
      </w:r>
      <w:proofErr w:type="spellEnd"/>
      <w:r>
        <w:rPr>
          <w:color w:val="000000"/>
        </w:rPr>
        <w:t xml:space="preserve">. [online] The Education People. Available at: </w:t>
      </w:r>
      <w:hyperlink r:id="rId25" w:history="1">
        <w:r w:rsidRPr="0043521D">
          <w:rPr>
            <w:rStyle w:val="Hyperlink"/>
          </w:rPr>
          <w:t>https://www.theeducationpeople.org/blog/exploring-pedagogy-introducing-lev-vygotsky/</w:t>
        </w:r>
      </w:hyperlink>
      <w:r>
        <w:rPr>
          <w:color w:val="000000"/>
        </w:rPr>
        <w:t>.</w:t>
      </w:r>
      <w:r>
        <w:rPr>
          <w:color w:val="000000"/>
        </w:rPr>
        <w:t xml:space="preserve"> </w:t>
      </w:r>
      <w:r>
        <w:rPr>
          <w:color w:val="000000"/>
        </w:rPr>
        <w:t>(Accessed: 2</w:t>
      </w:r>
      <w:r>
        <w:rPr>
          <w:color w:val="000000"/>
        </w:rPr>
        <w:t>7</w:t>
      </w:r>
      <w:r w:rsidRPr="00F4115B">
        <w:rPr>
          <w:color w:val="000000"/>
          <w:vertAlign w:val="superscript"/>
        </w:rPr>
        <w:t>th</w:t>
      </w:r>
      <w:r>
        <w:rPr>
          <w:color w:val="000000"/>
        </w:rPr>
        <w:t xml:space="preserve"> May 2024)</w:t>
      </w:r>
    </w:p>
    <w:p w14:paraId="4E8890A6" w14:textId="1A26306D" w:rsidR="008C595B" w:rsidRPr="008C595B" w:rsidRDefault="008C595B" w:rsidP="008C595B">
      <w:pPr>
        <w:spacing w:after="240" w:line="360" w:lineRule="atLeast"/>
        <w:rPr>
          <w:color w:val="000000"/>
        </w:rPr>
      </w:pPr>
      <w:r w:rsidRPr="008C595B">
        <w:rPr>
          <w:color w:val="000000"/>
        </w:rPr>
        <w:t>UNICEF (n.d.). </w:t>
      </w:r>
      <w:r w:rsidRPr="008C595B">
        <w:rPr>
          <w:i/>
          <w:iCs/>
          <w:color w:val="000000"/>
        </w:rPr>
        <w:t>UN Convention on the Rights of the Child (UNCRC)</w:t>
      </w:r>
      <w:r w:rsidRPr="008C595B">
        <w:rPr>
          <w:color w:val="000000"/>
        </w:rPr>
        <w:t xml:space="preserve">. [online] </w:t>
      </w:r>
      <w:proofErr w:type="spellStart"/>
      <w:r w:rsidRPr="008C595B">
        <w:rPr>
          <w:color w:val="000000"/>
        </w:rPr>
        <w:t>Unicef</w:t>
      </w:r>
      <w:proofErr w:type="spellEnd"/>
      <w:r w:rsidRPr="008C595B">
        <w:rPr>
          <w:color w:val="000000"/>
        </w:rPr>
        <w:t xml:space="preserve"> UK. Available at: </w:t>
      </w:r>
      <w:hyperlink r:id="rId26" w:history="1">
        <w:r w:rsidR="00F4115B" w:rsidRPr="008C595B">
          <w:rPr>
            <w:rStyle w:val="Hyperlink"/>
          </w:rPr>
          <w:t>https://www.unicef.org.uk/what-we-do/un-convention-child-rights/#:~:text=What%20is%20the%20UNCRC%3F</w:t>
        </w:r>
      </w:hyperlink>
      <w:r w:rsidRPr="008C595B">
        <w:rPr>
          <w:color w:val="000000"/>
        </w:rPr>
        <w:t>.</w:t>
      </w:r>
      <w:r w:rsidR="00F4115B">
        <w:rPr>
          <w:color w:val="000000"/>
        </w:rPr>
        <w:t xml:space="preserve"> </w:t>
      </w:r>
      <w:r w:rsidR="00F4115B">
        <w:rPr>
          <w:color w:val="000000"/>
        </w:rPr>
        <w:t>(Accessed: 2</w:t>
      </w:r>
      <w:r w:rsidR="00F4115B">
        <w:rPr>
          <w:color w:val="000000"/>
        </w:rPr>
        <w:t>8</w:t>
      </w:r>
      <w:r w:rsidR="00F4115B" w:rsidRPr="00F4115B">
        <w:rPr>
          <w:color w:val="000000"/>
          <w:vertAlign w:val="superscript"/>
        </w:rPr>
        <w:t>th</w:t>
      </w:r>
      <w:r w:rsidR="00F4115B">
        <w:rPr>
          <w:color w:val="000000"/>
        </w:rPr>
        <w:t xml:space="preserve"> May 2024)</w:t>
      </w:r>
    </w:p>
    <w:p w14:paraId="68221AA0" w14:textId="519C2EB0" w:rsidR="008C595B" w:rsidRPr="008C595B" w:rsidRDefault="008C595B" w:rsidP="008C595B">
      <w:pPr>
        <w:spacing w:after="240" w:line="360" w:lineRule="atLeast"/>
        <w:rPr>
          <w:color w:val="000000"/>
        </w:rPr>
      </w:pPr>
      <w:r w:rsidRPr="008C595B">
        <w:rPr>
          <w:color w:val="000000"/>
        </w:rPr>
        <w:t xml:space="preserve">van </w:t>
      </w:r>
      <w:proofErr w:type="spellStart"/>
      <w:r w:rsidRPr="008C595B">
        <w:rPr>
          <w:color w:val="000000"/>
        </w:rPr>
        <w:t>Rosmalen</w:t>
      </w:r>
      <w:proofErr w:type="spellEnd"/>
      <w:r w:rsidRPr="008C595B">
        <w:rPr>
          <w:color w:val="000000"/>
        </w:rPr>
        <w:t>, L., van der Horst, F.C.P. and van der Veer, R. (2016). From secure dependency to attachment: Mary Ainsworth’s integration of Blatz’s security theory into Bowlby’s attachment theory. </w:t>
      </w:r>
      <w:r w:rsidRPr="008C595B">
        <w:rPr>
          <w:i/>
          <w:iCs/>
          <w:color w:val="000000"/>
        </w:rPr>
        <w:t>History of Psychology</w:t>
      </w:r>
      <w:r w:rsidRPr="008C595B">
        <w:rPr>
          <w:color w:val="000000"/>
        </w:rPr>
        <w:t xml:space="preserve">, 19(1), pp.22–39. </w:t>
      </w:r>
      <w:proofErr w:type="spellStart"/>
      <w:proofErr w:type="gramStart"/>
      <w:r w:rsidRPr="008C595B">
        <w:rPr>
          <w:color w:val="000000"/>
        </w:rPr>
        <w:t>doi:https</w:t>
      </w:r>
      <w:proofErr w:type="spellEnd"/>
      <w:r w:rsidRPr="008C595B">
        <w:rPr>
          <w:color w:val="000000"/>
        </w:rPr>
        <w:t>://doi.org/10.1037/hop0000015</w:t>
      </w:r>
      <w:proofErr w:type="gramEnd"/>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7F6462A8" w14:textId="2EA7778B" w:rsidR="008C595B" w:rsidRPr="008C595B" w:rsidRDefault="008C595B" w:rsidP="008C595B">
      <w:pPr>
        <w:spacing w:after="240" w:line="360" w:lineRule="atLeast"/>
        <w:rPr>
          <w:color w:val="000000"/>
        </w:rPr>
      </w:pPr>
      <w:r w:rsidRPr="008C595B">
        <w:rPr>
          <w:color w:val="000000"/>
        </w:rPr>
        <w:t>Welsh Government (2014). </w:t>
      </w:r>
      <w:r w:rsidRPr="008C595B">
        <w:rPr>
          <w:i/>
          <w:iCs/>
          <w:color w:val="000000"/>
        </w:rPr>
        <w:t>Wales -a Play Friendly Country Statutory Guidance</w:t>
      </w:r>
      <w:r w:rsidRPr="008C595B">
        <w:rPr>
          <w:color w:val="000000"/>
        </w:rPr>
        <w:t xml:space="preserve">. [online] Available at: </w:t>
      </w:r>
      <w:hyperlink r:id="rId27" w:history="1">
        <w:r w:rsidR="00F4115B" w:rsidRPr="008C595B">
          <w:rPr>
            <w:rStyle w:val="Hyperlink"/>
          </w:rPr>
          <w:t>https://www.gov.wales/sites/default/files/publications/2019-07/wales-a-play-friendly-country.pdf</w:t>
        </w:r>
      </w:hyperlink>
      <w:r w:rsidRPr="008C595B">
        <w:rPr>
          <w:color w:val="000000"/>
        </w:rPr>
        <w:t>.</w:t>
      </w:r>
      <w:r w:rsidR="00F4115B">
        <w:rPr>
          <w:color w:val="000000"/>
        </w:rPr>
        <w:t xml:space="preserve"> </w:t>
      </w:r>
      <w:r w:rsidR="00F4115B">
        <w:rPr>
          <w:color w:val="000000"/>
        </w:rPr>
        <w:t>(Accessed: 2</w:t>
      </w:r>
      <w:r w:rsidR="00F4115B">
        <w:rPr>
          <w:color w:val="000000"/>
        </w:rPr>
        <w:t>7</w:t>
      </w:r>
      <w:r w:rsidR="00F4115B" w:rsidRPr="00F4115B">
        <w:rPr>
          <w:color w:val="000000"/>
          <w:vertAlign w:val="superscript"/>
        </w:rPr>
        <w:t>th</w:t>
      </w:r>
      <w:r w:rsidR="00F4115B">
        <w:rPr>
          <w:color w:val="000000"/>
        </w:rPr>
        <w:t xml:space="preserve"> May 2024)</w:t>
      </w:r>
    </w:p>
    <w:p w14:paraId="4929D4DF" w14:textId="6CB2E09E" w:rsidR="008C595B" w:rsidRPr="008C595B" w:rsidRDefault="008C595B" w:rsidP="008C595B">
      <w:pPr>
        <w:spacing w:after="240" w:line="360" w:lineRule="atLeast"/>
        <w:rPr>
          <w:color w:val="000000"/>
        </w:rPr>
      </w:pPr>
      <w:r w:rsidRPr="008C595B">
        <w:rPr>
          <w:color w:val="000000"/>
        </w:rPr>
        <w:t>Welsh Government (2016). </w:t>
      </w:r>
      <w:r w:rsidRPr="008C595B">
        <w:rPr>
          <w:i/>
          <w:iCs/>
          <w:color w:val="000000"/>
        </w:rPr>
        <w:t>Code of Practice</w:t>
      </w:r>
      <w:r w:rsidRPr="008C595B">
        <w:rPr>
          <w:color w:val="000000"/>
        </w:rPr>
        <w:t xml:space="preserve">. [online] Available at: </w:t>
      </w:r>
      <w:hyperlink r:id="rId28" w:history="1">
        <w:r w:rsidR="00F4115B" w:rsidRPr="008C595B">
          <w:rPr>
            <w:rStyle w:val="Hyperlink"/>
          </w:rPr>
          <w:t>https://www.gov.wales/sites/default/files/publications/2019-03/mental-health-act-1983-code-of-practice-mental-health-act-1983-for-wales-review-revised-2016.pdf</w:t>
        </w:r>
      </w:hyperlink>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64D84301" w14:textId="7ABBCF21" w:rsidR="008C595B" w:rsidRPr="008C595B" w:rsidRDefault="008C595B" w:rsidP="008C595B">
      <w:pPr>
        <w:spacing w:after="240" w:line="360" w:lineRule="atLeast"/>
        <w:rPr>
          <w:color w:val="000000"/>
        </w:rPr>
      </w:pPr>
      <w:r w:rsidRPr="008C595B">
        <w:rPr>
          <w:color w:val="000000"/>
        </w:rPr>
        <w:t>Welsh Government (2020). </w:t>
      </w:r>
      <w:r w:rsidRPr="008C595B">
        <w:rPr>
          <w:i/>
          <w:iCs/>
          <w:color w:val="000000"/>
        </w:rPr>
        <w:t>Health and Well-being: Introduction - Hwb</w:t>
      </w:r>
      <w:r w:rsidRPr="008C595B">
        <w:rPr>
          <w:color w:val="000000"/>
        </w:rPr>
        <w:t xml:space="preserve">. [online] </w:t>
      </w:r>
      <w:proofErr w:type="spellStart"/>
      <w:proofErr w:type="gramStart"/>
      <w:r w:rsidRPr="008C595B">
        <w:rPr>
          <w:color w:val="000000"/>
        </w:rPr>
        <w:t>hwb.gov.wales</w:t>
      </w:r>
      <w:proofErr w:type="spellEnd"/>
      <w:proofErr w:type="gramEnd"/>
      <w:r w:rsidRPr="008C595B">
        <w:rPr>
          <w:color w:val="000000"/>
        </w:rPr>
        <w:t xml:space="preserve">. Available at: </w:t>
      </w:r>
      <w:hyperlink r:id="rId29" w:history="1">
        <w:r w:rsidR="00F4115B" w:rsidRPr="008C595B">
          <w:rPr>
            <w:rStyle w:val="Hyperlink"/>
          </w:rPr>
          <w:t>https://hwb.gov.wales/curriculum-for-wales/health-and-well-being</w:t>
        </w:r>
      </w:hyperlink>
      <w:r w:rsidRPr="008C595B">
        <w:rPr>
          <w:color w:val="000000"/>
        </w:rPr>
        <w:t>.</w:t>
      </w:r>
      <w:r w:rsidR="00F4115B">
        <w:rPr>
          <w:color w:val="000000"/>
        </w:rPr>
        <w:t xml:space="preserve"> </w:t>
      </w:r>
      <w:r w:rsidR="00F4115B">
        <w:rPr>
          <w:color w:val="000000"/>
        </w:rPr>
        <w:t>(Accessed: 2</w:t>
      </w:r>
      <w:r w:rsidR="00F4115B">
        <w:rPr>
          <w:color w:val="000000"/>
        </w:rPr>
        <w:t>8</w:t>
      </w:r>
      <w:r w:rsidR="00F4115B" w:rsidRPr="00F4115B">
        <w:rPr>
          <w:color w:val="000000"/>
          <w:vertAlign w:val="superscript"/>
        </w:rPr>
        <w:t>th</w:t>
      </w:r>
      <w:r w:rsidR="00F4115B">
        <w:rPr>
          <w:color w:val="000000"/>
        </w:rPr>
        <w:t xml:space="preserve"> May 2024)</w:t>
      </w:r>
    </w:p>
    <w:p w14:paraId="578F6EF4" w14:textId="350E8ECD" w:rsidR="008C595B" w:rsidRPr="008C595B" w:rsidRDefault="008C595B" w:rsidP="008C595B">
      <w:pPr>
        <w:spacing w:after="240" w:line="360" w:lineRule="atLeast"/>
        <w:rPr>
          <w:color w:val="000000"/>
        </w:rPr>
      </w:pPr>
      <w:r w:rsidRPr="008C595B">
        <w:rPr>
          <w:color w:val="000000"/>
        </w:rPr>
        <w:t>Welsh Government (2022). </w:t>
      </w:r>
      <w:r w:rsidRPr="008C595B">
        <w:rPr>
          <w:i/>
          <w:iCs/>
          <w:color w:val="000000"/>
        </w:rPr>
        <w:t>Curriculum for Wales - Hwb</w:t>
      </w:r>
      <w:r w:rsidRPr="008C595B">
        <w:rPr>
          <w:color w:val="000000"/>
        </w:rPr>
        <w:t xml:space="preserve">. [online] </w:t>
      </w:r>
      <w:proofErr w:type="spellStart"/>
      <w:proofErr w:type="gramStart"/>
      <w:r w:rsidRPr="008C595B">
        <w:rPr>
          <w:color w:val="000000"/>
        </w:rPr>
        <w:t>hwb.gov.wales</w:t>
      </w:r>
      <w:proofErr w:type="spellEnd"/>
      <w:proofErr w:type="gramEnd"/>
      <w:r w:rsidRPr="008C595B">
        <w:rPr>
          <w:color w:val="000000"/>
        </w:rPr>
        <w:t xml:space="preserve">. Available at: </w:t>
      </w:r>
      <w:hyperlink r:id="rId30" w:history="1">
        <w:r w:rsidR="00F4115B" w:rsidRPr="008C595B">
          <w:rPr>
            <w:rStyle w:val="Hyperlink"/>
          </w:rPr>
          <w:t>https://hwb.gov.wales/curriculum-for-wales</w:t>
        </w:r>
      </w:hyperlink>
      <w:r w:rsidRPr="008C595B">
        <w:rPr>
          <w:color w:val="000000"/>
        </w:rPr>
        <w:t>.</w:t>
      </w:r>
      <w:r w:rsidR="00F4115B">
        <w:rPr>
          <w:color w:val="000000"/>
        </w:rPr>
        <w:t xml:space="preserve"> </w:t>
      </w:r>
      <w:r w:rsidR="00F4115B">
        <w:rPr>
          <w:color w:val="000000"/>
        </w:rPr>
        <w:t>(Accessed: 20</w:t>
      </w:r>
      <w:r w:rsidR="00F4115B" w:rsidRPr="00F4115B">
        <w:rPr>
          <w:color w:val="000000"/>
          <w:vertAlign w:val="superscript"/>
        </w:rPr>
        <w:t>th</w:t>
      </w:r>
      <w:r w:rsidR="00F4115B">
        <w:rPr>
          <w:color w:val="000000"/>
        </w:rPr>
        <w:t xml:space="preserve"> May 2024)</w:t>
      </w:r>
    </w:p>
    <w:p w14:paraId="34A06E91" w14:textId="5F0DB3E2" w:rsidR="008C595B" w:rsidRPr="008C595B" w:rsidRDefault="008C595B" w:rsidP="008C595B">
      <w:pPr>
        <w:spacing w:after="240" w:line="360" w:lineRule="atLeast"/>
        <w:rPr>
          <w:color w:val="000000"/>
        </w:rPr>
      </w:pPr>
      <w:r w:rsidRPr="008C595B">
        <w:rPr>
          <w:color w:val="000000"/>
        </w:rPr>
        <w:t>Welsh Parliament (2024). </w:t>
      </w:r>
      <w:r w:rsidRPr="008C595B">
        <w:rPr>
          <w:i/>
          <w:iCs/>
          <w:color w:val="000000"/>
        </w:rPr>
        <w:t>Health and Social Care Committee</w:t>
      </w:r>
      <w:r w:rsidRPr="008C595B">
        <w:rPr>
          <w:color w:val="000000"/>
        </w:rPr>
        <w:t xml:space="preserve">. [online] </w:t>
      </w:r>
      <w:proofErr w:type="spellStart"/>
      <w:proofErr w:type="gramStart"/>
      <w:r w:rsidRPr="008C595B">
        <w:rPr>
          <w:color w:val="000000"/>
        </w:rPr>
        <w:t>senedd.wales</w:t>
      </w:r>
      <w:proofErr w:type="spellEnd"/>
      <w:proofErr w:type="gramEnd"/>
      <w:r w:rsidRPr="008C595B">
        <w:rPr>
          <w:color w:val="000000"/>
        </w:rPr>
        <w:t xml:space="preserve">. Available at: </w:t>
      </w:r>
      <w:hyperlink r:id="rId31" w:history="1">
        <w:r w:rsidR="00F4115B" w:rsidRPr="008C595B">
          <w:rPr>
            <w:rStyle w:val="Hyperlink"/>
          </w:rPr>
          <w:t>https://senedd.wales/committees/health-and-social-care-committee/</w:t>
        </w:r>
      </w:hyperlink>
      <w:r w:rsidRPr="008C595B">
        <w:rPr>
          <w:color w:val="000000"/>
        </w:rPr>
        <w:t>.</w:t>
      </w:r>
      <w:r w:rsidR="00F4115B">
        <w:rPr>
          <w:color w:val="000000"/>
        </w:rPr>
        <w:t xml:space="preserve"> </w:t>
      </w:r>
      <w:r w:rsidR="00F4115B">
        <w:rPr>
          <w:color w:val="000000"/>
        </w:rPr>
        <w:t>(Accessed: 2</w:t>
      </w:r>
      <w:r w:rsidR="00F4115B">
        <w:rPr>
          <w:color w:val="000000"/>
        </w:rPr>
        <w:t>7</w:t>
      </w:r>
      <w:r w:rsidR="00F4115B" w:rsidRPr="00F4115B">
        <w:rPr>
          <w:color w:val="000000"/>
          <w:vertAlign w:val="superscript"/>
        </w:rPr>
        <w:t>th</w:t>
      </w:r>
      <w:r w:rsidR="00F4115B">
        <w:rPr>
          <w:color w:val="000000"/>
        </w:rPr>
        <w:t xml:space="preserve"> May 2024)</w:t>
      </w:r>
    </w:p>
    <w:p w14:paraId="09BE880C" w14:textId="3254FAD3" w:rsidR="008C595B" w:rsidRPr="008C595B" w:rsidRDefault="008C595B" w:rsidP="008C595B">
      <w:pPr>
        <w:spacing w:after="240" w:line="360" w:lineRule="atLeast"/>
        <w:rPr>
          <w:color w:val="000000"/>
        </w:rPr>
      </w:pPr>
      <w:r w:rsidRPr="008C595B">
        <w:rPr>
          <w:color w:val="000000"/>
        </w:rPr>
        <w:t>WHO (2022</w:t>
      </w:r>
      <w:proofErr w:type="gramStart"/>
      <w:r w:rsidRPr="008C595B">
        <w:rPr>
          <w:color w:val="000000"/>
        </w:rPr>
        <w:t>).</w:t>
      </w:r>
      <w:proofErr w:type="gramEnd"/>
      <w:r w:rsidRPr="008C595B">
        <w:rPr>
          <w:color w:val="000000"/>
        </w:rPr>
        <w:t> </w:t>
      </w:r>
      <w:r w:rsidRPr="008C595B">
        <w:rPr>
          <w:i/>
          <w:iCs/>
          <w:color w:val="000000"/>
        </w:rPr>
        <w:t>Promoting well-being</w:t>
      </w:r>
      <w:r w:rsidRPr="008C595B">
        <w:rPr>
          <w:color w:val="000000"/>
        </w:rPr>
        <w:t xml:space="preserve">. [online] World Health Organization. Available at: </w:t>
      </w:r>
      <w:hyperlink r:id="rId32" w:history="1">
        <w:r w:rsidR="00F4115B" w:rsidRPr="008C595B">
          <w:rPr>
            <w:rStyle w:val="Hyperlink"/>
          </w:rPr>
          <w:t>https://www.who.int/activities/promoting-well-being</w:t>
        </w:r>
      </w:hyperlink>
      <w:r w:rsidRPr="008C595B">
        <w:rPr>
          <w:color w:val="000000"/>
        </w:rPr>
        <w:t>.</w:t>
      </w:r>
      <w:r w:rsidR="00F4115B">
        <w:rPr>
          <w:color w:val="000000"/>
        </w:rPr>
        <w:t xml:space="preserve"> </w:t>
      </w:r>
      <w:r w:rsidR="00F4115B">
        <w:rPr>
          <w:color w:val="000000"/>
        </w:rPr>
        <w:t>(Accessed: 2</w:t>
      </w:r>
      <w:r w:rsidR="00F4115B">
        <w:rPr>
          <w:color w:val="000000"/>
        </w:rPr>
        <w:t>7</w:t>
      </w:r>
      <w:r w:rsidR="00F4115B" w:rsidRPr="00F4115B">
        <w:rPr>
          <w:color w:val="000000"/>
          <w:vertAlign w:val="superscript"/>
        </w:rPr>
        <w:t>h</w:t>
      </w:r>
      <w:r w:rsidR="00F4115B">
        <w:rPr>
          <w:color w:val="000000"/>
        </w:rPr>
        <w:t xml:space="preserve"> May 2024)</w:t>
      </w:r>
    </w:p>
    <w:p w14:paraId="6D75DFE4" w14:textId="4F235C0A" w:rsidR="008C595B" w:rsidRPr="008C595B" w:rsidRDefault="008C595B" w:rsidP="008C595B">
      <w:pPr>
        <w:spacing w:after="240" w:line="360" w:lineRule="atLeast"/>
        <w:rPr>
          <w:color w:val="000000"/>
        </w:rPr>
      </w:pPr>
      <w:r w:rsidRPr="008C595B">
        <w:rPr>
          <w:color w:val="000000"/>
        </w:rPr>
        <w:lastRenderedPageBreak/>
        <w:t xml:space="preserve">Winston, R. and </w:t>
      </w:r>
      <w:proofErr w:type="spellStart"/>
      <w:r w:rsidRPr="008C595B">
        <w:rPr>
          <w:color w:val="000000"/>
        </w:rPr>
        <w:t>Chicot</w:t>
      </w:r>
      <w:proofErr w:type="spellEnd"/>
      <w:r w:rsidRPr="008C595B">
        <w:rPr>
          <w:color w:val="000000"/>
        </w:rPr>
        <w:t>, R. (2016). The importance of early bonding on the long-term mental health and resilience of children. </w:t>
      </w:r>
      <w:r w:rsidRPr="008C595B">
        <w:rPr>
          <w:i/>
          <w:iCs/>
          <w:color w:val="000000"/>
        </w:rPr>
        <w:t>London Journal of Primary Care</w:t>
      </w:r>
      <w:r w:rsidRPr="008C595B">
        <w:rPr>
          <w:color w:val="000000"/>
        </w:rPr>
        <w:t xml:space="preserve">, [online] 8(1), pp.12–14. </w:t>
      </w:r>
      <w:proofErr w:type="spellStart"/>
      <w:proofErr w:type="gramStart"/>
      <w:r w:rsidRPr="008C595B">
        <w:rPr>
          <w:color w:val="000000"/>
        </w:rPr>
        <w:t>doi:https</w:t>
      </w:r>
      <w:proofErr w:type="spellEnd"/>
      <w:r w:rsidRPr="008C595B">
        <w:rPr>
          <w:color w:val="000000"/>
        </w:rPr>
        <w:t>://doi.org/10.1080/17571472.2015.1133012</w:t>
      </w:r>
      <w:proofErr w:type="gramEnd"/>
      <w:r w:rsidRPr="008C595B">
        <w:rPr>
          <w:color w:val="000000"/>
        </w:rPr>
        <w:t>.</w:t>
      </w:r>
      <w:r w:rsidR="00F4115B">
        <w:rPr>
          <w:color w:val="000000"/>
        </w:rPr>
        <w:t xml:space="preserve"> </w:t>
      </w:r>
      <w:r w:rsidR="00F4115B">
        <w:rPr>
          <w:color w:val="000000"/>
        </w:rPr>
        <w:t>(Accessed: 2</w:t>
      </w:r>
      <w:r w:rsidR="00F4115B">
        <w:rPr>
          <w:color w:val="000000"/>
        </w:rPr>
        <w:t>4</w:t>
      </w:r>
      <w:r w:rsidR="00F4115B" w:rsidRPr="00F4115B">
        <w:rPr>
          <w:color w:val="000000"/>
          <w:vertAlign w:val="superscript"/>
        </w:rPr>
        <w:t>th</w:t>
      </w:r>
      <w:r w:rsidR="00F4115B">
        <w:rPr>
          <w:color w:val="000000"/>
        </w:rPr>
        <w:t xml:space="preserve"> May 2024)</w:t>
      </w:r>
    </w:p>
    <w:p w14:paraId="5E1B1C1F" w14:textId="58F2EC42" w:rsidR="008C595B" w:rsidRPr="008C595B" w:rsidRDefault="008C595B" w:rsidP="008C595B">
      <w:pPr>
        <w:spacing w:after="240" w:line="360" w:lineRule="atLeast"/>
        <w:rPr>
          <w:color w:val="000000"/>
        </w:rPr>
      </w:pPr>
      <w:r w:rsidRPr="008C595B">
        <w:rPr>
          <w:color w:val="000000"/>
        </w:rPr>
        <w:t>World Health Organization (2022). </w:t>
      </w:r>
      <w:r w:rsidRPr="008C595B">
        <w:rPr>
          <w:i/>
          <w:iCs/>
          <w:color w:val="000000"/>
        </w:rPr>
        <w:t>Health and Well-Being</w:t>
      </w:r>
      <w:r w:rsidRPr="008C595B">
        <w:rPr>
          <w:color w:val="000000"/>
        </w:rPr>
        <w:t xml:space="preserve">. [online] World Health Organisation. Available at: </w:t>
      </w:r>
      <w:hyperlink r:id="rId33" w:history="1">
        <w:r w:rsidR="00F4115B" w:rsidRPr="008C595B">
          <w:rPr>
            <w:rStyle w:val="Hyperlink"/>
          </w:rPr>
          <w:t>https://www.who.int/data/gho/data/major-themes/health-and-well-being</w:t>
        </w:r>
      </w:hyperlink>
      <w:r w:rsidRPr="008C595B">
        <w:rPr>
          <w:color w:val="000000"/>
        </w:rPr>
        <w:t>.</w:t>
      </w:r>
      <w:r w:rsidR="00F4115B">
        <w:rPr>
          <w:color w:val="000000"/>
        </w:rPr>
        <w:t xml:space="preserve"> </w:t>
      </w:r>
      <w:r w:rsidR="00F4115B">
        <w:rPr>
          <w:color w:val="000000"/>
        </w:rPr>
        <w:t>(Accessed: 2</w:t>
      </w:r>
      <w:r w:rsidR="00F4115B">
        <w:rPr>
          <w:color w:val="000000"/>
        </w:rPr>
        <w:t>5</w:t>
      </w:r>
      <w:r w:rsidR="00F4115B" w:rsidRPr="00F4115B">
        <w:rPr>
          <w:color w:val="000000"/>
          <w:vertAlign w:val="superscript"/>
        </w:rPr>
        <w:t>th</w:t>
      </w:r>
      <w:r w:rsidR="00F4115B">
        <w:rPr>
          <w:color w:val="000000"/>
        </w:rPr>
        <w:t xml:space="preserve"> May 2024)</w:t>
      </w:r>
    </w:p>
    <w:p w14:paraId="23A4C06E" w14:textId="13F5EC35" w:rsidR="008C595B" w:rsidRDefault="008C595B"/>
    <w:p w14:paraId="5C735C88" w14:textId="50B1BED9" w:rsidR="008C595B" w:rsidRDefault="008C595B"/>
    <w:p w14:paraId="4DF364D2" w14:textId="0D6FABE7" w:rsidR="008C595B" w:rsidRDefault="008C595B"/>
    <w:p w14:paraId="102267B5" w14:textId="12F1335E" w:rsidR="008C595B" w:rsidRDefault="008C595B"/>
    <w:p w14:paraId="4A4C61DB" w14:textId="6F52FE0D" w:rsidR="008C595B" w:rsidRDefault="008C595B"/>
    <w:p w14:paraId="6D195320" w14:textId="77777777" w:rsidR="00F4115B" w:rsidRDefault="00F4115B">
      <w:pPr>
        <w:rPr>
          <w:b/>
          <w:bCs/>
          <w:u w:val="single"/>
        </w:rPr>
      </w:pPr>
    </w:p>
    <w:p w14:paraId="5AA13B59" w14:textId="77777777" w:rsidR="00F4115B" w:rsidRDefault="00F4115B">
      <w:pPr>
        <w:rPr>
          <w:b/>
          <w:bCs/>
          <w:u w:val="single"/>
        </w:rPr>
      </w:pPr>
    </w:p>
    <w:p w14:paraId="0F0513D4" w14:textId="77777777" w:rsidR="00F4115B" w:rsidRDefault="00F4115B">
      <w:pPr>
        <w:rPr>
          <w:b/>
          <w:bCs/>
          <w:u w:val="single"/>
        </w:rPr>
      </w:pPr>
    </w:p>
    <w:p w14:paraId="4D369E22" w14:textId="77777777" w:rsidR="00F4115B" w:rsidRDefault="00F4115B">
      <w:pPr>
        <w:rPr>
          <w:b/>
          <w:bCs/>
          <w:u w:val="single"/>
        </w:rPr>
      </w:pPr>
    </w:p>
    <w:p w14:paraId="6DDC6F2E" w14:textId="77777777" w:rsidR="00F4115B" w:rsidRDefault="00F4115B">
      <w:pPr>
        <w:rPr>
          <w:b/>
          <w:bCs/>
          <w:u w:val="single"/>
        </w:rPr>
      </w:pPr>
    </w:p>
    <w:p w14:paraId="32B00724" w14:textId="77777777" w:rsidR="00F4115B" w:rsidRDefault="00F4115B">
      <w:pPr>
        <w:rPr>
          <w:b/>
          <w:bCs/>
          <w:u w:val="single"/>
        </w:rPr>
      </w:pPr>
    </w:p>
    <w:p w14:paraId="1DC74C2E" w14:textId="77777777" w:rsidR="00F4115B" w:rsidRDefault="00F4115B">
      <w:pPr>
        <w:rPr>
          <w:b/>
          <w:bCs/>
          <w:u w:val="single"/>
        </w:rPr>
      </w:pPr>
    </w:p>
    <w:p w14:paraId="1272C5F3" w14:textId="77777777" w:rsidR="00F4115B" w:rsidRDefault="00F4115B">
      <w:pPr>
        <w:rPr>
          <w:b/>
          <w:bCs/>
          <w:u w:val="single"/>
        </w:rPr>
      </w:pPr>
    </w:p>
    <w:p w14:paraId="78FCA95D" w14:textId="77777777" w:rsidR="00F4115B" w:rsidRDefault="00F4115B">
      <w:pPr>
        <w:rPr>
          <w:b/>
          <w:bCs/>
          <w:u w:val="single"/>
        </w:rPr>
      </w:pPr>
    </w:p>
    <w:p w14:paraId="0F22DC1D" w14:textId="77777777" w:rsidR="00F4115B" w:rsidRDefault="00F4115B">
      <w:pPr>
        <w:rPr>
          <w:b/>
          <w:bCs/>
          <w:u w:val="single"/>
        </w:rPr>
      </w:pPr>
    </w:p>
    <w:p w14:paraId="39AF09D3" w14:textId="77777777" w:rsidR="00F4115B" w:rsidRDefault="00F4115B">
      <w:pPr>
        <w:rPr>
          <w:b/>
          <w:bCs/>
          <w:u w:val="single"/>
        </w:rPr>
      </w:pPr>
    </w:p>
    <w:p w14:paraId="4E3BC72E" w14:textId="77777777" w:rsidR="00F4115B" w:rsidRDefault="00F4115B">
      <w:pPr>
        <w:rPr>
          <w:b/>
          <w:bCs/>
          <w:u w:val="single"/>
        </w:rPr>
      </w:pPr>
    </w:p>
    <w:p w14:paraId="66CF5E3B" w14:textId="77777777" w:rsidR="00F4115B" w:rsidRDefault="00F4115B">
      <w:pPr>
        <w:rPr>
          <w:b/>
          <w:bCs/>
          <w:u w:val="single"/>
        </w:rPr>
      </w:pPr>
    </w:p>
    <w:p w14:paraId="1EE8396C" w14:textId="77777777" w:rsidR="00F4115B" w:rsidRDefault="00F4115B">
      <w:pPr>
        <w:rPr>
          <w:b/>
          <w:bCs/>
          <w:u w:val="single"/>
        </w:rPr>
      </w:pPr>
    </w:p>
    <w:p w14:paraId="7C5C8A1F" w14:textId="77777777" w:rsidR="00F4115B" w:rsidRDefault="00F4115B">
      <w:pPr>
        <w:rPr>
          <w:b/>
          <w:bCs/>
          <w:u w:val="single"/>
        </w:rPr>
      </w:pPr>
    </w:p>
    <w:p w14:paraId="7A5C5FBD" w14:textId="77777777" w:rsidR="00F4115B" w:rsidRDefault="00F4115B">
      <w:pPr>
        <w:rPr>
          <w:b/>
          <w:bCs/>
          <w:u w:val="single"/>
        </w:rPr>
      </w:pPr>
    </w:p>
    <w:p w14:paraId="3E0C9361" w14:textId="77777777" w:rsidR="00F4115B" w:rsidRDefault="00F4115B">
      <w:pPr>
        <w:rPr>
          <w:b/>
          <w:bCs/>
          <w:u w:val="single"/>
        </w:rPr>
      </w:pPr>
    </w:p>
    <w:p w14:paraId="310FDEF7" w14:textId="77777777" w:rsidR="00F4115B" w:rsidRDefault="00F4115B">
      <w:pPr>
        <w:rPr>
          <w:b/>
          <w:bCs/>
          <w:u w:val="single"/>
        </w:rPr>
      </w:pPr>
    </w:p>
    <w:p w14:paraId="4149AB22" w14:textId="77777777" w:rsidR="00F4115B" w:rsidRDefault="00F4115B">
      <w:pPr>
        <w:rPr>
          <w:b/>
          <w:bCs/>
          <w:u w:val="single"/>
        </w:rPr>
      </w:pPr>
    </w:p>
    <w:p w14:paraId="56956B38" w14:textId="77777777" w:rsidR="00F4115B" w:rsidRDefault="00F4115B">
      <w:pPr>
        <w:rPr>
          <w:b/>
          <w:bCs/>
          <w:u w:val="single"/>
        </w:rPr>
      </w:pPr>
    </w:p>
    <w:p w14:paraId="3D011B33" w14:textId="77777777" w:rsidR="00F4115B" w:rsidRDefault="00F4115B">
      <w:pPr>
        <w:rPr>
          <w:b/>
          <w:bCs/>
          <w:u w:val="single"/>
        </w:rPr>
      </w:pPr>
    </w:p>
    <w:p w14:paraId="5605983A" w14:textId="77777777" w:rsidR="00F4115B" w:rsidRDefault="00F4115B">
      <w:pPr>
        <w:rPr>
          <w:b/>
          <w:bCs/>
          <w:u w:val="single"/>
        </w:rPr>
      </w:pPr>
    </w:p>
    <w:p w14:paraId="3A99599B" w14:textId="77777777" w:rsidR="00F4115B" w:rsidRDefault="00F4115B">
      <w:pPr>
        <w:rPr>
          <w:b/>
          <w:bCs/>
          <w:u w:val="single"/>
        </w:rPr>
      </w:pPr>
    </w:p>
    <w:p w14:paraId="73109F2A" w14:textId="77777777" w:rsidR="00F4115B" w:rsidRDefault="00F4115B">
      <w:pPr>
        <w:rPr>
          <w:b/>
          <w:bCs/>
          <w:u w:val="single"/>
        </w:rPr>
      </w:pPr>
    </w:p>
    <w:p w14:paraId="08688805" w14:textId="77777777" w:rsidR="00F4115B" w:rsidRDefault="00F4115B">
      <w:pPr>
        <w:rPr>
          <w:b/>
          <w:bCs/>
          <w:u w:val="single"/>
        </w:rPr>
      </w:pPr>
    </w:p>
    <w:p w14:paraId="2DB57057" w14:textId="77777777" w:rsidR="00F4115B" w:rsidRDefault="00F4115B">
      <w:pPr>
        <w:rPr>
          <w:b/>
          <w:bCs/>
          <w:u w:val="single"/>
        </w:rPr>
      </w:pPr>
    </w:p>
    <w:p w14:paraId="30B0015B" w14:textId="77777777" w:rsidR="00F4115B" w:rsidRDefault="00F4115B">
      <w:pPr>
        <w:rPr>
          <w:b/>
          <w:bCs/>
          <w:u w:val="single"/>
        </w:rPr>
      </w:pPr>
    </w:p>
    <w:p w14:paraId="4C1B7E9D" w14:textId="77777777" w:rsidR="00F4115B" w:rsidRDefault="00F4115B">
      <w:pPr>
        <w:rPr>
          <w:b/>
          <w:bCs/>
          <w:u w:val="single"/>
        </w:rPr>
      </w:pPr>
    </w:p>
    <w:p w14:paraId="6F0D1C5A" w14:textId="77777777" w:rsidR="00F4115B" w:rsidRDefault="00F4115B">
      <w:pPr>
        <w:rPr>
          <w:b/>
          <w:bCs/>
          <w:u w:val="single"/>
        </w:rPr>
      </w:pPr>
    </w:p>
    <w:p w14:paraId="24081E7F" w14:textId="77777777" w:rsidR="00F4115B" w:rsidRDefault="00F4115B">
      <w:pPr>
        <w:rPr>
          <w:b/>
          <w:bCs/>
          <w:u w:val="single"/>
        </w:rPr>
      </w:pPr>
    </w:p>
    <w:p w14:paraId="56ADAD4D" w14:textId="77777777" w:rsidR="00F4115B" w:rsidRDefault="00F4115B">
      <w:pPr>
        <w:rPr>
          <w:b/>
          <w:bCs/>
          <w:u w:val="single"/>
        </w:rPr>
      </w:pPr>
    </w:p>
    <w:p w14:paraId="6BD868D8" w14:textId="77777777" w:rsidR="00F4115B" w:rsidRDefault="00F4115B">
      <w:pPr>
        <w:rPr>
          <w:b/>
          <w:bCs/>
          <w:u w:val="single"/>
        </w:rPr>
      </w:pPr>
    </w:p>
    <w:p w14:paraId="3E5BDC45" w14:textId="77777777" w:rsidR="00F4115B" w:rsidRDefault="00F4115B">
      <w:pPr>
        <w:rPr>
          <w:b/>
          <w:bCs/>
          <w:u w:val="single"/>
        </w:rPr>
      </w:pPr>
    </w:p>
    <w:p w14:paraId="5155CA49" w14:textId="77777777" w:rsidR="00F4115B" w:rsidRDefault="00F4115B">
      <w:pPr>
        <w:rPr>
          <w:b/>
          <w:bCs/>
          <w:u w:val="single"/>
        </w:rPr>
      </w:pPr>
    </w:p>
    <w:p w14:paraId="651E613C" w14:textId="77777777" w:rsidR="00F4115B" w:rsidRDefault="00F4115B">
      <w:pPr>
        <w:rPr>
          <w:b/>
          <w:bCs/>
          <w:u w:val="single"/>
        </w:rPr>
      </w:pPr>
    </w:p>
    <w:p w14:paraId="6640EBAA" w14:textId="77777777" w:rsidR="00F4115B" w:rsidRDefault="00F4115B">
      <w:pPr>
        <w:rPr>
          <w:b/>
          <w:bCs/>
          <w:u w:val="single"/>
        </w:rPr>
      </w:pPr>
    </w:p>
    <w:p w14:paraId="3488C15E" w14:textId="77777777" w:rsidR="00F4115B" w:rsidRDefault="00F4115B">
      <w:pPr>
        <w:rPr>
          <w:b/>
          <w:bCs/>
          <w:u w:val="single"/>
        </w:rPr>
      </w:pPr>
    </w:p>
    <w:p w14:paraId="25135CF6" w14:textId="77777777" w:rsidR="00F4115B" w:rsidRDefault="00F4115B">
      <w:pPr>
        <w:rPr>
          <w:b/>
          <w:bCs/>
          <w:u w:val="single"/>
        </w:rPr>
      </w:pPr>
    </w:p>
    <w:p w14:paraId="62E179D0" w14:textId="77777777" w:rsidR="00F4115B" w:rsidRDefault="00F4115B">
      <w:pPr>
        <w:rPr>
          <w:b/>
          <w:bCs/>
          <w:u w:val="single"/>
        </w:rPr>
      </w:pPr>
    </w:p>
    <w:p w14:paraId="2430260E" w14:textId="72E1FE30" w:rsidR="008C595B" w:rsidRDefault="00DE1534">
      <w:pPr>
        <w:rPr>
          <w:b/>
          <w:bCs/>
          <w:u w:val="single"/>
        </w:rPr>
      </w:pPr>
      <w:r>
        <w:rPr>
          <w:b/>
          <w:bCs/>
          <w:u w:val="single"/>
        </w:rPr>
        <w:t>Script (</w:t>
      </w:r>
      <w:r w:rsidR="008C595B" w:rsidRPr="008C595B">
        <w:rPr>
          <w:b/>
          <w:bCs/>
          <w:u w:val="single"/>
        </w:rPr>
        <w:t>Poverty</w:t>
      </w:r>
      <w:r>
        <w:rPr>
          <w:b/>
          <w:bCs/>
          <w:u w:val="single"/>
        </w:rPr>
        <w:t>)</w:t>
      </w:r>
    </w:p>
    <w:p w14:paraId="4DB85DF3" w14:textId="34F901A7" w:rsidR="008C595B" w:rsidRDefault="008C595B">
      <w:pPr>
        <w:rPr>
          <w:b/>
          <w:bCs/>
          <w:u w:val="single"/>
        </w:rPr>
      </w:pPr>
    </w:p>
    <w:p w14:paraId="4FC13D5B" w14:textId="151A8841" w:rsidR="008C595B" w:rsidRDefault="008C595B">
      <w:r>
        <w:t>Poverty is a condition characterised by severe deprivation of basic human needs, inadequate access to food, water, sanitation facilities, health, shelter and education</w:t>
      </w:r>
      <w:r w:rsidR="00DE1534">
        <w:t xml:space="preserve"> (Child Poverty Action Group, 2016)</w:t>
      </w:r>
      <w:r>
        <w:t>. It can be measured in terms of income levels, with individuals or families living below a certain income threshold considered poor</w:t>
      </w:r>
      <w:r w:rsidR="00DE1534">
        <w:t xml:space="preserve"> (Britannica, 2018)</w:t>
      </w:r>
      <w:r>
        <w:t>. However, poverty also encompasses a lack of opportunities, resources, and power, making it a multifaceted issue that involves social, economic, and political dimensions</w:t>
      </w:r>
      <w:r w:rsidR="00DE1534">
        <w:t xml:space="preserve"> (D’Arcy and </w:t>
      </w:r>
      <w:proofErr w:type="spellStart"/>
      <w:r w:rsidR="00DE1534">
        <w:t>Goulden</w:t>
      </w:r>
      <w:proofErr w:type="spellEnd"/>
      <w:r w:rsidR="00DE1534">
        <w:t>, 2014)</w:t>
      </w:r>
      <w:r>
        <w:t xml:space="preserve">. </w:t>
      </w:r>
    </w:p>
    <w:p w14:paraId="78179297" w14:textId="3B5FB540" w:rsidR="008C595B" w:rsidRDefault="008C595B"/>
    <w:p w14:paraId="61B91E9B" w14:textId="5630365D" w:rsidR="008C595B" w:rsidRDefault="008C595B">
      <w:r>
        <w:t xml:space="preserve">Poverty is a pervasive </w:t>
      </w:r>
      <w:r w:rsidR="00A243BD">
        <w:t xml:space="preserve">matter </w:t>
      </w:r>
      <w:r>
        <w:t xml:space="preserve">that </w:t>
      </w:r>
      <w:r w:rsidR="00A243BD">
        <w:t>impacts</w:t>
      </w:r>
      <w:r>
        <w:t xml:space="preserve"> millions of children globally for as long as human societies have existed</w:t>
      </w:r>
      <w:r w:rsidR="00DE1534">
        <w:t xml:space="preserve"> (The Children’s Society, 2020)</w:t>
      </w:r>
      <w:r>
        <w:t>. Historical records and anthropological studies show that children have been disproportionately impacted by poverty throughout various periods and across different cultures. Today, child poverty remains a critical issue, and the implications for children’s developmen</w:t>
      </w:r>
      <w:r w:rsidR="00DE1534">
        <w:t>t (</w:t>
      </w:r>
      <w:proofErr w:type="spellStart"/>
      <w:r w:rsidR="00DE1534">
        <w:t>Menestrel</w:t>
      </w:r>
      <w:proofErr w:type="spellEnd"/>
      <w:r w:rsidR="00DE1534">
        <w:t xml:space="preserve"> and Duncan, 2019)</w:t>
      </w:r>
    </w:p>
    <w:p w14:paraId="5226228A" w14:textId="1C07F77B" w:rsidR="008C595B" w:rsidRDefault="008C595B"/>
    <w:p w14:paraId="78ADDA02" w14:textId="27273352" w:rsidR="008C595B" w:rsidRPr="008C595B" w:rsidRDefault="008C595B">
      <w:r>
        <w:t>As of the latest data, according to Child Poverty Action Group</w:t>
      </w:r>
      <w:r w:rsidR="00DE1534">
        <w:t xml:space="preserve"> (2019)</w:t>
      </w:r>
      <w:r>
        <w:t>, approximately 4.3 million children were living in poverty in 2021/2022, accounting for around 31% of all children within the UK. Although the figure includes all forms of poverty, a significant portion of these children are living in conditions that is classified as extreme poverty. According to Save the Children</w:t>
      </w:r>
      <w:r w:rsidR="00DE1534">
        <w:t xml:space="preserve"> (2023),</w:t>
      </w:r>
      <w:r>
        <w:t xml:space="preserve"> 1.3 million children out of 4.3 million are living in severe poverty. Individuals and families in extreme poverty live on incomes that are insufficient to secure even the most basic necessities of life.</w:t>
      </w:r>
    </w:p>
    <w:p w14:paraId="56CA6053" w14:textId="78504FBF" w:rsidR="008C595B" w:rsidRDefault="008C595B">
      <w:pPr>
        <w:rPr>
          <w:b/>
          <w:bCs/>
          <w:u w:val="single"/>
        </w:rPr>
      </w:pPr>
    </w:p>
    <w:p w14:paraId="3C103EF5" w14:textId="60806ABB" w:rsidR="008C595B" w:rsidRPr="008C595B" w:rsidRDefault="008C595B">
      <w:r>
        <w:t xml:space="preserve">Poverty is significant in children as it has profound and far-reaching effects on their health, wellbeing, lifestyle and </w:t>
      </w:r>
      <w:r w:rsidR="00DE1534">
        <w:t>holistic</w:t>
      </w:r>
      <w:r>
        <w:t xml:space="preserve"> development </w:t>
      </w:r>
      <w:r>
        <w:t>(</w:t>
      </w:r>
      <w:proofErr w:type="spellStart"/>
      <w:proofErr w:type="gramStart"/>
      <w:r>
        <w:t>Ph.D</w:t>
      </w:r>
      <w:proofErr w:type="spellEnd"/>
      <w:proofErr w:type="gramEnd"/>
      <w:r>
        <w:t xml:space="preserve"> </w:t>
      </w:r>
      <w:r w:rsidRPr="008C595B">
        <w:rPr>
          <w:i/>
          <w:iCs/>
        </w:rPr>
        <w:t>et al.,</w:t>
      </w:r>
      <w:r>
        <w:t xml:space="preserve"> 2014</w:t>
      </w:r>
      <w:r>
        <w:t xml:space="preserve"> p. 110</w:t>
      </w:r>
      <w:r>
        <w:t>).</w:t>
      </w:r>
    </w:p>
    <w:p w14:paraId="5828CE3E" w14:textId="6C94281B" w:rsidR="008C595B" w:rsidRDefault="008C595B">
      <w:pPr>
        <w:rPr>
          <w:b/>
          <w:bCs/>
          <w:u w:val="single"/>
        </w:rPr>
      </w:pPr>
    </w:p>
    <w:p w14:paraId="1C5C9403" w14:textId="2999E2E1" w:rsidR="008C595B" w:rsidRDefault="008C595B">
      <w:r>
        <w:t xml:space="preserve">Poverty can have profound </w:t>
      </w:r>
      <w:r w:rsidR="00A243BD">
        <w:t xml:space="preserve">influence </w:t>
      </w:r>
      <w:r>
        <w:t>on a child’s health across various dimensions. Poverty often limits access to nutritious foods, leading to deficiencies in vitamins, minerals, and macronutrients</w:t>
      </w:r>
      <w:r w:rsidR="00DE1534">
        <w:t xml:space="preserve"> (Trust for London, 2023)</w:t>
      </w:r>
      <w:r>
        <w:t>. This can impair on a child becoming malnutrition, affecting their physical growth and development, weakening the immune system, and increase susceptibility to infections</w:t>
      </w:r>
      <w:r w:rsidR="00DE1534">
        <w:t xml:space="preserve"> (Jensen </w:t>
      </w:r>
      <w:r w:rsidR="00DE1534" w:rsidRPr="00DE1534">
        <w:rPr>
          <w:i/>
          <w:iCs/>
        </w:rPr>
        <w:t>et al.,</w:t>
      </w:r>
      <w:r w:rsidR="00DE1534">
        <w:t xml:space="preserve"> 2017)</w:t>
      </w:r>
      <w:r>
        <w:t xml:space="preserve">. Children are in need of nutrients such as iron, iodine and glucose as these are critical for development of a child’s brain and function. </w:t>
      </w:r>
      <w:r w:rsidRPr="008C595B">
        <w:t xml:space="preserve">Glucose is a primary energy source for the brain, and its </w:t>
      </w:r>
      <w:r w:rsidR="00A243BD">
        <w:t>title</w:t>
      </w:r>
      <w:r w:rsidRPr="008C595B">
        <w:t xml:space="preserve"> in cognitive development and functioning is </w:t>
      </w:r>
      <w:r w:rsidR="00DE1534" w:rsidRPr="008C595B">
        <w:t>particularly</w:t>
      </w:r>
      <w:r w:rsidRPr="008C595B">
        <w:t xml:space="preserve"> significant within children (Dienel, 2019). The developing brain demands a substantial amount of energy, and glucose metabolism is important in supporting processes such as learning, memory, and overall cognitive performance. Glucose is the brain’s main fuel, accounting for up to 20% of the body’s total energy consumption despite the brain constituting only 2% of body weight (Mergenthaler </w:t>
      </w:r>
      <w:r w:rsidRPr="008C595B">
        <w:rPr>
          <w:i/>
          <w:iCs/>
        </w:rPr>
        <w:t>et al.,</w:t>
      </w:r>
      <w:r w:rsidRPr="008C595B">
        <w:t xml:space="preserve"> 2013). In children, the brain’s energy demands are much higher due to rapid growth and development (Steiner, 2019). Adequate glucose supply is essential for maintaining neuronal activity, neurotransmitter synthesis and overall brain function (Ashrafi and Ryan, 2017).</w:t>
      </w:r>
    </w:p>
    <w:p w14:paraId="4E0D9651" w14:textId="77777777" w:rsidR="00DE1534" w:rsidRDefault="00DE1534"/>
    <w:p w14:paraId="660FBF09" w14:textId="55679A8E" w:rsidR="008C595B" w:rsidRDefault="008C595B">
      <w:r>
        <w:lastRenderedPageBreak/>
        <w:t xml:space="preserve">Food insecurity is a factor that can cause stress and distraction, reducing a child’s </w:t>
      </w:r>
      <w:r w:rsidR="00A243BD">
        <w:t>capacity</w:t>
      </w:r>
      <w:r>
        <w:t xml:space="preserve"> to concentrate and </w:t>
      </w:r>
      <w:r w:rsidR="00A243BD">
        <w:t xml:space="preserve">achieve </w:t>
      </w:r>
      <w:r>
        <w:t>academically</w:t>
      </w:r>
      <w:r w:rsidR="00DE1534">
        <w:t xml:space="preserve"> (Hines </w:t>
      </w:r>
      <w:r w:rsidR="00DE1534" w:rsidRPr="00DE1534">
        <w:rPr>
          <w:i/>
          <w:iCs/>
        </w:rPr>
        <w:t>et al.,</w:t>
      </w:r>
      <w:r w:rsidR="00DE1534">
        <w:t xml:space="preserve"> 2021)</w:t>
      </w:r>
      <w:r>
        <w:t>. Furthermore, it can also result in child obesity, due to reliance on cheap, calorie-dense but nutrient-poor foods</w:t>
      </w:r>
      <w:r w:rsidR="00DE1534">
        <w:t xml:space="preserve"> (Shackleton, 2015).</w:t>
      </w:r>
      <w:r>
        <w:t xml:space="preserve"> Families who </w:t>
      </w:r>
      <w:r w:rsidR="00DE1534">
        <w:t>live</w:t>
      </w:r>
      <w:r>
        <w:t xml:space="preserve"> in poverty, often are based in area</w:t>
      </w:r>
      <w:r w:rsidR="00DE1534">
        <w:t>s</w:t>
      </w:r>
      <w:r>
        <w:t xml:space="preserve"> that have limited access to affordable nutritious foods. The cost of healthy foods is more expensive than high calorie, low-nutrient foods, which is classed as affordable to families living in poverty, leading to poor diet quality</w:t>
      </w:r>
      <w:r w:rsidR="00DE1534">
        <w:t xml:space="preserve"> (</w:t>
      </w:r>
      <w:proofErr w:type="spellStart"/>
      <w:r w:rsidR="00DE1534">
        <w:t>Kranjac</w:t>
      </w:r>
      <w:proofErr w:type="spellEnd"/>
      <w:r w:rsidR="00DE1534">
        <w:t xml:space="preserve"> </w:t>
      </w:r>
      <w:r w:rsidR="00DE1534" w:rsidRPr="00DE1534">
        <w:rPr>
          <w:i/>
          <w:iCs/>
        </w:rPr>
        <w:t>et al.,</w:t>
      </w:r>
      <w:r w:rsidR="00DE1534">
        <w:t xml:space="preserve"> 2018)</w:t>
      </w:r>
      <w:r>
        <w:t>. Additionally, obesity is linked to poverty due to children not having access to safe recreational spaces to obtain physical activity. Children living in areas of poverty lack access to safe parks, playgrounds, and recreational facilities, reducing their opportunity for physical activity</w:t>
      </w:r>
      <w:r w:rsidR="00DE1534">
        <w:t xml:space="preserve"> (Cunningham, 2016)</w:t>
      </w:r>
      <w:r>
        <w:t xml:space="preserve">. In the UK, the </w:t>
      </w:r>
      <w:r w:rsidR="00A243BD">
        <w:t>generality</w:t>
      </w:r>
      <w:r>
        <w:t xml:space="preserve"> of obesity among children living in poverty is significantly higher than among those in more affluent areas. Recent data from the National Child Measurement Programme </w:t>
      </w:r>
      <w:r w:rsidR="00DE1534">
        <w:t xml:space="preserve">(2021) </w:t>
      </w:r>
      <w:r>
        <w:t xml:space="preserve">reveals that for children aged 4-5, obesity rates are 12.4% in the most deprived areas compared to 5.8% in the least deprived areas. The data indicates that children </w:t>
      </w:r>
      <w:r w:rsidR="00A243BD">
        <w:t xml:space="preserve">experiencing </w:t>
      </w:r>
      <w:r>
        <w:t xml:space="preserve">poverty are more than twice as </w:t>
      </w:r>
      <w:r w:rsidR="00A243BD">
        <w:t>presumable</w:t>
      </w:r>
      <w:r>
        <w:t xml:space="preserve"> to be obese </w:t>
      </w:r>
      <w:r w:rsidR="00A243BD">
        <w:t xml:space="preserve">in comparison </w:t>
      </w:r>
      <w:r>
        <w:t xml:space="preserve">to their peers in wealthier areas, highlighting a significant public health issue tied to socioeconomic status. These figures underscore the strong link between socioeconomic deprivation and higher obesity rates among children in the UK. </w:t>
      </w:r>
    </w:p>
    <w:p w14:paraId="21FA817D" w14:textId="01B6841E" w:rsidR="008C595B" w:rsidRDefault="008C595B">
      <w:pPr>
        <w:rPr>
          <w:b/>
          <w:bCs/>
          <w:u w:val="single"/>
        </w:rPr>
      </w:pPr>
    </w:p>
    <w:p w14:paraId="6CC0F121" w14:textId="458878BC" w:rsidR="0038770A" w:rsidRPr="0038770A" w:rsidRDefault="0038770A">
      <w:r>
        <w:t xml:space="preserve">Living in poverty can cause chronic stress due to unstable living conditions, family turmoil, and social stigma. This stress can lead to effects towards a child’s </w:t>
      </w:r>
      <w:r w:rsidR="00DE1534">
        <w:t>psychological</w:t>
      </w:r>
      <w:r>
        <w:t xml:space="preserve"> wellbeing, such as anxiety, depression and </w:t>
      </w:r>
      <w:r w:rsidR="00DE1534">
        <w:t>behavioural</w:t>
      </w:r>
      <w:r>
        <w:t xml:space="preserve"> issues within children</w:t>
      </w:r>
      <w:r w:rsidR="00DE1534">
        <w:t xml:space="preserve"> (Saunders and Brown, 2019)</w:t>
      </w:r>
      <w:r>
        <w:t xml:space="preserve">. Poverty can </w:t>
      </w:r>
      <w:proofErr w:type="spellStart"/>
      <w:r w:rsidR="00A243BD">
        <w:t>segerate</w:t>
      </w:r>
      <w:proofErr w:type="spellEnd"/>
      <w:r>
        <w:t xml:space="preserve"> children socially, as they may not have the means to </w:t>
      </w:r>
      <w:r w:rsidR="00A243BD">
        <w:t>engage</w:t>
      </w:r>
      <w:r>
        <w:t xml:space="preserve"> in extracurricular activities or social events due to financial constraints. This can impact their social skil</w:t>
      </w:r>
      <w:r w:rsidR="00DE1534">
        <w:t>l</w:t>
      </w:r>
      <w:r>
        <w:t xml:space="preserve"> development and ability to form positive relationships</w:t>
      </w:r>
      <w:r w:rsidR="00DE1534">
        <w:t xml:space="preserve"> (</w:t>
      </w:r>
      <w:proofErr w:type="spellStart"/>
      <w:r w:rsidR="00DE1534">
        <w:t>Saitadze</w:t>
      </w:r>
      <w:proofErr w:type="spellEnd"/>
      <w:r w:rsidR="00DE1534">
        <w:t xml:space="preserve"> and </w:t>
      </w:r>
      <w:proofErr w:type="spellStart"/>
      <w:r w:rsidR="00DE1534">
        <w:t>Lalayants</w:t>
      </w:r>
      <w:proofErr w:type="spellEnd"/>
      <w:r w:rsidR="00DE1534">
        <w:t>, 2020)</w:t>
      </w:r>
      <w:r>
        <w:t>. Children living in poverty may face social stigma or discrimination, which can affect their self-esteem and confidence in building purposeful relationships with peers. This type of stigma can be internalised and lead to feelings of shame or inadequacy</w:t>
      </w:r>
      <w:r w:rsidR="00DE1534">
        <w:t xml:space="preserve"> (Lee and Zhang, 2021)</w:t>
      </w:r>
      <w:r>
        <w:t>. The children may also face difficulty in obtaining positive relationships with parents or caregivers. Poverty can contribute to children from impoverished families taking on caregiving responsibilities or financial worries beyond their years, which can disrupt the typical parent-child dynamic and impact their emotional development</w:t>
      </w:r>
      <w:r w:rsidR="00DE1534">
        <w:t xml:space="preserve"> (Cho, 2017)</w:t>
      </w:r>
      <w:r>
        <w:t xml:space="preserve">. </w:t>
      </w:r>
      <w:r w:rsidR="00DE1534">
        <w:t xml:space="preserve">Inconsistent parenting practices can be a factor towards poverty, as parents may struggle to maintain routines, provide consistent discipline, or offer emotional support. This inconsistency can confuse children, produce a strain towards the relationship and overall affect the child’s mental wellbeing (Ho </w:t>
      </w:r>
      <w:r w:rsidR="00DE1534" w:rsidRPr="00DE1534">
        <w:rPr>
          <w:i/>
          <w:iCs/>
        </w:rPr>
        <w:t>et al.,</w:t>
      </w:r>
      <w:r w:rsidR="00DE1534">
        <w:t xml:space="preserve"> 2022). Mental wellbeing can impact a child’s development, as it affects their ability to engage and interact emotionally with individuals, difficulty regulating emotions and even behavioural problems in children, such as aggression and impulsivity (</w:t>
      </w:r>
      <w:proofErr w:type="spellStart"/>
      <w:r w:rsidR="00DE1534">
        <w:t>Apter</w:t>
      </w:r>
      <w:proofErr w:type="spellEnd"/>
      <w:r w:rsidR="00DE1534">
        <w:t xml:space="preserve"> </w:t>
      </w:r>
      <w:r w:rsidR="00DE1534" w:rsidRPr="00DE1534">
        <w:rPr>
          <w:i/>
          <w:iCs/>
        </w:rPr>
        <w:t>et al.,</w:t>
      </w:r>
      <w:r w:rsidR="00DE1534">
        <w:t xml:space="preserve"> 2017). These behaviours may stem from the stressors and challenges, such as poverty, they face daily. </w:t>
      </w:r>
    </w:p>
    <w:p w14:paraId="01552D0D" w14:textId="52F313F1" w:rsidR="008C595B" w:rsidRPr="008C595B" w:rsidRDefault="008C595B">
      <w:pPr>
        <w:rPr>
          <w:b/>
          <w:bCs/>
          <w:u w:val="single"/>
        </w:rPr>
      </w:pPr>
    </w:p>
    <w:p w14:paraId="612070E7" w14:textId="4E1D66A5" w:rsidR="008C595B" w:rsidRDefault="00DE1534">
      <w:r>
        <w:t xml:space="preserve">Poverty significantly impedes children’s access to quality education (Chaudry and </w:t>
      </w:r>
      <w:proofErr w:type="spellStart"/>
      <w:r>
        <w:t>Wimer</w:t>
      </w:r>
      <w:proofErr w:type="spellEnd"/>
      <w:r>
        <w:t xml:space="preserve">, 2016). Families facing financial constraints may struggle to provide necessary school supplies, educational support, and stable learning environments. This can lead to lower academic achievement, higher dropout rates, and reduced opportunities for future success (McKinney, 2014). Economic disadvantage can impact the learning environment both at school, and home. Inadequate nutrition, housing instability, and exposure to violence or stressors can disrupt a child’s ability to focus, concentrate, and participate fully in academic </w:t>
      </w:r>
      <w:r>
        <w:lastRenderedPageBreak/>
        <w:t xml:space="preserve">activities (Hair </w:t>
      </w:r>
      <w:r w:rsidRPr="00DE1534">
        <w:rPr>
          <w:i/>
          <w:iCs/>
        </w:rPr>
        <w:t>et al.,</w:t>
      </w:r>
      <w:r>
        <w:t xml:space="preserve"> 2015). Children in poverty </w:t>
      </w:r>
      <w:r w:rsidR="00A243BD">
        <w:t>frequently</w:t>
      </w:r>
      <w:r>
        <w:t xml:space="preserve"> lack access to essential learning resources such as books, technology, and educational materials. This digital and resource divide can further widen educational disparities, limiting their ability to engage in independent learning and access up to date information (Gay </w:t>
      </w:r>
      <w:r w:rsidRPr="00DE1534">
        <w:rPr>
          <w:i/>
          <w:iCs/>
        </w:rPr>
        <w:t>et al.,</w:t>
      </w:r>
      <w:r>
        <w:t xml:space="preserve"> 2020). </w:t>
      </w:r>
    </w:p>
    <w:p w14:paraId="4C103FED" w14:textId="627D852B" w:rsidR="00DE1534" w:rsidRDefault="00DE1534">
      <w:r>
        <w:t xml:space="preserve">Economic hardship can affect and reduce parental involvement within a child’s education due to time constraints, multiple jobs, or lack of familiarity with the education system. Limited parental engagement can impact academic motivation, support for homework, and advocacy for the child’s educational needs and development (Mortimer et al., 2014). </w:t>
      </w:r>
    </w:p>
    <w:p w14:paraId="4AF9B9D7" w14:textId="695B56D4" w:rsidR="00DE1534" w:rsidRDefault="00DE1534"/>
    <w:p w14:paraId="701EE82B" w14:textId="5BFA5515" w:rsidR="00DE1534" w:rsidRDefault="00DE1534">
      <w:r>
        <w:t xml:space="preserve">Early years practitioners play a critical role mitigating the effects of poverty and promoting positive outcomes for children. Advocating for and providing </w:t>
      </w:r>
      <w:r w:rsidR="00A243BD">
        <w:t xml:space="preserve">entry </w:t>
      </w:r>
      <w:r>
        <w:t xml:space="preserve">to </w:t>
      </w:r>
      <w:r w:rsidR="00A243BD">
        <w:t>elevated</w:t>
      </w:r>
      <w:r>
        <w:t xml:space="preserve"> quality </w:t>
      </w:r>
      <w:r w:rsidR="00A243BD">
        <w:t xml:space="preserve">of </w:t>
      </w:r>
      <w:r>
        <w:t xml:space="preserve">early childhood education is essential in </w:t>
      </w:r>
      <w:r w:rsidR="00A243BD">
        <w:t>interrupting</w:t>
      </w:r>
      <w:r>
        <w:t xml:space="preserve"> the </w:t>
      </w:r>
      <w:r w:rsidR="00A243BD">
        <w:t xml:space="preserve">revolution </w:t>
      </w:r>
      <w:r>
        <w:t xml:space="preserve">of poverty (Cronin </w:t>
      </w:r>
      <w:r w:rsidRPr="00DE1534">
        <w:rPr>
          <w:i/>
          <w:iCs/>
        </w:rPr>
        <w:t>et al.,</w:t>
      </w:r>
      <w:r>
        <w:t xml:space="preserve"> 2017). Environments provided by practitioners are able to enhance a child’s cognitive development, social-emotional skills (Moore, 2019), and school readiness, laying a strong foundation for future academic success. Early years practitioners can prioritise inclusive and enriching educational environments that support children from diverse socioeconomic backgrounds (Cummings </w:t>
      </w:r>
      <w:r w:rsidRPr="00DE1534">
        <w:rPr>
          <w:i/>
          <w:iCs/>
        </w:rPr>
        <w:t>et al.,</w:t>
      </w:r>
      <w:r>
        <w:t xml:space="preserve"> 2017). </w:t>
      </w:r>
    </w:p>
    <w:p w14:paraId="12DC67C5" w14:textId="2C85A372" w:rsidR="00DE1534" w:rsidRDefault="00DE1534"/>
    <w:p w14:paraId="1DDC0CB4" w14:textId="1AF60129" w:rsidR="00DE1534" w:rsidRDefault="00DE1534">
      <w:r>
        <w:t xml:space="preserve">Fostering a safe, supportive, and inclusive environment in early childhood settings is </w:t>
      </w:r>
      <w:r w:rsidR="00A243BD">
        <w:t>essential</w:t>
      </w:r>
      <w:r>
        <w:t xml:space="preserve"> for children’s social-emotional development and resilience (Davis and Barry, 2013). Practitioners have the ability to promote positive relationships, respect diversity, and provide op</w:t>
      </w:r>
      <w:r w:rsidR="00A243BD">
        <w:t>enings</w:t>
      </w:r>
      <w:r>
        <w:t xml:space="preserve"> for children to </w:t>
      </w:r>
      <w:r w:rsidR="00A243BD">
        <w:t>endure</w:t>
      </w:r>
      <w:r>
        <w:t xml:space="preserve"> social skills and emotional regulation (</w:t>
      </w:r>
      <w:proofErr w:type="spellStart"/>
      <w:r>
        <w:t>Vuorinen</w:t>
      </w:r>
      <w:proofErr w:type="spellEnd"/>
      <w:r>
        <w:t xml:space="preserve">, 2020). A nurturing environment enhances children’s sense of belonging and reduces the impact of external stressors associated with poverty. The Flying Start (2024) programme in Wales provides targeted support to families living in disadvantaged areas. It includes access to free or subsidised childcare, parental support, early language development initiatives, and health services. The programme aims to reduce inequalities in child development outcomes by providing comprehensive support services that address both educational and health needs in children (Welsh Government, 2020). </w:t>
      </w:r>
    </w:p>
    <w:p w14:paraId="3CBDE101" w14:textId="5B6DB8EE" w:rsidR="00DE1534" w:rsidRDefault="00DE1534"/>
    <w:p w14:paraId="1B5C6CF0" w14:textId="4FFBD91E" w:rsidR="00DE1534" w:rsidRDefault="00DE1534">
      <w:r>
        <w:t xml:space="preserve">The distinction between equality and equity is crucial in </w:t>
      </w:r>
      <w:r w:rsidR="00A243BD">
        <w:t>managing</w:t>
      </w:r>
      <w:r>
        <w:t xml:space="preserve"> the complex challenges </w:t>
      </w:r>
      <w:r w:rsidR="00A243BD">
        <w:t>related</w:t>
      </w:r>
      <w:r>
        <w:t xml:space="preserve"> with child poverty (Crouch </w:t>
      </w:r>
      <w:r w:rsidRPr="00DE1534">
        <w:rPr>
          <w:i/>
          <w:iCs/>
        </w:rPr>
        <w:t>et al.,</w:t>
      </w:r>
      <w:r>
        <w:t xml:space="preserve"> 2021). While equality ensures fairness and non-discrimination, equity focusses on achieving fairness by allowing and providing necessary supports to those who face systematic disadvantages (Admin </w:t>
      </w:r>
      <w:r w:rsidRPr="00DE1534">
        <w:rPr>
          <w:i/>
          <w:iCs/>
        </w:rPr>
        <w:t>et al.,</w:t>
      </w:r>
      <w:r>
        <w:t xml:space="preserve"> 2022). In practice policies and interventions that promote equity in child poverty aim to reduce disparities and improve outcomes for vulnerable children, there by fostering greater social justice and inclusive development (</w:t>
      </w:r>
      <w:proofErr w:type="spellStart"/>
      <w:r>
        <w:t>Vandemoortele</w:t>
      </w:r>
      <w:proofErr w:type="spellEnd"/>
      <w:r>
        <w:t xml:space="preserve">, 2012). </w:t>
      </w:r>
    </w:p>
    <w:p w14:paraId="529A5E47" w14:textId="071FBDA3" w:rsidR="00DE1534" w:rsidRDefault="00DE1534"/>
    <w:p w14:paraId="67BAC2A5" w14:textId="3A7A8345" w:rsidR="00DE1534" w:rsidRDefault="00DE1534">
      <w:r>
        <w:t>Advocating for policies that address systematic inequalities, promote economic opportunities, and invest in educational equity can create more supportive environments for children living in poverty</w:t>
      </w:r>
      <w:r>
        <w:t xml:space="preserve"> </w:t>
      </w:r>
      <w:r>
        <w:t xml:space="preserve">(Acevedo-Garcia </w:t>
      </w:r>
      <w:r w:rsidRPr="00DE1534">
        <w:rPr>
          <w:i/>
          <w:iCs/>
        </w:rPr>
        <w:t xml:space="preserve">et al., </w:t>
      </w:r>
      <w:r>
        <w:t>2021). Children and Families Measure (2010), places duties on local authorities in Wales to promote the wellbeing of children, including those living in poverty. It requires local authorities to assess and</w:t>
      </w:r>
      <w:r w:rsidR="00A243BD">
        <w:t xml:space="preserve"> satisfy the demands</w:t>
      </w:r>
      <w:r>
        <w:t xml:space="preserve"> of vulnerable children and families, provide early intervention services, and collaborate with partners to improve outcomes for children facing socioeconomic challenges</w:t>
      </w:r>
      <w:r>
        <w:t>, supporting the social model.</w:t>
      </w:r>
    </w:p>
    <w:p w14:paraId="0F3AC9A3" w14:textId="5D563E6A" w:rsidR="00DE1534" w:rsidRDefault="00DE1534"/>
    <w:p w14:paraId="50A55E4B" w14:textId="0F92D078" w:rsidR="00DE1534" w:rsidRDefault="00DE1534">
      <w:r>
        <w:lastRenderedPageBreak/>
        <w:t>While the social model focusses on preventing poverty and its effects towards broader societal issues (</w:t>
      </w:r>
      <w:proofErr w:type="spellStart"/>
      <w:r>
        <w:t>Manago</w:t>
      </w:r>
      <w:proofErr w:type="spellEnd"/>
      <w:r>
        <w:t xml:space="preserve"> </w:t>
      </w:r>
      <w:r w:rsidRPr="00DE1534">
        <w:rPr>
          <w:i/>
          <w:iCs/>
        </w:rPr>
        <w:t>et al.,</w:t>
      </w:r>
      <w:r>
        <w:t xml:space="preserve"> 2017), the medical model addresses the immediate health needs of children living in poverty (Fuller and Loganathan, 2018). An integrated approach that combines elements of both models can be effective towards children experiencing poverty. For example, ensuring children have access to healthcare, medical model, while also advocating for policies that reduce economic inequality and improved living conditions, social model. </w:t>
      </w:r>
    </w:p>
    <w:p w14:paraId="1A1988CB" w14:textId="60A1875F" w:rsidR="00DE1534" w:rsidRDefault="00DE1534"/>
    <w:p w14:paraId="2FD3271F" w14:textId="0D710AAC" w:rsidR="00DE1534" w:rsidRDefault="00DE1534">
      <w:r>
        <w:t xml:space="preserve">While Wales have succeeded in producing a 7 core aims for children to ensure they have the opportunity to achieve their full potential. These aims guide policy and practice to promote wellbeing and rights of children (Social Care Wales, 2018). One of core aims, tackling child poverty and its impact on children’s lives, so children are not disadvantaged by poverty is laudable and essential, hold counterarguments and challenges that highlight the complexity and difficulty contributed to the continued existence of child poverty (Rees and Rees, 2023). Poverty is multifaceted, involving economic, social, educational, and health dimensions. Addressing one aspect in isolation may not lead to meaningful change (Libor and </w:t>
      </w:r>
      <w:proofErr w:type="spellStart"/>
      <w:r>
        <w:t>Nowalska-Kapuscik</w:t>
      </w:r>
      <w:proofErr w:type="spellEnd"/>
      <w:r>
        <w:t xml:space="preserve">, 2015). Many families experience stagnant wages and insecure employment, often in low paying sectors, limiting their ability to move out of poverty. According to the Department for Work and Pensions (2023), in the 2022/2022 period, approximately 14.5 million people in the UK were living in relative low-income households after housing costs, resulting in the inclusion of 4.3 million children. Many children living within poverty are actually raised in working households. The Social Metrics Commission (2023) reported that 70% of children living in poverty, live in a household where at least one caregiver works. Many of the anti-poverty programs may not be adequately funded to meet the needs of all eligible families, especially caregivers who work, leading to gaps in service provision. Events such as recessions, pandemics, such as COVID-19, and other economic disruptions can push families and children into poverty and exacerbate existing inequalities (Schmidt </w:t>
      </w:r>
      <w:r w:rsidRPr="00DE1534">
        <w:rPr>
          <w:i/>
          <w:iCs/>
        </w:rPr>
        <w:t>et al.,</w:t>
      </w:r>
      <w:r>
        <w:t xml:space="preserve"> 2021). Resulting towards shifts in political priorities and social policies can affect the stability and effectiveness of anti-poverty measures. </w:t>
      </w:r>
    </w:p>
    <w:p w14:paraId="2F473FE6" w14:textId="5B6B39CA" w:rsidR="00DE1534" w:rsidRDefault="00DE1534"/>
    <w:p w14:paraId="4B30063C" w14:textId="5538E0AA" w:rsidR="00DE1534" w:rsidRDefault="00DE1534">
      <w:r>
        <w:t xml:space="preserve">In Wales, the curriculum framework for early years is designed to support children living in poverty by addressing their diverse needs, promoting inclusion, and fostering holistic development (Welsh Government, 2020). The curriculum promotes inclusive practices that cater to individual strengths, interests and needs of all learners, regardless of their socioeconomic background, providing opportunities to children living in poverty to broaden their experiences and aspirations (Future Generations </w:t>
      </w:r>
      <w:proofErr w:type="spellStart"/>
      <w:r>
        <w:t>Comminisor</w:t>
      </w:r>
      <w:proofErr w:type="spellEnd"/>
      <w:r>
        <w:t xml:space="preserve"> for Wales, 2015). It emphasises creating learning environments that are supportive, equitable, and respectful of diversity. Inclusive education ensures that children living in poverty have access to the same educational opportunities and resources as their peers. The curriculum furthermore supports early intervention strategies to identify and address barriers to learning at an early stage (Egan, 2016). Practitioners are equipped to provide targeted support, interventions, and resources to children who may be at risk of falling behind due to socio-economic factors. This proactive approach helps </w:t>
      </w:r>
      <w:r w:rsidR="00A243BD">
        <w:t>reduce</w:t>
      </w:r>
      <w:r>
        <w:t xml:space="preserve"> the </w:t>
      </w:r>
      <w:r w:rsidR="00A243BD">
        <w:t xml:space="preserve">encounter </w:t>
      </w:r>
      <w:r>
        <w:t xml:space="preserve">of poverty on educational </w:t>
      </w:r>
      <w:r w:rsidR="00A243BD">
        <w:t>result</w:t>
      </w:r>
      <w:r>
        <w:t xml:space="preserve"> (Jones, 2023). </w:t>
      </w:r>
    </w:p>
    <w:p w14:paraId="6D69C3B6" w14:textId="77777777" w:rsidR="00DE1534" w:rsidRDefault="00DE1534"/>
    <w:p w14:paraId="2FA74312" w14:textId="3AB44B18" w:rsidR="00DE1534" w:rsidRDefault="00DE1534">
      <w:r>
        <w:t xml:space="preserve">Wellbeing is a central component of the Welsh curriculum, encompassing physical, mental, emotional, and social aspects (Welsh Government, 2020). Practitioners are encouraged to prioritise the wellbeing of learners and create nurturing environments that support children’s </w:t>
      </w:r>
      <w:r>
        <w:lastRenderedPageBreak/>
        <w:t>personal development and resilience (Lewis, 2021). This focus is particularly beneficial for children facing adversity and challenges associated with poverty. Practitioners can ensure that children receive adequate healthcare, nutri</w:t>
      </w:r>
      <w:r w:rsidR="00A243BD">
        <w:t xml:space="preserve">ent </w:t>
      </w:r>
      <w:r>
        <w:t xml:space="preserve">meals, and </w:t>
      </w:r>
      <w:r w:rsidR="00A243BD">
        <w:t>freedom</w:t>
      </w:r>
      <w:r>
        <w:t xml:space="preserve"> for physical activity. Addressing health and nutrition needs supports children’s overall wellbeing, cognitive development (Power </w:t>
      </w:r>
      <w:r w:rsidRPr="00DE1534">
        <w:rPr>
          <w:i/>
          <w:iCs/>
        </w:rPr>
        <w:t>et al.,</w:t>
      </w:r>
      <w:r>
        <w:t xml:space="preserve"> 2020), and ability to thrive. </w:t>
      </w:r>
    </w:p>
    <w:p w14:paraId="74C8D66F" w14:textId="57D75DFA" w:rsidR="00DE1534" w:rsidRDefault="00DE1534"/>
    <w:p w14:paraId="7C3D312F" w14:textId="771CFA43" w:rsidR="00DE1534" w:rsidRDefault="00DE1534">
      <w:r>
        <w:t xml:space="preserve">Practitioners are able to facilitate access and support towards children that are displaying immediate needs and preventing long-term poverty (Lyndon, 2020). Practitioners can connect families with resources such as food banks, childcare subsidies, social service providers and healthcare services. By practitioners acting as liaisons between families and community organisations, they ensure families receive the necessary support (Duncan, 2023). </w:t>
      </w:r>
    </w:p>
    <w:p w14:paraId="6BCD42B7" w14:textId="3E0A9141" w:rsidR="00DE1534" w:rsidRDefault="00DE1534"/>
    <w:p w14:paraId="36733219" w14:textId="121655EB" w:rsidR="00DE1534" w:rsidRDefault="00DE1534">
      <w:r>
        <w:t xml:space="preserve">To conclude, practitioners, policymakers, healthcare providers and caregivers must work collaboratively to </w:t>
      </w:r>
      <w:r w:rsidR="00A243BD">
        <w:t>produce</w:t>
      </w:r>
      <w:r>
        <w:t xml:space="preserve"> an environment where all children, </w:t>
      </w:r>
      <w:r w:rsidR="00A243BD">
        <w:t xml:space="preserve">despite </w:t>
      </w:r>
      <w:r>
        <w:t xml:space="preserve">of their socioeconomic status, have the opportunity to thrive. By investing in comprehensive support systems and addressing the structural inequalities that perpetuate poverty, we can significantly </w:t>
      </w:r>
      <w:r w:rsidR="00A243BD">
        <w:t>enhance</w:t>
      </w:r>
      <w:r>
        <w:t xml:space="preserve"> the health, wellbeing and lifestyle of children living in poverty, ensuring a brighter and more equitable future for all. </w:t>
      </w:r>
    </w:p>
    <w:p w14:paraId="5FCD166A" w14:textId="3FB4080B" w:rsidR="00DE1534" w:rsidRDefault="00DE1534"/>
    <w:p w14:paraId="78A568F5" w14:textId="7CB86C79" w:rsidR="00DE1534" w:rsidRDefault="00DE1534"/>
    <w:p w14:paraId="4A264655" w14:textId="396505C5" w:rsidR="00DE1534" w:rsidRDefault="00DE1534"/>
    <w:p w14:paraId="64E46BAC" w14:textId="77777777" w:rsidR="00F4115B" w:rsidRDefault="00F4115B">
      <w:pPr>
        <w:rPr>
          <w:b/>
          <w:bCs/>
          <w:u w:val="single"/>
        </w:rPr>
      </w:pPr>
    </w:p>
    <w:p w14:paraId="635AE345" w14:textId="77777777" w:rsidR="00F4115B" w:rsidRDefault="00F4115B">
      <w:pPr>
        <w:rPr>
          <w:b/>
          <w:bCs/>
          <w:u w:val="single"/>
        </w:rPr>
      </w:pPr>
    </w:p>
    <w:p w14:paraId="60B452A7" w14:textId="77777777" w:rsidR="00F4115B" w:rsidRDefault="00F4115B">
      <w:pPr>
        <w:rPr>
          <w:b/>
          <w:bCs/>
          <w:u w:val="single"/>
        </w:rPr>
      </w:pPr>
    </w:p>
    <w:p w14:paraId="564EEBB9" w14:textId="77777777" w:rsidR="00F4115B" w:rsidRDefault="00F4115B">
      <w:pPr>
        <w:rPr>
          <w:b/>
          <w:bCs/>
          <w:u w:val="single"/>
        </w:rPr>
      </w:pPr>
    </w:p>
    <w:p w14:paraId="59C062C1" w14:textId="77777777" w:rsidR="00F4115B" w:rsidRDefault="00F4115B">
      <w:pPr>
        <w:rPr>
          <w:b/>
          <w:bCs/>
          <w:u w:val="single"/>
        </w:rPr>
      </w:pPr>
    </w:p>
    <w:p w14:paraId="4DA0A72E" w14:textId="77777777" w:rsidR="00F4115B" w:rsidRDefault="00F4115B">
      <w:pPr>
        <w:rPr>
          <w:b/>
          <w:bCs/>
          <w:u w:val="single"/>
        </w:rPr>
      </w:pPr>
    </w:p>
    <w:p w14:paraId="06B3BA9D" w14:textId="77777777" w:rsidR="00F4115B" w:rsidRDefault="00F4115B">
      <w:pPr>
        <w:rPr>
          <w:b/>
          <w:bCs/>
          <w:u w:val="single"/>
        </w:rPr>
      </w:pPr>
    </w:p>
    <w:p w14:paraId="12BBDF19" w14:textId="77777777" w:rsidR="00F4115B" w:rsidRDefault="00F4115B">
      <w:pPr>
        <w:rPr>
          <w:b/>
          <w:bCs/>
          <w:u w:val="single"/>
        </w:rPr>
      </w:pPr>
    </w:p>
    <w:p w14:paraId="2E65BB82" w14:textId="77777777" w:rsidR="00F4115B" w:rsidRDefault="00F4115B">
      <w:pPr>
        <w:rPr>
          <w:b/>
          <w:bCs/>
          <w:u w:val="single"/>
        </w:rPr>
      </w:pPr>
    </w:p>
    <w:p w14:paraId="4B842996" w14:textId="77777777" w:rsidR="00F4115B" w:rsidRDefault="00F4115B">
      <w:pPr>
        <w:rPr>
          <w:b/>
          <w:bCs/>
          <w:u w:val="single"/>
        </w:rPr>
      </w:pPr>
    </w:p>
    <w:p w14:paraId="2B16D08B" w14:textId="77777777" w:rsidR="00F4115B" w:rsidRDefault="00F4115B">
      <w:pPr>
        <w:rPr>
          <w:b/>
          <w:bCs/>
          <w:u w:val="single"/>
        </w:rPr>
      </w:pPr>
    </w:p>
    <w:p w14:paraId="4E05D011" w14:textId="77777777" w:rsidR="00F4115B" w:rsidRDefault="00F4115B">
      <w:pPr>
        <w:rPr>
          <w:b/>
          <w:bCs/>
          <w:u w:val="single"/>
        </w:rPr>
      </w:pPr>
    </w:p>
    <w:p w14:paraId="76B5DFF1" w14:textId="77777777" w:rsidR="00F4115B" w:rsidRDefault="00F4115B">
      <w:pPr>
        <w:rPr>
          <w:b/>
          <w:bCs/>
          <w:u w:val="single"/>
        </w:rPr>
      </w:pPr>
    </w:p>
    <w:p w14:paraId="1E126814" w14:textId="77777777" w:rsidR="00F4115B" w:rsidRDefault="00F4115B">
      <w:pPr>
        <w:rPr>
          <w:b/>
          <w:bCs/>
          <w:u w:val="single"/>
        </w:rPr>
      </w:pPr>
    </w:p>
    <w:p w14:paraId="102E3511" w14:textId="77777777" w:rsidR="00F4115B" w:rsidRDefault="00F4115B">
      <w:pPr>
        <w:rPr>
          <w:b/>
          <w:bCs/>
          <w:u w:val="single"/>
        </w:rPr>
      </w:pPr>
    </w:p>
    <w:p w14:paraId="132F8D47" w14:textId="77777777" w:rsidR="00F4115B" w:rsidRDefault="00F4115B">
      <w:pPr>
        <w:rPr>
          <w:b/>
          <w:bCs/>
          <w:u w:val="single"/>
        </w:rPr>
      </w:pPr>
    </w:p>
    <w:p w14:paraId="49298A62" w14:textId="77777777" w:rsidR="00F4115B" w:rsidRDefault="00F4115B">
      <w:pPr>
        <w:rPr>
          <w:b/>
          <w:bCs/>
          <w:u w:val="single"/>
        </w:rPr>
      </w:pPr>
    </w:p>
    <w:p w14:paraId="1D52BB75" w14:textId="77777777" w:rsidR="00F4115B" w:rsidRDefault="00F4115B">
      <w:pPr>
        <w:rPr>
          <w:b/>
          <w:bCs/>
          <w:u w:val="single"/>
        </w:rPr>
      </w:pPr>
    </w:p>
    <w:p w14:paraId="13803380" w14:textId="77777777" w:rsidR="00F4115B" w:rsidRDefault="00F4115B">
      <w:pPr>
        <w:rPr>
          <w:b/>
          <w:bCs/>
          <w:u w:val="single"/>
        </w:rPr>
      </w:pPr>
    </w:p>
    <w:p w14:paraId="36F44888" w14:textId="77777777" w:rsidR="00F4115B" w:rsidRDefault="00F4115B">
      <w:pPr>
        <w:rPr>
          <w:b/>
          <w:bCs/>
          <w:u w:val="single"/>
        </w:rPr>
      </w:pPr>
    </w:p>
    <w:p w14:paraId="1AB16724" w14:textId="77777777" w:rsidR="00F4115B" w:rsidRDefault="00F4115B">
      <w:pPr>
        <w:rPr>
          <w:b/>
          <w:bCs/>
          <w:u w:val="single"/>
        </w:rPr>
      </w:pPr>
    </w:p>
    <w:p w14:paraId="69237E8A" w14:textId="77777777" w:rsidR="00F4115B" w:rsidRDefault="00F4115B">
      <w:pPr>
        <w:rPr>
          <w:b/>
          <w:bCs/>
          <w:u w:val="single"/>
        </w:rPr>
      </w:pPr>
    </w:p>
    <w:p w14:paraId="34DDA927" w14:textId="77777777" w:rsidR="00F4115B" w:rsidRDefault="00F4115B">
      <w:pPr>
        <w:rPr>
          <w:b/>
          <w:bCs/>
          <w:u w:val="single"/>
        </w:rPr>
      </w:pPr>
    </w:p>
    <w:p w14:paraId="7665D5A5" w14:textId="77777777" w:rsidR="00F4115B" w:rsidRDefault="00F4115B">
      <w:pPr>
        <w:rPr>
          <w:b/>
          <w:bCs/>
          <w:u w:val="single"/>
        </w:rPr>
      </w:pPr>
    </w:p>
    <w:p w14:paraId="1FDD54AC" w14:textId="77777777" w:rsidR="00F4115B" w:rsidRDefault="00F4115B">
      <w:pPr>
        <w:rPr>
          <w:b/>
          <w:bCs/>
          <w:u w:val="single"/>
        </w:rPr>
      </w:pPr>
    </w:p>
    <w:p w14:paraId="47D821ED" w14:textId="77777777" w:rsidR="00F4115B" w:rsidRDefault="00F4115B">
      <w:pPr>
        <w:rPr>
          <w:b/>
          <w:bCs/>
          <w:u w:val="single"/>
        </w:rPr>
      </w:pPr>
    </w:p>
    <w:p w14:paraId="3F6EF414" w14:textId="77777777" w:rsidR="00F4115B" w:rsidRDefault="00F4115B">
      <w:pPr>
        <w:rPr>
          <w:b/>
          <w:bCs/>
          <w:u w:val="single"/>
        </w:rPr>
      </w:pPr>
    </w:p>
    <w:p w14:paraId="0DEB6AC0" w14:textId="77777777" w:rsidR="00F4115B" w:rsidRDefault="00F4115B">
      <w:pPr>
        <w:rPr>
          <w:b/>
          <w:bCs/>
          <w:u w:val="single"/>
        </w:rPr>
      </w:pPr>
    </w:p>
    <w:p w14:paraId="75456E6F" w14:textId="77777777" w:rsidR="00F4115B" w:rsidRDefault="00F4115B">
      <w:pPr>
        <w:rPr>
          <w:b/>
          <w:bCs/>
          <w:u w:val="single"/>
        </w:rPr>
      </w:pPr>
    </w:p>
    <w:p w14:paraId="40B8FB3D" w14:textId="77777777" w:rsidR="00F4115B" w:rsidRDefault="00F4115B">
      <w:pPr>
        <w:rPr>
          <w:b/>
          <w:bCs/>
          <w:u w:val="single"/>
        </w:rPr>
      </w:pPr>
    </w:p>
    <w:p w14:paraId="5CEB4EF0" w14:textId="77777777" w:rsidR="00F4115B" w:rsidRDefault="00F4115B">
      <w:pPr>
        <w:rPr>
          <w:b/>
          <w:bCs/>
          <w:u w:val="single"/>
        </w:rPr>
      </w:pPr>
    </w:p>
    <w:p w14:paraId="1D36C5E9" w14:textId="77777777" w:rsidR="00F4115B" w:rsidRDefault="00F4115B">
      <w:pPr>
        <w:rPr>
          <w:b/>
          <w:bCs/>
          <w:u w:val="single"/>
        </w:rPr>
      </w:pPr>
    </w:p>
    <w:p w14:paraId="739B16B4" w14:textId="4A403B7B" w:rsidR="00DE1534" w:rsidRPr="00DE1534" w:rsidRDefault="00DE1534">
      <w:pPr>
        <w:rPr>
          <w:b/>
          <w:bCs/>
          <w:u w:val="single"/>
        </w:rPr>
      </w:pPr>
      <w:r w:rsidRPr="00DE1534">
        <w:rPr>
          <w:b/>
          <w:bCs/>
          <w:u w:val="single"/>
        </w:rPr>
        <w:t xml:space="preserve">Reference List (Script) </w:t>
      </w:r>
    </w:p>
    <w:p w14:paraId="7BCBF47B" w14:textId="5A6F1821" w:rsidR="00DE1534" w:rsidRDefault="00DE1534"/>
    <w:p w14:paraId="5FF55C61" w14:textId="7895110A" w:rsidR="00DE1534" w:rsidRDefault="00DE1534" w:rsidP="00DE1534">
      <w:pPr>
        <w:pStyle w:val="NormalWeb"/>
        <w:spacing w:before="0" w:beforeAutospacing="0" w:after="240" w:afterAutospacing="0" w:line="360" w:lineRule="atLeast"/>
        <w:rPr>
          <w:color w:val="000000"/>
        </w:rPr>
      </w:pPr>
      <w:r>
        <w:rPr>
          <w:color w:val="000000"/>
        </w:rPr>
        <w:t xml:space="preserve">Acevedo-Garcia, D., Joshi, P.K., Ruskin, E., Walters, A.N., </w:t>
      </w:r>
      <w:proofErr w:type="spellStart"/>
      <w:r>
        <w:rPr>
          <w:color w:val="000000"/>
        </w:rPr>
        <w:t>Sofer</w:t>
      </w:r>
      <w:proofErr w:type="spellEnd"/>
      <w:r>
        <w:rPr>
          <w:color w:val="000000"/>
        </w:rPr>
        <w:t>, N. and Guevara, C.A. (2021). Including Children in Immigrant Families in Policy Approaches to Reduce Child Poverty.</w:t>
      </w:r>
      <w:r>
        <w:rPr>
          <w:rStyle w:val="apple-converted-space"/>
          <w:color w:val="000000"/>
        </w:rPr>
        <w:t> </w:t>
      </w:r>
      <w:r>
        <w:rPr>
          <w:i/>
          <w:iCs/>
          <w:color w:val="000000"/>
        </w:rPr>
        <w:t xml:space="preserve">Academic </w:t>
      </w:r>
      <w:proofErr w:type="spellStart"/>
      <w:r>
        <w:rPr>
          <w:i/>
          <w:iCs/>
          <w:color w:val="000000"/>
        </w:rPr>
        <w:t>Pediatrics</w:t>
      </w:r>
      <w:proofErr w:type="spellEnd"/>
      <w:r>
        <w:rPr>
          <w:color w:val="000000"/>
        </w:rPr>
        <w:t xml:space="preserve">, [online] 21(8, Supplement), </w:t>
      </w:r>
      <w:proofErr w:type="gramStart"/>
      <w:r>
        <w:rPr>
          <w:color w:val="000000"/>
        </w:rPr>
        <w:t>pp.S</w:t>
      </w:r>
      <w:proofErr w:type="gramEnd"/>
      <w:r>
        <w:rPr>
          <w:color w:val="000000"/>
        </w:rPr>
        <w:t xml:space="preserve">117–S125. </w:t>
      </w:r>
      <w:proofErr w:type="spellStart"/>
      <w:proofErr w:type="gramStart"/>
      <w:r>
        <w:rPr>
          <w:color w:val="000000"/>
        </w:rPr>
        <w:t>doi:https</w:t>
      </w:r>
      <w:proofErr w:type="spellEnd"/>
      <w:r>
        <w:rPr>
          <w:color w:val="000000"/>
        </w:rPr>
        <w:t>://doi.org/10.1016/j.acap.2021.06.016</w:t>
      </w:r>
      <w:proofErr w:type="gramEnd"/>
      <w:r>
        <w:rPr>
          <w:color w:val="000000"/>
        </w:rPr>
        <w:t>.</w:t>
      </w:r>
      <w:r w:rsidR="00F4115B">
        <w:rPr>
          <w:color w:val="000000"/>
        </w:rPr>
        <w:t xml:space="preserve"> (Accessed: 9</w:t>
      </w:r>
      <w:r w:rsidR="00F4115B" w:rsidRPr="00F4115B">
        <w:rPr>
          <w:color w:val="000000"/>
          <w:vertAlign w:val="superscript"/>
        </w:rPr>
        <w:t>th</w:t>
      </w:r>
      <w:r w:rsidR="00F4115B">
        <w:rPr>
          <w:color w:val="000000"/>
        </w:rPr>
        <w:t xml:space="preserve"> June 2024)</w:t>
      </w:r>
    </w:p>
    <w:p w14:paraId="62E5E75A" w14:textId="6B8813AB" w:rsidR="00DE1534" w:rsidRDefault="00DE1534" w:rsidP="00DE1534">
      <w:pPr>
        <w:pStyle w:val="NormalWeb"/>
        <w:spacing w:before="0" w:beforeAutospacing="0" w:after="240" w:afterAutospacing="0" w:line="360" w:lineRule="atLeast"/>
        <w:rPr>
          <w:color w:val="000000"/>
        </w:rPr>
      </w:pPr>
      <w:r>
        <w:rPr>
          <w:color w:val="000000"/>
        </w:rPr>
        <w:t xml:space="preserve">Admin, R., Crouch, L., </w:t>
      </w:r>
      <w:proofErr w:type="spellStart"/>
      <w:r>
        <w:rPr>
          <w:color w:val="000000"/>
        </w:rPr>
        <w:t>Rollestone</w:t>
      </w:r>
      <w:proofErr w:type="spellEnd"/>
      <w:r>
        <w:rPr>
          <w:color w:val="000000"/>
        </w:rPr>
        <w:t>, C. and Gustafsson, M. (2022).</w:t>
      </w:r>
      <w:r>
        <w:rPr>
          <w:rStyle w:val="apple-converted-space"/>
          <w:color w:val="000000"/>
        </w:rPr>
        <w:t> </w:t>
      </w:r>
      <w:r>
        <w:rPr>
          <w:i/>
          <w:iCs/>
          <w:color w:val="000000"/>
        </w:rPr>
        <w:t>Eliminating Global Learning Poverty: The Importance of Equalities and Equity</w:t>
      </w:r>
      <w:r>
        <w:rPr>
          <w:color w:val="000000"/>
        </w:rPr>
        <w:t xml:space="preserve">. [online] portal.sds.ox.ac.uk. </w:t>
      </w:r>
      <w:proofErr w:type="spellStart"/>
      <w:proofErr w:type="gramStart"/>
      <w:r>
        <w:rPr>
          <w:color w:val="000000"/>
        </w:rPr>
        <w:t>doi:https</w:t>
      </w:r>
      <w:proofErr w:type="spellEnd"/>
      <w:r>
        <w:rPr>
          <w:color w:val="000000"/>
        </w:rPr>
        <w:t>://doi.org/10.25446/oxford.21107593.v1</w:t>
      </w:r>
      <w:proofErr w:type="gramEnd"/>
      <w:r>
        <w:rPr>
          <w:color w:val="000000"/>
        </w:rPr>
        <w:t>.</w:t>
      </w:r>
      <w:r w:rsidR="00F4115B" w:rsidRPr="00F4115B">
        <w:rPr>
          <w:color w:val="000000"/>
        </w:rPr>
        <w:t xml:space="preserve"> </w:t>
      </w:r>
      <w:r w:rsidR="00F4115B">
        <w:rPr>
          <w:color w:val="000000"/>
        </w:rPr>
        <w:t xml:space="preserve">(Accessed: </w:t>
      </w:r>
      <w:r w:rsidR="00F4115B">
        <w:rPr>
          <w:color w:val="000000"/>
        </w:rPr>
        <w:t>12</w:t>
      </w:r>
      <w:r w:rsidR="00F4115B" w:rsidRPr="00F4115B">
        <w:rPr>
          <w:color w:val="000000"/>
          <w:vertAlign w:val="superscript"/>
        </w:rPr>
        <w:t>th</w:t>
      </w:r>
      <w:r w:rsidR="00F4115B">
        <w:rPr>
          <w:color w:val="000000"/>
        </w:rPr>
        <w:t xml:space="preserve"> June 2024)</w:t>
      </w:r>
    </w:p>
    <w:p w14:paraId="28E95A0A" w14:textId="44AB2DBB" w:rsidR="00DE1534" w:rsidRDefault="00DE1534" w:rsidP="00DE1534">
      <w:pPr>
        <w:pStyle w:val="NormalWeb"/>
        <w:spacing w:before="0" w:beforeAutospacing="0" w:after="240" w:afterAutospacing="0" w:line="360" w:lineRule="atLeast"/>
        <w:rPr>
          <w:color w:val="000000"/>
        </w:rPr>
      </w:pPr>
      <w:proofErr w:type="spellStart"/>
      <w:r>
        <w:rPr>
          <w:color w:val="000000"/>
        </w:rPr>
        <w:t>Apter</w:t>
      </w:r>
      <w:proofErr w:type="spellEnd"/>
      <w:r>
        <w:rPr>
          <w:color w:val="000000"/>
        </w:rPr>
        <w:t xml:space="preserve">, G., </w:t>
      </w:r>
      <w:proofErr w:type="spellStart"/>
      <w:r>
        <w:rPr>
          <w:color w:val="000000"/>
        </w:rPr>
        <w:t>Bobin</w:t>
      </w:r>
      <w:proofErr w:type="spellEnd"/>
      <w:r>
        <w:rPr>
          <w:color w:val="000000"/>
        </w:rPr>
        <w:t xml:space="preserve">, A., Genet, M.-C., </w:t>
      </w:r>
      <w:proofErr w:type="spellStart"/>
      <w:r>
        <w:rPr>
          <w:color w:val="000000"/>
        </w:rPr>
        <w:t>Gratier</w:t>
      </w:r>
      <w:proofErr w:type="spellEnd"/>
      <w:r>
        <w:rPr>
          <w:color w:val="000000"/>
        </w:rPr>
        <w:t xml:space="preserve">, M. and </w:t>
      </w:r>
      <w:proofErr w:type="spellStart"/>
      <w:r>
        <w:rPr>
          <w:color w:val="000000"/>
        </w:rPr>
        <w:t>Devouche</w:t>
      </w:r>
      <w:proofErr w:type="spellEnd"/>
      <w:r>
        <w:rPr>
          <w:color w:val="000000"/>
        </w:rPr>
        <w:t xml:space="preserve">, E. (2017). Update on Mental Health of Infants and Children of Parents Affected </w:t>
      </w:r>
      <w:proofErr w:type="gramStart"/>
      <w:r>
        <w:rPr>
          <w:color w:val="000000"/>
        </w:rPr>
        <w:t>With</w:t>
      </w:r>
      <w:proofErr w:type="gramEnd"/>
      <w:r>
        <w:rPr>
          <w:color w:val="000000"/>
        </w:rPr>
        <w:t xml:space="preserve"> Mental Health Issues.</w:t>
      </w:r>
      <w:r>
        <w:rPr>
          <w:rStyle w:val="apple-converted-space"/>
          <w:color w:val="000000"/>
        </w:rPr>
        <w:t> </w:t>
      </w:r>
      <w:r>
        <w:rPr>
          <w:i/>
          <w:iCs/>
          <w:color w:val="000000"/>
        </w:rPr>
        <w:t>Current Psychiatry Reports</w:t>
      </w:r>
      <w:r>
        <w:rPr>
          <w:color w:val="000000"/>
        </w:rPr>
        <w:t xml:space="preserve">, 19(10). </w:t>
      </w:r>
      <w:proofErr w:type="spellStart"/>
      <w:proofErr w:type="gramStart"/>
      <w:r>
        <w:rPr>
          <w:color w:val="000000"/>
        </w:rPr>
        <w:t>doi:https</w:t>
      </w:r>
      <w:proofErr w:type="spellEnd"/>
      <w:r>
        <w:rPr>
          <w:color w:val="000000"/>
        </w:rPr>
        <w:t>://doi.org/10.1007/s11920-017-0820-8</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1B2FEC28" w14:textId="5C319C1C" w:rsidR="00DE1534" w:rsidRDefault="00DE1534" w:rsidP="00DE1534">
      <w:pPr>
        <w:pStyle w:val="NormalWeb"/>
        <w:spacing w:before="0" w:beforeAutospacing="0" w:after="240" w:afterAutospacing="0" w:line="360" w:lineRule="atLeast"/>
        <w:rPr>
          <w:color w:val="000000"/>
        </w:rPr>
      </w:pPr>
      <w:r>
        <w:rPr>
          <w:color w:val="000000"/>
        </w:rPr>
        <w:t>Britannica (2018). poverty | Definition, Causes, Types, &amp; Facts. In:</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xml:space="preserve">. [online] Available at: </w:t>
      </w:r>
      <w:hyperlink r:id="rId34" w:history="1">
        <w:r w:rsidR="00F4115B" w:rsidRPr="0043521D">
          <w:rPr>
            <w:rStyle w:val="Hyperlink"/>
          </w:rPr>
          <w:t>https://www.britannica.com/topic/poverty</w:t>
        </w:r>
      </w:hyperlink>
      <w:r>
        <w:rPr>
          <w:color w:val="000000"/>
        </w:rPr>
        <w:t>.</w:t>
      </w:r>
      <w:r w:rsidR="00F4115B">
        <w:rPr>
          <w:color w:val="000000"/>
        </w:rPr>
        <w:t xml:space="preserve"> </w:t>
      </w:r>
      <w:r w:rsidR="00F4115B">
        <w:rPr>
          <w:color w:val="000000"/>
        </w:rPr>
        <w:t xml:space="preserve">(Accessed: </w:t>
      </w:r>
      <w:r w:rsidR="00F4115B">
        <w:rPr>
          <w:color w:val="000000"/>
        </w:rPr>
        <w:t>11</w:t>
      </w:r>
      <w:r w:rsidR="00F4115B" w:rsidRPr="00F4115B">
        <w:rPr>
          <w:color w:val="000000"/>
          <w:vertAlign w:val="superscript"/>
        </w:rPr>
        <w:t>th</w:t>
      </w:r>
      <w:r w:rsidR="00F4115B">
        <w:rPr>
          <w:color w:val="000000"/>
        </w:rPr>
        <w:t xml:space="preserve"> June 2024)</w:t>
      </w:r>
    </w:p>
    <w:p w14:paraId="188368B1" w14:textId="60960C35" w:rsidR="00DE1534" w:rsidRDefault="00DE1534" w:rsidP="00DE1534">
      <w:pPr>
        <w:pStyle w:val="NormalWeb"/>
        <w:spacing w:before="0" w:beforeAutospacing="0" w:after="240" w:afterAutospacing="0" w:line="360" w:lineRule="atLeast"/>
        <w:rPr>
          <w:color w:val="000000"/>
        </w:rPr>
      </w:pPr>
      <w:r>
        <w:rPr>
          <w:color w:val="000000"/>
        </w:rPr>
        <w:t xml:space="preserve">Chaudry, A. and </w:t>
      </w:r>
      <w:proofErr w:type="spellStart"/>
      <w:r>
        <w:rPr>
          <w:color w:val="000000"/>
        </w:rPr>
        <w:t>Wimer</w:t>
      </w:r>
      <w:proofErr w:type="spellEnd"/>
      <w:r>
        <w:rPr>
          <w:color w:val="000000"/>
        </w:rPr>
        <w:t>, C. (2016). Poverty is Not Just an Indicator: The Relationship Between Income, Poverty, and Child Well-Being.</w:t>
      </w:r>
      <w:r>
        <w:rPr>
          <w:rStyle w:val="apple-converted-space"/>
          <w:color w:val="000000"/>
        </w:rPr>
        <w:t> </w:t>
      </w:r>
      <w:r>
        <w:rPr>
          <w:i/>
          <w:iCs/>
          <w:color w:val="000000"/>
        </w:rPr>
        <w:t xml:space="preserve">Academic </w:t>
      </w:r>
      <w:proofErr w:type="spellStart"/>
      <w:r>
        <w:rPr>
          <w:i/>
          <w:iCs/>
          <w:color w:val="000000"/>
        </w:rPr>
        <w:t>Pediatrics</w:t>
      </w:r>
      <w:proofErr w:type="spellEnd"/>
      <w:r>
        <w:rPr>
          <w:color w:val="000000"/>
        </w:rPr>
        <w:t xml:space="preserve">, [online] 16(3), </w:t>
      </w:r>
      <w:proofErr w:type="gramStart"/>
      <w:r>
        <w:rPr>
          <w:color w:val="000000"/>
        </w:rPr>
        <w:t>pp.S</w:t>
      </w:r>
      <w:proofErr w:type="gramEnd"/>
      <w:r>
        <w:rPr>
          <w:color w:val="000000"/>
        </w:rPr>
        <w:t xml:space="preserve">23–S29. </w:t>
      </w:r>
      <w:proofErr w:type="spellStart"/>
      <w:proofErr w:type="gramStart"/>
      <w:r>
        <w:rPr>
          <w:color w:val="000000"/>
        </w:rPr>
        <w:t>doi:https</w:t>
      </w:r>
      <w:proofErr w:type="spellEnd"/>
      <w:r>
        <w:rPr>
          <w:color w:val="000000"/>
        </w:rPr>
        <w:t>://doi.org/10.1016/j.acap.2015.12.010</w:t>
      </w:r>
      <w:proofErr w:type="gramEnd"/>
      <w:r>
        <w:rPr>
          <w:color w:val="000000"/>
        </w:rPr>
        <w:t>.</w:t>
      </w:r>
      <w:r w:rsidR="00F4115B">
        <w:rPr>
          <w:color w:val="000000"/>
        </w:rPr>
        <w:t xml:space="preserve"> </w:t>
      </w:r>
      <w:r w:rsidR="00F4115B">
        <w:rPr>
          <w:color w:val="000000"/>
        </w:rPr>
        <w:t xml:space="preserve">(Accessed: </w:t>
      </w:r>
      <w:r w:rsidR="00F4115B">
        <w:rPr>
          <w:color w:val="000000"/>
        </w:rPr>
        <w:t>8</w:t>
      </w:r>
      <w:r w:rsidR="00F4115B" w:rsidRPr="00F4115B">
        <w:rPr>
          <w:color w:val="000000"/>
          <w:vertAlign w:val="superscript"/>
        </w:rPr>
        <w:t>th</w:t>
      </w:r>
      <w:r w:rsidR="00F4115B">
        <w:rPr>
          <w:color w:val="000000"/>
        </w:rPr>
        <w:t xml:space="preserve"> June 2024)</w:t>
      </w:r>
    </w:p>
    <w:p w14:paraId="0453FD96" w14:textId="48E8A532" w:rsidR="00DE1534" w:rsidRDefault="00DE1534" w:rsidP="00DE1534">
      <w:pPr>
        <w:pStyle w:val="NormalWeb"/>
        <w:spacing w:before="0" w:beforeAutospacing="0" w:after="240" w:afterAutospacing="0" w:line="360" w:lineRule="atLeast"/>
        <w:rPr>
          <w:color w:val="000000"/>
        </w:rPr>
      </w:pPr>
      <w:r>
        <w:rPr>
          <w:color w:val="000000"/>
        </w:rPr>
        <w:t>Child Poverty Action Group (2016).</w:t>
      </w:r>
      <w:r>
        <w:rPr>
          <w:rStyle w:val="apple-converted-space"/>
          <w:color w:val="000000"/>
        </w:rPr>
        <w:t> </w:t>
      </w:r>
      <w:r>
        <w:rPr>
          <w:i/>
          <w:iCs/>
          <w:color w:val="000000"/>
        </w:rPr>
        <w:t>What is poverty?</w:t>
      </w:r>
      <w:r>
        <w:rPr>
          <w:rStyle w:val="apple-converted-space"/>
          <w:color w:val="000000"/>
        </w:rPr>
        <w:t> </w:t>
      </w:r>
      <w:r>
        <w:rPr>
          <w:color w:val="000000"/>
        </w:rPr>
        <w:t xml:space="preserve">[online] CPAG. Available at: </w:t>
      </w:r>
      <w:hyperlink r:id="rId35" w:history="1">
        <w:r w:rsidR="00F4115B" w:rsidRPr="0043521D">
          <w:rPr>
            <w:rStyle w:val="Hyperlink"/>
          </w:rPr>
          <w:t>https://cpag.org.uk/child-poverty/what-poverty</w:t>
        </w:r>
      </w:hyperlink>
      <w:r>
        <w:rPr>
          <w:color w:val="000000"/>
        </w:rPr>
        <w:t>.</w:t>
      </w:r>
      <w:r w:rsidR="00F4115B">
        <w:rPr>
          <w:color w:val="000000"/>
        </w:rPr>
        <w:t xml:space="preserve"> </w:t>
      </w:r>
      <w:r w:rsidR="00F4115B">
        <w:rPr>
          <w:color w:val="000000"/>
        </w:rPr>
        <w:t xml:space="preserve">(Accessed: </w:t>
      </w:r>
      <w:r w:rsidR="00F4115B">
        <w:rPr>
          <w:color w:val="000000"/>
        </w:rPr>
        <w:t>12</w:t>
      </w:r>
      <w:r w:rsidR="00F4115B" w:rsidRPr="00F4115B">
        <w:rPr>
          <w:color w:val="000000"/>
          <w:vertAlign w:val="superscript"/>
        </w:rPr>
        <w:t>th</w:t>
      </w:r>
      <w:r w:rsidR="00F4115B">
        <w:rPr>
          <w:color w:val="000000"/>
        </w:rPr>
        <w:t xml:space="preserve"> June 2024)</w:t>
      </w:r>
    </w:p>
    <w:p w14:paraId="25340836" w14:textId="0AE38CAA" w:rsidR="00DE1534" w:rsidRDefault="00DE1534" w:rsidP="00DE1534">
      <w:pPr>
        <w:pStyle w:val="NormalWeb"/>
        <w:spacing w:before="0" w:beforeAutospacing="0" w:after="240" w:afterAutospacing="0" w:line="360" w:lineRule="atLeast"/>
        <w:rPr>
          <w:color w:val="000000"/>
        </w:rPr>
      </w:pPr>
      <w:r>
        <w:rPr>
          <w:color w:val="000000"/>
        </w:rPr>
        <w:t>Child Poverty Action Group (2019).</w:t>
      </w:r>
      <w:r>
        <w:rPr>
          <w:rStyle w:val="apple-converted-space"/>
          <w:color w:val="000000"/>
        </w:rPr>
        <w:t> </w:t>
      </w:r>
      <w:r>
        <w:rPr>
          <w:i/>
          <w:iCs/>
          <w:color w:val="000000"/>
        </w:rPr>
        <w:t>CPAG</w:t>
      </w:r>
      <w:r>
        <w:rPr>
          <w:color w:val="000000"/>
        </w:rPr>
        <w:t xml:space="preserve">. [online] CPAG. Available at: </w:t>
      </w:r>
      <w:hyperlink r:id="rId36" w:history="1">
        <w:r w:rsidR="00F4115B" w:rsidRPr="0043521D">
          <w:rPr>
            <w:rStyle w:val="Hyperlink"/>
          </w:rPr>
          <w:t>https://cpag.org.uk</w:t>
        </w:r>
      </w:hyperlink>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582BB33E" w14:textId="7B861E02" w:rsidR="00DE1534" w:rsidRDefault="00DE1534" w:rsidP="00DE1534">
      <w:pPr>
        <w:pStyle w:val="NormalWeb"/>
        <w:spacing w:before="0" w:beforeAutospacing="0" w:after="240" w:afterAutospacing="0" w:line="360" w:lineRule="atLeast"/>
        <w:rPr>
          <w:color w:val="000000"/>
        </w:rPr>
      </w:pPr>
      <w:r>
        <w:rPr>
          <w:color w:val="000000"/>
        </w:rPr>
        <w:t>Cho, E.Y.-N. (2017). Links between Poverty and Children’s Subjective Wellbeing: Examining the Mediating and Moderating Role of Relationships.</w:t>
      </w:r>
      <w:r>
        <w:rPr>
          <w:rStyle w:val="apple-converted-space"/>
          <w:color w:val="000000"/>
        </w:rPr>
        <w:t> </w:t>
      </w:r>
      <w:r>
        <w:rPr>
          <w:i/>
          <w:iCs/>
          <w:color w:val="000000"/>
        </w:rPr>
        <w:t>Child Indicators Research</w:t>
      </w:r>
      <w:r>
        <w:rPr>
          <w:color w:val="000000"/>
        </w:rPr>
        <w:t xml:space="preserve">, 11(2), pp.585–607. </w:t>
      </w:r>
      <w:proofErr w:type="spellStart"/>
      <w:proofErr w:type="gramStart"/>
      <w:r>
        <w:rPr>
          <w:color w:val="000000"/>
        </w:rPr>
        <w:t>doi:https</w:t>
      </w:r>
      <w:proofErr w:type="spellEnd"/>
      <w:r>
        <w:rPr>
          <w:color w:val="000000"/>
        </w:rPr>
        <w:t>://doi.org/10.1007/s12187-017-9453-z</w:t>
      </w:r>
      <w:proofErr w:type="gramEnd"/>
      <w:r>
        <w:rPr>
          <w:color w:val="000000"/>
        </w:rPr>
        <w:t>.</w:t>
      </w:r>
      <w:r w:rsidR="00F4115B">
        <w:rPr>
          <w:color w:val="000000"/>
        </w:rPr>
        <w:t xml:space="preserve"> </w:t>
      </w:r>
      <w:r w:rsidR="00F4115B">
        <w:rPr>
          <w:color w:val="000000"/>
        </w:rPr>
        <w:t>(Accessed: 1</w:t>
      </w:r>
      <w:r w:rsidR="00F4115B">
        <w:rPr>
          <w:color w:val="000000"/>
        </w:rPr>
        <w:t>1</w:t>
      </w:r>
      <w:r w:rsidR="00F4115B">
        <w:rPr>
          <w:color w:val="000000"/>
          <w:vertAlign w:val="superscript"/>
        </w:rPr>
        <w:t>th</w:t>
      </w:r>
      <w:r w:rsidR="00F4115B">
        <w:rPr>
          <w:color w:val="000000"/>
        </w:rPr>
        <w:t xml:space="preserve"> June 2024)</w:t>
      </w:r>
    </w:p>
    <w:p w14:paraId="1F883122" w14:textId="05FBAFAF" w:rsidR="00DE1534" w:rsidRDefault="00DE1534" w:rsidP="00DE1534">
      <w:pPr>
        <w:pStyle w:val="NormalWeb"/>
        <w:spacing w:before="0" w:beforeAutospacing="0" w:after="240" w:afterAutospacing="0" w:line="360" w:lineRule="atLeast"/>
        <w:rPr>
          <w:color w:val="000000"/>
        </w:rPr>
      </w:pPr>
      <w:r>
        <w:rPr>
          <w:color w:val="000000"/>
        </w:rPr>
        <w:lastRenderedPageBreak/>
        <w:t>Cronin, M., Argent, K. and Collett, C. (2017).</w:t>
      </w:r>
      <w:r>
        <w:rPr>
          <w:rStyle w:val="apple-converted-space"/>
          <w:color w:val="000000"/>
        </w:rPr>
        <w:t> </w:t>
      </w:r>
      <w:r>
        <w:rPr>
          <w:i/>
          <w:iCs/>
          <w:color w:val="000000"/>
        </w:rPr>
        <w:t>Poverty and inclusion in early years education</w:t>
      </w:r>
      <w:r>
        <w:rPr>
          <w:color w:val="000000"/>
        </w:rPr>
        <w:t>. London: Taylor &amp; Francis Ltd.</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46D1B680" w14:textId="1029B0C7" w:rsidR="00DE1534" w:rsidRDefault="00DE1534" w:rsidP="00DE1534">
      <w:pPr>
        <w:pStyle w:val="NormalWeb"/>
        <w:spacing w:before="0" w:beforeAutospacing="0" w:after="240" w:afterAutospacing="0" w:line="360" w:lineRule="atLeast"/>
        <w:rPr>
          <w:color w:val="000000"/>
        </w:rPr>
      </w:pPr>
      <w:r>
        <w:rPr>
          <w:color w:val="000000"/>
        </w:rPr>
        <w:t>Crouch, L., Rolleston, C. and Gustafsson, M. (2021). Eliminating global learning poverty: The importance of equalities and equity.</w:t>
      </w:r>
      <w:r>
        <w:rPr>
          <w:rStyle w:val="apple-converted-space"/>
          <w:color w:val="000000"/>
        </w:rPr>
        <w:t> </w:t>
      </w:r>
      <w:r>
        <w:rPr>
          <w:i/>
          <w:iCs/>
          <w:color w:val="000000"/>
        </w:rPr>
        <w:t>International Journal of Educational Development</w:t>
      </w:r>
      <w:r>
        <w:rPr>
          <w:color w:val="000000"/>
        </w:rPr>
        <w:t xml:space="preserve">, 82, p.102250. </w:t>
      </w:r>
      <w:proofErr w:type="spellStart"/>
      <w:proofErr w:type="gramStart"/>
      <w:r>
        <w:rPr>
          <w:color w:val="000000"/>
        </w:rPr>
        <w:t>doi:https</w:t>
      </w:r>
      <w:proofErr w:type="spellEnd"/>
      <w:r>
        <w:rPr>
          <w:color w:val="000000"/>
        </w:rPr>
        <w:t>://doi.org/10.1016/j.ijedudev.2020.102250</w:t>
      </w:r>
      <w:proofErr w:type="gramEnd"/>
      <w:r>
        <w:rPr>
          <w:color w:val="000000"/>
        </w:rPr>
        <w:t>.</w:t>
      </w:r>
      <w:r w:rsidR="00F4115B">
        <w:rPr>
          <w:color w:val="000000"/>
        </w:rPr>
        <w:t xml:space="preserve"> </w:t>
      </w:r>
      <w:r w:rsidR="00F4115B">
        <w:rPr>
          <w:color w:val="000000"/>
        </w:rPr>
        <w:t>(Accessed: 1</w:t>
      </w:r>
      <w:r w:rsidR="00F4115B">
        <w:rPr>
          <w:color w:val="000000"/>
        </w:rPr>
        <w:t>3</w:t>
      </w:r>
      <w:r w:rsidR="00F4115B">
        <w:rPr>
          <w:color w:val="000000"/>
          <w:vertAlign w:val="superscript"/>
        </w:rPr>
        <w:t>th</w:t>
      </w:r>
      <w:r w:rsidR="00F4115B">
        <w:rPr>
          <w:color w:val="000000"/>
        </w:rPr>
        <w:t xml:space="preserve"> June 2024)</w:t>
      </w:r>
    </w:p>
    <w:p w14:paraId="76531B79" w14:textId="5B4CF635" w:rsidR="00DE1534" w:rsidRDefault="00DE1534" w:rsidP="00DE1534">
      <w:pPr>
        <w:pStyle w:val="NormalWeb"/>
        <w:spacing w:before="0" w:beforeAutospacing="0" w:after="240" w:afterAutospacing="0" w:line="360" w:lineRule="atLeast"/>
        <w:rPr>
          <w:color w:val="000000"/>
        </w:rPr>
      </w:pPr>
      <w:r>
        <w:rPr>
          <w:color w:val="000000"/>
        </w:rPr>
        <w:t xml:space="preserve">Cummings, K.P., </w:t>
      </w:r>
      <w:proofErr w:type="spellStart"/>
      <w:r>
        <w:rPr>
          <w:color w:val="000000"/>
        </w:rPr>
        <w:t>Addante</w:t>
      </w:r>
      <w:proofErr w:type="spellEnd"/>
      <w:r>
        <w:rPr>
          <w:color w:val="000000"/>
        </w:rPr>
        <w:t xml:space="preserve">, S., Swindell, J. and </w:t>
      </w:r>
      <w:proofErr w:type="spellStart"/>
      <w:r>
        <w:rPr>
          <w:color w:val="000000"/>
        </w:rPr>
        <w:t>Meadan</w:t>
      </w:r>
      <w:proofErr w:type="spellEnd"/>
      <w:r>
        <w:rPr>
          <w:color w:val="000000"/>
        </w:rPr>
        <w:t>, H. (2017). Creating Supportive Environments for Children Who have had Exposure to Traumatic Events.</w:t>
      </w:r>
      <w:r>
        <w:rPr>
          <w:rStyle w:val="apple-converted-space"/>
          <w:color w:val="000000"/>
        </w:rPr>
        <w:t> </w:t>
      </w:r>
      <w:r>
        <w:rPr>
          <w:i/>
          <w:iCs/>
          <w:color w:val="000000"/>
        </w:rPr>
        <w:t>Journal of Child and Family Studies</w:t>
      </w:r>
      <w:r>
        <w:rPr>
          <w:color w:val="000000"/>
        </w:rPr>
        <w:t xml:space="preserve">, [online] 26(10), pp.2728–2741. </w:t>
      </w:r>
      <w:proofErr w:type="spellStart"/>
      <w:proofErr w:type="gramStart"/>
      <w:r>
        <w:rPr>
          <w:color w:val="000000"/>
        </w:rPr>
        <w:t>doi:https</w:t>
      </w:r>
      <w:proofErr w:type="spellEnd"/>
      <w:r>
        <w:rPr>
          <w:color w:val="000000"/>
        </w:rPr>
        <w:t>://doi.org/10.1007/s10826-017-0774-9</w:t>
      </w:r>
      <w:proofErr w:type="gramEnd"/>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6D51DC07" w14:textId="53888C60" w:rsidR="00DE1534" w:rsidRDefault="00DE1534" w:rsidP="00DE1534">
      <w:pPr>
        <w:pStyle w:val="NormalWeb"/>
        <w:spacing w:before="0" w:beforeAutospacing="0" w:after="240" w:afterAutospacing="0" w:line="360" w:lineRule="atLeast"/>
        <w:rPr>
          <w:color w:val="000000"/>
        </w:rPr>
      </w:pPr>
      <w:r>
        <w:rPr>
          <w:color w:val="000000"/>
        </w:rPr>
        <w:t>Cunningham, A. (2016).</w:t>
      </w:r>
      <w:r>
        <w:rPr>
          <w:rStyle w:val="apple-converted-space"/>
          <w:color w:val="000000"/>
        </w:rPr>
        <w:t> </w:t>
      </w:r>
      <w:r>
        <w:rPr>
          <w:i/>
          <w:iCs/>
          <w:color w:val="000000"/>
        </w:rPr>
        <w:t>Childhood Obesity Among Young Children Living in Poverty and Associations with Activity Level, Food Choices, and Parental Perceptions - ProQuest</w:t>
      </w:r>
      <w:r>
        <w:rPr>
          <w:color w:val="000000"/>
        </w:rPr>
        <w:t xml:space="preserve">. [online] www.proquest.com. Available at: </w:t>
      </w:r>
      <w:hyperlink r:id="rId37" w:history="1">
        <w:r w:rsidR="00F4115B" w:rsidRPr="0043521D">
          <w:rPr>
            <w:rStyle w:val="Hyperlink"/>
          </w:rPr>
          <w:t>https://www.proquest.com/openview/c8f42b750d455b278255e998077d9750/1?pq-origsite=gscholar&amp;cbl=18750</w:t>
        </w:r>
      </w:hyperlink>
      <w:r w:rsidR="00F4115B">
        <w:rPr>
          <w:color w:val="000000"/>
        </w:rPr>
        <w:t xml:space="preserve"> </w:t>
      </w:r>
      <w:r>
        <w:rPr>
          <w:color w:val="000000"/>
        </w:rPr>
        <w:t xml:space="preserve"> </w:t>
      </w:r>
      <w:r w:rsidR="00F4115B">
        <w:rPr>
          <w:color w:val="000000"/>
        </w:rPr>
        <w:t>(</w:t>
      </w:r>
      <w:r>
        <w:rPr>
          <w:color w:val="000000"/>
        </w:rPr>
        <w:t>Accessed</w:t>
      </w:r>
      <w:r w:rsidR="00F4115B">
        <w:rPr>
          <w:color w:val="000000"/>
        </w:rPr>
        <w:t xml:space="preserve">: </w:t>
      </w:r>
      <w:r>
        <w:rPr>
          <w:color w:val="000000"/>
        </w:rPr>
        <w:t>15 Jun</w:t>
      </w:r>
      <w:r w:rsidR="00F4115B">
        <w:rPr>
          <w:color w:val="000000"/>
        </w:rPr>
        <w:t xml:space="preserve">e </w:t>
      </w:r>
      <w:r>
        <w:rPr>
          <w:color w:val="000000"/>
        </w:rPr>
        <w:t>2024</w:t>
      </w:r>
      <w:r w:rsidR="00F4115B">
        <w:rPr>
          <w:color w:val="000000"/>
        </w:rPr>
        <w:t>)</w:t>
      </w:r>
    </w:p>
    <w:p w14:paraId="7872E81C" w14:textId="2A776D22" w:rsidR="00DE1534" w:rsidRDefault="00DE1534" w:rsidP="00DE1534">
      <w:pPr>
        <w:pStyle w:val="NormalWeb"/>
        <w:spacing w:before="0" w:beforeAutospacing="0" w:after="240" w:afterAutospacing="0" w:line="360" w:lineRule="atLeast"/>
        <w:rPr>
          <w:color w:val="000000"/>
        </w:rPr>
      </w:pPr>
      <w:r>
        <w:rPr>
          <w:color w:val="000000"/>
        </w:rPr>
        <w:t xml:space="preserve">D’Arcy, C. and </w:t>
      </w:r>
      <w:proofErr w:type="spellStart"/>
      <w:r>
        <w:rPr>
          <w:color w:val="000000"/>
        </w:rPr>
        <w:t>Goulden</w:t>
      </w:r>
      <w:proofErr w:type="spellEnd"/>
      <w:r>
        <w:rPr>
          <w:color w:val="000000"/>
        </w:rPr>
        <w:t>, C. (2014).</w:t>
      </w:r>
      <w:r>
        <w:rPr>
          <w:rStyle w:val="apple-converted-space"/>
          <w:color w:val="000000"/>
        </w:rPr>
        <w:t> </w:t>
      </w:r>
      <w:r>
        <w:rPr>
          <w:i/>
          <w:iCs/>
          <w:color w:val="000000"/>
        </w:rPr>
        <w:t>A Definition of Poverty | Joseph Rowntree Foundation</w:t>
      </w:r>
      <w:r>
        <w:rPr>
          <w:color w:val="000000"/>
        </w:rPr>
        <w:t xml:space="preserve">. [online] www.jrf.org.uk. Available at: </w:t>
      </w:r>
      <w:hyperlink r:id="rId38" w:history="1">
        <w:r w:rsidR="00F4115B" w:rsidRPr="0043521D">
          <w:rPr>
            <w:rStyle w:val="Hyperlink"/>
          </w:rPr>
          <w:t>https://www.jrf.org.uk/a-definition-of-poverty</w:t>
        </w:r>
      </w:hyperlink>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6B3F65D7" w14:textId="150959DD" w:rsidR="00DE1534" w:rsidRDefault="00DE1534" w:rsidP="00DE1534">
      <w:pPr>
        <w:pStyle w:val="NormalWeb"/>
        <w:spacing w:before="0" w:beforeAutospacing="0" w:after="240" w:afterAutospacing="0" w:line="360" w:lineRule="atLeast"/>
        <w:rPr>
          <w:color w:val="000000"/>
        </w:rPr>
      </w:pPr>
      <w:r>
        <w:rPr>
          <w:color w:val="000000"/>
        </w:rPr>
        <w:t>Davis, G. and Barry, A. (2013). Positive outcomes for children: Early Years Professionals effecting change.</w:t>
      </w:r>
      <w:r>
        <w:rPr>
          <w:rStyle w:val="apple-converted-space"/>
          <w:color w:val="000000"/>
        </w:rPr>
        <w:t> </w:t>
      </w:r>
      <w:r>
        <w:rPr>
          <w:i/>
          <w:iCs/>
          <w:color w:val="000000"/>
        </w:rPr>
        <w:t>Early Child Development and Care</w:t>
      </w:r>
      <w:r>
        <w:rPr>
          <w:color w:val="000000"/>
        </w:rPr>
        <w:t xml:space="preserve">, 183(1), pp.37–48. </w:t>
      </w:r>
      <w:proofErr w:type="spellStart"/>
      <w:proofErr w:type="gramStart"/>
      <w:r>
        <w:rPr>
          <w:color w:val="000000"/>
        </w:rPr>
        <w:t>doi:https</w:t>
      </w:r>
      <w:proofErr w:type="spellEnd"/>
      <w:r>
        <w:rPr>
          <w:color w:val="000000"/>
        </w:rPr>
        <w:t>://doi.org/10.1080/03004430.2012.655243</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7A32EA0E" w14:textId="2584C1F0" w:rsidR="00DE1534" w:rsidRDefault="00DE1534" w:rsidP="00DE1534">
      <w:pPr>
        <w:pStyle w:val="NormalWeb"/>
        <w:spacing w:before="0" w:beforeAutospacing="0" w:after="240" w:afterAutospacing="0" w:line="360" w:lineRule="atLeast"/>
        <w:rPr>
          <w:color w:val="000000"/>
        </w:rPr>
      </w:pPr>
      <w:r>
        <w:rPr>
          <w:color w:val="000000"/>
        </w:rPr>
        <w:t>Department for Work and Pensions (2023).</w:t>
      </w:r>
      <w:r>
        <w:rPr>
          <w:rStyle w:val="apple-converted-space"/>
          <w:color w:val="000000"/>
        </w:rPr>
        <w:t> </w:t>
      </w:r>
      <w:r>
        <w:rPr>
          <w:i/>
          <w:iCs/>
          <w:color w:val="000000"/>
        </w:rPr>
        <w:t>Households below average income (HBAI) statistics</w:t>
      </w:r>
      <w:r>
        <w:rPr>
          <w:color w:val="000000"/>
        </w:rPr>
        <w:t xml:space="preserve">. [online] GOV.UK. Available at: </w:t>
      </w:r>
      <w:hyperlink r:id="rId39" w:history="1">
        <w:r w:rsidR="00F4115B" w:rsidRPr="0043521D">
          <w:rPr>
            <w:rStyle w:val="Hyperlink"/>
          </w:rPr>
          <w:t>https://www.gov.uk/government/collections/households-below-average-income-hbai--2</w:t>
        </w:r>
      </w:hyperlink>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0E4A0C28" w14:textId="1A05B89F" w:rsidR="00DE1534" w:rsidRDefault="00DE1534" w:rsidP="00DE1534">
      <w:pPr>
        <w:pStyle w:val="NormalWeb"/>
        <w:spacing w:before="0" w:beforeAutospacing="0" w:after="240" w:afterAutospacing="0" w:line="360" w:lineRule="atLeast"/>
        <w:rPr>
          <w:color w:val="000000"/>
        </w:rPr>
      </w:pPr>
      <w:r>
        <w:rPr>
          <w:color w:val="000000"/>
        </w:rPr>
        <w:t>Duncan, M. (2023). How can early years practitioners support the care of young children living in poverty?</w:t>
      </w:r>
      <w:r>
        <w:rPr>
          <w:rStyle w:val="apple-converted-space"/>
          <w:color w:val="000000"/>
        </w:rPr>
        <w:t> </w:t>
      </w:r>
      <w:r>
        <w:rPr>
          <w:i/>
          <w:iCs/>
          <w:color w:val="000000"/>
        </w:rPr>
        <w:t>International Journal of Birth and Parent Education</w:t>
      </w:r>
      <w:r>
        <w:rPr>
          <w:color w:val="000000"/>
        </w:rPr>
        <w:t xml:space="preserve">, [online] 10(2), pp.3–7. Available at: </w:t>
      </w:r>
      <w:hyperlink r:id="rId40" w:history="1">
        <w:r w:rsidR="00F4115B" w:rsidRPr="0043521D">
          <w:rPr>
            <w:rStyle w:val="Hyperlink"/>
          </w:rPr>
          <w:t>http://eprints.worc.ac.uk/12794/</w:t>
        </w:r>
      </w:hyperlink>
      <w:r w:rsidR="00F4115B">
        <w:rPr>
          <w:color w:val="000000"/>
        </w:rPr>
        <w:t xml:space="preserve"> (</w:t>
      </w:r>
      <w:r>
        <w:rPr>
          <w:color w:val="000000"/>
        </w:rPr>
        <w:t>Accessed</w:t>
      </w:r>
      <w:r w:rsidR="00F4115B">
        <w:rPr>
          <w:color w:val="000000"/>
        </w:rPr>
        <w:t xml:space="preserve">: </w:t>
      </w:r>
      <w:r>
        <w:rPr>
          <w:color w:val="000000"/>
        </w:rPr>
        <w:t>15 Jun</w:t>
      </w:r>
      <w:r w:rsidR="00F4115B">
        <w:rPr>
          <w:color w:val="000000"/>
        </w:rPr>
        <w:t>e</w:t>
      </w:r>
      <w:r>
        <w:rPr>
          <w:color w:val="000000"/>
        </w:rPr>
        <w:t xml:space="preserve"> 2024</w:t>
      </w:r>
      <w:r w:rsidR="00F4115B">
        <w:rPr>
          <w:color w:val="000000"/>
        </w:rPr>
        <w:t>)</w:t>
      </w:r>
    </w:p>
    <w:p w14:paraId="49C111C1" w14:textId="015E6DA1" w:rsidR="00DE1534" w:rsidRDefault="00DE1534" w:rsidP="00DE1534">
      <w:pPr>
        <w:pStyle w:val="NormalWeb"/>
        <w:spacing w:before="0" w:beforeAutospacing="0" w:after="240" w:afterAutospacing="0" w:line="360" w:lineRule="atLeast"/>
        <w:rPr>
          <w:color w:val="000000"/>
        </w:rPr>
      </w:pPr>
      <w:r>
        <w:rPr>
          <w:color w:val="000000"/>
        </w:rPr>
        <w:t>Egan, D. (2016). Educational Equity in Wales.</w:t>
      </w:r>
      <w:r>
        <w:rPr>
          <w:rStyle w:val="apple-converted-space"/>
          <w:color w:val="000000"/>
        </w:rPr>
        <w:t> </w:t>
      </w:r>
      <w:r>
        <w:rPr>
          <w:i/>
          <w:iCs/>
          <w:color w:val="000000"/>
        </w:rPr>
        <w:t>Wales Journal of Education</w:t>
      </w:r>
      <w:r>
        <w:rPr>
          <w:color w:val="000000"/>
        </w:rPr>
        <w:t xml:space="preserve">, [online] 18(1). Available at: </w:t>
      </w:r>
      <w:hyperlink r:id="rId41" w:history="1">
        <w:r w:rsidR="00F4115B" w:rsidRPr="0043521D">
          <w:rPr>
            <w:rStyle w:val="Hyperlink"/>
          </w:rPr>
          <w:t>https://journal.uwp.co.uk/wje/article/id/335/</w:t>
        </w:r>
      </w:hyperlink>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0ED2EDEF" w14:textId="0CF100DA" w:rsidR="00DE1534" w:rsidRDefault="00DE1534" w:rsidP="00DE1534">
      <w:pPr>
        <w:pStyle w:val="NormalWeb"/>
        <w:spacing w:before="0" w:beforeAutospacing="0" w:after="240" w:afterAutospacing="0" w:line="360" w:lineRule="atLeast"/>
        <w:rPr>
          <w:color w:val="000000"/>
        </w:rPr>
      </w:pPr>
      <w:r>
        <w:rPr>
          <w:color w:val="000000"/>
        </w:rPr>
        <w:lastRenderedPageBreak/>
        <w:t>Fuller, J. and Loganathan, M. (2018). Poverty as a medical condition.</w:t>
      </w:r>
      <w:r>
        <w:rPr>
          <w:rStyle w:val="apple-converted-space"/>
          <w:color w:val="000000"/>
        </w:rPr>
        <w:t> </w:t>
      </w:r>
      <w:r>
        <w:rPr>
          <w:i/>
          <w:iCs/>
          <w:color w:val="000000"/>
        </w:rPr>
        <w:t>Canadian Medical Association Journal</w:t>
      </w:r>
      <w:r>
        <w:rPr>
          <w:color w:val="000000"/>
        </w:rPr>
        <w:t xml:space="preserve">, 190(34), </w:t>
      </w:r>
      <w:proofErr w:type="gramStart"/>
      <w:r>
        <w:rPr>
          <w:color w:val="000000"/>
        </w:rPr>
        <w:t>pp.E</w:t>
      </w:r>
      <w:proofErr w:type="gramEnd"/>
      <w:r>
        <w:rPr>
          <w:color w:val="000000"/>
        </w:rPr>
        <w:t xml:space="preserve">1022–E1022. </w:t>
      </w:r>
      <w:proofErr w:type="spellStart"/>
      <w:proofErr w:type="gramStart"/>
      <w:r>
        <w:rPr>
          <w:color w:val="000000"/>
        </w:rPr>
        <w:t>doi:https</w:t>
      </w:r>
      <w:proofErr w:type="spellEnd"/>
      <w:r>
        <w:rPr>
          <w:color w:val="000000"/>
        </w:rPr>
        <w:t>://doi.org/10.1503/cmaj.69637</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4CFEB4FA" w14:textId="188DA7C6" w:rsidR="00DE1534" w:rsidRDefault="00DE1534" w:rsidP="00DE1534">
      <w:pPr>
        <w:pStyle w:val="NormalWeb"/>
        <w:spacing w:before="0" w:beforeAutospacing="0" w:after="240" w:afterAutospacing="0" w:line="360" w:lineRule="atLeast"/>
        <w:rPr>
          <w:color w:val="000000"/>
        </w:rPr>
      </w:pPr>
      <w:r>
        <w:rPr>
          <w:color w:val="000000"/>
        </w:rPr>
        <w:t xml:space="preserve">Gay, B., </w:t>
      </w:r>
      <w:proofErr w:type="spellStart"/>
      <w:r>
        <w:rPr>
          <w:color w:val="000000"/>
        </w:rPr>
        <w:t>Sonnenschein</w:t>
      </w:r>
      <w:proofErr w:type="spellEnd"/>
      <w:r>
        <w:rPr>
          <w:color w:val="000000"/>
        </w:rPr>
        <w:t>, S., Sun, S. and Baker, L. (2020). Poverty, Parent Involvement, and Children’s Reading Skills: Testing the Compensatory Effect of the Amount of Classroom Reading Instruction.</w:t>
      </w:r>
      <w:r>
        <w:rPr>
          <w:rStyle w:val="apple-converted-space"/>
          <w:color w:val="000000"/>
        </w:rPr>
        <w:t> </w:t>
      </w:r>
      <w:r>
        <w:rPr>
          <w:i/>
          <w:iCs/>
          <w:color w:val="000000"/>
        </w:rPr>
        <w:t>Early Education and Development</w:t>
      </w:r>
      <w:r>
        <w:rPr>
          <w:color w:val="000000"/>
        </w:rPr>
        <w:t xml:space="preserve">, 32(7), pp.1–13. </w:t>
      </w:r>
      <w:proofErr w:type="spellStart"/>
      <w:proofErr w:type="gramStart"/>
      <w:r>
        <w:rPr>
          <w:color w:val="000000"/>
        </w:rPr>
        <w:t>doi:https</w:t>
      </w:r>
      <w:proofErr w:type="spellEnd"/>
      <w:r>
        <w:rPr>
          <w:color w:val="000000"/>
        </w:rPr>
        <w:t>://doi.org/10.1080/10409289.2020.1829292</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6271BBC7" w14:textId="0375378B" w:rsidR="00DE1534" w:rsidRDefault="00DE1534" w:rsidP="00DE1534">
      <w:pPr>
        <w:pStyle w:val="NormalWeb"/>
        <w:spacing w:before="0" w:beforeAutospacing="0" w:after="240" w:afterAutospacing="0" w:line="360" w:lineRule="atLeast"/>
        <w:rPr>
          <w:color w:val="000000"/>
        </w:rPr>
      </w:pPr>
      <w:r>
        <w:rPr>
          <w:color w:val="000000"/>
        </w:rPr>
        <w:t>Hair, N.L., Hanson, J.L., Wolfe, B.L. and Pollak, S.D. (2015). Association of Child Poverty, Brain Development, and Academic Achievement.</w:t>
      </w:r>
      <w:r>
        <w:rPr>
          <w:rStyle w:val="apple-converted-space"/>
          <w:color w:val="000000"/>
        </w:rPr>
        <w:t> </w:t>
      </w:r>
      <w:r>
        <w:rPr>
          <w:i/>
          <w:iCs/>
          <w:color w:val="000000"/>
        </w:rPr>
        <w:t xml:space="preserve">JAMA </w:t>
      </w:r>
      <w:proofErr w:type="spellStart"/>
      <w:r>
        <w:rPr>
          <w:i/>
          <w:iCs/>
          <w:color w:val="000000"/>
        </w:rPr>
        <w:t>Pediatrics</w:t>
      </w:r>
      <w:proofErr w:type="spellEnd"/>
      <w:r>
        <w:rPr>
          <w:color w:val="000000"/>
        </w:rPr>
        <w:t xml:space="preserve">, [online] 169(9), pp.822–829. </w:t>
      </w:r>
      <w:proofErr w:type="spellStart"/>
      <w:proofErr w:type="gramStart"/>
      <w:r>
        <w:rPr>
          <w:color w:val="000000"/>
        </w:rPr>
        <w:t>doi:https</w:t>
      </w:r>
      <w:proofErr w:type="spellEnd"/>
      <w:r>
        <w:rPr>
          <w:color w:val="000000"/>
        </w:rPr>
        <w:t>://doi.org/10.1001/jamapediatrics.2015.1475</w:t>
      </w:r>
      <w:proofErr w:type="gramEnd"/>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403D9CC8" w14:textId="340545E8" w:rsidR="00DE1534" w:rsidRDefault="00DE1534" w:rsidP="00DE1534">
      <w:pPr>
        <w:pStyle w:val="NormalWeb"/>
        <w:spacing w:before="0" w:beforeAutospacing="0" w:after="240" w:afterAutospacing="0" w:line="360" w:lineRule="atLeast"/>
        <w:rPr>
          <w:color w:val="000000"/>
        </w:rPr>
      </w:pPr>
      <w:r>
        <w:rPr>
          <w:color w:val="000000"/>
        </w:rPr>
        <w:t>Hines, C.T., Markowitz, A.J. and Johnson, A.D. (2021). Food Insecurity: What Are Its Effects, Why, and What Can Policy Do About It?</w:t>
      </w:r>
      <w:r>
        <w:rPr>
          <w:rStyle w:val="apple-converted-space"/>
          <w:color w:val="000000"/>
        </w:rPr>
        <w:t> </w:t>
      </w:r>
      <w:r>
        <w:rPr>
          <w:i/>
          <w:iCs/>
          <w:color w:val="000000"/>
        </w:rPr>
        <w:t xml:space="preserve">Policy Insights from the </w:t>
      </w:r>
      <w:proofErr w:type="spellStart"/>
      <w:r>
        <w:rPr>
          <w:i/>
          <w:iCs/>
          <w:color w:val="000000"/>
        </w:rPr>
        <w:t>Behavioral</w:t>
      </w:r>
      <w:proofErr w:type="spellEnd"/>
      <w:r>
        <w:rPr>
          <w:i/>
          <w:iCs/>
          <w:color w:val="000000"/>
        </w:rPr>
        <w:t xml:space="preserve"> and Brain Sciences</w:t>
      </w:r>
      <w:r>
        <w:rPr>
          <w:color w:val="000000"/>
        </w:rPr>
        <w:t xml:space="preserve">, 8(2), pp.127–135. </w:t>
      </w:r>
      <w:proofErr w:type="spellStart"/>
      <w:proofErr w:type="gramStart"/>
      <w:r>
        <w:rPr>
          <w:color w:val="000000"/>
        </w:rPr>
        <w:t>doi:https</w:t>
      </w:r>
      <w:proofErr w:type="spellEnd"/>
      <w:r>
        <w:rPr>
          <w:color w:val="000000"/>
        </w:rPr>
        <w:t>://doi.org/10.1177/23727322211032250</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16B4762E" w14:textId="0A97C81B" w:rsidR="00DE1534" w:rsidRDefault="00DE1534" w:rsidP="00DE1534">
      <w:pPr>
        <w:pStyle w:val="NormalWeb"/>
        <w:spacing w:before="0" w:beforeAutospacing="0" w:after="240" w:afterAutospacing="0" w:line="360" w:lineRule="atLeast"/>
        <w:rPr>
          <w:color w:val="000000"/>
        </w:rPr>
      </w:pPr>
      <w:r>
        <w:rPr>
          <w:color w:val="000000"/>
        </w:rPr>
        <w:t>Ho, L.L.K., Li, W.H.C., Cheung, A.T., Luo, Y., Xia, W. and Chung, J.O.K. (2022). Impact of Poverty on Parent–Child Relationships, Parental Stress, and Parenting Practices.</w:t>
      </w:r>
      <w:r>
        <w:rPr>
          <w:rStyle w:val="apple-converted-space"/>
          <w:color w:val="000000"/>
        </w:rPr>
        <w:t> </w:t>
      </w:r>
      <w:r>
        <w:rPr>
          <w:i/>
          <w:iCs/>
          <w:color w:val="000000"/>
        </w:rPr>
        <w:t>Frontiers in Public Health</w:t>
      </w:r>
      <w:r>
        <w:rPr>
          <w:color w:val="000000"/>
        </w:rPr>
        <w:t xml:space="preserve">, 10(849408). </w:t>
      </w:r>
      <w:proofErr w:type="spellStart"/>
      <w:proofErr w:type="gramStart"/>
      <w:r>
        <w:rPr>
          <w:color w:val="000000"/>
        </w:rPr>
        <w:t>doi:https</w:t>
      </w:r>
      <w:proofErr w:type="spellEnd"/>
      <w:r>
        <w:rPr>
          <w:color w:val="000000"/>
        </w:rPr>
        <w:t>://doi.org/10.3389/fpubh.2022.849408</w:t>
      </w:r>
      <w:proofErr w:type="gramEnd"/>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24268E2A" w14:textId="712664E6" w:rsidR="00DE1534" w:rsidRDefault="00DE1534" w:rsidP="00DE1534">
      <w:pPr>
        <w:pStyle w:val="NormalWeb"/>
        <w:spacing w:before="0" w:beforeAutospacing="0" w:after="240" w:afterAutospacing="0" w:line="360" w:lineRule="atLeast"/>
        <w:rPr>
          <w:color w:val="000000"/>
        </w:rPr>
      </w:pPr>
      <w:r>
        <w:rPr>
          <w:color w:val="000000"/>
        </w:rPr>
        <w:t>Jensen, S.K.G., Berens, A.E. and Nelson, C.A. (2017). Effects of poverty on interacting biological systems underlying child development.</w:t>
      </w:r>
      <w:r>
        <w:rPr>
          <w:rStyle w:val="apple-converted-space"/>
          <w:color w:val="000000"/>
        </w:rPr>
        <w:t> </w:t>
      </w:r>
      <w:r>
        <w:rPr>
          <w:i/>
          <w:iCs/>
          <w:color w:val="000000"/>
        </w:rPr>
        <w:t>The Lancet Child &amp; Adolescent Health</w:t>
      </w:r>
      <w:r>
        <w:rPr>
          <w:color w:val="000000"/>
        </w:rPr>
        <w:t xml:space="preserve">, [online] 1(3), pp.225–239. </w:t>
      </w:r>
      <w:proofErr w:type="spellStart"/>
      <w:proofErr w:type="gramStart"/>
      <w:r>
        <w:rPr>
          <w:color w:val="000000"/>
        </w:rPr>
        <w:t>doi:https</w:t>
      </w:r>
      <w:proofErr w:type="spellEnd"/>
      <w:r>
        <w:rPr>
          <w:color w:val="000000"/>
        </w:rPr>
        <w:t>://doi.org/10.1016/s2352-4642(17)30024-x</w:t>
      </w:r>
      <w:proofErr w:type="gramEnd"/>
      <w:r>
        <w:rPr>
          <w:color w:val="000000"/>
        </w:rPr>
        <w:t>.</w:t>
      </w:r>
      <w:r w:rsidR="00F4115B">
        <w:rPr>
          <w:color w:val="000000"/>
        </w:rPr>
        <w:t xml:space="preserve"> </w:t>
      </w:r>
      <w:r w:rsidR="00F4115B">
        <w:rPr>
          <w:color w:val="000000"/>
        </w:rPr>
        <w:t>(Accessed: 1</w:t>
      </w:r>
      <w:r w:rsidR="00F4115B">
        <w:rPr>
          <w:color w:val="000000"/>
        </w:rPr>
        <w:t>0</w:t>
      </w:r>
      <w:r w:rsidR="00F4115B">
        <w:rPr>
          <w:color w:val="000000"/>
          <w:vertAlign w:val="superscript"/>
        </w:rPr>
        <w:t>th</w:t>
      </w:r>
      <w:r w:rsidR="00F4115B">
        <w:rPr>
          <w:color w:val="000000"/>
        </w:rPr>
        <w:t xml:space="preserve"> June 2024)</w:t>
      </w:r>
    </w:p>
    <w:p w14:paraId="7628B7B9" w14:textId="48DFD37B" w:rsidR="00DE1534" w:rsidRDefault="00DE1534" w:rsidP="00DE1534">
      <w:pPr>
        <w:pStyle w:val="NormalWeb"/>
        <w:spacing w:before="0" w:beforeAutospacing="0" w:after="240" w:afterAutospacing="0" w:line="360" w:lineRule="atLeast"/>
        <w:rPr>
          <w:color w:val="000000"/>
        </w:rPr>
      </w:pPr>
      <w:r>
        <w:rPr>
          <w:color w:val="000000"/>
        </w:rPr>
        <w:t>Jones, N. (2023).</w:t>
      </w:r>
      <w:r>
        <w:rPr>
          <w:rStyle w:val="apple-converted-space"/>
          <w:color w:val="000000"/>
        </w:rPr>
        <w:t> </w:t>
      </w:r>
      <w:r>
        <w:rPr>
          <w:i/>
          <w:iCs/>
          <w:color w:val="000000"/>
        </w:rPr>
        <w:t>Progressive early-years approaches and the disadvantaged learner – the case of the Welsh Foundation Phase</w:t>
      </w:r>
      <w:r>
        <w:rPr>
          <w:color w:val="000000"/>
        </w:rPr>
        <w:t xml:space="preserve">. [online] orca.cardiff.ac.uk. Available at: https://orca.cardiff.ac.uk/id/eprint/166427/ </w:t>
      </w:r>
      <w:r w:rsidR="00F4115B">
        <w:rPr>
          <w:color w:val="000000"/>
        </w:rPr>
        <w:t>(</w:t>
      </w:r>
      <w:r>
        <w:rPr>
          <w:color w:val="000000"/>
        </w:rPr>
        <w:t>Accessed</w:t>
      </w:r>
      <w:r w:rsidR="00F4115B">
        <w:rPr>
          <w:color w:val="000000"/>
        </w:rPr>
        <w:t>:</w:t>
      </w:r>
      <w:r>
        <w:rPr>
          <w:color w:val="000000"/>
        </w:rPr>
        <w:t xml:space="preserve"> 19 </w:t>
      </w:r>
      <w:r w:rsidR="00F4115B">
        <w:rPr>
          <w:color w:val="000000"/>
        </w:rPr>
        <w:t>June</w:t>
      </w:r>
      <w:r>
        <w:rPr>
          <w:color w:val="000000"/>
        </w:rPr>
        <w:t xml:space="preserve"> 2024</w:t>
      </w:r>
      <w:r w:rsidR="00F4115B">
        <w:rPr>
          <w:color w:val="000000"/>
        </w:rPr>
        <w:t>)</w:t>
      </w:r>
    </w:p>
    <w:p w14:paraId="131D2594" w14:textId="3BEF5D7C" w:rsidR="00DE1534" w:rsidRDefault="00DE1534" w:rsidP="00DE1534">
      <w:pPr>
        <w:pStyle w:val="NormalWeb"/>
        <w:spacing w:before="0" w:beforeAutospacing="0" w:after="240" w:afterAutospacing="0" w:line="360" w:lineRule="atLeast"/>
        <w:rPr>
          <w:color w:val="000000"/>
        </w:rPr>
      </w:pPr>
      <w:proofErr w:type="spellStart"/>
      <w:r>
        <w:rPr>
          <w:color w:val="000000"/>
        </w:rPr>
        <w:t>Kranjac</w:t>
      </w:r>
      <w:proofErr w:type="spellEnd"/>
      <w:r>
        <w:rPr>
          <w:color w:val="000000"/>
        </w:rPr>
        <w:t xml:space="preserve">, A.W., Denney, J.T., Kimbro, R.T., Moffett, B.S. and Lopez, K.N. (2018). Child Obesity and the Interaction of Family and </w:t>
      </w:r>
      <w:proofErr w:type="spellStart"/>
      <w:r>
        <w:rPr>
          <w:color w:val="000000"/>
        </w:rPr>
        <w:t>Neighborhood</w:t>
      </w:r>
      <w:proofErr w:type="spellEnd"/>
      <w:r>
        <w:rPr>
          <w:color w:val="000000"/>
        </w:rPr>
        <w:t xml:space="preserve"> Socioeconomic Context.</w:t>
      </w:r>
      <w:r>
        <w:rPr>
          <w:rStyle w:val="apple-converted-space"/>
          <w:color w:val="000000"/>
        </w:rPr>
        <w:t> </w:t>
      </w:r>
      <w:r>
        <w:rPr>
          <w:i/>
          <w:iCs/>
          <w:color w:val="000000"/>
        </w:rPr>
        <w:t>Population Research and Policy Review</w:t>
      </w:r>
      <w:r>
        <w:rPr>
          <w:color w:val="000000"/>
        </w:rPr>
        <w:t xml:space="preserve">, 38(3), pp.347–369. </w:t>
      </w:r>
      <w:proofErr w:type="spellStart"/>
      <w:proofErr w:type="gramStart"/>
      <w:r>
        <w:rPr>
          <w:color w:val="000000"/>
        </w:rPr>
        <w:t>doi:https</w:t>
      </w:r>
      <w:proofErr w:type="spellEnd"/>
      <w:r>
        <w:rPr>
          <w:color w:val="000000"/>
        </w:rPr>
        <w:t>://doi.org/10.1007/s11113-018-9504-2</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60374B7F" w14:textId="7FE24021" w:rsidR="00DE1534" w:rsidRDefault="00DE1534" w:rsidP="00DE1534">
      <w:pPr>
        <w:pStyle w:val="NormalWeb"/>
        <w:spacing w:before="0" w:beforeAutospacing="0" w:after="240" w:afterAutospacing="0" w:line="360" w:lineRule="atLeast"/>
        <w:rPr>
          <w:color w:val="000000"/>
        </w:rPr>
      </w:pPr>
      <w:r>
        <w:rPr>
          <w:color w:val="000000"/>
        </w:rPr>
        <w:t>Lee, K. and Zhang, L. (2021). Cumulative Effects of Poverty on Children’s Social-Emotional Development: Absolute Poverty and Relative Poverty.</w:t>
      </w:r>
      <w:r>
        <w:rPr>
          <w:rStyle w:val="apple-converted-space"/>
          <w:color w:val="000000"/>
        </w:rPr>
        <w:t> </w:t>
      </w:r>
      <w:r>
        <w:rPr>
          <w:i/>
          <w:iCs/>
          <w:color w:val="000000"/>
        </w:rPr>
        <w:t>Community Mental Health Journal</w:t>
      </w:r>
      <w:r>
        <w:rPr>
          <w:color w:val="000000"/>
        </w:rPr>
        <w:t xml:space="preserve">, 58(5). </w:t>
      </w:r>
      <w:proofErr w:type="spellStart"/>
      <w:proofErr w:type="gramStart"/>
      <w:r>
        <w:rPr>
          <w:color w:val="000000"/>
        </w:rPr>
        <w:t>doi:https</w:t>
      </w:r>
      <w:proofErr w:type="spellEnd"/>
      <w:r>
        <w:rPr>
          <w:color w:val="000000"/>
        </w:rPr>
        <w:t>://doi.org/10.1007/s10597-021-00901-x</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445831D6" w14:textId="01D912D2" w:rsidR="00DE1534" w:rsidRDefault="00DE1534" w:rsidP="00DE1534">
      <w:pPr>
        <w:pStyle w:val="NormalWeb"/>
        <w:spacing w:before="0" w:beforeAutospacing="0" w:after="240" w:afterAutospacing="0" w:line="360" w:lineRule="atLeast"/>
        <w:rPr>
          <w:color w:val="000000"/>
        </w:rPr>
      </w:pPr>
      <w:r>
        <w:rPr>
          <w:color w:val="000000"/>
        </w:rPr>
        <w:lastRenderedPageBreak/>
        <w:t xml:space="preserve">Lewis, A. (2021). Understanding how practitioners in Wales assess well-being in the early </w:t>
      </w:r>
      <w:proofErr w:type="gramStart"/>
      <w:r>
        <w:rPr>
          <w:color w:val="000000"/>
        </w:rPr>
        <w:t>years</w:t>
      </w:r>
      <w:proofErr w:type="gramEnd"/>
      <w:r>
        <w:rPr>
          <w:color w:val="000000"/>
        </w:rPr>
        <w:t xml:space="preserve"> curriculum.</w:t>
      </w:r>
      <w:r>
        <w:rPr>
          <w:rStyle w:val="apple-converted-space"/>
          <w:color w:val="000000"/>
        </w:rPr>
        <w:t> </w:t>
      </w:r>
      <w:r>
        <w:rPr>
          <w:i/>
          <w:iCs/>
          <w:color w:val="000000"/>
        </w:rPr>
        <w:t>Education 3-13</w:t>
      </w:r>
      <w:r>
        <w:rPr>
          <w:color w:val="000000"/>
        </w:rPr>
        <w:t xml:space="preserve">, pp.1–13. </w:t>
      </w:r>
      <w:proofErr w:type="spellStart"/>
      <w:proofErr w:type="gramStart"/>
      <w:r>
        <w:rPr>
          <w:color w:val="000000"/>
        </w:rPr>
        <w:t>doi:https</w:t>
      </w:r>
      <w:proofErr w:type="spellEnd"/>
      <w:r>
        <w:rPr>
          <w:color w:val="000000"/>
        </w:rPr>
        <w:t>://doi.org/10.1080/03004279.2021.2011943</w:t>
      </w:r>
      <w:proofErr w:type="gramEnd"/>
      <w:r>
        <w:rPr>
          <w:color w:val="000000"/>
        </w:rPr>
        <w:t>.</w:t>
      </w:r>
      <w:r w:rsidR="00F4115B">
        <w:rPr>
          <w:color w:val="000000"/>
        </w:rPr>
        <w:t xml:space="preserve"> </w:t>
      </w:r>
      <w:r w:rsidR="00F4115B">
        <w:rPr>
          <w:color w:val="000000"/>
        </w:rPr>
        <w:t>(Accessed: 1</w:t>
      </w:r>
      <w:r w:rsidR="00F4115B">
        <w:rPr>
          <w:color w:val="000000"/>
        </w:rPr>
        <w:t>2</w:t>
      </w:r>
      <w:r w:rsidR="00F4115B">
        <w:rPr>
          <w:color w:val="000000"/>
          <w:vertAlign w:val="superscript"/>
        </w:rPr>
        <w:t>th</w:t>
      </w:r>
      <w:r w:rsidR="00F4115B">
        <w:rPr>
          <w:color w:val="000000"/>
        </w:rPr>
        <w:t xml:space="preserve"> June 2024)</w:t>
      </w:r>
    </w:p>
    <w:p w14:paraId="067CAB66" w14:textId="5AE822EE" w:rsidR="00DE1534" w:rsidRDefault="00DE1534" w:rsidP="00DE1534">
      <w:pPr>
        <w:pStyle w:val="NormalWeb"/>
        <w:spacing w:before="0" w:beforeAutospacing="0" w:after="240" w:afterAutospacing="0" w:line="360" w:lineRule="atLeast"/>
        <w:rPr>
          <w:color w:val="000000"/>
        </w:rPr>
      </w:pPr>
      <w:r>
        <w:rPr>
          <w:color w:val="000000"/>
        </w:rPr>
        <w:t xml:space="preserve">Libor, G.A. and </w:t>
      </w:r>
      <w:proofErr w:type="spellStart"/>
      <w:r>
        <w:rPr>
          <w:color w:val="000000"/>
        </w:rPr>
        <w:t>Nowalska-Kapuścik</w:t>
      </w:r>
      <w:proofErr w:type="spellEnd"/>
      <w:r>
        <w:rPr>
          <w:color w:val="000000"/>
        </w:rPr>
        <w:t>, D. (2015).</w:t>
      </w:r>
      <w:r>
        <w:rPr>
          <w:rStyle w:val="apple-converted-space"/>
          <w:color w:val="000000"/>
        </w:rPr>
        <w:t> </w:t>
      </w:r>
      <w:r>
        <w:rPr>
          <w:i/>
          <w:iCs/>
          <w:color w:val="000000"/>
        </w:rPr>
        <w:t xml:space="preserve">Poor </w:t>
      </w:r>
      <w:proofErr w:type="gramStart"/>
      <w:r>
        <w:rPr>
          <w:i/>
          <w:iCs/>
          <w:color w:val="000000"/>
        </w:rPr>
        <w:t>Europe :</w:t>
      </w:r>
      <w:proofErr w:type="gramEnd"/>
      <w:r>
        <w:rPr>
          <w:i/>
          <w:iCs/>
          <w:color w:val="000000"/>
        </w:rPr>
        <w:t xml:space="preserve"> the problem of poverty in chosen European countries</w:t>
      </w:r>
      <w:r>
        <w:rPr>
          <w:color w:val="000000"/>
        </w:rPr>
        <w:t xml:space="preserve">. [online] Katowice: null. Available at: </w:t>
      </w:r>
      <w:hyperlink r:id="rId42" w:history="1">
        <w:r w:rsidR="00F4115B" w:rsidRPr="0043521D">
          <w:rPr>
            <w:rStyle w:val="Hyperlink"/>
          </w:rPr>
          <w:t>https://opus.us.edu.pl/info/article/USLd84cf940ae7c45bb9c811822184c852b/</w:t>
        </w:r>
      </w:hyperlink>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77C8148F" w14:textId="53E29AD3" w:rsidR="00DE1534" w:rsidRDefault="00DE1534" w:rsidP="00DE1534">
      <w:pPr>
        <w:pStyle w:val="NormalWeb"/>
        <w:spacing w:before="0" w:beforeAutospacing="0" w:after="240" w:afterAutospacing="0" w:line="360" w:lineRule="atLeast"/>
        <w:rPr>
          <w:color w:val="000000"/>
        </w:rPr>
      </w:pPr>
      <w:r>
        <w:rPr>
          <w:color w:val="000000"/>
        </w:rPr>
        <w:t>Lyndon, S. (2020). Early years practitioners’ personal and professional narratives of poverty.</w:t>
      </w:r>
      <w:r>
        <w:rPr>
          <w:rStyle w:val="apple-converted-space"/>
          <w:color w:val="000000"/>
        </w:rPr>
        <w:t> </w:t>
      </w:r>
      <w:r>
        <w:rPr>
          <w:i/>
          <w:iCs/>
          <w:color w:val="000000"/>
        </w:rPr>
        <w:t>International Journal of Early Years Education</w:t>
      </w:r>
      <w:r>
        <w:rPr>
          <w:color w:val="000000"/>
        </w:rPr>
        <w:t xml:space="preserve">, 30(2), pp.1–14. </w:t>
      </w:r>
      <w:proofErr w:type="spellStart"/>
      <w:proofErr w:type="gramStart"/>
      <w:r>
        <w:rPr>
          <w:color w:val="000000"/>
        </w:rPr>
        <w:t>doi:https</w:t>
      </w:r>
      <w:proofErr w:type="spellEnd"/>
      <w:r>
        <w:rPr>
          <w:color w:val="000000"/>
        </w:rPr>
        <w:t>://doi.org/10.1080/09669760.2020.1782175</w:t>
      </w:r>
      <w:proofErr w:type="gramEnd"/>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51C9AE1B" w14:textId="46733492" w:rsidR="00DE1534" w:rsidRDefault="00DE1534" w:rsidP="00DE1534">
      <w:pPr>
        <w:pStyle w:val="NormalWeb"/>
        <w:spacing w:before="0" w:beforeAutospacing="0" w:after="240" w:afterAutospacing="0" w:line="360" w:lineRule="atLeast"/>
        <w:rPr>
          <w:color w:val="000000"/>
        </w:rPr>
      </w:pPr>
      <w:proofErr w:type="spellStart"/>
      <w:r>
        <w:rPr>
          <w:color w:val="000000"/>
        </w:rPr>
        <w:t>Manago</w:t>
      </w:r>
      <w:proofErr w:type="spellEnd"/>
      <w:r>
        <w:rPr>
          <w:color w:val="000000"/>
        </w:rPr>
        <w:t xml:space="preserve">, B., Davis, J.L. and </w:t>
      </w:r>
      <w:proofErr w:type="spellStart"/>
      <w:r>
        <w:rPr>
          <w:color w:val="000000"/>
        </w:rPr>
        <w:t>Goar</w:t>
      </w:r>
      <w:proofErr w:type="spellEnd"/>
      <w:r>
        <w:rPr>
          <w:color w:val="000000"/>
        </w:rPr>
        <w:t>, C. (2017). Discourse in Action: Parents’ use of medical and social models to resist disability stigma.</w:t>
      </w:r>
      <w:r>
        <w:rPr>
          <w:rStyle w:val="apple-converted-space"/>
          <w:color w:val="000000"/>
        </w:rPr>
        <w:t> </w:t>
      </w:r>
      <w:r>
        <w:rPr>
          <w:i/>
          <w:iCs/>
          <w:color w:val="000000"/>
        </w:rPr>
        <w:t>Social Science &amp; Medicine</w:t>
      </w:r>
      <w:r>
        <w:rPr>
          <w:color w:val="000000"/>
        </w:rPr>
        <w:t xml:space="preserve">, 184(184), pp.169–177. </w:t>
      </w:r>
      <w:proofErr w:type="spellStart"/>
      <w:proofErr w:type="gramStart"/>
      <w:r>
        <w:rPr>
          <w:color w:val="000000"/>
        </w:rPr>
        <w:t>doi:https</w:t>
      </w:r>
      <w:proofErr w:type="spellEnd"/>
      <w:r>
        <w:rPr>
          <w:color w:val="000000"/>
        </w:rPr>
        <w:t>://doi.org/10.1016/j.socscimed.2017.05.015</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41291AE6" w14:textId="4E7C23D8" w:rsidR="00DE1534" w:rsidRDefault="00DE1534" w:rsidP="00DE1534">
      <w:pPr>
        <w:pStyle w:val="NormalWeb"/>
        <w:spacing w:before="0" w:beforeAutospacing="0" w:after="240" w:afterAutospacing="0" w:line="360" w:lineRule="atLeast"/>
        <w:rPr>
          <w:color w:val="000000"/>
        </w:rPr>
      </w:pPr>
      <w:r>
        <w:rPr>
          <w:color w:val="000000"/>
        </w:rPr>
        <w:t>McKinney, S. (2014). The relationship of child poverty to school education.</w:t>
      </w:r>
      <w:r>
        <w:rPr>
          <w:rStyle w:val="apple-converted-space"/>
          <w:color w:val="000000"/>
        </w:rPr>
        <w:t> </w:t>
      </w:r>
      <w:r>
        <w:rPr>
          <w:i/>
          <w:iCs/>
          <w:color w:val="000000"/>
        </w:rPr>
        <w:t>Improving Schools</w:t>
      </w:r>
      <w:r>
        <w:rPr>
          <w:color w:val="000000"/>
        </w:rPr>
        <w:t xml:space="preserve">, 17(3), pp.203–216. </w:t>
      </w:r>
      <w:proofErr w:type="spellStart"/>
      <w:proofErr w:type="gramStart"/>
      <w:r>
        <w:rPr>
          <w:color w:val="000000"/>
        </w:rPr>
        <w:t>doi:https</w:t>
      </w:r>
      <w:proofErr w:type="spellEnd"/>
      <w:r>
        <w:rPr>
          <w:color w:val="000000"/>
        </w:rPr>
        <w:t>://doi.org/10.1177/1365480214553742</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60F9C245" w14:textId="4E6613C9" w:rsidR="00DE1534" w:rsidRDefault="00DE1534" w:rsidP="00DE1534">
      <w:pPr>
        <w:pStyle w:val="NormalWeb"/>
        <w:spacing w:before="0" w:beforeAutospacing="0" w:after="240" w:afterAutospacing="0" w:line="360" w:lineRule="atLeast"/>
        <w:rPr>
          <w:color w:val="000000"/>
        </w:rPr>
      </w:pPr>
      <w:proofErr w:type="spellStart"/>
      <w:r>
        <w:rPr>
          <w:color w:val="000000"/>
        </w:rPr>
        <w:t>Menestrel</w:t>
      </w:r>
      <w:proofErr w:type="spellEnd"/>
      <w:r>
        <w:rPr>
          <w:color w:val="000000"/>
        </w:rPr>
        <w:t>, S.L. and Duncan, G. (2019).</w:t>
      </w:r>
      <w:r>
        <w:rPr>
          <w:rStyle w:val="apple-converted-space"/>
          <w:color w:val="000000"/>
        </w:rPr>
        <w:t> </w:t>
      </w:r>
      <w:r>
        <w:rPr>
          <w:i/>
          <w:iCs/>
          <w:color w:val="000000"/>
        </w:rPr>
        <w:t>Consequences of Child Poverty</w:t>
      </w:r>
      <w:r>
        <w:rPr>
          <w:color w:val="000000"/>
        </w:rPr>
        <w:t>. [online]</w:t>
      </w:r>
      <w:r>
        <w:rPr>
          <w:rStyle w:val="apple-converted-space"/>
          <w:color w:val="000000"/>
        </w:rPr>
        <w:t> </w:t>
      </w:r>
      <w:r>
        <w:rPr>
          <w:i/>
          <w:iCs/>
          <w:color w:val="000000"/>
        </w:rPr>
        <w:t>www.ncbi.nlm.nih.gov</w:t>
      </w:r>
      <w:r>
        <w:rPr>
          <w:color w:val="000000"/>
        </w:rPr>
        <w:t xml:space="preserve">. National Academies Press (US). Available at: </w:t>
      </w:r>
      <w:hyperlink r:id="rId43" w:history="1">
        <w:r w:rsidR="00F4115B" w:rsidRPr="0043521D">
          <w:rPr>
            <w:rStyle w:val="Hyperlink"/>
          </w:rPr>
          <w:t>https://www.ncbi.nlm.nih.gov/books/NBK547371/</w:t>
        </w:r>
      </w:hyperlink>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689EAD4D" w14:textId="121367A9" w:rsidR="00DE1534" w:rsidRDefault="00DE1534" w:rsidP="00DE1534">
      <w:pPr>
        <w:pStyle w:val="NormalWeb"/>
        <w:spacing w:before="0" w:beforeAutospacing="0" w:after="240" w:afterAutospacing="0" w:line="360" w:lineRule="atLeast"/>
        <w:rPr>
          <w:color w:val="000000"/>
        </w:rPr>
      </w:pPr>
      <w:r>
        <w:rPr>
          <w:color w:val="000000"/>
        </w:rPr>
        <w:t>Moore, R.C. (2019).</w:t>
      </w:r>
      <w:r>
        <w:rPr>
          <w:rStyle w:val="apple-converted-space"/>
          <w:color w:val="000000"/>
        </w:rPr>
        <w:t> </w:t>
      </w:r>
      <w:r>
        <w:rPr>
          <w:i/>
          <w:iCs/>
          <w:color w:val="000000"/>
        </w:rPr>
        <w:t xml:space="preserve">CHILDHOOD’S </w:t>
      </w:r>
      <w:proofErr w:type="gramStart"/>
      <w:r>
        <w:rPr>
          <w:i/>
          <w:iCs/>
          <w:color w:val="000000"/>
        </w:rPr>
        <w:t>DOMAIN :</w:t>
      </w:r>
      <w:proofErr w:type="gramEnd"/>
      <w:r>
        <w:rPr>
          <w:i/>
          <w:iCs/>
          <w:color w:val="000000"/>
        </w:rPr>
        <w:t xml:space="preserve"> play and place in child development.</w:t>
      </w:r>
      <w:r>
        <w:rPr>
          <w:rStyle w:val="apple-converted-space"/>
          <w:color w:val="000000"/>
        </w:rPr>
        <w:t> </w:t>
      </w:r>
      <w:r>
        <w:rPr>
          <w:color w:val="000000"/>
        </w:rPr>
        <w:t>S.L.: Routledge.</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2A6B53D1" w14:textId="4AACD37A" w:rsidR="00DE1534" w:rsidRDefault="00DE1534" w:rsidP="00DE1534">
      <w:pPr>
        <w:pStyle w:val="NormalWeb"/>
        <w:spacing w:before="0" w:beforeAutospacing="0" w:after="240" w:afterAutospacing="0" w:line="360" w:lineRule="atLeast"/>
        <w:rPr>
          <w:color w:val="000000"/>
        </w:rPr>
      </w:pPr>
      <w:r>
        <w:rPr>
          <w:color w:val="000000"/>
        </w:rPr>
        <w:t xml:space="preserve">Mortimer, J., Zhang, F., </w:t>
      </w:r>
      <w:proofErr w:type="spellStart"/>
      <w:r>
        <w:rPr>
          <w:color w:val="000000"/>
        </w:rPr>
        <w:t>Hussemann</w:t>
      </w:r>
      <w:proofErr w:type="spellEnd"/>
      <w:r>
        <w:rPr>
          <w:color w:val="000000"/>
        </w:rPr>
        <w:t>, J. and Wu, C.-Y. (2014). Parental economic hardship and children’s achievement orientations.</w:t>
      </w:r>
      <w:r>
        <w:rPr>
          <w:rStyle w:val="apple-converted-space"/>
          <w:color w:val="000000"/>
        </w:rPr>
        <w:t> </w:t>
      </w:r>
      <w:r>
        <w:rPr>
          <w:i/>
          <w:iCs/>
          <w:color w:val="000000"/>
        </w:rPr>
        <w:t>Longitudinal and Life Course Studies</w:t>
      </w:r>
      <w:r>
        <w:rPr>
          <w:color w:val="000000"/>
        </w:rPr>
        <w:t xml:space="preserve">, [online] 5(2). </w:t>
      </w:r>
      <w:proofErr w:type="spellStart"/>
      <w:proofErr w:type="gramStart"/>
      <w:r>
        <w:rPr>
          <w:color w:val="000000"/>
        </w:rPr>
        <w:t>doi:https</w:t>
      </w:r>
      <w:proofErr w:type="spellEnd"/>
      <w:r>
        <w:rPr>
          <w:color w:val="000000"/>
        </w:rPr>
        <w:t>://doi.org/10.14301/llcs.v5i2.271</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727B4187" w14:textId="1E74E2A4" w:rsidR="00DE1534" w:rsidRDefault="00DE1534" w:rsidP="00DE1534">
      <w:pPr>
        <w:pStyle w:val="NormalWeb"/>
        <w:spacing w:before="0" w:beforeAutospacing="0" w:after="240" w:afterAutospacing="0" w:line="360" w:lineRule="atLeast"/>
        <w:rPr>
          <w:color w:val="000000"/>
        </w:rPr>
      </w:pPr>
      <w:r>
        <w:rPr>
          <w:color w:val="000000"/>
        </w:rPr>
        <w:t>NHS (2021).</w:t>
      </w:r>
      <w:r>
        <w:rPr>
          <w:rStyle w:val="apple-converted-space"/>
          <w:color w:val="000000"/>
        </w:rPr>
        <w:t> </w:t>
      </w:r>
      <w:r>
        <w:rPr>
          <w:i/>
          <w:iCs/>
          <w:color w:val="000000"/>
        </w:rPr>
        <w:t>The National Child Measurement Programme</w:t>
      </w:r>
      <w:r>
        <w:rPr>
          <w:color w:val="000000"/>
        </w:rPr>
        <w:t xml:space="preserve">. [online] nhs.uk. Available at: </w:t>
      </w:r>
      <w:hyperlink r:id="rId44" w:history="1">
        <w:r w:rsidR="00F4115B" w:rsidRPr="0043521D">
          <w:rPr>
            <w:rStyle w:val="Hyperlink"/>
          </w:rPr>
          <w:t>https://www.nhs.uk/live-well/healthy-weight/childrens-weight/national-child-measurement-programme/</w:t>
        </w:r>
      </w:hyperlink>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7D8DD89E" w14:textId="3C09D4C4" w:rsidR="00DE1534" w:rsidRDefault="00DE1534" w:rsidP="00DE1534">
      <w:pPr>
        <w:pStyle w:val="NormalWeb"/>
        <w:spacing w:before="0" w:beforeAutospacing="0" w:after="240" w:afterAutospacing="0" w:line="360" w:lineRule="atLeast"/>
        <w:rPr>
          <w:color w:val="000000"/>
        </w:rPr>
      </w:pPr>
      <w:proofErr w:type="spellStart"/>
      <w:proofErr w:type="gramStart"/>
      <w:r>
        <w:rPr>
          <w:color w:val="000000"/>
        </w:rPr>
        <w:t>Ph.D</w:t>
      </w:r>
      <w:proofErr w:type="spellEnd"/>
      <w:proofErr w:type="gramEnd"/>
      <w:r>
        <w:rPr>
          <w:color w:val="000000"/>
        </w:rPr>
        <w:t xml:space="preserve">, E.T.G., Mistry, R. and </w:t>
      </w:r>
      <w:proofErr w:type="spellStart"/>
      <w:r>
        <w:rPr>
          <w:color w:val="000000"/>
        </w:rPr>
        <w:t>Ph.D</w:t>
      </w:r>
      <w:proofErr w:type="spellEnd"/>
      <w:r>
        <w:rPr>
          <w:color w:val="000000"/>
        </w:rPr>
        <w:t>, D.A.C. (2014).</w:t>
      </w:r>
      <w:r>
        <w:rPr>
          <w:rStyle w:val="apple-converted-space"/>
          <w:color w:val="000000"/>
        </w:rPr>
        <w:t> </w:t>
      </w:r>
      <w:r>
        <w:rPr>
          <w:i/>
          <w:iCs/>
          <w:color w:val="000000"/>
        </w:rPr>
        <w:t>Societal Contexts of Child Development: Pathways of Influence and Implications for Practice and Policy</w:t>
      </w:r>
      <w:r>
        <w:rPr>
          <w:color w:val="000000"/>
        </w:rPr>
        <w:t>. [online]</w:t>
      </w:r>
      <w:r>
        <w:rPr>
          <w:rStyle w:val="apple-converted-space"/>
          <w:color w:val="000000"/>
        </w:rPr>
        <w:t> </w:t>
      </w:r>
      <w:r>
        <w:rPr>
          <w:i/>
          <w:iCs/>
          <w:color w:val="000000"/>
        </w:rPr>
        <w:t>Google Books</w:t>
      </w:r>
      <w:r>
        <w:rPr>
          <w:color w:val="000000"/>
        </w:rPr>
        <w:t xml:space="preserve">. OUP USA. Available at: </w:t>
      </w:r>
      <w:hyperlink r:id="rId45" w:history="1">
        <w:r w:rsidR="00F4115B" w:rsidRPr="0043521D">
          <w:rPr>
            <w:rStyle w:val="Hyperlink"/>
          </w:rPr>
          <w:t>https://books.google.co.uk/books?hl=en&amp;lr=&amp;id=oV0GAQAAQBAJ&amp;oi=fnd&amp;pg=PA109&amp;</w:t>
        </w:r>
        <w:r w:rsidR="00F4115B" w:rsidRPr="0043521D">
          <w:rPr>
            <w:rStyle w:val="Hyperlink"/>
          </w:rPr>
          <w:lastRenderedPageBreak/>
          <w:t>dq=poverty+in+children+development&amp;ots=yVYiasDfOh&amp;sig=PcyaQ5S9wYCdmpEnOCSdbdP6yHQ&amp;redir_esc=y#v=onepage&amp;q=poverty%20in%20children%20development&amp;f=false</w:t>
        </w:r>
      </w:hyperlink>
      <w:r w:rsidR="00F4115B">
        <w:rPr>
          <w:color w:val="000000"/>
        </w:rPr>
        <w:t xml:space="preserve"> </w:t>
      </w:r>
      <w:r>
        <w:rPr>
          <w:color w:val="000000"/>
        </w:rPr>
        <w:t xml:space="preserve"> </w:t>
      </w:r>
      <w:r w:rsidR="00F4115B">
        <w:rPr>
          <w:color w:val="000000"/>
        </w:rPr>
        <w:t>(</w:t>
      </w:r>
      <w:r>
        <w:rPr>
          <w:color w:val="000000"/>
        </w:rPr>
        <w:t>Accessed</w:t>
      </w:r>
      <w:r w:rsidR="00F4115B">
        <w:rPr>
          <w:color w:val="000000"/>
        </w:rPr>
        <w:t xml:space="preserve">: </w:t>
      </w:r>
      <w:r>
        <w:rPr>
          <w:color w:val="000000"/>
        </w:rPr>
        <w:t>15 Jun</w:t>
      </w:r>
      <w:r w:rsidR="00F4115B">
        <w:rPr>
          <w:color w:val="000000"/>
        </w:rPr>
        <w:t xml:space="preserve">e </w:t>
      </w:r>
      <w:r>
        <w:rPr>
          <w:color w:val="000000"/>
        </w:rPr>
        <w:t>2024</w:t>
      </w:r>
      <w:r w:rsidR="00F4115B">
        <w:rPr>
          <w:color w:val="000000"/>
        </w:rPr>
        <w:t>)</w:t>
      </w:r>
    </w:p>
    <w:p w14:paraId="45BC19E9" w14:textId="54BDA709" w:rsidR="00DE1534" w:rsidRDefault="00DE1534" w:rsidP="00DE1534">
      <w:pPr>
        <w:pStyle w:val="NormalWeb"/>
        <w:spacing w:before="0" w:beforeAutospacing="0" w:after="240" w:afterAutospacing="0" w:line="360" w:lineRule="atLeast"/>
        <w:rPr>
          <w:color w:val="000000"/>
        </w:rPr>
      </w:pPr>
      <w:r>
        <w:rPr>
          <w:color w:val="000000"/>
        </w:rPr>
        <w:t>Power, S., Newton, N. and Taylor, C. (2020). ‘Successful futures’ for all in Wales? The challenges of curriculum reform for addressing educational inequalities.</w:t>
      </w:r>
      <w:r>
        <w:rPr>
          <w:rStyle w:val="apple-converted-space"/>
          <w:color w:val="000000"/>
        </w:rPr>
        <w:t> </w:t>
      </w:r>
      <w:r>
        <w:rPr>
          <w:i/>
          <w:iCs/>
          <w:color w:val="000000"/>
        </w:rPr>
        <w:t>The Curriculum Journal</w:t>
      </w:r>
      <w:r>
        <w:rPr>
          <w:color w:val="000000"/>
        </w:rPr>
        <w:t xml:space="preserve">, 31(2). </w:t>
      </w:r>
      <w:proofErr w:type="spellStart"/>
      <w:proofErr w:type="gramStart"/>
      <w:r>
        <w:rPr>
          <w:color w:val="000000"/>
        </w:rPr>
        <w:t>doi:https</w:t>
      </w:r>
      <w:proofErr w:type="spellEnd"/>
      <w:r>
        <w:rPr>
          <w:color w:val="000000"/>
        </w:rPr>
        <w:t>://doi.org/10.1002/curj.39</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5C3AEADE" w14:textId="2EF2A355" w:rsidR="00DE1534" w:rsidRDefault="00DE1534" w:rsidP="00DE1534">
      <w:pPr>
        <w:pStyle w:val="NormalWeb"/>
        <w:spacing w:before="0" w:beforeAutospacing="0" w:after="240" w:afterAutospacing="0" w:line="360" w:lineRule="atLeast"/>
        <w:rPr>
          <w:color w:val="000000"/>
        </w:rPr>
      </w:pPr>
      <w:r>
        <w:rPr>
          <w:color w:val="000000"/>
        </w:rPr>
        <w:t>Rees, G. and Rees, T.L. (2023).</w:t>
      </w:r>
      <w:r>
        <w:rPr>
          <w:rStyle w:val="apple-converted-space"/>
          <w:color w:val="000000"/>
        </w:rPr>
        <w:t> </w:t>
      </w:r>
      <w:r>
        <w:rPr>
          <w:i/>
          <w:iCs/>
          <w:color w:val="000000"/>
        </w:rPr>
        <w:t>Poverty and Social Inequality in Wales</w:t>
      </w:r>
      <w:r>
        <w:rPr>
          <w:color w:val="000000"/>
        </w:rPr>
        <w:t>. [online]</w:t>
      </w:r>
      <w:r>
        <w:rPr>
          <w:rStyle w:val="apple-converted-space"/>
          <w:color w:val="000000"/>
        </w:rPr>
        <w:t> </w:t>
      </w:r>
      <w:r>
        <w:rPr>
          <w:i/>
          <w:iCs/>
          <w:color w:val="000000"/>
        </w:rPr>
        <w:t>Google Books</w:t>
      </w:r>
      <w:r>
        <w:rPr>
          <w:color w:val="000000"/>
        </w:rPr>
        <w:t xml:space="preserve">. Taylor &amp; Francis. Available at: </w:t>
      </w:r>
      <w:hyperlink r:id="rId46" w:history="1">
        <w:r w:rsidR="00F4115B" w:rsidRPr="0043521D">
          <w:rPr>
            <w:rStyle w:val="Hyperlink"/>
          </w:rPr>
          <w:t>https://books.google.co.uk/books?hl=en&amp;lr=&amp;id=zoOsEAAAQBAJ&amp;oi=fnd&amp;pg=PT10&amp;dq=7+core+aims+Wales+on+poverty&amp;ots=QAYvxpD0ef&amp;sig=Fl274N5z5ZXEUftnZtG2SBFbChs&amp;redir_esc=y#v=onepage&amp;q=7%20core%20aims%20Wales%20on%20poverty&amp;f=false</w:t>
        </w:r>
      </w:hyperlink>
      <w:r w:rsidR="00F4115B">
        <w:rPr>
          <w:color w:val="000000"/>
        </w:rPr>
        <w:t xml:space="preserve"> </w:t>
      </w:r>
      <w:r>
        <w:rPr>
          <w:color w:val="000000"/>
        </w:rPr>
        <w:t xml:space="preserve"> </w:t>
      </w:r>
      <w:r w:rsidR="00F4115B">
        <w:rPr>
          <w:color w:val="000000"/>
        </w:rPr>
        <w:t>(</w:t>
      </w:r>
      <w:r>
        <w:rPr>
          <w:color w:val="000000"/>
        </w:rPr>
        <w:t>Accessed</w:t>
      </w:r>
      <w:r w:rsidR="00F4115B">
        <w:rPr>
          <w:color w:val="000000"/>
        </w:rPr>
        <w:t xml:space="preserve">: </w:t>
      </w:r>
      <w:r>
        <w:rPr>
          <w:color w:val="000000"/>
        </w:rPr>
        <w:t>15 Jun</w:t>
      </w:r>
      <w:r w:rsidR="00F4115B">
        <w:rPr>
          <w:color w:val="000000"/>
        </w:rPr>
        <w:t xml:space="preserve">e </w:t>
      </w:r>
      <w:r>
        <w:rPr>
          <w:color w:val="000000"/>
        </w:rPr>
        <w:t>2024</w:t>
      </w:r>
      <w:r w:rsidR="00F4115B">
        <w:rPr>
          <w:color w:val="000000"/>
        </w:rPr>
        <w:t xml:space="preserve">) </w:t>
      </w:r>
    </w:p>
    <w:p w14:paraId="5B511DB7" w14:textId="5B969D41" w:rsidR="00DE1534" w:rsidRDefault="00DE1534" w:rsidP="00DE1534">
      <w:pPr>
        <w:pStyle w:val="NormalWeb"/>
        <w:spacing w:before="0" w:beforeAutospacing="0" w:after="240" w:afterAutospacing="0" w:line="360" w:lineRule="atLeast"/>
        <w:rPr>
          <w:color w:val="000000"/>
        </w:rPr>
      </w:pPr>
      <w:proofErr w:type="spellStart"/>
      <w:r>
        <w:rPr>
          <w:color w:val="000000"/>
        </w:rPr>
        <w:t>Saitadze</w:t>
      </w:r>
      <w:proofErr w:type="spellEnd"/>
      <w:r>
        <w:rPr>
          <w:color w:val="000000"/>
        </w:rPr>
        <w:t xml:space="preserve">, I. and </w:t>
      </w:r>
      <w:proofErr w:type="spellStart"/>
      <w:r>
        <w:rPr>
          <w:color w:val="000000"/>
        </w:rPr>
        <w:t>Lalayants</w:t>
      </w:r>
      <w:proofErr w:type="spellEnd"/>
      <w:r>
        <w:rPr>
          <w:color w:val="000000"/>
        </w:rPr>
        <w:t>, M. (2020). Mechanisms that mitigate the effects of child poverty and improve children’s cognitive and social–emotional development: A systematic review.</w:t>
      </w:r>
      <w:r>
        <w:rPr>
          <w:rStyle w:val="apple-converted-space"/>
          <w:color w:val="000000"/>
        </w:rPr>
        <w:t> </w:t>
      </w:r>
      <w:r>
        <w:rPr>
          <w:i/>
          <w:iCs/>
          <w:color w:val="000000"/>
        </w:rPr>
        <w:t>Child &amp; Family Social Work</w:t>
      </w:r>
      <w:r>
        <w:rPr>
          <w:color w:val="000000"/>
        </w:rPr>
        <w:t xml:space="preserve">, 26(3). </w:t>
      </w:r>
      <w:proofErr w:type="spellStart"/>
      <w:proofErr w:type="gramStart"/>
      <w:r>
        <w:rPr>
          <w:color w:val="000000"/>
        </w:rPr>
        <w:t>doi:https</w:t>
      </w:r>
      <w:proofErr w:type="spellEnd"/>
      <w:r>
        <w:rPr>
          <w:color w:val="000000"/>
        </w:rPr>
        <w:t>://doi.org/10.1111/cfs.12809</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51EDD1DE" w14:textId="72CB60D3" w:rsidR="00DE1534" w:rsidRDefault="00DE1534" w:rsidP="00DE1534">
      <w:pPr>
        <w:pStyle w:val="NormalWeb"/>
        <w:spacing w:before="0" w:beforeAutospacing="0" w:after="240" w:afterAutospacing="0" w:line="360" w:lineRule="atLeast"/>
        <w:rPr>
          <w:color w:val="000000"/>
        </w:rPr>
      </w:pPr>
      <w:r>
        <w:rPr>
          <w:color w:val="000000"/>
        </w:rPr>
        <w:t>Saunders, P. and Brown, J.E. (2019). Child Poverty, Deprivation and Well-Being: Evidence for Australia.</w:t>
      </w:r>
      <w:r>
        <w:rPr>
          <w:rStyle w:val="apple-converted-space"/>
          <w:color w:val="000000"/>
        </w:rPr>
        <w:t> </w:t>
      </w:r>
      <w:r>
        <w:rPr>
          <w:i/>
          <w:iCs/>
          <w:color w:val="000000"/>
        </w:rPr>
        <w:t>Child Indicators Research</w:t>
      </w:r>
      <w:r>
        <w:rPr>
          <w:color w:val="000000"/>
        </w:rPr>
        <w:t xml:space="preserve">. [online] </w:t>
      </w:r>
      <w:proofErr w:type="spellStart"/>
      <w:proofErr w:type="gramStart"/>
      <w:r>
        <w:rPr>
          <w:color w:val="000000"/>
        </w:rPr>
        <w:t>doi:https</w:t>
      </w:r>
      <w:proofErr w:type="spellEnd"/>
      <w:r>
        <w:rPr>
          <w:color w:val="000000"/>
        </w:rPr>
        <w:t>://doi.org/10.1007/s12187-019-09643-5</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2B990A11" w14:textId="7150D833" w:rsidR="00DE1534" w:rsidRDefault="00DE1534" w:rsidP="00DE1534">
      <w:pPr>
        <w:pStyle w:val="NormalWeb"/>
        <w:spacing w:before="0" w:beforeAutospacing="0" w:after="240" w:afterAutospacing="0" w:line="360" w:lineRule="atLeast"/>
        <w:rPr>
          <w:color w:val="000000"/>
        </w:rPr>
      </w:pPr>
      <w:r>
        <w:rPr>
          <w:color w:val="000000"/>
        </w:rPr>
        <w:t>Save The Children (2023).</w:t>
      </w:r>
      <w:r>
        <w:rPr>
          <w:rStyle w:val="apple-converted-space"/>
          <w:color w:val="000000"/>
        </w:rPr>
        <w:t> </w:t>
      </w:r>
      <w:r>
        <w:rPr>
          <w:i/>
          <w:iCs/>
          <w:color w:val="000000"/>
        </w:rPr>
        <w:t>Our UK Work | Child Poverty | Save the Children UK</w:t>
      </w:r>
      <w:r>
        <w:rPr>
          <w:color w:val="000000"/>
        </w:rPr>
        <w:t xml:space="preserve">. [online] www.savethechildren.org.uk. Available at: </w:t>
      </w:r>
      <w:hyperlink r:id="rId47" w:history="1">
        <w:r w:rsidR="00F4115B" w:rsidRPr="0043521D">
          <w:rPr>
            <w:rStyle w:val="Hyperlink"/>
          </w:rPr>
          <w:t>https://www.savethechildren.org.uk/what-we-do/child-poverty/uk-child-poverty</w:t>
        </w:r>
      </w:hyperlink>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2923EE8A" w14:textId="0F59A09A" w:rsidR="00DE1534" w:rsidRDefault="00DE1534" w:rsidP="00DE1534">
      <w:pPr>
        <w:pStyle w:val="NormalWeb"/>
        <w:spacing w:before="0" w:beforeAutospacing="0" w:after="240" w:afterAutospacing="0" w:line="360" w:lineRule="atLeast"/>
        <w:rPr>
          <w:color w:val="000000"/>
        </w:rPr>
      </w:pPr>
      <w:r>
        <w:rPr>
          <w:color w:val="000000"/>
        </w:rPr>
        <w:t xml:space="preserve">Schmidt, K.L., Merrill, S.M., Gill, R., Miller, G.E., </w:t>
      </w:r>
      <w:proofErr w:type="spellStart"/>
      <w:r>
        <w:rPr>
          <w:color w:val="000000"/>
        </w:rPr>
        <w:t>Gadermann</w:t>
      </w:r>
      <w:proofErr w:type="spellEnd"/>
      <w:r>
        <w:rPr>
          <w:color w:val="000000"/>
        </w:rPr>
        <w:t xml:space="preserve">, A.M. and </w:t>
      </w:r>
      <w:proofErr w:type="spellStart"/>
      <w:r>
        <w:rPr>
          <w:color w:val="000000"/>
        </w:rPr>
        <w:t>Kobor</w:t>
      </w:r>
      <w:proofErr w:type="spellEnd"/>
      <w:r>
        <w:rPr>
          <w:color w:val="000000"/>
        </w:rPr>
        <w:t>, M.S. (2021). Society to cell: How child poverty gets ‘Under the Skin’ to influence child development and lifelong health.</w:t>
      </w:r>
      <w:r>
        <w:rPr>
          <w:rStyle w:val="apple-converted-space"/>
          <w:color w:val="000000"/>
        </w:rPr>
        <w:t> </w:t>
      </w:r>
      <w:r>
        <w:rPr>
          <w:i/>
          <w:iCs/>
          <w:color w:val="000000"/>
        </w:rPr>
        <w:t>Developmental Review</w:t>
      </w:r>
      <w:r>
        <w:rPr>
          <w:color w:val="000000"/>
        </w:rPr>
        <w:t xml:space="preserve">, [online] 61(100983), p.100983. </w:t>
      </w:r>
      <w:proofErr w:type="spellStart"/>
      <w:proofErr w:type="gramStart"/>
      <w:r>
        <w:rPr>
          <w:color w:val="000000"/>
        </w:rPr>
        <w:t>doi:https</w:t>
      </w:r>
      <w:proofErr w:type="spellEnd"/>
      <w:r>
        <w:rPr>
          <w:color w:val="000000"/>
        </w:rPr>
        <w:t>://doi.org/10.1016/j.dr.2021.100983</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6282FF18" w14:textId="61BA0E29" w:rsidR="00DE1534" w:rsidRDefault="00DE1534" w:rsidP="00DE1534">
      <w:pPr>
        <w:pStyle w:val="NormalWeb"/>
        <w:spacing w:before="0" w:beforeAutospacing="0" w:after="240" w:afterAutospacing="0" w:line="360" w:lineRule="atLeast"/>
        <w:rPr>
          <w:color w:val="000000"/>
        </w:rPr>
      </w:pPr>
      <w:r>
        <w:rPr>
          <w:color w:val="000000"/>
        </w:rPr>
        <w:t>Shackleton, N. (2015). Is there a link between low parental income and childhood obesity?</w:t>
      </w:r>
      <w:r>
        <w:rPr>
          <w:rStyle w:val="apple-converted-space"/>
          <w:color w:val="000000"/>
        </w:rPr>
        <w:t> </w:t>
      </w:r>
      <w:r>
        <w:rPr>
          <w:i/>
          <w:iCs/>
          <w:color w:val="000000"/>
        </w:rPr>
        <w:t>Journal of Early Childhood Research</w:t>
      </w:r>
      <w:r>
        <w:rPr>
          <w:color w:val="000000"/>
        </w:rPr>
        <w:t xml:space="preserve">, 15(3), pp.238–255. </w:t>
      </w:r>
      <w:proofErr w:type="spellStart"/>
      <w:proofErr w:type="gramStart"/>
      <w:r>
        <w:rPr>
          <w:color w:val="000000"/>
        </w:rPr>
        <w:t>doi:https</w:t>
      </w:r>
      <w:proofErr w:type="spellEnd"/>
      <w:r>
        <w:rPr>
          <w:color w:val="000000"/>
        </w:rPr>
        <w:t>://doi.org/10.1177/1476718x15606479</w:t>
      </w:r>
      <w:proofErr w:type="gramEnd"/>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56812930" w14:textId="31A3F2A3" w:rsidR="00DE1534" w:rsidRDefault="00DE1534" w:rsidP="00DE1534">
      <w:pPr>
        <w:pStyle w:val="NormalWeb"/>
        <w:spacing w:before="0" w:beforeAutospacing="0" w:after="240" w:afterAutospacing="0" w:line="360" w:lineRule="atLeast"/>
        <w:rPr>
          <w:color w:val="000000"/>
        </w:rPr>
      </w:pPr>
      <w:r>
        <w:rPr>
          <w:color w:val="000000"/>
        </w:rPr>
        <w:t>Social Care Wales (2018).</w:t>
      </w:r>
      <w:r>
        <w:rPr>
          <w:rStyle w:val="apple-converted-space"/>
          <w:color w:val="000000"/>
        </w:rPr>
        <w:t> </w:t>
      </w:r>
      <w:r>
        <w:rPr>
          <w:i/>
          <w:iCs/>
          <w:color w:val="000000"/>
        </w:rPr>
        <w:t>All Wales Induction Framework for Early Years and Childcare: Workbook one Principles and values</w:t>
      </w:r>
      <w:r>
        <w:rPr>
          <w:color w:val="000000"/>
        </w:rPr>
        <w:t xml:space="preserve">. [online] Available at: </w:t>
      </w:r>
      <w:hyperlink r:id="rId48" w:history="1">
        <w:r w:rsidR="00F4115B" w:rsidRPr="0043521D">
          <w:rPr>
            <w:rStyle w:val="Hyperlink"/>
          </w:rPr>
          <w:t>https://socialcare.wales/cms-</w:t>
        </w:r>
        <w:r w:rsidR="00F4115B" w:rsidRPr="0043521D">
          <w:rPr>
            <w:rStyle w:val="Hyperlink"/>
          </w:rPr>
          <w:lastRenderedPageBreak/>
          <w:t>assets/documents/Early-years-induction-framework_Workbook-1_Principles-and-values.pdf</w:t>
        </w:r>
      </w:hyperlink>
      <w:r>
        <w:rPr>
          <w:color w:val="000000"/>
        </w:rPr>
        <w:t>.</w:t>
      </w:r>
      <w:r w:rsidR="00F4115B">
        <w:rPr>
          <w:color w:val="000000"/>
        </w:rPr>
        <w:t xml:space="preserve"> </w:t>
      </w:r>
      <w:r w:rsidR="00F4115B">
        <w:rPr>
          <w:color w:val="000000"/>
        </w:rPr>
        <w:t>(Accessed: 1</w:t>
      </w:r>
      <w:r w:rsidR="00F4115B">
        <w:rPr>
          <w:color w:val="000000"/>
        </w:rPr>
        <w:t>5</w:t>
      </w:r>
      <w:r w:rsidR="00F4115B">
        <w:rPr>
          <w:color w:val="000000"/>
          <w:vertAlign w:val="superscript"/>
        </w:rPr>
        <w:t>th</w:t>
      </w:r>
      <w:r w:rsidR="00F4115B">
        <w:rPr>
          <w:color w:val="000000"/>
        </w:rPr>
        <w:t xml:space="preserve"> June 2024)</w:t>
      </w:r>
    </w:p>
    <w:p w14:paraId="3415FEBD" w14:textId="268FFC73" w:rsidR="00DE1534" w:rsidRDefault="00DE1534" w:rsidP="00DE1534">
      <w:pPr>
        <w:pStyle w:val="NormalWeb"/>
        <w:spacing w:before="0" w:beforeAutospacing="0" w:after="240" w:afterAutospacing="0" w:line="360" w:lineRule="atLeast"/>
        <w:rPr>
          <w:color w:val="000000"/>
        </w:rPr>
      </w:pPr>
      <w:r>
        <w:rPr>
          <w:color w:val="000000"/>
        </w:rPr>
        <w:t>Social Metrics Commission. (2023).</w:t>
      </w:r>
      <w:r>
        <w:rPr>
          <w:rStyle w:val="apple-converted-space"/>
          <w:color w:val="000000"/>
        </w:rPr>
        <w:t> </w:t>
      </w:r>
      <w:r>
        <w:rPr>
          <w:i/>
          <w:iCs/>
          <w:color w:val="000000"/>
        </w:rPr>
        <w:t>The Social Metrics Commission - a new measure for poverty in the UK</w:t>
      </w:r>
      <w:r>
        <w:rPr>
          <w:color w:val="000000"/>
        </w:rPr>
        <w:t xml:space="preserve">. [online] Available at: </w:t>
      </w:r>
      <w:hyperlink r:id="rId49" w:history="1">
        <w:r w:rsidR="00F4115B" w:rsidRPr="0043521D">
          <w:rPr>
            <w:rStyle w:val="Hyperlink"/>
          </w:rPr>
          <w:t>https://socialmetricscommission.org.uk</w:t>
        </w:r>
      </w:hyperlink>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4ADA6C81" w14:textId="100A60EE" w:rsidR="00DE1534" w:rsidRDefault="00DE1534" w:rsidP="00DE1534">
      <w:pPr>
        <w:pStyle w:val="NormalWeb"/>
        <w:spacing w:before="0" w:beforeAutospacing="0" w:after="240" w:afterAutospacing="0" w:line="360" w:lineRule="atLeast"/>
        <w:rPr>
          <w:color w:val="000000"/>
        </w:rPr>
      </w:pPr>
      <w:r>
        <w:rPr>
          <w:color w:val="000000"/>
        </w:rPr>
        <w:t>Swansea. (2024).</w:t>
      </w:r>
      <w:r>
        <w:rPr>
          <w:rStyle w:val="apple-converted-space"/>
          <w:color w:val="000000"/>
        </w:rPr>
        <w:t> </w:t>
      </w:r>
      <w:r>
        <w:rPr>
          <w:i/>
          <w:iCs/>
          <w:color w:val="000000"/>
        </w:rPr>
        <w:t>Flying Start</w:t>
      </w:r>
      <w:r>
        <w:rPr>
          <w:color w:val="000000"/>
        </w:rPr>
        <w:t xml:space="preserve">. [online] Available at: </w:t>
      </w:r>
      <w:hyperlink r:id="rId50" w:history="1">
        <w:r w:rsidR="00F4115B" w:rsidRPr="0043521D">
          <w:rPr>
            <w:rStyle w:val="Hyperlink"/>
          </w:rPr>
          <w:t>https://www.swansea.gov.uk/flyingstart?lang=en</w:t>
        </w:r>
      </w:hyperlink>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38817485" w14:textId="3E5E5DE4" w:rsidR="00DE1534" w:rsidRDefault="00DE1534" w:rsidP="00DE1534">
      <w:pPr>
        <w:pStyle w:val="NormalWeb"/>
        <w:spacing w:before="0" w:beforeAutospacing="0" w:after="240" w:afterAutospacing="0" w:line="360" w:lineRule="atLeast"/>
        <w:rPr>
          <w:color w:val="000000"/>
        </w:rPr>
      </w:pPr>
      <w:r>
        <w:rPr>
          <w:color w:val="000000"/>
        </w:rPr>
        <w:t>The Children's Society (2020).</w:t>
      </w:r>
      <w:r>
        <w:rPr>
          <w:rStyle w:val="apple-converted-space"/>
          <w:color w:val="000000"/>
        </w:rPr>
        <w:t> </w:t>
      </w:r>
      <w:r>
        <w:rPr>
          <w:i/>
          <w:iCs/>
          <w:color w:val="000000"/>
        </w:rPr>
        <w:t>Effects of child poverty | the children’s society</w:t>
      </w:r>
      <w:r>
        <w:rPr>
          <w:color w:val="000000"/>
        </w:rPr>
        <w:t xml:space="preserve">. [online] The Children’s Society. Available at: </w:t>
      </w:r>
      <w:hyperlink r:id="rId51" w:history="1">
        <w:r w:rsidR="00F4115B" w:rsidRPr="0043521D">
          <w:rPr>
            <w:rStyle w:val="Hyperlink"/>
          </w:rPr>
          <w:t>https://www.childrenssociety.org.uk/what-we-do/our-work/ending-child-poverty/effects-of-living-in-poverty</w:t>
        </w:r>
      </w:hyperlink>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595FDC1F" w14:textId="44948D82" w:rsidR="00DE1534" w:rsidRDefault="00DE1534" w:rsidP="00DE1534">
      <w:pPr>
        <w:pStyle w:val="NormalWeb"/>
        <w:spacing w:before="0" w:beforeAutospacing="0" w:after="240" w:afterAutospacing="0" w:line="360" w:lineRule="atLeast"/>
        <w:rPr>
          <w:color w:val="000000"/>
        </w:rPr>
      </w:pPr>
      <w:r>
        <w:rPr>
          <w:color w:val="000000"/>
        </w:rPr>
        <w:t xml:space="preserve">Trust </w:t>
      </w:r>
      <w:proofErr w:type="gramStart"/>
      <w:r>
        <w:rPr>
          <w:color w:val="000000"/>
        </w:rPr>
        <w:t>For</w:t>
      </w:r>
      <w:proofErr w:type="gramEnd"/>
      <w:r>
        <w:rPr>
          <w:color w:val="000000"/>
        </w:rPr>
        <w:t xml:space="preserve"> London (2023).</w:t>
      </w:r>
      <w:r>
        <w:rPr>
          <w:rStyle w:val="apple-converted-space"/>
          <w:color w:val="000000"/>
        </w:rPr>
        <w:t> </w:t>
      </w:r>
      <w:r>
        <w:rPr>
          <w:i/>
          <w:iCs/>
          <w:color w:val="000000"/>
        </w:rPr>
        <w:t>What is poverty?</w:t>
      </w:r>
      <w:r>
        <w:rPr>
          <w:rStyle w:val="apple-converted-space"/>
          <w:color w:val="000000"/>
        </w:rPr>
        <w:t> </w:t>
      </w:r>
      <w:r>
        <w:rPr>
          <w:color w:val="000000"/>
        </w:rPr>
        <w:t xml:space="preserve">[online] Trust for London. Available at: </w:t>
      </w:r>
      <w:hyperlink r:id="rId52" w:history="1">
        <w:r w:rsidR="00F4115B" w:rsidRPr="0043521D">
          <w:rPr>
            <w:rStyle w:val="Hyperlink"/>
          </w:rPr>
          <w:t>https://trustforlondon.org.uk/news/what-is-poverty/</w:t>
        </w:r>
      </w:hyperlink>
      <w:r>
        <w:rPr>
          <w:color w:val="000000"/>
        </w:rPr>
        <w:t>.</w:t>
      </w:r>
      <w:r w:rsidR="00F4115B">
        <w:rPr>
          <w:color w:val="000000"/>
        </w:rPr>
        <w:t xml:space="preserve"> </w:t>
      </w:r>
      <w:r w:rsidR="00F4115B">
        <w:rPr>
          <w:color w:val="000000"/>
        </w:rPr>
        <w:t>(Accessed: 14</w:t>
      </w:r>
      <w:r w:rsidR="00F4115B">
        <w:rPr>
          <w:color w:val="000000"/>
          <w:vertAlign w:val="superscript"/>
        </w:rPr>
        <w:t>th</w:t>
      </w:r>
      <w:r w:rsidR="00F4115B">
        <w:rPr>
          <w:color w:val="000000"/>
        </w:rPr>
        <w:t xml:space="preserve"> June 2024)</w:t>
      </w:r>
    </w:p>
    <w:p w14:paraId="4D8C67E1" w14:textId="4155F744" w:rsidR="00DE1534" w:rsidRDefault="00DE1534" w:rsidP="00DE1534">
      <w:pPr>
        <w:pStyle w:val="NormalWeb"/>
        <w:spacing w:before="0" w:beforeAutospacing="0" w:after="240" w:afterAutospacing="0" w:line="360" w:lineRule="atLeast"/>
        <w:rPr>
          <w:color w:val="000000"/>
        </w:rPr>
      </w:pPr>
      <w:proofErr w:type="spellStart"/>
      <w:r>
        <w:rPr>
          <w:color w:val="000000"/>
        </w:rPr>
        <w:t>Vandemoortele</w:t>
      </w:r>
      <w:proofErr w:type="spellEnd"/>
      <w:r>
        <w:rPr>
          <w:color w:val="000000"/>
        </w:rPr>
        <w:t>, J. (2012).</w:t>
      </w:r>
      <w:r>
        <w:rPr>
          <w:rStyle w:val="apple-converted-space"/>
          <w:color w:val="000000"/>
        </w:rPr>
        <w:t> </w:t>
      </w:r>
      <w:r>
        <w:rPr>
          <w:i/>
          <w:iCs/>
          <w:color w:val="000000"/>
        </w:rPr>
        <w:t>Equity begins with children</w:t>
      </w:r>
      <w:r>
        <w:rPr>
          <w:color w:val="000000"/>
        </w:rPr>
        <w:t xml:space="preserve">. [online] bristoluniversitypressdigital.com. Available at: </w:t>
      </w:r>
      <w:hyperlink r:id="rId53" w:history="1">
        <w:r w:rsidR="00F4115B" w:rsidRPr="0043521D">
          <w:rPr>
            <w:rStyle w:val="Hyperlink"/>
          </w:rPr>
          <w:t>https://bristoluniversitypressdigital.com/edcollchap/book/9781447301141/ch003.xml</w:t>
        </w:r>
      </w:hyperlink>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1E79FBAE" w14:textId="5EA0B648" w:rsidR="00DE1534" w:rsidRDefault="00DE1534" w:rsidP="00DE1534">
      <w:pPr>
        <w:pStyle w:val="NormalWeb"/>
        <w:spacing w:before="0" w:beforeAutospacing="0" w:after="240" w:afterAutospacing="0" w:line="360" w:lineRule="atLeast"/>
        <w:rPr>
          <w:color w:val="000000"/>
        </w:rPr>
      </w:pPr>
      <w:proofErr w:type="spellStart"/>
      <w:r>
        <w:rPr>
          <w:color w:val="000000"/>
        </w:rPr>
        <w:t>Vuorinen</w:t>
      </w:r>
      <w:proofErr w:type="spellEnd"/>
      <w:r>
        <w:rPr>
          <w:color w:val="000000"/>
        </w:rPr>
        <w:t>, T. (2020). ‘It’s in my interest to collaborate </w:t>
      </w:r>
      <w:proofErr w:type="gramStart"/>
      <w:r>
        <w:rPr>
          <w:color w:val="000000"/>
        </w:rPr>
        <w:t>… ’</w:t>
      </w:r>
      <w:proofErr w:type="gramEnd"/>
      <w:r>
        <w:rPr>
          <w:color w:val="000000"/>
        </w:rPr>
        <w:t xml:space="preserve"> – parents’ views of the process of interacting and building relationships with preschool practitioners in Sweden.</w:t>
      </w:r>
      <w:r>
        <w:rPr>
          <w:rStyle w:val="apple-converted-space"/>
          <w:color w:val="000000"/>
        </w:rPr>
        <w:t> </w:t>
      </w:r>
      <w:r>
        <w:rPr>
          <w:i/>
          <w:iCs/>
          <w:color w:val="000000"/>
        </w:rPr>
        <w:t>Early Child Development and Care</w:t>
      </w:r>
      <w:r>
        <w:rPr>
          <w:color w:val="000000"/>
        </w:rPr>
        <w:t xml:space="preserve">, 191(16), pp.1–13. </w:t>
      </w:r>
      <w:proofErr w:type="spellStart"/>
      <w:proofErr w:type="gramStart"/>
      <w:r>
        <w:rPr>
          <w:color w:val="000000"/>
        </w:rPr>
        <w:t>doi:https</w:t>
      </w:r>
      <w:proofErr w:type="spellEnd"/>
      <w:r>
        <w:rPr>
          <w:color w:val="000000"/>
        </w:rPr>
        <w:t>://doi.org/10.1080/03004430.2020.1722116</w:t>
      </w:r>
      <w:proofErr w:type="gramEnd"/>
      <w:r>
        <w:rPr>
          <w:color w:val="000000"/>
        </w:rPr>
        <w:t>.</w:t>
      </w:r>
      <w:r w:rsidR="00F4115B">
        <w:rPr>
          <w:color w:val="000000"/>
        </w:rPr>
        <w:t xml:space="preserve"> </w:t>
      </w:r>
      <w:r w:rsidR="00F4115B">
        <w:rPr>
          <w:color w:val="000000"/>
        </w:rPr>
        <w:t xml:space="preserve">(Accessed: </w:t>
      </w:r>
      <w:r w:rsidR="00F4115B">
        <w:rPr>
          <w:color w:val="000000"/>
        </w:rPr>
        <w:t>8</w:t>
      </w:r>
      <w:r w:rsidR="00F4115B">
        <w:rPr>
          <w:color w:val="000000"/>
          <w:vertAlign w:val="superscript"/>
        </w:rPr>
        <w:t>th</w:t>
      </w:r>
      <w:r w:rsidR="00F4115B">
        <w:rPr>
          <w:color w:val="000000"/>
        </w:rPr>
        <w:t xml:space="preserve"> June 2024)</w:t>
      </w:r>
    </w:p>
    <w:p w14:paraId="48B90CFD" w14:textId="6BC30F10" w:rsidR="00DE1534" w:rsidRDefault="00DE1534" w:rsidP="00DE1534">
      <w:pPr>
        <w:pStyle w:val="NormalWeb"/>
        <w:spacing w:before="0" w:beforeAutospacing="0" w:after="240" w:afterAutospacing="0" w:line="360" w:lineRule="atLeast"/>
        <w:rPr>
          <w:color w:val="000000"/>
        </w:rPr>
      </w:pPr>
      <w:r>
        <w:rPr>
          <w:color w:val="000000"/>
        </w:rPr>
        <w:t>Welsh Government (2020).</w:t>
      </w:r>
      <w:r>
        <w:rPr>
          <w:rStyle w:val="apple-converted-space"/>
          <w:color w:val="000000"/>
        </w:rPr>
        <w:t> </w:t>
      </w:r>
      <w:r>
        <w:rPr>
          <w:i/>
          <w:iCs/>
          <w:color w:val="000000"/>
        </w:rPr>
        <w:t>Health and Well-being: Introduction - Hwb</w:t>
      </w:r>
      <w:r>
        <w:rPr>
          <w:color w:val="000000"/>
        </w:rPr>
        <w:t xml:space="preserve">. [online] </w:t>
      </w:r>
      <w:proofErr w:type="spellStart"/>
      <w:proofErr w:type="gramStart"/>
      <w:r>
        <w:rPr>
          <w:color w:val="000000"/>
        </w:rPr>
        <w:t>hwb.gov.wales</w:t>
      </w:r>
      <w:proofErr w:type="spellEnd"/>
      <w:proofErr w:type="gramEnd"/>
      <w:r>
        <w:rPr>
          <w:color w:val="000000"/>
        </w:rPr>
        <w:t xml:space="preserve">. Available at: </w:t>
      </w:r>
      <w:hyperlink r:id="rId54" w:history="1">
        <w:r w:rsidR="00F4115B" w:rsidRPr="0043521D">
          <w:rPr>
            <w:rStyle w:val="Hyperlink"/>
          </w:rPr>
          <w:t>https://hwb.gov.wales/curriculum-for-wales/health-and-well-being</w:t>
        </w:r>
      </w:hyperlink>
      <w:r>
        <w:rPr>
          <w:color w:val="000000"/>
        </w:rPr>
        <w:t>.</w:t>
      </w:r>
      <w:r w:rsidR="00F4115B">
        <w:rPr>
          <w:color w:val="000000"/>
        </w:rPr>
        <w:t xml:space="preserve"> </w:t>
      </w:r>
      <w:r w:rsidR="00F4115B">
        <w:rPr>
          <w:color w:val="000000"/>
        </w:rPr>
        <w:t xml:space="preserve">(Accessed: </w:t>
      </w:r>
      <w:r w:rsidR="00F4115B">
        <w:rPr>
          <w:color w:val="000000"/>
        </w:rPr>
        <w:t>14</w:t>
      </w:r>
      <w:r w:rsidR="00F4115B">
        <w:rPr>
          <w:color w:val="000000"/>
          <w:vertAlign w:val="superscript"/>
        </w:rPr>
        <w:t>th</w:t>
      </w:r>
      <w:r w:rsidR="00F4115B">
        <w:rPr>
          <w:color w:val="000000"/>
        </w:rPr>
        <w:t xml:space="preserve"> June 2024)</w:t>
      </w:r>
    </w:p>
    <w:p w14:paraId="7E342A63" w14:textId="09A75C99" w:rsidR="00DE1534" w:rsidRPr="00F4115B" w:rsidRDefault="00DE1534" w:rsidP="00DE1534">
      <w:pPr>
        <w:pStyle w:val="NormalWeb"/>
        <w:spacing w:before="0" w:beforeAutospacing="0" w:after="240" w:afterAutospacing="0" w:line="360" w:lineRule="atLeast"/>
        <w:rPr>
          <w:b/>
          <w:bCs/>
          <w:color w:val="000000"/>
        </w:rPr>
      </w:pPr>
      <w:r>
        <w:rPr>
          <w:color w:val="000000"/>
        </w:rPr>
        <w:t>Wickham, S., Anwar, E., Barr, B., Law, C. and Taylor-Robinson, D. (2016). Poverty and Child Health in the UK: Using Evidence for Action.</w:t>
      </w:r>
      <w:r>
        <w:rPr>
          <w:rStyle w:val="apple-converted-space"/>
          <w:color w:val="000000"/>
        </w:rPr>
        <w:t> </w:t>
      </w:r>
      <w:r>
        <w:rPr>
          <w:i/>
          <w:iCs/>
          <w:color w:val="000000"/>
        </w:rPr>
        <w:t>Archives of Disease in Childhood</w:t>
      </w:r>
      <w:r>
        <w:rPr>
          <w:color w:val="000000"/>
        </w:rPr>
        <w:t xml:space="preserve">, 101(8), pp.759–766. </w:t>
      </w:r>
      <w:proofErr w:type="spellStart"/>
      <w:proofErr w:type="gramStart"/>
      <w:r>
        <w:rPr>
          <w:color w:val="000000"/>
        </w:rPr>
        <w:t>doi:https</w:t>
      </w:r>
      <w:proofErr w:type="spellEnd"/>
      <w:r>
        <w:rPr>
          <w:color w:val="000000"/>
        </w:rPr>
        <w:t>://doi.org/10.1136/archdischild-2014-306746</w:t>
      </w:r>
      <w:proofErr w:type="gramEnd"/>
      <w:r>
        <w:rPr>
          <w:color w:val="000000"/>
        </w:rPr>
        <w:t>.</w:t>
      </w:r>
      <w:r w:rsidR="00F4115B">
        <w:rPr>
          <w:color w:val="000000"/>
        </w:rPr>
        <w:t xml:space="preserve"> </w:t>
      </w:r>
      <w:r w:rsidR="00F4115B">
        <w:rPr>
          <w:color w:val="000000"/>
        </w:rPr>
        <w:t>(Accessed: 9</w:t>
      </w:r>
      <w:r w:rsidR="00F4115B" w:rsidRPr="00F4115B">
        <w:rPr>
          <w:color w:val="000000"/>
          <w:vertAlign w:val="superscript"/>
        </w:rPr>
        <w:t>th</w:t>
      </w:r>
      <w:r w:rsidR="00F4115B">
        <w:rPr>
          <w:color w:val="000000"/>
        </w:rPr>
        <w:t xml:space="preserve"> June 2024)</w:t>
      </w:r>
    </w:p>
    <w:p w14:paraId="324B080F" w14:textId="775C653F" w:rsidR="00DE1534" w:rsidRDefault="00DE1534" w:rsidP="00DE1534">
      <w:pPr>
        <w:pStyle w:val="NormalWeb"/>
        <w:spacing w:before="0" w:beforeAutospacing="0" w:after="240" w:afterAutospacing="0" w:line="360" w:lineRule="atLeast"/>
        <w:rPr>
          <w:color w:val="000000"/>
        </w:rPr>
      </w:pPr>
      <w:r>
        <w:rPr>
          <w:color w:val="000000"/>
        </w:rPr>
        <w:t>www.futuregenerations.wales. (2015).</w:t>
      </w:r>
      <w:r>
        <w:rPr>
          <w:rStyle w:val="apple-converted-space"/>
          <w:color w:val="000000"/>
        </w:rPr>
        <w:t> </w:t>
      </w:r>
      <w:r>
        <w:rPr>
          <w:i/>
          <w:iCs/>
          <w:color w:val="000000"/>
        </w:rPr>
        <w:t>Curriculum – The Future Generations Commissioner for Wales</w:t>
      </w:r>
      <w:r>
        <w:rPr>
          <w:color w:val="000000"/>
        </w:rPr>
        <w:t xml:space="preserve">. [online] Available at: </w:t>
      </w:r>
      <w:hyperlink r:id="rId55" w:history="1">
        <w:r w:rsidR="00F4115B" w:rsidRPr="0043521D">
          <w:rPr>
            <w:rStyle w:val="Hyperlink"/>
          </w:rPr>
          <w:t>https://www.futuregenerations.wales/impact/curriculum/</w:t>
        </w:r>
      </w:hyperlink>
      <w:r>
        <w:rPr>
          <w:color w:val="000000"/>
        </w:rPr>
        <w:t>.</w:t>
      </w:r>
      <w:r w:rsidR="00F4115B">
        <w:rPr>
          <w:color w:val="000000"/>
        </w:rPr>
        <w:t xml:space="preserve"> </w:t>
      </w:r>
      <w:r w:rsidR="00F4115B">
        <w:rPr>
          <w:color w:val="000000"/>
        </w:rPr>
        <w:t>(Accessed: 11</w:t>
      </w:r>
      <w:r w:rsidR="00F4115B">
        <w:rPr>
          <w:color w:val="000000"/>
          <w:vertAlign w:val="superscript"/>
        </w:rPr>
        <w:t>th</w:t>
      </w:r>
      <w:r w:rsidR="00F4115B">
        <w:rPr>
          <w:color w:val="000000"/>
        </w:rPr>
        <w:t xml:space="preserve"> June 2024)</w:t>
      </w:r>
    </w:p>
    <w:p w14:paraId="72FD9728" w14:textId="77777777" w:rsidR="00DE1534" w:rsidRPr="00DE1534" w:rsidRDefault="00DE1534"/>
    <w:sectPr w:rsidR="00DE1534" w:rsidRPr="00DE1534" w:rsidSect="008C595B">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F53AC4" w14:textId="77777777" w:rsidR="00F64EB5" w:rsidRDefault="00F64EB5" w:rsidP="00DE1534">
      <w:r>
        <w:separator/>
      </w:r>
    </w:p>
  </w:endnote>
  <w:endnote w:type="continuationSeparator" w:id="0">
    <w:p w14:paraId="4414E133" w14:textId="77777777" w:rsidR="00F64EB5" w:rsidRDefault="00F64EB5" w:rsidP="00DE1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3566A" w14:textId="77777777" w:rsidR="00F64EB5" w:rsidRDefault="00F64EB5" w:rsidP="00DE1534">
      <w:r>
        <w:separator/>
      </w:r>
    </w:p>
  </w:footnote>
  <w:footnote w:type="continuationSeparator" w:id="0">
    <w:p w14:paraId="4EBCC206" w14:textId="77777777" w:rsidR="00F64EB5" w:rsidRDefault="00F64EB5" w:rsidP="00DE15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2AACD" w14:textId="6AE876BC" w:rsidR="00DE1534" w:rsidRDefault="00DE1534">
    <w:pPr>
      <w:pStyle w:val="Header"/>
    </w:pPr>
    <w:r>
      <w:t>ECEY5009</w:t>
    </w:r>
  </w:p>
  <w:p w14:paraId="731FF152" w14:textId="5E05DEAB" w:rsidR="00DE1534" w:rsidRDefault="00DE1534">
    <w:pPr>
      <w:pStyle w:val="Header"/>
    </w:pPr>
    <w:r>
      <w:t>2306976</w:t>
    </w:r>
  </w:p>
  <w:p w14:paraId="223C2DF9" w14:textId="66E6CF85" w:rsidR="00DE1534" w:rsidRDefault="00DE1534">
    <w:pPr>
      <w:pStyle w:val="Header"/>
    </w:pPr>
    <w:r>
      <w:t>Word count:</w:t>
    </w:r>
  </w:p>
  <w:p w14:paraId="77D7288F" w14:textId="77777777" w:rsidR="00DE1534" w:rsidRDefault="00DE15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944"/>
    <w:rsid w:val="000F027F"/>
    <w:rsid w:val="0038770A"/>
    <w:rsid w:val="004F4775"/>
    <w:rsid w:val="00631FD1"/>
    <w:rsid w:val="007D3E3D"/>
    <w:rsid w:val="00855944"/>
    <w:rsid w:val="008C595B"/>
    <w:rsid w:val="00A243BD"/>
    <w:rsid w:val="00B84472"/>
    <w:rsid w:val="00DE1534"/>
    <w:rsid w:val="00E60C1E"/>
    <w:rsid w:val="00F26F55"/>
    <w:rsid w:val="00F4115B"/>
    <w:rsid w:val="00F64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0B385"/>
  <w15:chartTrackingRefBased/>
  <w15:docId w15:val="{590F48A2-1018-F84C-B7CE-F5F52314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15B"/>
    <w:rPr>
      <w:rFonts w:ascii="Times New Roman" w:eastAsia="Times New Roman" w:hAnsi="Times New Roman" w:cs="Times New Roman"/>
      <w:lang w:eastAsia="en-GB"/>
    </w:rPr>
  </w:style>
  <w:style w:type="paragraph" w:styleId="Heading1">
    <w:name w:val="heading 1"/>
    <w:basedOn w:val="Normal"/>
    <w:link w:val="Heading1Char"/>
    <w:uiPriority w:val="9"/>
    <w:qFormat/>
    <w:rsid w:val="008C595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1FD1"/>
    <w:pPr>
      <w:spacing w:before="100" w:beforeAutospacing="1" w:after="100" w:afterAutospacing="1"/>
    </w:pPr>
  </w:style>
  <w:style w:type="character" w:customStyle="1" w:styleId="Heading1Char">
    <w:name w:val="Heading 1 Char"/>
    <w:basedOn w:val="DefaultParagraphFont"/>
    <w:link w:val="Heading1"/>
    <w:uiPriority w:val="9"/>
    <w:rsid w:val="008C595B"/>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8C595B"/>
  </w:style>
  <w:style w:type="paragraph" w:styleId="Header">
    <w:name w:val="header"/>
    <w:basedOn w:val="Normal"/>
    <w:link w:val="HeaderChar"/>
    <w:uiPriority w:val="99"/>
    <w:unhideWhenUsed/>
    <w:rsid w:val="00DE1534"/>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E1534"/>
  </w:style>
  <w:style w:type="paragraph" w:styleId="Footer">
    <w:name w:val="footer"/>
    <w:basedOn w:val="Normal"/>
    <w:link w:val="FooterChar"/>
    <w:uiPriority w:val="99"/>
    <w:unhideWhenUsed/>
    <w:rsid w:val="00DE153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E1534"/>
  </w:style>
  <w:style w:type="character" w:styleId="Hyperlink">
    <w:name w:val="Hyperlink"/>
    <w:basedOn w:val="DefaultParagraphFont"/>
    <w:uiPriority w:val="99"/>
    <w:unhideWhenUsed/>
    <w:rsid w:val="00F4115B"/>
    <w:rPr>
      <w:color w:val="0563C1" w:themeColor="hyperlink"/>
      <w:u w:val="single"/>
    </w:rPr>
  </w:style>
  <w:style w:type="character" w:styleId="UnresolvedMention">
    <w:name w:val="Unresolved Mention"/>
    <w:basedOn w:val="DefaultParagraphFont"/>
    <w:uiPriority w:val="99"/>
    <w:semiHidden/>
    <w:unhideWhenUsed/>
    <w:rsid w:val="00F41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749366">
      <w:bodyDiv w:val="1"/>
      <w:marLeft w:val="0"/>
      <w:marRight w:val="0"/>
      <w:marTop w:val="0"/>
      <w:marBottom w:val="0"/>
      <w:divBdr>
        <w:top w:val="none" w:sz="0" w:space="0" w:color="auto"/>
        <w:left w:val="none" w:sz="0" w:space="0" w:color="auto"/>
        <w:bottom w:val="none" w:sz="0" w:space="0" w:color="auto"/>
        <w:right w:val="none" w:sz="0" w:space="0" w:color="auto"/>
      </w:divBdr>
    </w:div>
    <w:div w:id="284585100">
      <w:bodyDiv w:val="1"/>
      <w:marLeft w:val="0"/>
      <w:marRight w:val="0"/>
      <w:marTop w:val="0"/>
      <w:marBottom w:val="0"/>
      <w:divBdr>
        <w:top w:val="none" w:sz="0" w:space="0" w:color="auto"/>
        <w:left w:val="none" w:sz="0" w:space="0" w:color="auto"/>
        <w:bottom w:val="none" w:sz="0" w:space="0" w:color="auto"/>
        <w:right w:val="none" w:sz="0" w:space="0" w:color="auto"/>
      </w:divBdr>
      <w:divsChild>
        <w:div w:id="1811634039">
          <w:marLeft w:val="0"/>
          <w:marRight w:val="0"/>
          <w:marTop w:val="0"/>
          <w:marBottom w:val="0"/>
          <w:divBdr>
            <w:top w:val="none" w:sz="0" w:space="0" w:color="auto"/>
            <w:left w:val="none" w:sz="0" w:space="0" w:color="auto"/>
            <w:bottom w:val="none" w:sz="0" w:space="0" w:color="auto"/>
            <w:right w:val="none" w:sz="0" w:space="0" w:color="auto"/>
          </w:divBdr>
        </w:div>
      </w:divsChild>
    </w:div>
    <w:div w:id="383258792">
      <w:bodyDiv w:val="1"/>
      <w:marLeft w:val="0"/>
      <w:marRight w:val="0"/>
      <w:marTop w:val="0"/>
      <w:marBottom w:val="0"/>
      <w:divBdr>
        <w:top w:val="none" w:sz="0" w:space="0" w:color="auto"/>
        <w:left w:val="none" w:sz="0" w:space="0" w:color="auto"/>
        <w:bottom w:val="none" w:sz="0" w:space="0" w:color="auto"/>
        <w:right w:val="none" w:sz="0" w:space="0" w:color="auto"/>
      </w:divBdr>
      <w:divsChild>
        <w:div w:id="2089421498">
          <w:marLeft w:val="0"/>
          <w:marRight w:val="0"/>
          <w:marTop w:val="0"/>
          <w:marBottom w:val="0"/>
          <w:divBdr>
            <w:top w:val="none" w:sz="0" w:space="0" w:color="auto"/>
            <w:left w:val="none" w:sz="0" w:space="0" w:color="auto"/>
            <w:bottom w:val="none" w:sz="0" w:space="0" w:color="auto"/>
            <w:right w:val="none" w:sz="0" w:space="0" w:color="auto"/>
          </w:divBdr>
        </w:div>
      </w:divsChild>
    </w:div>
    <w:div w:id="451674845">
      <w:bodyDiv w:val="1"/>
      <w:marLeft w:val="0"/>
      <w:marRight w:val="0"/>
      <w:marTop w:val="0"/>
      <w:marBottom w:val="0"/>
      <w:divBdr>
        <w:top w:val="none" w:sz="0" w:space="0" w:color="auto"/>
        <w:left w:val="none" w:sz="0" w:space="0" w:color="auto"/>
        <w:bottom w:val="none" w:sz="0" w:space="0" w:color="auto"/>
        <w:right w:val="none" w:sz="0" w:space="0" w:color="auto"/>
      </w:divBdr>
      <w:divsChild>
        <w:div w:id="1738623132">
          <w:marLeft w:val="0"/>
          <w:marRight w:val="0"/>
          <w:marTop w:val="0"/>
          <w:marBottom w:val="0"/>
          <w:divBdr>
            <w:top w:val="none" w:sz="0" w:space="0" w:color="auto"/>
            <w:left w:val="none" w:sz="0" w:space="0" w:color="auto"/>
            <w:bottom w:val="none" w:sz="0" w:space="0" w:color="auto"/>
            <w:right w:val="none" w:sz="0" w:space="0" w:color="auto"/>
          </w:divBdr>
        </w:div>
      </w:divsChild>
    </w:div>
    <w:div w:id="1004357510">
      <w:bodyDiv w:val="1"/>
      <w:marLeft w:val="0"/>
      <w:marRight w:val="0"/>
      <w:marTop w:val="0"/>
      <w:marBottom w:val="0"/>
      <w:divBdr>
        <w:top w:val="none" w:sz="0" w:space="0" w:color="auto"/>
        <w:left w:val="none" w:sz="0" w:space="0" w:color="auto"/>
        <w:bottom w:val="none" w:sz="0" w:space="0" w:color="auto"/>
        <w:right w:val="none" w:sz="0" w:space="0" w:color="auto"/>
      </w:divBdr>
    </w:div>
    <w:div w:id="1093479220">
      <w:bodyDiv w:val="1"/>
      <w:marLeft w:val="0"/>
      <w:marRight w:val="0"/>
      <w:marTop w:val="0"/>
      <w:marBottom w:val="0"/>
      <w:divBdr>
        <w:top w:val="none" w:sz="0" w:space="0" w:color="auto"/>
        <w:left w:val="none" w:sz="0" w:space="0" w:color="auto"/>
        <w:bottom w:val="none" w:sz="0" w:space="0" w:color="auto"/>
        <w:right w:val="none" w:sz="0" w:space="0" w:color="auto"/>
      </w:divBdr>
    </w:div>
    <w:div w:id="1130056531">
      <w:bodyDiv w:val="1"/>
      <w:marLeft w:val="0"/>
      <w:marRight w:val="0"/>
      <w:marTop w:val="0"/>
      <w:marBottom w:val="0"/>
      <w:divBdr>
        <w:top w:val="none" w:sz="0" w:space="0" w:color="auto"/>
        <w:left w:val="none" w:sz="0" w:space="0" w:color="auto"/>
        <w:bottom w:val="none" w:sz="0" w:space="0" w:color="auto"/>
        <w:right w:val="none" w:sz="0" w:space="0" w:color="auto"/>
      </w:divBdr>
    </w:div>
    <w:div w:id="1295915645">
      <w:bodyDiv w:val="1"/>
      <w:marLeft w:val="0"/>
      <w:marRight w:val="0"/>
      <w:marTop w:val="0"/>
      <w:marBottom w:val="0"/>
      <w:divBdr>
        <w:top w:val="none" w:sz="0" w:space="0" w:color="auto"/>
        <w:left w:val="none" w:sz="0" w:space="0" w:color="auto"/>
        <w:bottom w:val="none" w:sz="0" w:space="0" w:color="auto"/>
        <w:right w:val="none" w:sz="0" w:space="0" w:color="auto"/>
      </w:divBdr>
    </w:div>
    <w:div w:id="1411855849">
      <w:bodyDiv w:val="1"/>
      <w:marLeft w:val="0"/>
      <w:marRight w:val="0"/>
      <w:marTop w:val="0"/>
      <w:marBottom w:val="0"/>
      <w:divBdr>
        <w:top w:val="none" w:sz="0" w:space="0" w:color="auto"/>
        <w:left w:val="none" w:sz="0" w:space="0" w:color="auto"/>
        <w:bottom w:val="none" w:sz="0" w:space="0" w:color="auto"/>
        <w:right w:val="none" w:sz="0" w:space="0" w:color="auto"/>
      </w:divBdr>
    </w:div>
    <w:div w:id="1587232200">
      <w:bodyDiv w:val="1"/>
      <w:marLeft w:val="0"/>
      <w:marRight w:val="0"/>
      <w:marTop w:val="0"/>
      <w:marBottom w:val="0"/>
      <w:divBdr>
        <w:top w:val="none" w:sz="0" w:space="0" w:color="auto"/>
        <w:left w:val="none" w:sz="0" w:space="0" w:color="auto"/>
        <w:bottom w:val="none" w:sz="0" w:space="0" w:color="auto"/>
        <w:right w:val="none" w:sz="0" w:space="0" w:color="auto"/>
      </w:divBdr>
    </w:div>
    <w:div w:id="1678456396">
      <w:bodyDiv w:val="1"/>
      <w:marLeft w:val="0"/>
      <w:marRight w:val="0"/>
      <w:marTop w:val="0"/>
      <w:marBottom w:val="0"/>
      <w:divBdr>
        <w:top w:val="none" w:sz="0" w:space="0" w:color="auto"/>
        <w:left w:val="none" w:sz="0" w:space="0" w:color="auto"/>
        <w:bottom w:val="none" w:sz="0" w:space="0" w:color="auto"/>
        <w:right w:val="none" w:sz="0" w:space="0" w:color="auto"/>
      </w:divBdr>
      <w:divsChild>
        <w:div w:id="247690224">
          <w:marLeft w:val="0"/>
          <w:marRight w:val="0"/>
          <w:marTop w:val="0"/>
          <w:marBottom w:val="0"/>
          <w:divBdr>
            <w:top w:val="none" w:sz="0" w:space="0" w:color="auto"/>
            <w:left w:val="none" w:sz="0" w:space="0" w:color="auto"/>
            <w:bottom w:val="none" w:sz="0" w:space="0" w:color="auto"/>
            <w:right w:val="none" w:sz="0" w:space="0" w:color="auto"/>
          </w:divBdr>
        </w:div>
      </w:divsChild>
    </w:div>
    <w:div w:id="1808619510">
      <w:bodyDiv w:val="1"/>
      <w:marLeft w:val="0"/>
      <w:marRight w:val="0"/>
      <w:marTop w:val="0"/>
      <w:marBottom w:val="0"/>
      <w:divBdr>
        <w:top w:val="none" w:sz="0" w:space="0" w:color="auto"/>
        <w:left w:val="none" w:sz="0" w:space="0" w:color="auto"/>
        <w:bottom w:val="none" w:sz="0" w:space="0" w:color="auto"/>
        <w:right w:val="none" w:sz="0" w:space="0" w:color="auto"/>
      </w:divBdr>
      <w:divsChild>
        <w:div w:id="1015616669">
          <w:marLeft w:val="0"/>
          <w:marRight w:val="0"/>
          <w:marTop w:val="0"/>
          <w:marBottom w:val="0"/>
          <w:divBdr>
            <w:top w:val="none" w:sz="0" w:space="0" w:color="auto"/>
            <w:left w:val="none" w:sz="0" w:space="0" w:color="auto"/>
            <w:bottom w:val="none" w:sz="0" w:space="0" w:color="auto"/>
            <w:right w:val="none" w:sz="0" w:space="0" w:color="auto"/>
          </w:divBdr>
        </w:div>
      </w:divsChild>
    </w:div>
    <w:div w:id="2037148823">
      <w:bodyDiv w:val="1"/>
      <w:marLeft w:val="0"/>
      <w:marRight w:val="0"/>
      <w:marTop w:val="0"/>
      <w:marBottom w:val="0"/>
      <w:divBdr>
        <w:top w:val="none" w:sz="0" w:space="0" w:color="auto"/>
        <w:left w:val="none" w:sz="0" w:space="0" w:color="auto"/>
        <w:bottom w:val="none" w:sz="0" w:space="0" w:color="auto"/>
        <w:right w:val="none" w:sz="0" w:space="0" w:color="auto"/>
      </w:divBdr>
      <w:divsChild>
        <w:div w:id="1410735159">
          <w:marLeft w:val="0"/>
          <w:marRight w:val="0"/>
          <w:marTop w:val="0"/>
          <w:marBottom w:val="0"/>
          <w:divBdr>
            <w:top w:val="none" w:sz="0" w:space="0" w:color="auto"/>
            <w:left w:val="none" w:sz="0" w:space="0" w:color="auto"/>
            <w:bottom w:val="none" w:sz="0" w:space="0" w:color="auto"/>
            <w:right w:val="none" w:sz="0" w:space="0" w:color="auto"/>
          </w:divBdr>
          <w:divsChild>
            <w:div w:id="122968676">
              <w:marLeft w:val="0"/>
              <w:marRight w:val="0"/>
              <w:marTop w:val="0"/>
              <w:marBottom w:val="0"/>
              <w:divBdr>
                <w:top w:val="none" w:sz="0" w:space="0" w:color="auto"/>
                <w:left w:val="none" w:sz="0" w:space="0" w:color="auto"/>
                <w:bottom w:val="none" w:sz="0" w:space="0" w:color="auto"/>
                <w:right w:val="none" w:sz="0" w:space="0" w:color="auto"/>
              </w:divBdr>
              <w:divsChild>
                <w:div w:id="18260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otel.pressbooks.pub/whole-child/chapter/ecological-theory-2/" TargetMode="External"/><Relationship Id="rId18" Type="http://schemas.openxmlformats.org/officeDocument/2006/relationships/hyperlink" Target="https://digital.nhs.uk/data-and-information/publications/statistical/health-survey-england-additional-analyses/ethnicity-and-health-2011-2019-experimental-statistics/wellbeing-copy" TargetMode="External"/><Relationship Id="rId26" Type="http://schemas.openxmlformats.org/officeDocument/2006/relationships/hyperlink" Target="https://www.unicef.org.uk/what-we-do/un-convention-child-rights/#:~:text=What%20is%20the%20UNCRC%3F" TargetMode="External"/><Relationship Id="rId39" Type="http://schemas.openxmlformats.org/officeDocument/2006/relationships/hyperlink" Target="https://www.gov.uk/government/collections/households-below-average-income-hbai--2" TargetMode="External"/><Relationship Id="rId21" Type="http://schemas.openxmlformats.org/officeDocument/2006/relationships/hyperlink" Target="https://www.gov.uk/government/publications/commissioning-of-public-health-services-for-children/early-years-high-impact-area-4-supporting-healthy-weight-and-nutrition" TargetMode="External"/><Relationship Id="rId34" Type="http://schemas.openxmlformats.org/officeDocument/2006/relationships/hyperlink" Target="https://www.britannica.com/topic/poverty" TargetMode="External"/><Relationship Id="rId42" Type="http://schemas.openxmlformats.org/officeDocument/2006/relationships/hyperlink" Target="https://opus.us.edu.pl/info/article/USLd84cf940ae7c45bb9c811822184c852b/" TargetMode="External"/><Relationship Id="rId47" Type="http://schemas.openxmlformats.org/officeDocument/2006/relationships/hyperlink" Target="https://www.savethechildren.org.uk/what-we-do/child-poverty/uk-child-poverty" TargetMode="External"/><Relationship Id="rId50" Type="http://schemas.openxmlformats.org/officeDocument/2006/relationships/hyperlink" Target="https://www.swansea.gov.uk/flyingstart?lang=en" TargetMode="External"/><Relationship Id="rId55" Type="http://schemas.openxmlformats.org/officeDocument/2006/relationships/hyperlink" Target="https://www.futuregenerations.wales/impact/curriculum/"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hyperlink" Target="https://www.dignityhealth.org/articles/what-is-holistic-health-care-anyway#:~:text=Holistic%20health%20is%20about%20caring" TargetMode="External"/><Relationship Id="rId29" Type="http://schemas.openxmlformats.org/officeDocument/2006/relationships/hyperlink" Target="https://hwb.gov.wales/curriculum-for-wales/health-and-well-being" TargetMode="External"/><Relationship Id="rId11" Type="http://schemas.openxmlformats.org/officeDocument/2006/relationships/hyperlink" Target="https://theracareaz.com/maslows-hierarchy-of-needs-how-it-is-applied-in-theracares-learning-strategies/" TargetMode="External"/><Relationship Id="rId24" Type="http://schemas.openxmlformats.org/officeDocument/2006/relationships/hyperlink" Target="https://www.calmsage.com/emotional-wellbeing-in-kids/" TargetMode="External"/><Relationship Id="rId32" Type="http://schemas.openxmlformats.org/officeDocument/2006/relationships/hyperlink" Target="https://www.who.int/activities/promoting-well-being" TargetMode="External"/><Relationship Id="rId37" Type="http://schemas.openxmlformats.org/officeDocument/2006/relationships/hyperlink" Target="https://www.proquest.com/openview/c8f42b750d455b278255e998077d9750/1?pq-origsite=gscholar&amp;cbl=18750" TargetMode="External"/><Relationship Id="rId40" Type="http://schemas.openxmlformats.org/officeDocument/2006/relationships/hyperlink" Target="http://eprints.worc.ac.uk/12794/" TargetMode="External"/><Relationship Id="rId45" Type="http://schemas.openxmlformats.org/officeDocument/2006/relationships/hyperlink" Target="https://books.google.co.uk/books?hl=en&amp;lr=&amp;id=oV0GAQAAQBAJ&amp;oi=fnd&amp;pg=PA109&amp;dq=poverty+in+children+development&amp;ots=yVYiasDfOh&amp;sig=PcyaQ5S9wYCdmpEnOCSdbdP6yHQ&amp;redir_esc=y#v=onepage&amp;q=poverty%20in%20children%20development&amp;f=false" TargetMode="External"/><Relationship Id="rId53" Type="http://schemas.openxmlformats.org/officeDocument/2006/relationships/hyperlink" Target="https://bristoluniversitypressdigital.com/edcollchap/book/9781447301141/ch003.xml" TargetMode="External"/><Relationship Id="rId58" Type="http://schemas.openxmlformats.org/officeDocument/2006/relationships/theme" Target="theme/theme1.xml"/><Relationship Id="rId5" Type="http://schemas.openxmlformats.org/officeDocument/2006/relationships/endnotes" Target="endnotes.xml"/><Relationship Id="rId19" Type="http://schemas.openxmlformats.org/officeDocument/2006/relationships/hyperlink" Target="https://learning.nspcc.org.uk/child-health-development/child-mental-health"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igitalcommons.csumb.edu/cgi/viewcontent.cgi?article=2142&amp;context=caps_thes_all" TargetMode="External"/><Relationship Id="rId22" Type="http://schemas.openxmlformats.org/officeDocument/2006/relationships/hyperlink" Target="https://phw.nhs.wales/news/child-measurement-programme-shows-increase-in-numbers-of-children-with-obesity/" TargetMode="External"/><Relationship Id="rId27" Type="http://schemas.openxmlformats.org/officeDocument/2006/relationships/hyperlink" Target="https://www.gov.wales/sites/default/files/publications/2019-07/wales-a-play-friendly-country.pdf" TargetMode="External"/><Relationship Id="rId30" Type="http://schemas.openxmlformats.org/officeDocument/2006/relationships/hyperlink" Target="https://hwb.gov.wales/curriculum-for-wales" TargetMode="External"/><Relationship Id="rId35" Type="http://schemas.openxmlformats.org/officeDocument/2006/relationships/hyperlink" Target="https://cpag.org.uk/child-poverty/what-poverty" TargetMode="External"/><Relationship Id="rId43" Type="http://schemas.openxmlformats.org/officeDocument/2006/relationships/hyperlink" Target="https://www.ncbi.nlm.nih.gov/books/NBK547371/" TargetMode="External"/><Relationship Id="rId48" Type="http://schemas.openxmlformats.org/officeDocument/2006/relationships/hyperlink" Target="https://socialcare.wales/cms-assets/documents/Early-years-induction-framework_Workbook-1_Principles-and-values.pdf" TargetMode="External"/><Relationship Id="rId56" Type="http://schemas.openxmlformats.org/officeDocument/2006/relationships/header" Target="header1.xml"/><Relationship Id="rId8" Type="http://schemas.openxmlformats.org/officeDocument/2006/relationships/image" Target="media/image3.png"/><Relationship Id="rId51" Type="http://schemas.openxmlformats.org/officeDocument/2006/relationships/hyperlink" Target="https://www.childrenssociety.org.uk/what-we-do/our-work/ending-child-poverty/effects-of-living-in-poverty" TargetMode="External"/><Relationship Id="rId3" Type="http://schemas.openxmlformats.org/officeDocument/2006/relationships/webSettings" Target="webSettings.xml"/><Relationship Id="rId12" Type="http://schemas.openxmlformats.org/officeDocument/2006/relationships/hyperlink" Target="https://families.barnardos.org.uk/pre-school/healthy-lifestyles"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www.theeducationpeople.org/blog/exploring-pedagogy-introducing-lev-vygotsky/" TargetMode="External"/><Relationship Id="rId33" Type="http://schemas.openxmlformats.org/officeDocument/2006/relationships/hyperlink" Target="https://www.who.int/data/gho/data/major-themes/health-and-well-being" TargetMode="External"/><Relationship Id="rId38" Type="http://schemas.openxmlformats.org/officeDocument/2006/relationships/hyperlink" Target="https://www.jrf.org.uk/a-definition-of-poverty" TargetMode="External"/><Relationship Id="rId46" Type="http://schemas.openxmlformats.org/officeDocument/2006/relationships/hyperlink" Target="https://books.google.co.uk/books?hl=en&amp;lr=&amp;id=zoOsEAAAQBAJ&amp;oi=fnd&amp;pg=PT10&amp;dq=7+core+aims+Wales+on+poverty&amp;ots=QAYvxpD0ef&amp;sig=Fl274N5z5ZXEUftnZtG2SBFbChs&amp;redir_esc=y#v=onepage&amp;q=7%20core%20aims%20Wales%20on%20poverty&amp;f=false" TargetMode="External"/><Relationship Id="rId20" Type="http://schemas.openxmlformats.org/officeDocument/2006/relationships/hyperlink" Target="https://play.wales/play-policy-legislation/" TargetMode="External"/><Relationship Id="rId41" Type="http://schemas.openxmlformats.org/officeDocument/2006/relationships/hyperlink" Target="https://journal.uwp.co.uk/wje/article/id/335/" TargetMode="External"/><Relationship Id="rId54" Type="http://schemas.openxmlformats.org/officeDocument/2006/relationships/hyperlink" Target="https://hwb.gov.wales/curriculum-for-wales/health-and-well-being"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generalhealthadvocacy.com/overall-health-and-well-being-interconnectedness/" TargetMode="External"/><Relationship Id="rId23" Type="http://schemas.openxmlformats.org/officeDocument/2006/relationships/hyperlink" Target="https://aging.wisc.edu/wp-content/uploads/sites/1131/2021/06/Eudaimonic-and-Hedonic-Well-Being.pdf" TargetMode="External"/><Relationship Id="rId28" Type="http://schemas.openxmlformats.org/officeDocument/2006/relationships/hyperlink" Target="https://www.gov.wales/sites/default/files/publications/2019-03/mental-health-act-1983-code-of-practice-mental-health-act-1983-for-wales-review-revised-2016.pdf" TargetMode="External"/><Relationship Id="rId36" Type="http://schemas.openxmlformats.org/officeDocument/2006/relationships/hyperlink" Target="https://cpag.org.uk" TargetMode="External"/><Relationship Id="rId49" Type="http://schemas.openxmlformats.org/officeDocument/2006/relationships/hyperlink" Target="https://socialmetricscommission.org.uk" TargetMode="External"/><Relationship Id="rId57" Type="http://schemas.openxmlformats.org/officeDocument/2006/relationships/fontTable" Target="fontTable.xml"/><Relationship Id="rId10" Type="http://schemas.openxmlformats.org/officeDocument/2006/relationships/image" Target="media/image5.jpeg"/><Relationship Id="rId31" Type="http://schemas.openxmlformats.org/officeDocument/2006/relationships/hyperlink" Target="https://senedd.wales/committees/health-and-social-care-committee/" TargetMode="External"/><Relationship Id="rId44" Type="http://schemas.openxmlformats.org/officeDocument/2006/relationships/hyperlink" Target="https://www.nhs.uk/live-well/healthy-weight/childrens-weight/national-child-measurement-programme/" TargetMode="External"/><Relationship Id="rId52" Type="http://schemas.openxmlformats.org/officeDocument/2006/relationships/hyperlink" Target="https://trustforlondon.org.uk/news/what-is-pov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817</TotalTime>
  <Pages>24</Pages>
  <Words>9834</Words>
  <Characters>56058</Characters>
  <Application>Microsoft Office Word</Application>
  <DocSecurity>0</DocSecurity>
  <Lines>467</Lines>
  <Paragraphs>131</Paragraphs>
  <ScaleCrop>false</ScaleCrop>
  <Company/>
  <LinksUpToDate>false</LinksUpToDate>
  <CharactersWithSpaces>65761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13</cp:revision>
  <dcterms:created xsi:type="dcterms:W3CDTF">2024-06-08T08:15:00Z</dcterms:created>
  <dcterms:modified xsi:type="dcterms:W3CDTF">2024-06-16T12:10:00Z</dcterms:modified>
</cp:coreProperties>
</file>