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D32CC" w14:textId="10282E33" w:rsidR="00E33468" w:rsidRDefault="00D6499A" w:rsidP="00D6499A">
      <w:pPr>
        <w:jc w:val="center"/>
        <w:rPr>
          <w:sz w:val="24"/>
          <w:szCs w:val="24"/>
          <w:u w:val="single"/>
        </w:rPr>
      </w:pPr>
      <w:r w:rsidRPr="00D6499A">
        <w:rPr>
          <w:sz w:val="24"/>
          <w:szCs w:val="24"/>
          <w:u w:val="single"/>
        </w:rPr>
        <w:t>Financial Crisis Policy Paper</w:t>
      </w:r>
    </w:p>
    <w:p w14:paraId="21F78E8E" w14:textId="77777777" w:rsidR="00D6499A" w:rsidRDefault="00D6499A" w:rsidP="00D6499A">
      <w:pPr>
        <w:jc w:val="center"/>
        <w:rPr>
          <w:sz w:val="24"/>
          <w:szCs w:val="24"/>
          <w:u w:val="single"/>
        </w:rPr>
      </w:pPr>
    </w:p>
    <w:p w14:paraId="270399DB" w14:textId="77777777" w:rsidR="00287337" w:rsidRPr="00287337" w:rsidRDefault="00287337" w:rsidP="00287337">
      <w:r w:rsidRPr="00287337">
        <w:t>The global financial crisis of 2007–2008 represented the most severe disruption to the international financial system since the Great Depression, exposing deep structural and institutional weaknesses across advanced economies. The crisis generated long-term concerns about the governance of financial institutions, the alignment of incentives, and the sufficiency of current regulatory and corporate governance frameworks, even as immediate policy responses concentrated on stabilising markets and averting systemic collapse. These concerns are still at the centre of discussions about international economic policy more than ten years later, especially in a setting marked by increased financial complexity and global interconnection.</w:t>
      </w:r>
    </w:p>
    <w:p w14:paraId="16816F6A" w14:textId="12765455" w:rsidR="00D6499A" w:rsidRDefault="00436761" w:rsidP="00D6499A">
      <w:r w:rsidRPr="00436761">
        <w:t xml:space="preserve">To highlight the reasons for the crisis, it is necessary to look beyond immediate market disruptions and examine the deeper structural and governance conditions that allowed systemic risk to accumulate. Long-term </w:t>
      </w:r>
      <w:r w:rsidRPr="00436761">
        <w:t>financialisaton</w:t>
      </w:r>
      <w:r w:rsidRPr="00436761">
        <w:t>, misaligned incentives within financial institutions, and an overreliance on market self-regulation combined to weaken oversight and encourage short-termism. Comprehending these dynamics serves as the foundation for determining the lessons that can be drawn from the crisis and evaluating the potential for innovative approaches in corporate governance, such as the potential contribution of institutional culture, trust, and stakeholder-oriented methods to enhancing long-term financial resilience.</w:t>
      </w:r>
    </w:p>
    <w:p w14:paraId="79563FEB" w14:textId="77777777" w:rsidR="00436761" w:rsidRPr="00D6499A" w:rsidRDefault="00436761" w:rsidP="00D6499A"/>
    <w:p w14:paraId="20C69BB8" w14:textId="2D056027" w:rsidR="00D6499A" w:rsidRDefault="00D6499A" w:rsidP="00D6499A">
      <w:r w:rsidRPr="00D6499A">
        <w:t xml:space="preserve">The global financial crisis was not the result of a single policy failure or market malfunction, but rather the culmination of long-term structural vulnerabilities embedded within advanced financial systems. In the decades preceding the crisis, advanced capitalist economies, particularly in the United States and the United Kingdom, experienced a sustained expansion of financial activity relative to the productive economy. In addition to rising family debt and dependence on credit-led growth models, this </w:t>
      </w:r>
      <w:r w:rsidRPr="00D6499A">
        <w:t>financialisaton</w:t>
      </w:r>
      <w:r w:rsidRPr="00D6499A">
        <w:t xml:space="preserve"> process was marked by the increasing dominance of financial markets, institutions, and motivations.</w:t>
      </w:r>
      <w:r w:rsidRPr="00D6499A">
        <w:rPr>
          <w:rStyle w:val="FootnoteReference"/>
        </w:rPr>
        <w:footnoteReference w:id="1"/>
      </w:r>
    </w:p>
    <w:p w14:paraId="5478477B" w14:textId="08C1CA92" w:rsidR="00D6499A" w:rsidRDefault="00D6499A" w:rsidP="00D6499A">
      <w:r w:rsidRPr="00D6499A">
        <w:t>The change in banking practices brought about by securitisation and the "originate-to-distribute" lending strategy was one of the main structural causes of the crisis. A system where loans, especially home mortgages, were packaged into intricate financial instruments and sold to investors gradually displaced traditional banking, which depended on long-term relationships between lenders and borrowers. Securitisation was once marketed as a way to spread risk, but in practice, it reduced incentives for due diligence and broke the connection between credit origination and loan performance accountability.</w:t>
      </w:r>
      <w:r>
        <w:rPr>
          <w:rStyle w:val="FootnoteReference"/>
        </w:rPr>
        <w:footnoteReference w:id="2"/>
      </w:r>
      <w:r w:rsidRPr="00D6499A">
        <w:t> Lending standards consequently declined, especially in the subprime mortgage industry, where loans were given to individuals who had no ability to repay them.</w:t>
      </w:r>
    </w:p>
    <w:p w14:paraId="52CC6171" w14:textId="3A8686BE" w:rsidR="00D6499A" w:rsidRPr="00D6499A" w:rsidRDefault="00D6499A" w:rsidP="00D6499A">
      <w:r w:rsidRPr="00D6499A">
        <w:t xml:space="preserve">These structural weaknesses were compounded by the rapid growth of the shadow banking system. A wide range of non-bank financial institutions, such as investment banks, special purpose vehicles, and money market funds, </w:t>
      </w:r>
      <w:r w:rsidR="003540FF">
        <w:t>engaged in</w:t>
      </w:r>
      <w:r w:rsidR="00B71AA0">
        <w:t xml:space="preserve"> </w:t>
      </w:r>
      <w:r w:rsidR="003540FF">
        <w:t>mat</w:t>
      </w:r>
      <w:r w:rsidRPr="00D6499A">
        <w:t xml:space="preserve">urity transformation and leverage </w:t>
      </w:r>
      <w:r w:rsidRPr="00D6499A">
        <w:lastRenderedPageBreak/>
        <w:t>without being subject to the same regulatory constraints as traditional banks.</w:t>
      </w:r>
      <w:r>
        <w:rPr>
          <w:rStyle w:val="FootnoteReference"/>
        </w:rPr>
        <w:footnoteReference w:id="3"/>
      </w:r>
      <w:r>
        <w:t xml:space="preserve"> </w:t>
      </w:r>
      <w:r w:rsidRPr="00D6499A">
        <w:t>The financial system became much more opaque as a result of this expansion, making it harder for regulators and market players to determine where risk was concentrated. Uncertainty regarding counterparty exposure contributed to a sharp decline in confidence as asset values started to decline.</w:t>
      </w:r>
    </w:p>
    <w:p w14:paraId="7819D6EE" w14:textId="2840A188" w:rsidR="00783CCA" w:rsidRDefault="00783CCA" w:rsidP="00783CCA">
      <w:r w:rsidRPr="00783CCA">
        <w:t>Institutional failures played a decisive role in amplifying these structural vulnerabilities. While conventional policy assumptions placed too much trust in market self-regulation, regulatory frameworks were unable to keep up with financial innovation. It was generally accepted that risk could be effectively priced and distributed through advanced financial tools, negating the apparent necessity for invasive supervision.</w:t>
      </w:r>
      <w:r>
        <w:rPr>
          <w:rStyle w:val="FootnoteReference"/>
        </w:rPr>
        <w:footnoteReference w:id="4"/>
      </w:r>
      <w:r>
        <w:t xml:space="preserve"> </w:t>
      </w:r>
      <w:r w:rsidRPr="00783CCA">
        <w:t>In actuality, this dependence on market discipline understated the systemic effects of high leverage and associated risk-taking.</w:t>
      </w:r>
      <w:r>
        <w:t xml:space="preserve"> </w:t>
      </w:r>
      <w:r w:rsidRPr="00783CCA">
        <w:t>Failures in important institutions that underpin the market contributed to the crisis. By giving high ratings to securities that were actually extremely susceptible to drops in home values, credit rating agencies routinely underestimated the risks connected with structured financial products.</w:t>
      </w:r>
      <w:r>
        <w:rPr>
          <w:rStyle w:val="FootnoteReference"/>
        </w:rPr>
        <w:footnoteReference w:id="5"/>
      </w:r>
      <w:r>
        <w:t xml:space="preserve"> </w:t>
      </w:r>
      <w:r w:rsidRPr="00783CCA">
        <w:t xml:space="preserve">These ratings encouraged institutional investors to buy assets whose underlying risk profiles they did not fully comprehend since they were firmly ingrained in investment mandates and regulatory frameworks. Simultaneously, risk models and accounting procedures </w:t>
      </w:r>
      <w:r w:rsidR="00B71AA0" w:rsidRPr="00783CCA">
        <w:t>often</w:t>
      </w:r>
      <w:r w:rsidRPr="00783CCA">
        <w:t xml:space="preserve"> depended on past data that overlooked the potential for severe market stress.</w:t>
      </w:r>
    </w:p>
    <w:p w14:paraId="74E01C56" w14:textId="7A1B1F00" w:rsidR="00C273B7" w:rsidRDefault="00C273B7" w:rsidP="00C273B7">
      <w:r w:rsidRPr="00C273B7">
        <w:t>These interconnected flaws quickly turned a correction in one sector into a global systemic crisis as home values started to decline and mortgage defaults rose. A serious liquidity shortfall resulted from the freezing of interbank lending markets as financial institutions began to doubt one another's creditworthiness.</w:t>
      </w:r>
      <w:r>
        <w:rPr>
          <w:rStyle w:val="FootnoteReference"/>
        </w:rPr>
        <w:footnoteReference w:id="6"/>
      </w:r>
      <w:r>
        <w:t xml:space="preserve"> </w:t>
      </w:r>
      <w:r w:rsidRPr="00C273B7">
        <w:t xml:space="preserve">The financial system's collapse of trust proved to be pivotal; even financially sound institutions experienced severe funding challenges, leading to unprecedented state intervention to avert complete financial collapse. </w:t>
      </w:r>
      <w:r w:rsidR="00A50688" w:rsidRPr="00A50688">
        <w:t>Financialisaton</w:t>
      </w:r>
      <w:r w:rsidR="00A50688" w:rsidRPr="00A50688">
        <w:t>, securitisation, and shadow banking increased risk secretly, but governance and regulatory frameworks couldn't adapt. Financial markets became drivers of systemic instability rather than impartial mediators, revealing market-based self-regulation's flaws and setting the stage for a more complete financial governance reform after the crisis.</w:t>
      </w:r>
    </w:p>
    <w:p w14:paraId="7B3320D0" w14:textId="77777777" w:rsidR="00A50688" w:rsidRDefault="00A50688" w:rsidP="00C273B7"/>
    <w:p w14:paraId="4F3AB935" w14:textId="13AF5F3E" w:rsidR="00C273B7" w:rsidRDefault="00B80EDA" w:rsidP="00C273B7">
      <w:r w:rsidRPr="00B80EDA">
        <w:t>Governance and incentive failures translated structural vulnerabilities into excessive risk-taking</w:t>
      </w:r>
      <w:r w:rsidR="00C273B7" w:rsidRPr="00C273B7">
        <w:t>. Major financial institutions' governance systems in the years before the crisis were unable to control actions that put immediate financial gain ahead of long-term stability. Compensation plans, board supervision, and corporate risk management systems sometimes served to reinforce risk accumulation rather than to prevent it.</w:t>
      </w:r>
    </w:p>
    <w:p w14:paraId="6914529D" w14:textId="0F844B7B" w:rsidR="00801BE2" w:rsidRDefault="00C273B7" w:rsidP="00C273B7">
      <w:r w:rsidRPr="00C273B7">
        <w:t>Executive compensation policies were</w:t>
      </w:r>
      <w:r w:rsidR="00801BE2">
        <w:t xml:space="preserve"> identified as</w:t>
      </w:r>
      <w:r w:rsidRPr="00C273B7">
        <w:t xml:space="preserve"> a governance failing</w:t>
      </w:r>
      <w:r w:rsidR="00801BE2">
        <w:t>, as</w:t>
      </w:r>
      <w:r w:rsidRPr="00C273B7">
        <w:t xml:space="preserve"> </w:t>
      </w:r>
      <w:r w:rsidR="00801BE2">
        <w:t>b</w:t>
      </w:r>
      <w:r w:rsidRPr="00C273B7">
        <w:t>onus programs and equity-linked compensation based on short-term performance indicators, including annual earnings or share price growth, were frequently used to reward senior managers in banks</w:t>
      </w:r>
      <w:r>
        <w:t>.</w:t>
      </w:r>
      <w:r>
        <w:rPr>
          <w:rStyle w:val="FootnoteReference"/>
        </w:rPr>
        <w:footnoteReference w:id="7"/>
      </w:r>
      <w:r>
        <w:t xml:space="preserve"> </w:t>
      </w:r>
      <w:r w:rsidR="00801BE2">
        <w:t xml:space="preserve">Although Fahlenbrach and Stulz show that CEOs themselves incurred substantial personal losses, they also note that such incentive structures could promote leverage and balance-sheet </w:t>
      </w:r>
      <w:r w:rsidR="00801BE2">
        <w:lastRenderedPageBreak/>
        <w:t>expansion, creating a divergence between private rewards and the broader social costs ultimately borne by shareholders, creditors, and the public through systemic bailouts.</w:t>
      </w:r>
      <w:r w:rsidR="00801BE2">
        <w:rPr>
          <w:rStyle w:val="FootnoteReference"/>
        </w:rPr>
        <w:footnoteReference w:id="8"/>
      </w:r>
    </w:p>
    <w:p w14:paraId="5E0C6C7A" w14:textId="15B979AF" w:rsidR="0008002D" w:rsidRDefault="00317777" w:rsidP="0008002D">
      <w:r w:rsidRPr="00317777">
        <w:t>The extent of this imbalance is demonstrated by empirical data from the crisis. Even as their companies accrued catastrophic levels of risk, top executives at collapsed institutions like Bear Stearns and Lehman Brothers reaped significant personal gains in the years preceding their collapse, according to studies of those institutions.</w:t>
      </w:r>
      <w:r>
        <w:rPr>
          <w:rStyle w:val="FootnoteReference"/>
        </w:rPr>
        <w:footnoteReference w:id="9"/>
      </w:r>
      <w:r>
        <w:t xml:space="preserve"> </w:t>
      </w:r>
      <w:r w:rsidRPr="00317777">
        <w:t>Neither risk-adjusted performance metrics nor a substantial penalty for negative outcomes were included in compensation schemes. The idea that shareholder-oriented governance inherently restrains managerial behaviour was thus undermined as executive incentives were not in line with the goal of financial stability.</w:t>
      </w:r>
      <w:r w:rsidR="0008002D">
        <w:t xml:space="preserve"> </w:t>
      </w:r>
      <w:r w:rsidR="0008002D" w:rsidRPr="0008002D">
        <w:t>Board-level oversight also proved inadequate</w:t>
      </w:r>
      <w:r w:rsidR="0008002D">
        <w:t xml:space="preserve"> during the pre-crisis period</w:t>
      </w:r>
      <w:r w:rsidR="0008002D" w:rsidRPr="0008002D">
        <w:t>.</w:t>
      </w:r>
      <w:r w:rsidR="0008002D">
        <w:t xml:space="preserve"> Bebchuk, Cohen and Spamann show that</w:t>
      </w:r>
      <w:r w:rsidR="0008002D" w:rsidRPr="0008002D">
        <w:t xml:space="preserve"> </w:t>
      </w:r>
      <w:r w:rsidR="0008002D">
        <w:t>b</w:t>
      </w:r>
      <w:r w:rsidR="0008002D" w:rsidRPr="0008002D">
        <w:t xml:space="preserve">oards </w:t>
      </w:r>
      <w:r w:rsidR="0008002D">
        <w:t>approved and maintained compensation structures that encouraged short-term thinking, while failing to impose governance mechanisms capable of constraining complex leverage-driven strategies, suggesting that boards were ill-equipped to challenge managerial decisions in highly complex institutions.</w:t>
      </w:r>
      <w:r w:rsidR="0008002D">
        <w:rPr>
          <w:rStyle w:val="FootnoteReference"/>
        </w:rPr>
        <w:footnoteReference w:id="10"/>
      </w:r>
      <w:r w:rsidR="0008002D">
        <w:t xml:space="preserve"> </w:t>
      </w:r>
      <w:r w:rsidR="007A5E6C">
        <w:t xml:space="preserve"> </w:t>
      </w:r>
      <w:r w:rsidR="0008002D" w:rsidRPr="0008002D">
        <w:t>Boards frequently relied on information provided by management and outside market signals that downplayed systemic risk rather than serving as efficient monitors. This made it harder for internal governance systems to balance out incentive-driven behaviour, especially when asset prices were rising steadily.</w:t>
      </w:r>
    </w:p>
    <w:p w14:paraId="143FB0F3" w14:textId="00339035" w:rsidR="007A5E6C" w:rsidRDefault="007A5E6C" w:rsidP="007A5E6C">
      <w:r w:rsidRPr="007A5E6C">
        <w:t xml:space="preserve">Internal risk management procedures </w:t>
      </w:r>
      <w:r w:rsidR="003540FF" w:rsidRPr="007A5E6C">
        <w:t>also failed;</w:t>
      </w:r>
      <w:r w:rsidRPr="007A5E6C">
        <w:t xml:space="preserve"> </w:t>
      </w:r>
      <w:r w:rsidR="003540FF" w:rsidRPr="007A5E6C">
        <w:t>therefore,</w:t>
      </w:r>
      <w:r w:rsidRPr="007A5E6C">
        <w:t xml:space="preserve"> the problems were not limited to compensation and supervision. These departments were often neglected within organisational hierarchies, despite the fact that the majority of large financial institutions continued to have explicit risk management divisions.</w:t>
      </w:r>
      <w:r>
        <w:rPr>
          <w:rStyle w:val="FootnoteReference"/>
        </w:rPr>
        <w:footnoteReference w:id="11"/>
      </w:r>
      <w:r w:rsidRPr="007A5E6C">
        <w:t xml:space="preserve"> Risk assessments were frequently viewed as compliance exercises rather than essential components of strategic decision-making, and chief risk officers frequently lacked power in relation to revenue-generating divisions. Sophisticated risk models were ignored when their cautions clashed with short-term profit goals, while other situations </w:t>
      </w:r>
      <w:r w:rsidR="00B80EDA">
        <w:t>displayed encouragement of</w:t>
      </w:r>
      <w:r w:rsidRPr="007A5E6C">
        <w:t xml:space="preserve"> overconfidence by giving the impression of control.</w:t>
      </w:r>
      <w:r>
        <w:rPr>
          <w:rStyle w:val="FootnoteReference"/>
        </w:rPr>
        <w:footnoteReference w:id="12"/>
      </w:r>
    </w:p>
    <w:p w14:paraId="7F875057" w14:textId="19B59083" w:rsidR="00780646" w:rsidRPr="00780646" w:rsidRDefault="00780646" w:rsidP="00780646">
      <w:r w:rsidRPr="00780646">
        <w:t>These governance failures were compounded by an overreliance on market discipline as a corrective mechanism. Bebchuk, Cohen and Spamann show that governance arrangements in major financial institutions relied heavily on shareholder incentives and price signals to constrain managerial behaviour, yet these mechanisms failed to prevent the accumulation of excessive risk prior to the crisis.</w:t>
      </w:r>
      <w:r w:rsidR="001D2F05">
        <w:rPr>
          <w:rStyle w:val="FootnoteReference"/>
        </w:rPr>
        <w:footnoteReference w:id="13"/>
      </w:r>
      <w:r w:rsidRPr="00780646">
        <w:t xml:space="preserve"> Ramskogler extends this critique by arguing that prevailing regulatory philosophies placed undue faith in the self-regulating capacity of financial markets, assuming that risk could be accurately priced and dispersed through sophisticated financial instruments. In practice, information asymmetries, herd behaviour and implicit expectations of state support for systemically important institutions undermined market discipline, rendering price signals ineffective as a constraint on risk-taking</w:t>
      </w:r>
      <w:r>
        <w:t>.</w:t>
      </w:r>
      <w:r>
        <w:rPr>
          <w:rStyle w:val="FootnoteReference"/>
        </w:rPr>
        <w:footnoteReference w:id="14"/>
      </w:r>
      <w:r>
        <w:t xml:space="preserve"> </w:t>
      </w:r>
      <w:r w:rsidRPr="00780646">
        <w:t xml:space="preserve">Market forces frequently encouraged </w:t>
      </w:r>
      <w:r w:rsidRPr="00780646">
        <w:lastRenderedPageBreak/>
        <w:t>short-termism by rewarding institutions that produced bigger returns during the credit boom, rather than reducing risk.</w:t>
      </w:r>
    </w:p>
    <w:p w14:paraId="3EB62E8B" w14:textId="77777777" w:rsidR="001D2F05" w:rsidRPr="001D2F05" w:rsidRDefault="001D2F05" w:rsidP="001D2F05">
      <w:r w:rsidRPr="001D2F05">
        <w:t>The crisis revealed serious flaws in the governance systems designed to balance private incentives with overall economic stability. Boards did not effectively oversee, internal risk management lacked power and integration, and compensation structures promoted risk without accountability. When applied to intricate financial institutions, these failures show the limitations of shareholder-centric governance models and emphasise the necessity of formal regulation coupled with reforms that address organisational culture, supervision, and incentives.</w:t>
      </w:r>
    </w:p>
    <w:p w14:paraId="512E91D6" w14:textId="77777777" w:rsidR="00780646" w:rsidRDefault="00780646" w:rsidP="007A5E6C"/>
    <w:p w14:paraId="6854C2B2" w14:textId="0B912C16" w:rsidR="001D4869" w:rsidRPr="001D4869" w:rsidRDefault="001D4869" w:rsidP="001D4869">
      <w:r w:rsidRPr="001D4869">
        <w:t>Policymakers generally agreed after the crisis that market-based self-regulation was not enough to guarantee financial stability. Restoring liquidity and averting institutional collapse were the main goals of the crisis's initial reaction, but later analysis has revealed more serious governance shortcomings that go beyond simple regulatory flaws. The primary insight is that incentives, governance, and institutional culture interact inside financial institutions to determine financial stability, in addition to regulations and capital buffers.</w:t>
      </w:r>
    </w:p>
    <w:p w14:paraId="196D360F" w14:textId="7058C393" w:rsidR="001D4869" w:rsidRDefault="001D4869" w:rsidP="001D4869">
      <w:r w:rsidRPr="001D4869">
        <w:t>One clear lesson concerns the limits of relying on market discipline as a governance mechanism. The prevalent regulatory strategies prior to the crisis were predicated on the idea that counterparties, creditors, and shareholders would limit excessive risk-taking through funding costs and price signals. This premise was challenged in practice by complexity, herding tendency, and information asymmetries.</w:t>
      </w:r>
      <w:r>
        <w:rPr>
          <w:rStyle w:val="FootnoteReference"/>
        </w:rPr>
        <w:footnoteReference w:id="15"/>
      </w:r>
      <w:r>
        <w:t xml:space="preserve"> </w:t>
      </w:r>
      <w:r w:rsidRPr="001D4869">
        <w:t>During the credit boom, markets often rewarded institutions that produced larger short-term returns rather than penalising risk, which strengthened leverage and balance-sheet expansion. This experience showed that internalising systemic risk requires more than just market signals.</w:t>
      </w:r>
    </w:p>
    <w:p w14:paraId="5897FF89" w14:textId="53A33049" w:rsidR="001D4869" w:rsidRPr="001D4869" w:rsidRDefault="001D4869" w:rsidP="001D4869">
      <w:r w:rsidRPr="001D4869">
        <w:t xml:space="preserve">A second lesson relates to the design of incentives and internal governance structures. Executive compensation plans and board monitoring procedures frequently failed to match private decision-making with long-term institutional resilience, as the crisis made clear. As a result, post-crisis reforms have placed a greater emphasis on compensation governance, including clawback clauses, deferral, and the use of risk-adjusted performance indicators. Evidence from the crisis, however, </w:t>
      </w:r>
      <w:r w:rsidR="00B71AA0" w:rsidRPr="001D4869">
        <w:t>shows</w:t>
      </w:r>
      <w:r w:rsidRPr="001D4869">
        <w:t xml:space="preserve"> that these reforms work best when included within larger governance frameworks that improve board accountability, independence, and competency.</w:t>
      </w:r>
      <w:r>
        <w:rPr>
          <w:rStyle w:val="FootnoteReference"/>
        </w:rPr>
        <w:footnoteReference w:id="16"/>
      </w:r>
    </w:p>
    <w:p w14:paraId="693999A0" w14:textId="7C4A82CB" w:rsidR="0062469A" w:rsidRDefault="0062469A" w:rsidP="0062469A">
      <w:r w:rsidRPr="0062469A">
        <w:t>A third lesson concerns the importance of effective internal risk management and supervisory oversight. Formal risk controls were insufficient in situations where risk functions lacked authority, cohesiveness, or influence over strategic decision-making, according to evidence from the crisis. As Acharya et al. demonstrate, firm-level risk management frameworks failed to internalise systemic externalities, allowing institutions to appear individually resilient while collectively fragile.</w:t>
      </w:r>
      <w:r>
        <w:rPr>
          <w:rStyle w:val="FootnoteReference"/>
        </w:rPr>
        <w:footnoteReference w:id="17"/>
      </w:r>
      <w:r w:rsidRPr="0062469A">
        <w:t xml:space="preserve"> As a result, rather than depending solely on static balance-sheet metrics, post-crisis regulation has placed more focus on stress testing and supervisory inspection of governance processes. Importantly, as Mikes and Ramskogler note, these changes show an </w:t>
      </w:r>
      <w:r w:rsidRPr="0062469A">
        <w:lastRenderedPageBreak/>
        <w:t>increasing understanding that organisational culture and decision-making procedures are just as crucial to financial stability as formal rule compliance.</w:t>
      </w:r>
    </w:p>
    <w:p w14:paraId="0898013D" w14:textId="707F6AC3" w:rsidR="0062469A" w:rsidRDefault="0062469A" w:rsidP="0062469A">
      <w:r w:rsidRPr="0062469A">
        <w:t xml:space="preserve">Finally, the crisis </w:t>
      </w:r>
      <w:r w:rsidR="00B71AA0" w:rsidRPr="0062469A">
        <w:t>showed</w:t>
      </w:r>
      <w:r w:rsidRPr="0062469A">
        <w:t xml:space="preserve"> the need for regulatory approaches that account for system-wide interactions rather than isolated institutional risks. Vulnerabilities were able to cross regulatory boundaries, especially into shadow banking operations, due to fragmented oversight. International coordination and macroprudential regulation have become more prominent in response, with the goal of addressing procyclicality and associated risk-taking throughout the financial system.</w:t>
      </w:r>
    </w:p>
    <w:p w14:paraId="5E2A2EC4" w14:textId="77777777" w:rsidR="00B80EDA" w:rsidRDefault="00B80EDA" w:rsidP="0062469A"/>
    <w:p w14:paraId="31433ADC" w14:textId="1AD46ED2" w:rsidR="00B80EDA" w:rsidRDefault="00B80EDA" w:rsidP="00B80EDA">
      <w:r w:rsidRPr="00B80EDA">
        <w:t>Significant flaws in corporate governance frameworks that solely prioritised shareholder interests were made clear by the</w:t>
      </w:r>
      <w:r w:rsidR="003540FF">
        <w:t xml:space="preserve"> </w:t>
      </w:r>
      <w:r w:rsidRPr="00B80EDA">
        <w:t>crisis. Although the goal of shareholder-oriented governance was to effectively distribute capital and discipline management, the crisis showed that, especially in complex financial institutions, a sole concentration on shareholder profit can increase short-termism and systemic risk. These flaws have sparked a resurgence of interest in alternative governance strategies that prioritise trust, long-term orientation, and institutional resilience while including broader stakeholder obligations.</w:t>
      </w:r>
    </w:p>
    <w:p w14:paraId="7A6AE2AA" w14:textId="08ECAA63" w:rsidR="00D47BE4" w:rsidRDefault="00B80EDA" w:rsidP="00D47BE4">
      <w:r w:rsidRPr="00B80EDA">
        <w:t>Stakeholder theory provides one such framework. Stakeholder-oriented governance acknowledges the company as embedded within a broader network of interactions, including employees, customers, creditors, communities, and the state, as opposed to considering shareholders as the only legitimate benefactors of corporate activity.</w:t>
      </w:r>
      <w:r>
        <w:rPr>
          <w:rStyle w:val="FootnoteReference"/>
        </w:rPr>
        <w:footnoteReference w:id="18"/>
      </w:r>
      <w:r>
        <w:t xml:space="preserve"> </w:t>
      </w:r>
      <w:r w:rsidRPr="00B80EDA">
        <w:t xml:space="preserve">According to this viewpoint, governance structures that strike a balance between the interests of stakeholders are not only morally right, but they can also improve risk management and long-term wealth development. The crisis </w:t>
      </w:r>
      <w:r w:rsidR="00B71AA0" w:rsidRPr="00B80EDA">
        <w:t>proved</w:t>
      </w:r>
      <w:r w:rsidRPr="00B80EDA">
        <w:t xml:space="preserve"> that tactics that put short-term shareholder rewards first </w:t>
      </w:r>
      <w:r w:rsidR="00B71AA0" w:rsidRPr="00B80EDA">
        <w:t>often</w:t>
      </w:r>
      <w:r w:rsidRPr="00B80EDA">
        <w:t xml:space="preserve"> clashed with the viability of businesses and financial systems overall, eroding trust and social legitimacy.</w:t>
      </w:r>
      <w:r w:rsidR="00D47BE4">
        <w:t xml:space="preserve"> </w:t>
      </w:r>
      <w:r w:rsidR="00D47BE4" w:rsidRPr="00D47BE4">
        <w:t>The applicability of this more comprehensive governance strategy is supported by empirical data. Companies with greater levels of social capital and stakeholder engagement performed noticeably better during times of market stress, according to research on corporate performance during the crisis.</w:t>
      </w:r>
      <w:r w:rsidR="00D47BE4">
        <w:rPr>
          <w:rStyle w:val="FootnoteReference"/>
        </w:rPr>
        <w:footnoteReference w:id="19"/>
      </w:r>
      <w:r w:rsidR="00D47BE4">
        <w:t xml:space="preserve"> </w:t>
      </w:r>
      <w:r w:rsidR="00D47BE4" w:rsidRPr="00D47BE4">
        <w:t>Relationships based on trust stabilised investor expectations, decreased transaction costs, and lessened the impact of liquidity shortages during the financial markets' freeze. These results imply that, rather than just boosting performance under normal circumstances, stakeholder-oriented governance can serve as a type of institutional insurance, strengthening resilience during systemic shocks.</w:t>
      </w:r>
      <w:r w:rsidR="00D47BE4">
        <w:t xml:space="preserve"> </w:t>
      </w:r>
      <w:r w:rsidR="00D47BE4" w:rsidRPr="00D47BE4">
        <w:t xml:space="preserve">The necessity of redefining business purpose in ways that balance societal </w:t>
      </w:r>
      <w:r w:rsidR="00D47BE4" w:rsidRPr="00D47BE4">
        <w:t>stability,</w:t>
      </w:r>
      <w:r w:rsidR="00D47BE4" w:rsidRPr="00D47BE4">
        <w:t xml:space="preserve"> and economic success has been highlighted by related policy-oriented thought. According to Porter and Kramer's theory of "creating shared value," businesses improve their competitive standing by addressing institutional and societal flaws that impede long-term success.</w:t>
      </w:r>
      <w:r w:rsidR="00D47BE4">
        <w:rPr>
          <w:rStyle w:val="FootnoteReference"/>
        </w:rPr>
        <w:footnoteReference w:id="20"/>
      </w:r>
      <w:r w:rsidR="00D47BE4" w:rsidRPr="00D47BE4">
        <w:t> In the context of financial governance, this method suggests that trust-building, transparency, and appropriate risk management are essential to long-term value creation rather than external barriers to profitability.</w:t>
      </w:r>
    </w:p>
    <w:p w14:paraId="4D07E115" w14:textId="3FC2A424" w:rsidR="00436761" w:rsidRDefault="00D47BE4" w:rsidP="00D47BE4">
      <w:r w:rsidRPr="00D47BE4">
        <w:t>Beyond Western governance debates, comparative perspectives offer additional insight. Research on Confucian ethical traditions emphasises how managerial action is shaped by moral obligation, reciprocity, and long-term focus.</w:t>
      </w:r>
      <w:r>
        <w:rPr>
          <w:rStyle w:val="FootnoteReference"/>
        </w:rPr>
        <w:footnoteReference w:id="21"/>
      </w:r>
      <w:r w:rsidRPr="00D47BE4">
        <w:t xml:space="preserve"> These structures emphasise the </w:t>
      </w:r>
      <w:r w:rsidRPr="00D47BE4">
        <w:lastRenderedPageBreak/>
        <w:t>significance of moral standards and leadership in limiting opportunism in situations where formal regulation is lacking, even though they are not immediately applicable to contemporary financial systems. These viewpoints support the crisis's larger lesson, which is that good financial governance depends on institutional norms and values as well as regulations and incentives.</w:t>
      </w:r>
    </w:p>
    <w:p w14:paraId="44449A8B" w14:textId="77777777" w:rsidR="00436761" w:rsidRDefault="00436761" w:rsidP="00D47BE4"/>
    <w:p w14:paraId="4F3035B4" w14:textId="57A7144D" w:rsidR="00436761" w:rsidRPr="00436761" w:rsidRDefault="00436761" w:rsidP="00436761">
      <w:r>
        <w:t>To conclude, t</w:t>
      </w:r>
      <w:r w:rsidRPr="00436761">
        <w:t>he global financial crisis demonstrated that interrelated structural, institutional, and governance flaws lead to financial instability rather than being purely the result of market or regulatory failure. Internal governance mechanisms failed to curb short-termism across complex institutions, and an over-reliance on market discipline, misaligned incentives, and disjointed supervision allowed risk to build up throughout financial systems. Although regulatory frameworks and supervisory tools have been reinforced by post-crisis changes, the experience of the crisis emphasises that regulation is not enough to ensure long-term stability.</w:t>
      </w:r>
      <w:r w:rsidRPr="00436761">
        <w:br/>
      </w:r>
      <w:r w:rsidRPr="00436761">
        <w:br/>
        <w:t>Governance arrangements that increase supervision and risk management, align incentives with sustainable value generation, and acknowledge the significance of trust, stakeholder relationships, and institutional culture are all necessary for a more robust financial system. In order to lower systemic risk and promote long-term, equitable economic growth, it will continue to be crucial for international policymakers to incorporate these larger governance issues alongside formal legislation as they continue to consider the lessons learnt from the crisis.</w:t>
      </w:r>
    </w:p>
    <w:p w14:paraId="7DE0D90F" w14:textId="0789258B" w:rsidR="00436761" w:rsidRPr="00D47BE4" w:rsidRDefault="00436761" w:rsidP="00D47BE4"/>
    <w:p w14:paraId="651508DB" w14:textId="77777777" w:rsidR="00D47BE4" w:rsidRPr="00D47BE4" w:rsidRDefault="00D47BE4" w:rsidP="00D47BE4"/>
    <w:p w14:paraId="5194FFDD" w14:textId="718681E6" w:rsidR="00D47BE4" w:rsidRPr="00D47BE4" w:rsidRDefault="00D47BE4" w:rsidP="00D47BE4"/>
    <w:p w14:paraId="121EAC1D" w14:textId="5C28A371" w:rsidR="00B80EDA" w:rsidRPr="00B80EDA" w:rsidRDefault="00B80EDA" w:rsidP="00B80EDA"/>
    <w:p w14:paraId="3D1A008B" w14:textId="77777777" w:rsidR="00B80EDA" w:rsidRPr="00B80EDA" w:rsidRDefault="00B80EDA" w:rsidP="00B80EDA"/>
    <w:p w14:paraId="0CB147BD" w14:textId="77777777" w:rsidR="00B80EDA" w:rsidRDefault="00B80EDA" w:rsidP="0062469A"/>
    <w:p w14:paraId="236DC4FB" w14:textId="77777777" w:rsidR="00B80EDA" w:rsidRPr="0062469A" w:rsidRDefault="00B80EDA" w:rsidP="0062469A"/>
    <w:p w14:paraId="331E55C8" w14:textId="77777777" w:rsidR="0062469A" w:rsidRPr="0062469A" w:rsidRDefault="0062469A" w:rsidP="0062469A"/>
    <w:p w14:paraId="20A71150" w14:textId="77777777" w:rsidR="001D4869" w:rsidRDefault="001D4869" w:rsidP="007A5E6C"/>
    <w:p w14:paraId="7665A4E6" w14:textId="77777777" w:rsidR="007A5E6C" w:rsidRPr="007A5E6C" w:rsidRDefault="007A5E6C" w:rsidP="007A5E6C"/>
    <w:p w14:paraId="1B5087A3" w14:textId="77777777" w:rsidR="007A5E6C" w:rsidRPr="0008002D" w:rsidRDefault="007A5E6C" w:rsidP="0008002D"/>
    <w:p w14:paraId="0EE65607" w14:textId="1DAA6C53" w:rsidR="00317777" w:rsidRPr="00317777" w:rsidRDefault="00317777" w:rsidP="00317777"/>
    <w:p w14:paraId="22E1E10D" w14:textId="77777777" w:rsidR="00317777" w:rsidRDefault="00317777" w:rsidP="00C273B7"/>
    <w:p w14:paraId="117A1B58" w14:textId="7C65249E" w:rsidR="00C273B7" w:rsidRPr="00C273B7" w:rsidRDefault="00C273B7" w:rsidP="00C273B7">
      <w:r w:rsidRPr="00C273B7">
        <w:br/>
      </w:r>
    </w:p>
    <w:p w14:paraId="1E2833E7" w14:textId="1CFAC66F" w:rsidR="00D6499A" w:rsidRPr="00B71AA0" w:rsidRDefault="00D6499A" w:rsidP="00D6499A">
      <w:pPr>
        <w:rPr>
          <w:sz w:val="26"/>
          <w:szCs w:val="26"/>
          <w:u w:val="single"/>
        </w:rPr>
      </w:pPr>
      <w:r w:rsidRPr="00B71AA0">
        <w:rPr>
          <w:sz w:val="26"/>
          <w:szCs w:val="26"/>
          <w:u w:val="single"/>
        </w:rPr>
        <w:t>Bibliography</w:t>
      </w:r>
    </w:p>
    <w:p w14:paraId="281AE588" w14:textId="77777777" w:rsidR="00D6499A" w:rsidRDefault="00D6499A" w:rsidP="00B71AA0">
      <w:pPr>
        <w:spacing w:before="120" w:after="0"/>
        <w:ind w:hanging="720"/>
        <w:rPr>
          <w:sz w:val="24"/>
          <w:szCs w:val="24"/>
        </w:rPr>
      </w:pPr>
    </w:p>
    <w:p w14:paraId="1492E72B" w14:textId="093755F4" w:rsidR="00D6499A" w:rsidRPr="00B71AA0" w:rsidRDefault="00D6499A" w:rsidP="00B71AA0">
      <w:pPr>
        <w:spacing w:after="240" w:line="276" w:lineRule="auto"/>
        <w:outlineLvl w:val="1"/>
      </w:pPr>
      <w:r w:rsidRPr="00B71AA0">
        <w:t xml:space="preserve">Blackburn, R., </w:t>
      </w:r>
      <w:r w:rsidRPr="00B71AA0">
        <w:t>‘</w:t>
      </w:r>
      <w:r w:rsidRPr="00B71AA0">
        <w:rPr>
          <w:i/>
          <w:iCs/>
        </w:rPr>
        <w:t>The Subprime Crisis</w:t>
      </w:r>
      <w:r w:rsidRPr="00B71AA0">
        <w:t>,</w:t>
      </w:r>
      <w:r w:rsidRPr="00B71AA0">
        <w:t>’</w:t>
      </w:r>
      <w:r w:rsidRPr="00B71AA0">
        <w:t xml:space="preserve"> New Left Review, 2008</w:t>
      </w:r>
    </w:p>
    <w:p w14:paraId="4CAB8542" w14:textId="0CF9DD41" w:rsidR="00D6499A" w:rsidRPr="00B71AA0" w:rsidRDefault="00D6499A" w:rsidP="00B71AA0">
      <w:pPr>
        <w:spacing w:after="240" w:line="276" w:lineRule="auto"/>
        <w:outlineLvl w:val="1"/>
      </w:pPr>
      <w:r w:rsidRPr="00B71AA0">
        <w:lastRenderedPageBreak/>
        <w:t>Thakor, Anjan V., ‘</w:t>
      </w:r>
      <w:r w:rsidRPr="00B71AA0">
        <w:rPr>
          <w:i/>
          <w:iCs/>
        </w:rPr>
        <w:t>The Financial Crisis of 2007-2009: Why Did It Happen And What Did We Learn?’</w:t>
      </w:r>
      <w:r w:rsidR="006254A8" w:rsidRPr="00B71AA0">
        <w:rPr>
          <w:i/>
          <w:iCs/>
        </w:rPr>
        <w:t xml:space="preserve"> Oxford University Press, 2015</w:t>
      </w:r>
    </w:p>
    <w:p w14:paraId="700E6F9A" w14:textId="49D56E45" w:rsidR="00783CCA" w:rsidRPr="00B71AA0" w:rsidRDefault="00783CCA" w:rsidP="00B71AA0">
      <w:pPr>
        <w:spacing w:after="240" w:line="276" w:lineRule="auto"/>
        <w:outlineLvl w:val="1"/>
      </w:pPr>
      <w:r w:rsidRPr="00B71AA0">
        <w:t>Ramskogler, Paul, ‘</w:t>
      </w:r>
      <w:r w:rsidRPr="00B71AA0">
        <w:rPr>
          <w:i/>
          <w:iCs/>
        </w:rPr>
        <w:t>Tracing the origins of the financial crisis</w:t>
      </w:r>
      <w:r w:rsidRPr="00B71AA0">
        <w:t>,’ OCED Journal, 2014</w:t>
      </w:r>
    </w:p>
    <w:p w14:paraId="068FF48B" w14:textId="5C842676" w:rsidR="00801BE2" w:rsidRPr="00B71AA0" w:rsidRDefault="00801BE2" w:rsidP="00B71AA0">
      <w:pPr>
        <w:spacing w:after="240" w:line="276" w:lineRule="auto"/>
        <w:outlineLvl w:val="1"/>
      </w:pPr>
      <w:r w:rsidRPr="00B71AA0">
        <w:t>Fahlenbrach, Rudiger and Stultz, Rene M., ‘</w:t>
      </w:r>
      <w:r w:rsidRPr="00B71AA0">
        <w:rPr>
          <w:i/>
          <w:iCs/>
        </w:rPr>
        <w:t>Bank CEO incentives and the credit crisis</w:t>
      </w:r>
      <w:r w:rsidR="00317777" w:rsidRPr="00B71AA0">
        <w:rPr>
          <w:i/>
          <w:iCs/>
        </w:rPr>
        <w:t>,</w:t>
      </w:r>
      <w:r w:rsidR="003540FF" w:rsidRPr="00B71AA0">
        <w:rPr>
          <w:i/>
          <w:iCs/>
        </w:rPr>
        <w:t xml:space="preserve">’ </w:t>
      </w:r>
      <w:r w:rsidR="003540FF" w:rsidRPr="00B71AA0">
        <w:t>Journal</w:t>
      </w:r>
      <w:r w:rsidR="00317777" w:rsidRPr="00B71AA0">
        <w:t xml:space="preserve"> of Financial Economics, 2011</w:t>
      </w:r>
    </w:p>
    <w:p w14:paraId="03726BE4" w14:textId="55391BB7" w:rsidR="00317777" w:rsidRPr="00B71AA0" w:rsidRDefault="00317777" w:rsidP="00B71AA0">
      <w:pPr>
        <w:spacing w:after="240" w:line="276" w:lineRule="auto"/>
        <w:outlineLvl w:val="1"/>
      </w:pPr>
      <w:r w:rsidRPr="00B71AA0">
        <w:t>Bebchuk, Cohen</w:t>
      </w:r>
      <w:r w:rsidR="0008002D" w:rsidRPr="00B71AA0">
        <w:t xml:space="preserve"> and Spamann, </w:t>
      </w:r>
      <w:r w:rsidR="0008002D" w:rsidRPr="00B71AA0">
        <w:rPr>
          <w:i/>
          <w:iCs/>
        </w:rPr>
        <w:t>‘The Wages of Failure: Compensation at Bear Stearns and Lehman 2000-2008,</w:t>
      </w:r>
      <w:r w:rsidR="003540FF" w:rsidRPr="00B71AA0">
        <w:rPr>
          <w:i/>
          <w:iCs/>
        </w:rPr>
        <w:t xml:space="preserve">’ </w:t>
      </w:r>
      <w:r w:rsidR="003540FF" w:rsidRPr="00B71AA0">
        <w:t>Yale</w:t>
      </w:r>
      <w:r w:rsidR="0008002D" w:rsidRPr="00B71AA0">
        <w:t xml:space="preserve"> Journal on Regulation, 2010</w:t>
      </w:r>
    </w:p>
    <w:p w14:paraId="63BDACEC" w14:textId="163E279D" w:rsidR="007A5E6C" w:rsidRPr="00B71AA0" w:rsidRDefault="007A5E6C" w:rsidP="00B71AA0">
      <w:pPr>
        <w:spacing w:after="240" w:line="276" w:lineRule="auto"/>
        <w:outlineLvl w:val="1"/>
      </w:pPr>
      <w:r w:rsidRPr="00B71AA0">
        <w:t xml:space="preserve">Mikes, Anette, </w:t>
      </w:r>
      <w:r w:rsidRPr="00B71AA0">
        <w:rPr>
          <w:i/>
          <w:iCs/>
        </w:rPr>
        <w:t>‘Risk Management at Crunch Time: Are Chief Risk Officers Compliance Champions or Business Partners?’</w:t>
      </w:r>
      <w:r w:rsidRPr="00B71AA0">
        <w:t xml:space="preserve"> </w:t>
      </w:r>
      <w:r w:rsidR="00780646" w:rsidRPr="00B71AA0">
        <w:t xml:space="preserve"> Harvard Business School, 2008</w:t>
      </w:r>
    </w:p>
    <w:p w14:paraId="0E049DB9" w14:textId="7FBC1505" w:rsidR="0062469A" w:rsidRPr="00B71AA0" w:rsidRDefault="0062469A" w:rsidP="00B71AA0">
      <w:pPr>
        <w:spacing w:after="240" w:line="276" w:lineRule="auto"/>
        <w:outlineLvl w:val="1"/>
      </w:pPr>
      <w:r w:rsidRPr="00B71AA0">
        <w:t>Acharya, Pedersen, Philippon, Richardson, ‘</w:t>
      </w:r>
      <w:r w:rsidRPr="00B71AA0">
        <w:rPr>
          <w:i/>
          <w:iCs/>
        </w:rPr>
        <w:t xml:space="preserve">Regulating Systemic Risk,’ </w:t>
      </w:r>
      <w:r w:rsidRPr="00B71AA0">
        <w:t>NYU Stern School of Business, 2009</w:t>
      </w:r>
    </w:p>
    <w:p w14:paraId="1B2E0864" w14:textId="095088AC" w:rsidR="00B80EDA" w:rsidRPr="00B71AA0" w:rsidRDefault="00B80EDA" w:rsidP="00B71AA0">
      <w:pPr>
        <w:spacing w:after="240" w:line="276" w:lineRule="auto"/>
        <w:outlineLvl w:val="1"/>
      </w:pPr>
      <w:r w:rsidRPr="00B71AA0">
        <w:t xml:space="preserve">Freeman, R. E., </w:t>
      </w:r>
      <w:r w:rsidRPr="00B71AA0">
        <w:t>‘</w:t>
      </w:r>
      <w:r w:rsidRPr="00B71AA0">
        <w:rPr>
          <w:i/>
          <w:iCs/>
        </w:rPr>
        <w:t>Stakeholder Theory: The State of the Art</w:t>
      </w:r>
      <w:r w:rsidRPr="00B71AA0">
        <w:t>,</w:t>
      </w:r>
      <w:r w:rsidRPr="00B71AA0">
        <w:t>’</w:t>
      </w:r>
      <w:r w:rsidRPr="00B71AA0">
        <w:t xml:space="preserve"> 2010</w:t>
      </w:r>
    </w:p>
    <w:p w14:paraId="29D8E1DD" w14:textId="36A870CD" w:rsidR="00D47BE4" w:rsidRPr="00B71AA0" w:rsidRDefault="00D47BE4" w:rsidP="00B71AA0">
      <w:pPr>
        <w:spacing w:after="240" w:line="276" w:lineRule="auto"/>
        <w:outlineLvl w:val="1"/>
      </w:pPr>
      <w:r w:rsidRPr="00B71AA0">
        <w:t>Lins, K. V., Servaes, H., &amp; Tamayo, A., ‘Social Capital, Trust, and Firm Performance’, 2017</w:t>
      </w:r>
    </w:p>
    <w:p w14:paraId="4338CEE3" w14:textId="3D1B2FA1" w:rsidR="00D47BE4" w:rsidRPr="00B71AA0" w:rsidRDefault="00D47BE4" w:rsidP="00B71AA0">
      <w:pPr>
        <w:spacing w:after="240" w:line="276" w:lineRule="auto"/>
        <w:outlineLvl w:val="1"/>
      </w:pPr>
      <w:r w:rsidRPr="00B71AA0">
        <w:t>Porter, M. E. &amp; Kramer, M. R., ‘</w:t>
      </w:r>
      <w:r w:rsidRPr="00B71AA0">
        <w:rPr>
          <w:i/>
          <w:iCs/>
        </w:rPr>
        <w:t>Creating Shared Value’</w:t>
      </w:r>
      <w:r w:rsidRPr="00B71AA0">
        <w:t>, 2011</w:t>
      </w:r>
    </w:p>
    <w:p w14:paraId="135EF2C5" w14:textId="05CD81F2" w:rsidR="00287337" w:rsidRPr="00B71AA0" w:rsidRDefault="00287337" w:rsidP="00B71AA0">
      <w:pPr>
        <w:spacing w:after="240" w:line="276" w:lineRule="auto"/>
        <w:outlineLvl w:val="1"/>
      </w:pPr>
      <w:r w:rsidRPr="00B71AA0">
        <w:t>Xingyuan Wang, Fuan Li, Qin Sun, ‘</w:t>
      </w:r>
      <w:r w:rsidRPr="00B71AA0">
        <w:rPr>
          <w:i/>
          <w:iCs/>
        </w:rPr>
        <w:t xml:space="preserve">Confucian ethics, moral foundations, and shareholder value perspectives,’ </w:t>
      </w:r>
      <w:r w:rsidRPr="00B71AA0">
        <w:t>2018</w:t>
      </w:r>
    </w:p>
    <w:sectPr w:rsidR="00287337" w:rsidRPr="00B71A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893FF" w14:textId="77777777" w:rsidR="002C453D" w:rsidRDefault="002C453D" w:rsidP="00D6499A">
      <w:pPr>
        <w:spacing w:after="0" w:line="240" w:lineRule="auto"/>
      </w:pPr>
      <w:r>
        <w:separator/>
      </w:r>
    </w:p>
  </w:endnote>
  <w:endnote w:type="continuationSeparator" w:id="0">
    <w:p w14:paraId="0666D3A7" w14:textId="77777777" w:rsidR="002C453D" w:rsidRDefault="002C453D" w:rsidP="00D64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32FF4" w14:textId="77777777" w:rsidR="002C453D" w:rsidRDefault="002C453D" w:rsidP="00D6499A">
      <w:pPr>
        <w:spacing w:after="0" w:line="240" w:lineRule="auto"/>
      </w:pPr>
      <w:r>
        <w:separator/>
      </w:r>
    </w:p>
  </w:footnote>
  <w:footnote w:type="continuationSeparator" w:id="0">
    <w:p w14:paraId="2F7CB6DD" w14:textId="77777777" w:rsidR="002C453D" w:rsidRDefault="002C453D" w:rsidP="00D6499A">
      <w:pPr>
        <w:spacing w:after="0" w:line="240" w:lineRule="auto"/>
      </w:pPr>
      <w:r>
        <w:continuationSeparator/>
      </w:r>
    </w:p>
  </w:footnote>
  <w:footnote w:id="1">
    <w:p w14:paraId="620E6370" w14:textId="10311F80" w:rsidR="00D6499A" w:rsidRPr="00783CCA" w:rsidRDefault="00D6499A">
      <w:pPr>
        <w:pStyle w:val="FootnoteText"/>
        <w:rPr>
          <w:sz w:val="18"/>
          <w:szCs w:val="18"/>
        </w:rPr>
      </w:pPr>
      <w:r w:rsidRPr="00783CCA">
        <w:rPr>
          <w:rStyle w:val="FootnoteReference"/>
          <w:sz w:val="18"/>
          <w:szCs w:val="18"/>
        </w:rPr>
        <w:footnoteRef/>
      </w:r>
      <w:r w:rsidRPr="00783CCA">
        <w:rPr>
          <w:sz w:val="18"/>
          <w:szCs w:val="18"/>
        </w:rPr>
        <w:t xml:space="preserve"> </w:t>
      </w:r>
      <w:r w:rsidRPr="00783CCA">
        <w:rPr>
          <w:sz w:val="18"/>
          <w:szCs w:val="18"/>
        </w:rPr>
        <w:t xml:space="preserve">Blackburn, </w:t>
      </w:r>
      <w:r w:rsidRPr="00783CCA">
        <w:rPr>
          <w:i/>
          <w:iCs/>
          <w:sz w:val="18"/>
          <w:szCs w:val="18"/>
        </w:rPr>
        <w:t>The Subprime Crisis</w:t>
      </w:r>
      <w:r w:rsidRPr="00783CCA">
        <w:rPr>
          <w:i/>
          <w:iCs/>
          <w:sz w:val="18"/>
          <w:szCs w:val="18"/>
        </w:rPr>
        <w:t xml:space="preserve">, pp. </w:t>
      </w:r>
      <w:r w:rsidR="006254A8" w:rsidRPr="00783CCA">
        <w:rPr>
          <w:i/>
          <w:iCs/>
          <w:sz w:val="18"/>
          <w:szCs w:val="18"/>
        </w:rPr>
        <w:t>65-67</w:t>
      </w:r>
    </w:p>
  </w:footnote>
  <w:footnote w:id="2">
    <w:p w14:paraId="0D84EA3B" w14:textId="386EB5F2" w:rsidR="00D6499A" w:rsidRPr="00783CCA" w:rsidRDefault="00D6499A">
      <w:pPr>
        <w:pStyle w:val="FootnoteText"/>
        <w:rPr>
          <w:sz w:val="18"/>
          <w:szCs w:val="18"/>
        </w:rPr>
      </w:pPr>
      <w:r w:rsidRPr="00783CCA">
        <w:rPr>
          <w:rStyle w:val="FootnoteReference"/>
          <w:sz w:val="18"/>
          <w:szCs w:val="18"/>
        </w:rPr>
        <w:footnoteRef/>
      </w:r>
      <w:r w:rsidRPr="00783CCA">
        <w:rPr>
          <w:sz w:val="18"/>
          <w:szCs w:val="18"/>
        </w:rPr>
        <w:t xml:space="preserve"> </w:t>
      </w:r>
      <w:r w:rsidRPr="00783CCA">
        <w:rPr>
          <w:i/>
          <w:iCs/>
          <w:sz w:val="18"/>
          <w:szCs w:val="18"/>
        </w:rPr>
        <w:t xml:space="preserve">Ibid, </w:t>
      </w:r>
      <w:r w:rsidRPr="00783CCA">
        <w:rPr>
          <w:sz w:val="18"/>
          <w:szCs w:val="18"/>
        </w:rPr>
        <w:t xml:space="preserve">pp. </w:t>
      </w:r>
      <w:r w:rsidR="006254A8" w:rsidRPr="00783CCA">
        <w:rPr>
          <w:sz w:val="18"/>
          <w:szCs w:val="18"/>
        </w:rPr>
        <w:t>67-68</w:t>
      </w:r>
    </w:p>
  </w:footnote>
  <w:footnote w:id="3">
    <w:p w14:paraId="2209FE7E" w14:textId="5787DCB0" w:rsidR="00D6499A" w:rsidRPr="00783CCA" w:rsidRDefault="00D6499A">
      <w:pPr>
        <w:pStyle w:val="FootnoteText"/>
        <w:rPr>
          <w:sz w:val="18"/>
          <w:szCs w:val="18"/>
        </w:rPr>
      </w:pPr>
      <w:r w:rsidRPr="00783CCA">
        <w:rPr>
          <w:rStyle w:val="FootnoteReference"/>
          <w:sz w:val="18"/>
          <w:szCs w:val="18"/>
        </w:rPr>
        <w:footnoteRef/>
      </w:r>
      <w:r w:rsidRPr="00783CCA">
        <w:rPr>
          <w:sz w:val="18"/>
          <w:szCs w:val="18"/>
        </w:rPr>
        <w:t xml:space="preserve"> </w:t>
      </w:r>
      <w:r w:rsidR="006254A8" w:rsidRPr="00783CCA">
        <w:rPr>
          <w:sz w:val="18"/>
          <w:szCs w:val="18"/>
        </w:rPr>
        <w:t xml:space="preserve">Thakor, </w:t>
      </w:r>
      <w:r w:rsidR="006254A8" w:rsidRPr="00783CCA">
        <w:rPr>
          <w:sz w:val="18"/>
          <w:szCs w:val="18"/>
        </w:rPr>
        <w:t>‘</w:t>
      </w:r>
      <w:r w:rsidR="006254A8" w:rsidRPr="00783CCA">
        <w:rPr>
          <w:i/>
          <w:iCs/>
          <w:sz w:val="18"/>
          <w:szCs w:val="18"/>
        </w:rPr>
        <w:t>The Financial Crisis of 2007-2009: Why Did It Happen And What Did We Learn?’</w:t>
      </w:r>
      <w:r w:rsidR="006254A8" w:rsidRPr="00783CCA">
        <w:rPr>
          <w:i/>
          <w:iCs/>
          <w:sz w:val="18"/>
          <w:szCs w:val="18"/>
        </w:rPr>
        <w:t xml:space="preserve"> </w:t>
      </w:r>
      <w:r w:rsidR="006254A8" w:rsidRPr="00783CCA">
        <w:rPr>
          <w:sz w:val="18"/>
          <w:szCs w:val="18"/>
        </w:rPr>
        <w:t xml:space="preserve">pp. </w:t>
      </w:r>
      <w:r w:rsidR="003540FF" w:rsidRPr="00783CCA">
        <w:rPr>
          <w:sz w:val="18"/>
          <w:szCs w:val="18"/>
        </w:rPr>
        <w:t>159-160.</w:t>
      </w:r>
    </w:p>
  </w:footnote>
  <w:footnote w:id="4">
    <w:p w14:paraId="56F8AEE0" w14:textId="05B41C63" w:rsidR="00783CCA" w:rsidRPr="00783CCA" w:rsidRDefault="00783CCA">
      <w:pPr>
        <w:pStyle w:val="FootnoteText"/>
        <w:rPr>
          <w:sz w:val="18"/>
          <w:szCs w:val="18"/>
        </w:rPr>
      </w:pPr>
      <w:r w:rsidRPr="00783CCA">
        <w:rPr>
          <w:rStyle w:val="FootnoteReference"/>
          <w:sz w:val="18"/>
          <w:szCs w:val="18"/>
        </w:rPr>
        <w:footnoteRef/>
      </w:r>
      <w:r w:rsidRPr="00783CCA">
        <w:rPr>
          <w:sz w:val="18"/>
          <w:szCs w:val="18"/>
        </w:rPr>
        <w:t xml:space="preserve"> Ramskogler, </w:t>
      </w:r>
      <w:r w:rsidRPr="00783CCA">
        <w:rPr>
          <w:sz w:val="18"/>
          <w:szCs w:val="18"/>
        </w:rPr>
        <w:t>‘</w:t>
      </w:r>
      <w:r w:rsidRPr="00783CCA">
        <w:rPr>
          <w:i/>
          <w:iCs/>
          <w:sz w:val="18"/>
          <w:szCs w:val="18"/>
        </w:rPr>
        <w:t>Tracing the origins of the financial crisis</w:t>
      </w:r>
      <w:r w:rsidRPr="00783CCA">
        <w:rPr>
          <w:sz w:val="18"/>
          <w:szCs w:val="18"/>
        </w:rPr>
        <w:t>,’</w:t>
      </w:r>
      <w:r w:rsidRPr="00783CCA">
        <w:rPr>
          <w:sz w:val="18"/>
          <w:szCs w:val="18"/>
        </w:rPr>
        <w:t xml:space="preserve"> pp. </w:t>
      </w:r>
      <w:r w:rsidR="003540FF" w:rsidRPr="00783CCA">
        <w:rPr>
          <w:sz w:val="18"/>
          <w:szCs w:val="18"/>
        </w:rPr>
        <w:t>47-49.</w:t>
      </w:r>
    </w:p>
  </w:footnote>
  <w:footnote w:id="5">
    <w:p w14:paraId="5B1DB522" w14:textId="738DECC7" w:rsidR="00783CCA" w:rsidRDefault="00783CCA">
      <w:pPr>
        <w:pStyle w:val="FootnoteText"/>
      </w:pPr>
      <w:r w:rsidRPr="00783CCA">
        <w:rPr>
          <w:rStyle w:val="FootnoteReference"/>
          <w:sz w:val="18"/>
          <w:szCs w:val="18"/>
        </w:rPr>
        <w:footnoteRef/>
      </w:r>
      <w:r w:rsidRPr="00783CCA">
        <w:rPr>
          <w:sz w:val="18"/>
          <w:szCs w:val="18"/>
        </w:rPr>
        <w:t xml:space="preserve"> </w:t>
      </w:r>
      <w:r w:rsidRPr="00783CCA">
        <w:rPr>
          <w:sz w:val="18"/>
          <w:szCs w:val="18"/>
        </w:rPr>
        <w:t>Thakor, ‘</w:t>
      </w:r>
      <w:r w:rsidRPr="00783CCA">
        <w:rPr>
          <w:i/>
          <w:iCs/>
          <w:sz w:val="18"/>
          <w:szCs w:val="18"/>
        </w:rPr>
        <w:t xml:space="preserve">The Financial Crisis of 2007-2009: Why Did It Happen And What Did We Learn?’ </w:t>
      </w:r>
      <w:r w:rsidRPr="00783CCA">
        <w:rPr>
          <w:sz w:val="18"/>
          <w:szCs w:val="18"/>
        </w:rPr>
        <w:t xml:space="preserve">pp. </w:t>
      </w:r>
      <w:r w:rsidR="003540FF" w:rsidRPr="00783CCA">
        <w:rPr>
          <w:sz w:val="18"/>
          <w:szCs w:val="18"/>
        </w:rPr>
        <w:t>159-160.</w:t>
      </w:r>
    </w:p>
  </w:footnote>
  <w:footnote w:id="6">
    <w:p w14:paraId="4A693C76" w14:textId="6281EE9B" w:rsidR="00C273B7" w:rsidRPr="0008002D" w:rsidRDefault="00C273B7">
      <w:pPr>
        <w:pStyle w:val="FootnoteText"/>
        <w:rPr>
          <w:sz w:val="18"/>
          <w:szCs w:val="18"/>
        </w:rPr>
      </w:pPr>
      <w:r w:rsidRPr="0008002D">
        <w:rPr>
          <w:rStyle w:val="FootnoteReference"/>
          <w:sz w:val="18"/>
          <w:szCs w:val="18"/>
        </w:rPr>
        <w:footnoteRef/>
      </w:r>
      <w:r w:rsidRPr="0008002D">
        <w:rPr>
          <w:sz w:val="18"/>
          <w:szCs w:val="18"/>
        </w:rPr>
        <w:t xml:space="preserve"> </w:t>
      </w:r>
      <w:r w:rsidRPr="0008002D">
        <w:rPr>
          <w:sz w:val="18"/>
          <w:szCs w:val="18"/>
        </w:rPr>
        <w:t>Ramskogler, ‘</w:t>
      </w:r>
      <w:r w:rsidRPr="0008002D">
        <w:rPr>
          <w:i/>
          <w:iCs/>
          <w:sz w:val="18"/>
          <w:szCs w:val="18"/>
        </w:rPr>
        <w:t>Tracing the origins of the financial crisis</w:t>
      </w:r>
      <w:r w:rsidRPr="0008002D">
        <w:rPr>
          <w:sz w:val="18"/>
          <w:szCs w:val="18"/>
        </w:rPr>
        <w:t xml:space="preserve">,’ pp. </w:t>
      </w:r>
      <w:r w:rsidR="003540FF" w:rsidRPr="0008002D">
        <w:rPr>
          <w:sz w:val="18"/>
          <w:szCs w:val="18"/>
        </w:rPr>
        <w:t>56-58.</w:t>
      </w:r>
    </w:p>
  </w:footnote>
  <w:footnote w:id="7">
    <w:p w14:paraId="2F23C8D4" w14:textId="22853C2E" w:rsidR="00C273B7" w:rsidRPr="0008002D" w:rsidRDefault="00C273B7">
      <w:pPr>
        <w:pStyle w:val="FootnoteText"/>
        <w:rPr>
          <w:sz w:val="18"/>
          <w:szCs w:val="18"/>
        </w:rPr>
      </w:pPr>
      <w:r w:rsidRPr="0008002D">
        <w:rPr>
          <w:rStyle w:val="FootnoteReference"/>
          <w:sz w:val="18"/>
          <w:szCs w:val="18"/>
        </w:rPr>
        <w:footnoteRef/>
      </w:r>
      <w:r w:rsidRPr="0008002D">
        <w:rPr>
          <w:sz w:val="18"/>
          <w:szCs w:val="18"/>
        </w:rPr>
        <w:t xml:space="preserve"> </w:t>
      </w:r>
      <w:r w:rsidR="00317777" w:rsidRPr="0008002D">
        <w:rPr>
          <w:sz w:val="18"/>
          <w:szCs w:val="18"/>
        </w:rPr>
        <w:t>Fahlenbrach</w:t>
      </w:r>
      <w:r w:rsidR="00317777" w:rsidRPr="0008002D">
        <w:rPr>
          <w:sz w:val="18"/>
          <w:szCs w:val="18"/>
        </w:rPr>
        <w:t xml:space="preserve">, </w:t>
      </w:r>
      <w:r w:rsidR="00317777" w:rsidRPr="0008002D">
        <w:rPr>
          <w:sz w:val="18"/>
          <w:szCs w:val="18"/>
        </w:rPr>
        <w:t>Stultz</w:t>
      </w:r>
      <w:r w:rsidR="00317777" w:rsidRPr="0008002D">
        <w:rPr>
          <w:sz w:val="18"/>
          <w:szCs w:val="18"/>
        </w:rPr>
        <w:t xml:space="preserve">, </w:t>
      </w:r>
      <w:r w:rsidR="00317777" w:rsidRPr="0008002D">
        <w:rPr>
          <w:sz w:val="18"/>
          <w:szCs w:val="18"/>
        </w:rPr>
        <w:t>‘</w:t>
      </w:r>
      <w:r w:rsidR="00317777" w:rsidRPr="0008002D">
        <w:rPr>
          <w:i/>
          <w:iCs/>
          <w:sz w:val="18"/>
          <w:szCs w:val="18"/>
        </w:rPr>
        <w:t>Bank CEO incentives and the credit crisis,</w:t>
      </w:r>
      <w:r w:rsidR="00317777" w:rsidRPr="0008002D">
        <w:rPr>
          <w:i/>
          <w:iCs/>
          <w:sz w:val="18"/>
          <w:szCs w:val="18"/>
        </w:rPr>
        <w:t>’ pp. 56-58</w:t>
      </w:r>
    </w:p>
  </w:footnote>
  <w:footnote w:id="8">
    <w:p w14:paraId="6150758A" w14:textId="7954072B" w:rsidR="00801BE2" w:rsidRPr="0008002D" w:rsidRDefault="00801BE2">
      <w:pPr>
        <w:pStyle w:val="FootnoteText"/>
        <w:rPr>
          <w:i/>
          <w:iCs/>
          <w:sz w:val="18"/>
          <w:szCs w:val="18"/>
        </w:rPr>
      </w:pPr>
      <w:r w:rsidRPr="0008002D">
        <w:rPr>
          <w:rStyle w:val="FootnoteReference"/>
          <w:sz w:val="18"/>
          <w:szCs w:val="18"/>
        </w:rPr>
        <w:footnoteRef/>
      </w:r>
      <w:r w:rsidRPr="0008002D">
        <w:rPr>
          <w:sz w:val="18"/>
          <w:szCs w:val="18"/>
        </w:rPr>
        <w:t xml:space="preserve"> </w:t>
      </w:r>
      <w:r w:rsidR="00436761" w:rsidRPr="0008002D">
        <w:rPr>
          <w:sz w:val="18"/>
          <w:szCs w:val="18"/>
        </w:rPr>
        <w:t>Fahlenbrach, Stultz, ‘</w:t>
      </w:r>
      <w:r w:rsidR="00436761" w:rsidRPr="0008002D">
        <w:rPr>
          <w:i/>
          <w:iCs/>
          <w:sz w:val="18"/>
          <w:szCs w:val="18"/>
        </w:rPr>
        <w:t>Bank CEO incentives and the credit crisis,’</w:t>
      </w:r>
      <w:r w:rsidR="00436761">
        <w:rPr>
          <w:i/>
          <w:iCs/>
          <w:sz w:val="18"/>
          <w:szCs w:val="18"/>
        </w:rPr>
        <w:t xml:space="preserve"> </w:t>
      </w:r>
      <w:r w:rsidR="00317777" w:rsidRPr="0008002D">
        <w:rPr>
          <w:i/>
          <w:iCs/>
          <w:sz w:val="18"/>
          <w:szCs w:val="18"/>
        </w:rPr>
        <w:t>pp. 57-58</w:t>
      </w:r>
    </w:p>
  </w:footnote>
  <w:footnote w:id="9">
    <w:p w14:paraId="7C9AEA90" w14:textId="0450A9BF" w:rsidR="00317777" w:rsidRPr="0008002D" w:rsidRDefault="00317777">
      <w:pPr>
        <w:pStyle w:val="FootnoteText"/>
        <w:rPr>
          <w:sz w:val="18"/>
          <w:szCs w:val="18"/>
        </w:rPr>
      </w:pPr>
      <w:r w:rsidRPr="0008002D">
        <w:rPr>
          <w:rStyle w:val="FootnoteReference"/>
          <w:sz w:val="18"/>
          <w:szCs w:val="18"/>
        </w:rPr>
        <w:footnoteRef/>
      </w:r>
      <w:r w:rsidRPr="0008002D">
        <w:rPr>
          <w:sz w:val="18"/>
          <w:szCs w:val="18"/>
        </w:rPr>
        <w:t xml:space="preserve"> </w:t>
      </w:r>
      <w:r w:rsidR="0008002D" w:rsidRPr="0008002D">
        <w:rPr>
          <w:sz w:val="18"/>
          <w:szCs w:val="18"/>
        </w:rPr>
        <w:t xml:space="preserve">Bebchuk, Cohen, Spamann, </w:t>
      </w:r>
      <w:r w:rsidR="0008002D" w:rsidRPr="0008002D">
        <w:rPr>
          <w:i/>
          <w:iCs/>
          <w:sz w:val="18"/>
          <w:szCs w:val="18"/>
        </w:rPr>
        <w:t>‘The Wages of Failure: Compensation at Bear Stearns and Lehman 2000-2008,’</w:t>
      </w:r>
      <w:r w:rsidR="0008002D" w:rsidRPr="0008002D">
        <w:rPr>
          <w:i/>
          <w:iCs/>
          <w:sz w:val="18"/>
          <w:szCs w:val="18"/>
        </w:rPr>
        <w:t xml:space="preserve"> pp. 259-262; 268-272</w:t>
      </w:r>
    </w:p>
  </w:footnote>
  <w:footnote w:id="10">
    <w:p w14:paraId="00F97909" w14:textId="24397792" w:rsidR="0008002D" w:rsidRPr="00780646" w:rsidRDefault="0008002D">
      <w:pPr>
        <w:pStyle w:val="FootnoteText"/>
        <w:rPr>
          <w:sz w:val="18"/>
          <w:szCs w:val="18"/>
        </w:rPr>
      </w:pPr>
      <w:r w:rsidRPr="00780646">
        <w:rPr>
          <w:rStyle w:val="FootnoteReference"/>
          <w:sz w:val="18"/>
          <w:szCs w:val="18"/>
        </w:rPr>
        <w:footnoteRef/>
      </w:r>
      <w:r w:rsidRPr="00780646">
        <w:rPr>
          <w:sz w:val="18"/>
          <w:szCs w:val="18"/>
        </w:rPr>
        <w:t xml:space="preserve"> </w:t>
      </w:r>
      <w:r w:rsidR="00436761">
        <w:rPr>
          <w:sz w:val="18"/>
          <w:szCs w:val="18"/>
        </w:rPr>
        <w:t>Ibid</w:t>
      </w:r>
      <w:r w:rsidR="007A5E6C" w:rsidRPr="00780646">
        <w:rPr>
          <w:i/>
          <w:iCs/>
          <w:sz w:val="18"/>
          <w:szCs w:val="18"/>
        </w:rPr>
        <w:t>,’</w:t>
      </w:r>
      <w:r w:rsidRPr="00780646">
        <w:rPr>
          <w:i/>
          <w:iCs/>
          <w:sz w:val="18"/>
          <w:szCs w:val="18"/>
        </w:rPr>
        <w:t xml:space="preserve"> </w:t>
      </w:r>
      <w:r w:rsidRPr="00780646">
        <w:rPr>
          <w:sz w:val="18"/>
          <w:szCs w:val="18"/>
        </w:rPr>
        <w:t>pp. 262-264; 270-272</w:t>
      </w:r>
    </w:p>
  </w:footnote>
  <w:footnote w:id="11">
    <w:p w14:paraId="0D924D6C" w14:textId="7744DF77" w:rsidR="007A5E6C" w:rsidRPr="00780646" w:rsidRDefault="007A5E6C">
      <w:pPr>
        <w:pStyle w:val="FootnoteText"/>
        <w:rPr>
          <w:sz w:val="18"/>
          <w:szCs w:val="18"/>
        </w:rPr>
      </w:pPr>
      <w:r w:rsidRPr="00780646">
        <w:rPr>
          <w:rStyle w:val="FootnoteReference"/>
          <w:sz w:val="18"/>
          <w:szCs w:val="18"/>
        </w:rPr>
        <w:footnoteRef/>
      </w:r>
      <w:r w:rsidRPr="00780646">
        <w:rPr>
          <w:sz w:val="18"/>
          <w:szCs w:val="18"/>
        </w:rPr>
        <w:t xml:space="preserve"> </w:t>
      </w:r>
      <w:r w:rsidR="00780646" w:rsidRPr="00780646">
        <w:rPr>
          <w:sz w:val="18"/>
          <w:szCs w:val="18"/>
        </w:rPr>
        <w:t xml:space="preserve">Mikes, </w:t>
      </w:r>
      <w:r w:rsidR="00780646" w:rsidRPr="00780646">
        <w:rPr>
          <w:i/>
          <w:iCs/>
          <w:sz w:val="18"/>
          <w:szCs w:val="18"/>
        </w:rPr>
        <w:t>‘Risk Management at Crunch Time: Are Chief Risk Officers Compliance Champions or Business Partners?’</w:t>
      </w:r>
      <w:r w:rsidR="00780646" w:rsidRPr="00780646">
        <w:rPr>
          <w:i/>
          <w:iCs/>
          <w:sz w:val="18"/>
          <w:szCs w:val="18"/>
        </w:rPr>
        <w:t xml:space="preserve"> pp. </w:t>
      </w:r>
      <w:r w:rsidR="003540FF" w:rsidRPr="00780646">
        <w:rPr>
          <w:i/>
          <w:iCs/>
          <w:sz w:val="18"/>
          <w:szCs w:val="18"/>
        </w:rPr>
        <w:t>1-3.</w:t>
      </w:r>
    </w:p>
  </w:footnote>
  <w:footnote w:id="12">
    <w:p w14:paraId="3312867D" w14:textId="16C56A98" w:rsidR="007A5E6C" w:rsidRPr="00780646" w:rsidRDefault="007A5E6C">
      <w:pPr>
        <w:pStyle w:val="FootnoteText"/>
        <w:rPr>
          <w:i/>
          <w:iCs/>
        </w:rPr>
      </w:pPr>
      <w:r w:rsidRPr="00780646">
        <w:rPr>
          <w:rStyle w:val="FootnoteReference"/>
          <w:sz w:val="18"/>
          <w:szCs w:val="18"/>
        </w:rPr>
        <w:footnoteRef/>
      </w:r>
      <w:r w:rsidRPr="00780646">
        <w:rPr>
          <w:sz w:val="18"/>
          <w:szCs w:val="18"/>
        </w:rPr>
        <w:t xml:space="preserve"> </w:t>
      </w:r>
      <w:r w:rsidR="00780646" w:rsidRPr="00780646">
        <w:rPr>
          <w:i/>
          <w:iCs/>
          <w:sz w:val="18"/>
          <w:szCs w:val="18"/>
        </w:rPr>
        <w:t>Ibid, pp. 5-10</w:t>
      </w:r>
    </w:p>
  </w:footnote>
  <w:footnote w:id="13">
    <w:p w14:paraId="421BC4F9" w14:textId="6510DAA0" w:rsidR="001D2F05" w:rsidRDefault="001D2F05">
      <w:pPr>
        <w:pStyle w:val="FootnoteText"/>
      </w:pPr>
      <w:r>
        <w:rPr>
          <w:rStyle w:val="FootnoteReference"/>
        </w:rPr>
        <w:footnoteRef/>
      </w:r>
      <w:r>
        <w:t xml:space="preserve"> </w:t>
      </w:r>
      <w:r w:rsidRPr="00780646">
        <w:rPr>
          <w:sz w:val="18"/>
          <w:szCs w:val="18"/>
        </w:rPr>
        <w:t xml:space="preserve">Bebchuk, Cohen, Spamann, </w:t>
      </w:r>
      <w:r w:rsidRPr="00780646">
        <w:rPr>
          <w:i/>
          <w:iCs/>
          <w:sz w:val="18"/>
          <w:szCs w:val="18"/>
        </w:rPr>
        <w:t xml:space="preserve">‘The Wages of Failure: Compensation at Bear Stearns and Lehman 2000-2008,’, </w:t>
      </w:r>
      <w:r w:rsidRPr="00780646">
        <w:rPr>
          <w:sz w:val="18"/>
          <w:szCs w:val="18"/>
        </w:rPr>
        <w:t>pp.</w:t>
      </w:r>
      <w:r>
        <w:rPr>
          <w:sz w:val="18"/>
          <w:szCs w:val="18"/>
        </w:rPr>
        <w:t xml:space="preserve"> 258-259; 273-275</w:t>
      </w:r>
    </w:p>
  </w:footnote>
  <w:footnote w:id="14">
    <w:p w14:paraId="6DA23DFF" w14:textId="70C0C1B7" w:rsidR="00780646" w:rsidRDefault="00780646">
      <w:pPr>
        <w:pStyle w:val="FootnoteText"/>
      </w:pPr>
      <w:r>
        <w:rPr>
          <w:rStyle w:val="FootnoteReference"/>
        </w:rPr>
        <w:footnoteRef/>
      </w:r>
      <w:r w:rsidR="001D2F05" w:rsidRPr="0008002D">
        <w:rPr>
          <w:sz w:val="18"/>
          <w:szCs w:val="18"/>
        </w:rPr>
        <w:t>Ramskogler, ‘</w:t>
      </w:r>
      <w:r w:rsidR="001D2F05" w:rsidRPr="0008002D">
        <w:rPr>
          <w:i/>
          <w:iCs/>
          <w:sz w:val="18"/>
          <w:szCs w:val="18"/>
        </w:rPr>
        <w:t>Tracing the origins of the financial crisis</w:t>
      </w:r>
      <w:r w:rsidR="001D2F05" w:rsidRPr="0008002D">
        <w:rPr>
          <w:sz w:val="18"/>
          <w:szCs w:val="18"/>
        </w:rPr>
        <w:t>,’ pp.</w:t>
      </w:r>
      <w:r w:rsidR="001D2F05">
        <w:rPr>
          <w:sz w:val="18"/>
          <w:szCs w:val="18"/>
        </w:rPr>
        <w:t xml:space="preserve"> </w:t>
      </w:r>
      <w:r w:rsidR="003540FF">
        <w:rPr>
          <w:sz w:val="18"/>
          <w:szCs w:val="18"/>
        </w:rPr>
        <w:t>47-56.</w:t>
      </w:r>
    </w:p>
  </w:footnote>
  <w:footnote w:id="15">
    <w:p w14:paraId="13F33668" w14:textId="6C6C56CA" w:rsidR="001D4869" w:rsidRPr="00436761" w:rsidRDefault="001D4869">
      <w:pPr>
        <w:pStyle w:val="FootnoteText"/>
        <w:rPr>
          <w:sz w:val="18"/>
          <w:szCs w:val="18"/>
        </w:rPr>
      </w:pPr>
      <w:r w:rsidRPr="00436761">
        <w:rPr>
          <w:rStyle w:val="FootnoteReference"/>
          <w:sz w:val="18"/>
          <w:szCs w:val="18"/>
        </w:rPr>
        <w:footnoteRef/>
      </w:r>
      <w:r w:rsidRPr="00436761">
        <w:rPr>
          <w:sz w:val="18"/>
          <w:szCs w:val="18"/>
        </w:rPr>
        <w:t xml:space="preserve"> </w:t>
      </w:r>
      <w:r w:rsidRPr="00436761">
        <w:rPr>
          <w:sz w:val="18"/>
          <w:szCs w:val="18"/>
        </w:rPr>
        <w:t>Ramskogler, ‘</w:t>
      </w:r>
      <w:r w:rsidRPr="00436761">
        <w:rPr>
          <w:i/>
          <w:iCs/>
          <w:sz w:val="18"/>
          <w:szCs w:val="18"/>
        </w:rPr>
        <w:t>Tracing the origins of the financial crisis</w:t>
      </w:r>
      <w:r w:rsidRPr="00436761">
        <w:rPr>
          <w:sz w:val="18"/>
          <w:szCs w:val="18"/>
        </w:rPr>
        <w:t xml:space="preserve">,’ pp. </w:t>
      </w:r>
      <w:r w:rsidR="003540FF" w:rsidRPr="00436761">
        <w:rPr>
          <w:sz w:val="18"/>
          <w:szCs w:val="18"/>
        </w:rPr>
        <w:t>47-49.</w:t>
      </w:r>
    </w:p>
  </w:footnote>
  <w:footnote w:id="16">
    <w:p w14:paraId="0F9B862D" w14:textId="7C030C76" w:rsidR="001D4869" w:rsidRPr="00436761" w:rsidRDefault="001D4869">
      <w:pPr>
        <w:pStyle w:val="FootnoteText"/>
        <w:rPr>
          <w:sz w:val="18"/>
          <w:szCs w:val="18"/>
        </w:rPr>
      </w:pPr>
      <w:r w:rsidRPr="00436761">
        <w:rPr>
          <w:rStyle w:val="FootnoteReference"/>
          <w:sz w:val="18"/>
          <w:szCs w:val="18"/>
        </w:rPr>
        <w:footnoteRef/>
      </w:r>
      <w:r w:rsidRPr="00436761">
        <w:rPr>
          <w:sz w:val="18"/>
          <w:szCs w:val="18"/>
        </w:rPr>
        <w:t xml:space="preserve"> </w:t>
      </w:r>
      <w:r w:rsidRPr="00436761">
        <w:rPr>
          <w:sz w:val="18"/>
          <w:szCs w:val="18"/>
        </w:rPr>
        <w:t xml:space="preserve">Mikes, </w:t>
      </w:r>
      <w:r w:rsidRPr="00436761">
        <w:rPr>
          <w:i/>
          <w:iCs/>
          <w:sz w:val="18"/>
          <w:szCs w:val="18"/>
        </w:rPr>
        <w:t xml:space="preserve">‘Risk Management at Crunch Time: Are Chief Risk Officers Compliance Champions or Business Partners?’ </w:t>
      </w:r>
      <w:r w:rsidRPr="00436761">
        <w:rPr>
          <w:sz w:val="18"/>
          <w:szCs w:val="18"/>
        </w:rPr>
        <w:t xml:space="preserve">pp. </w:t>
      </w:r>
      <w:r w:rsidR="003540FF" w:rsidRPr="00436761">
        <w:rPr>
          <w:sz w:val="18"/>
          <w:szCs w:val="18"/>
        </w:rPr>
        <w:t>1-10.</w:t>
      </w:r>
    </w:p>
  </w:footnote>
  <w:footnote w:id="17">
    <w:p w14:paraId="5188A3C6" w14:textId="580CDEEA" w:rsidR="0062469A" w:rsidRDefault="0062469A">
      <w:pPr>
        <w:pStyle w:val="FootnoteText"/>
      </w:pPr>
      <w:r w:rsidRPr="00436761">
        <w:rPr>
          <w:rStyle w:val="FootnoteReference"/>
          <w:sz w:val="18"/>
          <w:szCs w:val="18"/>
        </w:rPr>
        <w:footnoteRef/>
      </w:r>
      <w:r w:rsidRPr="00436761">
        <w:rPr>
          <w:sz w:val="18"/>
          <w:szCs w:val="18"/>
        </w:rPr>
        <w:t xml:space="preserve"> </w:t>
      </w:r>
      <w:r w:rsidRPr="00436761">
        <w:rPr>
          <w:sz w:val="18"/>
          <w:szCs w:val="18"/>
        </w:rPr>
        <w:t>Acharya, Pedersen, Philippon, Richardson, ‘</w:t>
      </w:r>
      <w:r w:rsidRPr="00436761">
        <w:rPr>
          <w:i/>
          <w:iCs/>
          <w:sz w:val="18"/>
          <w:szCs w:val="18"/>
        </w:rPr>
        <w:t>Regulating Systemic Risk’</w:t>
      </w:r>
    </w:p>
  </w:footnote>
  <w:footnote w:id="18">
    <w:p w14:paraId="7757B687" w14:textId="6B9DA13A" w:rsidR="00B80EDA" w:rsidRPr="00287337" w:rsidRDefault="00B80EDA">
      <w:pPr>
        <w:pStyle w:val="FootnoteText"/>
        <w:rPr>
          <w:sz w:val="18"/>
          <w:szCs w:val="18"/>
        </w:rPr>
      </w:pPr>
      <w:r w:rsidRPr="00287337">
        <w:rPr>
          <w:rStyle w:val="FootnoteReference"/>
          <w:sz w:val="18"/>
          <w:szCs w:val="18"/>
        </w:rPr>
        <w:footnoteRef/>
      </w:r>
      <w:r w:rsidRPr="00287337">
        <w:rPr>
          <w:sz w:val="18"/>
          <w:szCs w:val="18"/>
        </w:rPr>
        <w:t xml:space="preserve"> Freeman, ‘</w:t>
      </w:r>
      <w:r w:rsidRPr="00287337">
        <w:rPr>
          <w:i/>
          <w:iCs/>
          <w:sz w:val="18"/>
          <w:szCs w:val="18"/>
        </w:rPr>
        <w:t>Stakeholder Theory: The State of the Art</w:t>
      </w:r>
      <w:r w:rsidRPr="00287337">
        <w:rPr>
          <w:sz w:val="18"/>
          <w:szCs w:val="18"/>
        </w:rPr>
        <w:t>,</w:t>
      </w:r>
      <w:r w:rsidRPr="00287337">
        <w:rPr>
          <w:sz w:val="18"/>
          <w:szCs w:val="18"/>
        </w:rPr>
        <w:t>’ pp.</w:t>
      </w:r>
      <w:r w:rsidR="00D47BE4" w:rsidRPr="00287337">
        <w:rPr>
          <w:sz w:val="18"/>
          <w:szCs w:val="18"/>
        </w:rPr>
        <w:t xml:space="preserve"> 268-269</w:t>
      </w:r>
    </w:p>
  </w:footnote>
  <w:footnote w:id="19">
    <w:p w14:paraId="4E7C50FD" w14:textId="6CF08C45" w:rsidR="00D47BE4" w:rsidRPr="00287337" w:rsidRDefault="00D47BE4">
      <w:pPr>
        <w:pStyle w:val="FootnoteText"/>
        <w:rPr>
          <w:sz w:val="18"/>
          <w:szCs w:val="18"/>
        </w:rPr>
      </w:pPr>
      <w:r w:rsidRPr="00287337">
        <w:rPr>
          <w:rStyle w:val="FootnoteReference"/>
          <w:sz w:val="18"/>
          <w:szCs w:val="18"/>
        </w:rPr>
        <w:footnoteRef/>
      </w:r>
      <w:r w:rsidRPr="00287337">
        <w:rPr>
          <w:sz w:val="18"/>
          <w:szCs w:val="18"/>
        </w:rPr>
        <w:t xml:space="preserve"> </w:t>
      </w:r>
      <w:r w:rsidRPr="00287337">
        <w:rPr>
          <w:sz w:val="18"/>
          <w:szCs w:val="18"/>
        </w:rPr>
        <w:t>Lins, Servaes, Tamayo., ‘Social Capital, Trust, and Firm Performance’</w:t>
      </w:r>
      <w:r w:rsidRPr="00287337">
        <w:rPr>
          <w:sz w:val="18"/>
          <w:szCs w:val="18"/>
        </w:rPr>
        <w:t xml:space="preserve"> pp. 1785-1787</w:t>
      </w:r>
    </w:p>
  </w:footnote>
  <w:footnote w:id="20">
    <w:p w14:paraId="0025CE8A" w14:textId="317B712F" w:rsidR="00D47BE4" w:rsidRPr="00287337" w:rsidRDefault="00D47BE4">
      <w:pPr>
        <w:pStyle w:val="FootnoteText"/>
        <w:rPr>
          <w:sz w:val="18"/>
          <w:szCs w:val="18"/>
        </w:rPr>
      </w:pPr>
      <w:r w:rsidRPr="00287337">
        <w:rPr>
          <w:rStyle w:val="FootnoteReference"/>
          <w:sz w:val="18"/>
          <w:szCs w:val="18"/>
        </w:rPr>
        <w:footnoteRef/>
      </w:r>
      <w:r w:rsidRPr="00287337">
        <w:rPr>
          <w:sz w:val="18"/>
          <w:szCs w:val="18"/>
        </w:rPr>
        <w:t xml:space="preserve"> </w:t>
      </w:r>
      <w:r w:rsidRPr="00287337">
        <w:rPr>
          <w:sz w:val="18"/>
          <w:szCs w:val="18"/>
        </w:rPr>
        <w:t>Porter, &amp; Kramer, ‘</w:t>
      </w:r>
      <w:r w:rsidRPr="00287337">
        <w:rPr>
          <w:i/>
          <w:iCs/>
          <w:sz w:val="18"/>
          <w:szCs w:val="18"/>
        </w:rPr>
        <w:t>Creating Shared Value</w:t>
      </w:r>
      <w:r w:rsidRPr="00287337">
        <w:rPr>
          <w:i/>
          <w:iCs/>
          <w:sz w:val="18"/>
          <w:szCs w:val="18"/>
        </w:rPr>
        <w:t>,</w:t>
      </w:r>
      <w:r w:rsidRPr="00287337">
        <w:rPr>
          <w:i/>
          <w:iCs/>
          <w:sz w:val="18"/>
          <w:szCs w:val="18"/>
        </w:rPr>
        <w:t>’</w:t>
      </w:r>
      <w:r w:rsidRPr="00287337">
        <w:rPr>
          <w:i/>
          <w:iCs/>
          <w:sz w:val="18"/>
          <w:szCs w:val="18"/>
        </w:rPr>
        <w:t xml:space="preserve"> </w:t>
      </w:r>
      <w:r w:rsidRPr="00287337">
        <w:rPr>
          <w:sz w:val="18"/>
          <w:szCs w:val="18"/>
        </w:rPr>
        <w:t>pp. 4-6</w:t>
      </w:r>
    </w:p>
  </w:footnote>
  <w:footnote w:id="21">
    <w:p w14:paraId="7D3C29E3" w14:textId="70409897" w:rsidR="00D47BE4" w:rsidRDefault="00D47BE4">
      <w:pPr>
        <w:pStyle w:val="FootnoteText"/>
      </w:pPr>
      <w:r w:rsidRPr="00287337">
        <w:rPr>
          <w:rStyle w:val="FootnoteReference"/>
          <w:sz w:val="18"/>
          <w:szCs w:val="18"/>
        </w:rPr>
        <w:footnoteRef/>
      </w:r>
      <w:r w:rsidRPr="00287337">
        <w:rPr>
          <w:sz w:val="18"/>
          <w:szCs w:val="18"/>
        </w:rPr>
        <w:t xml:space="preserve"> </w:t>
      </w:r>
      <w:r w:rsidR="00287337" w:rsidRPr="00287337">
        <w:rPr>
          <w:sz w:val="18"/>
          <w:szCs w:val="18"/>
        </w:rPr>
        <w:t>Wang,</w:t>
      </w:r>
      <w:r w:rsidR="00287337">
        <w:rPr>
          <w:sz w:val="18"/>
          <w:szCs w:val="18"/>
        </w:rPr>
        <w:t xml:space="preserve"> Li, Sun,</w:t>
      </w:r>
      <w:r w:rsidR="00287337" w:rsidRPr="00287337">
        <w:rPr>
          <w:sz w:val="18"/>
          <w:szCs w:val="18"/>
        </w:rPr>
        <w:t xml:space="preserve"> ‘Confucian Ethics, Moral Foundations, and Shareholder Value</w:t>
      </w:r>
      <w:r w:rsidR="00287337" w:rsidRPr="00287337">
        <w:rPr>
          <w:sz w:val="18"/>
          <w:szCs w:val="18"/>
        </w:rPr>
        <w:t>,</w:t>
      </w:r>
      <w:r w:rsidR="00287337" w:rsidRPr="00287337">
        <w:rPr>
          <w:sz w:val="18"/>
          <w:szCs w:val="18"/>
        </w:rPr>
        <w:t>’</w:t>
      </w:r>
      <w:r w:rsidR="00287337" w:rsidRPr="00287337">
        <w:rPr>
          <w:sz w:val="18"/>
          <w:szCs w:val="18"/>
        </w:rPr>
        <w:t xml:space="preserve"> </w:t>
      </w:r>
      <w:r w:rsidR="00287337" w:rsidRPr="00287337">
        <w:rPr>
          <w:sz w:val="18"/>
          <w:szCs w:val="18"/>
        </w:rPr>
        <w:t>pp.</w:t>
      </w:r>
      <w:r w:rsidR="00287337" w:rsidRPr="00287337">
        <w:rPr>
          <w:sz w:val="18"/>
          <w:szCs w:val="18"/>
        </w:rPr>
        <w:t xml:space="preserve"> 260-262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66D5B"/>
    <w:multiLevelType w:val="hybridMultilevel"/>
    <w:tmpl w:val="D382CEA8"/>
    <w:lvl w:ilvl="0" w:tplc="BC3AB1C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783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99A"/>
    <w:rsid w:val="0008002D"/>
    <w:rsid w:val="001D2F05"/>
    <w:rsid w:val="001D4869"/>
    <w:rsid w:val="00287337"/>
    <w:rsid w:val="002A3EA5"/>
    <w:rsid w:val="002C453D"/>
    <w:rsid w:val="00317777"/>
    <w:rsid w:val="003540FF"/>
    <w:rsid w:val="00436761"/>
    <w:rsid w:val="0062469A"/>
    <w:rsid w:val="006254A8"/>
    <w:rsid w:val="00714174"/>
    <w:rsid w:val="00734008"/>
    <w:rsid w:val="00780646"/>
    <w:rsid w:val="00783CCA"/>
    <w:rsid w:val="007A5E6C"/>
    <w:rsid w:val="00801BE2"/>
    <w:rsid w:val="00A50688"/>
    <w:rsid w:val="00B71AA0"/>
    <w:rsid w:val="00B80EDA"/>
    <w:rsid w:val="00C273B7"/>
    <w:rsid w:val="00D47BE4"/>
    <w:rsid w:val="00D6499A"/>
    <w:rsid w:val="00E33468"/>
    <w:rsid w:val="00EE4B9C"/>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2360"/>
  <w15:chartTrackingRefBased/>
  <w15:docId w15:val="{ACB475D4-33A8-49E0-AB43-F3DB4D051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9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9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9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9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9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9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9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9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9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9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9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9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9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9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9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9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9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99A"/>
    <w:rPr>
      <w:rFonts w:eastAsiaTheme="majorEastAsia" w:cstheme="majorBidi"/>
      <w:color w:val="272727" w:themeColor="text1" w:themeTint="D8"/>
    </w:rPr>
  </w:style>
  <w:style w:type="paragraph" w:styleId="Title">
    <w:name w:val="Title"/>
    <w:basedOn w:val="Normal"/>
    <w:next w:val="Normal"/>
    <w:link w:val="TitleChar"/>
    <w:uiPriority w:val="10"/>
    <w:qFormat/>
    <w:rsid w:val="00D649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9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9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9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99A"/>
    <w:pPr>
      <w:spacing w:before="160"/>
      <w:jc w:val="center"/>
    </w:pPr>
    <w:rPr>
      <w:i/>
      <w:iCs/>
      <w:color w:val="404040" w:themeColor="text1" w:themeTint="BF"/>
    </w:rPr>
  </w:style>
  <w:style w:type="character" w:customStyle="1" w:styleId="QuoteChar">
    <w:name w:val="Quote Char"/>
    <w:basedOn w:val="DefaultParagraphFont"/>
    <w:link w:val="Quote"/>
    <w:uiPriority w:val="29"/>
    <w:rsid w:val="00D6499A"/>
    <w:rPr>
      <w:i/>
      <w:iCs/>
      <w:color w:val="404040" w:themeColor="text1" w:themeTint="BF"/>
    </w:rPr>
  </w:style>
  <w:style w:type="paragraph" w:styleId="ListParagraph">
    <w:name w:val="List Paragraph"/>
    <w:basedOn w:val="Normal"/>
    <w:uiPriority w:val="34"/>
    <w:qFormat/>
    <w:rsid w:val="00D6499A"/>
    <w:pPr>
      <w:ind w:left="720"/>
      <w:contextualSpacing/>
    </w:pPr>
  </w:style>
  <w:style w:type="character" w:styleId="IntenseEmphasis">
    <w:name w:val="Intense Emphasis"/>
    <w:basedOn w:val="DefaultParagraphFont"/>
    <w:uiPriority w:val="21"/>
    <w:qFormat/>
    <w:rsid w:val="00D6499A"/>
    <w:rPr>
      <w:i/>
      <w:iCs/>
      <w:color w:val="0F4761" w:themeColor="accent1" w:themeShade="BF"/>
    </w:rPr>
  </w:style>
  <w:style w:type="paragraph" w:styleId="IntenseQuote">
    <w:name w:val="Intense Quote"/>
    <w:basedOn w:val="Normal"/>
    <w:next w:val="Normal"/>
    <w:link w:val="IntenseQuoteChar"/>
    <w:uiPriority w:val="30"/>
    <w:qFormat/>
    <w:rsid w:val="00D649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99A"/>
    <w:rPr>
      <w:i/>
      <w:iCs/>
      <w:color w:val="0F4761" w:themeColor="accent1" w:themeShade="BF"/>
    </w:rPr>
  </w:style>
  <w:style w:type="character" w:styleId="IntenseReference">
    <w:name w:val="Intense Reference"/>
    <w:basedOn w:val="DefaultParagraphFont"/>
    <w:uiPriority w:val="32"/>
    <w:qFormat/>
    <w:rsid w:val="00D6499A"/>
    <w:rPr>
      <w:b/>
      <w:bCs/>
      <w:smallCaps/>
      <w:color w:val="0F4761" w:themeColor="accent1" w:themeShade="BF"/>
      <w:spacing w:val="5"/>
    </w:rPr>
  </w:style>
  <w:style w:type="paragraph" w:styleId="FootnoteText">
    <w:name w:val="footnote text"/>
    <w:basedOn w:val="Normal"/>
    <w:link w:val="FootnoteTextChar"/>
    <w:uiPriority w:val="99"/>
    <w:semiHidden/>
    <w:unhideWhenUsed/>
    <w:rsid w:val="00D649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499A"/>
    <w:rPr>
      <w:sz w:val="20"/>
      <w:szCs w:val="20"/>
    </w:rPr>
  </w:style>
  <w:style w:type="character" w:styleId="FootnoteReference">
    <w:name w:val="footnote reference"/>
    <w:basedOn w:val="DefaultParagraphFont"/>
    <w:uiPriority w:val="99"/>
    <w:semiHidden/>
    <w:unhideWhenUsed/>
    <w:rsid w:val="00D649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7</Pages>
  <Words>2555</Words>
  <Characters>16716</Characters>
  <Application>Microsoft Office Word</Application>
  <DocSecurity>0</DocSecurity>
  <Lines>253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1</cp:revision>
  <dcterms:created xsi:type="dcterms:W3CDTF">2026-01-25T18:32:00Z</dcterms:created>
  <dcterms:modified xsi:type="dcterms:W3CDTF">2026-01-26T00:20:00Z</dcterms:modified>
</cp:coreProperties>
</file>