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49FD" w:rsidRPr="00FA0FF4" w:rsidRDefault="00FA0FF4">
      <w:r>
        <w:t xml:space="preserve">Comparing the portrayals of Philip in Diodorus Siculus and Plutarch’s </w:t>
      </w:r>
      <w:r>
        <w:rPr>
          <w:i/>
        </w:rPr>
        <w:t>Life of Alexander.</w:t>
      </w:r>
    </w:p>
    <w:p w:rsidR="00E855C0" w:rsidRDefault="00E855C0"/>
    <w:p w:rsidR="00E855C0" w:rsidRDefault="00545DF6" w:rsidP="006A4FB1">
      <w:pPr>
        <w:spacing w:line="360" w:lineRule="auto"/>
      </w:pPr>
      <w:r>
        <w:t>Diodorus and Plutarch both provide and corroborate valuable information about Macedon’s often overshadowed king.</w:t>
      </w:r>
      <w:r>
        <w:rPr>
          <w:rStyle w:val="FootnoteReference"/>
        </w:rPr>
        <w:footnoteReference w:id="1"/>
      </w:r>
      <w:r>
        <w:t xml:space="preserve"> Just as modern scholars have found Philip</w:t>
      </w:r>
      <w:r w:rsidR="001E0FB3">
        <w:t xml:space="preserve"> II’s</w:t>
      </w:r>
      <w:r>
        <w:t xml:space="preserve"> </w:t>
      </w:r>
      <w:r w:rsidR="001E0FB3">
        <w:t>achievements</w:t>
      </w:r>
      <w:r>
        <w:t xml:space="preserve"> worthy of keen focus, so did ancient history writers trying to decipher the 4</w:t>
      </w:r>
      <w:r w:rsidRPr="00545DF6">
        <w:rPr>
          <w:vertAlign w:val="superscript"/>
        </w:rPr>
        <w:t>th</w:t>
      </w:r>
      <w:r>
        <w:t xml:space="preserve"> Century BCE.</w:t>
      </w:r>
      <w:r>
        <w:rPr>
          <w:rStyle w:val="FootnoteReference"/>
        </w:rPr>
        <w:footnoteReference w:id="2"/>
      </w:r>
      <w:r>
        <w:t xml:space="preserve"> </w:t>
      </w:r>
      <w:r w:rsidR="00600504">
        <w:t>The battle of Chaeronea is one of the most important events in ancient Greek history, attesting to the shift of power in the Greek world that would lead to the emergence of the Hellenic period.</w:t>
      </w:r>
      <w:r w:rsidR="00600504">
        <w:rPr>
          <w:rStyle w:val="FootnoteReference"/>
        </w:rPr>
        <w:footnoteReference w:id="3"/>
      </w:r>
      <w:r w:rsidR="001E0FB3">
        <w:t xml:space="preserve"> Unfortunately, Some works, crucially Plutarch’s </w:t>
      </w:r>
      <w:r w:rsidR="001E0FB3">
        <w:rPr>
          <w:i/>
        </w:rPr>
        <w:t>Life of Philip</w:t>
      </w:r>
      <w:r w:rsidR="00CE7AD9">
        <w:t>,</w:t>
      </w:r>
      <w:r w:rsidR="001E0FB3">
        <w:t xml:space="preserve"> is lost to modern scholars.</w:t>
      </w:r>
      <w:r w:rsidR="001E0FB3">
        <w:rPr>
          <w:rStyle w:val="FootnoteReference"/>
        </w:rPr>
        <w:footnoteReference w:id="4"/>
      </w:r>
      <w:r w:rsidR="001E0FB3">
        <w:t xml:space="preserve"> This makes the existence of Plutarch’s </w:t>
      </w:r>
      <w:r w:rsidR="001E0FB3">
        <w:rPr>
          <w:i/>
        </w:rPr>
        <w:t>Life of Alexander</w:t>
      </w:r>
      <w:r w:rsidR="001E0FB3">
        <w:t xml:space="preserve"> crucial to understanding Philip, as Plutarch mentions the achievements </w:t>
      </w:r>
      <w:r w:rsidR="00CE7AD9">
        <w:t xml:space="preserve">and character </w:t>
      </w:r>
      <w:r w:rsidR="001E0FB3">
        <w:t>of Alexander’s father o</w:t>
      </w:r>
      <w:r w:rsidR="00CE7AD9">
        <w:t xml:space="preserve">ccasionally </w:t>
      </w:r>
      <w:r w:rsidR="001E0FB3">
        <w:t xml:space="preserve">throughout this text. </w:t>
      </w:r>
      <w:r w:rsidR="00B73EBF">
        <w:t xml:space="preserve">In book 16 of Diodorus, Philip is a key focus of the narrative, which provides one of the primary </w:t>
      </w:r>
      <w:r w:rsidR="00CE7AD9">
        <w:t xml:space="preserve">and most useful </w:t>
      </w:r>
      <w:r w:rsidR="00B73EBF">
        <w:t>texts for Philip’s life, despite being a secondary or tertiary source which drew upon more contemp</w:t>
      </w:r>
      <w:r w:rsidR="00CE7AD9">
        <w:t>ora</w:t>
      </w:r>
      <w:r w:rsidR="00B73EBF">
        <w:t xml:space="preserve">ry sources like </w:t>
      </w:r>
      <w:proofErr w:type="spellStart"/>
      <w:r w:rsidR="00B73EBF">
        <w:t>Duris</w:t>
      </w:r>
      <w:proofErr w:type="spellEnd"/>
      <w:r w:rsidR="00B73EBF">
        <w:t xml:space="preserve">, </w:t>
      </w:r>
      <w:proofErr w:type="spellStart"/>
      <w:r w:rsidR="00B73EBF">
        <w:t>Theopompus</w:t>
      </w:r>
      <w:proofErr w:type="spellEnd"/>
      <w:r w:rsidR="00B73EBF">
        <w:t xml:space="preserve">, and </w:t>
      </w:r>
      <w:proofErr w:type="spellStart"/>
      <w:r w:rsidR="00B73EBF">
        <w:t>Ephorus</w:t>
      </w:r>
      <w:proofErr w:type="spellEnd"/>
      <w:r w:rsidR="00B73EBF">
        <w:t>.</w:t>
      </w:r>
      <w:r w:rsidR="00B73EBF">
        <w:rPr>
          <w:rStyle w:val="FootnoteReference"/>
        </w:rPr>
        <w:footnoteReference w:id="5"/>
      </w:r>
      <w:r w:rsidR="00B73EBF">
        <w:t xml:space="preserve"> </w:t>
      </w:r>
      <w:r w:rsidR="00AD5CCD">
        <w:t>Due to these differences, Philip’s character is very different, which is staggeringly visible in both author’s introductions of Philip in their works.</w:t>
      </w:r>
      <w:r w:rsidR="00AD5CCD">
        <w:rPr>
          <w:rStyle w:val="FootnoteReference"/>
        </w:rPr>
        <w:footnoteReference w:id="6"/>
      </w:r>
      <w:r w:rsidR="00AD5CCD">
        <w:t xml:space="preserve"> </w:t>
      </w:r>
      <w:r w:rsidR="001E0FB3">
        <w:t>This essay therefore looks at the portrayal of Philip II in both Diodorus’ extensive works and Plutarch’s biography of Alexander</w:t>
      </w:r>
      <w:r w:rsidR="00491957">
        <w:t>, looking particularly at Philip’s interactions with Olympias and his son Alexander</w:t>
      </w:r>
      <w:r w:rsidR="001E0FB3">
        <w:t xml:space="preserve">. It is however, vital first to examine the focuses of these two works, and their intended use. Then this essay concentrates upon the introductions of Philip in </w:t>
      </w:r>
      <w:r w:rsidR="00B73EBF">
        <w:t>both</w:t>
      </w:r>
      <w:r w:rsidR="001E0FB3">
        <w:t xml:space="preserve"> texts. Finally, this essay analyses Philip’s portrayal during some key events in </w:t>
      </w:r>
      <w:proofErr w:type="gramStart"/>
      <w:r w:rsidR="001E0FB3">
        <w:t>both of these</w:t>
      </w:r>
      <w:proofErr w:type="gramEnd"/>
      <w:r w:rsidR="001E0FB3">
        <w:t xml:space="preserve"> works, and how they can reveal his character to modern scholars. </w:t>
      </w:r>
    </w:p>
    <w:p w:rsidR="00D65E8B" w:rsidRPr="001B7F07" w:rsidRDefault="00D65E8B" w:rsidP="006A4FB1">
      <w:pPr>
        <w:spacing w:line="360" w:lineRule="auto"/>
      </w:pPr>
      <w:r>
        <w:t xml:space="preserve">Plutarch’s </w:t>
      </w:r>
      <w:r>
        <w:rPr>
          <w:i/>
        </w:rPr>
        <w:t>Life of Alexander</w:t>
      </w:r>
      <w:r>
        <w:t xml:space="preserve"> was written and designed to contrast with Caesar, an extremely important figure in Roman history, whom Plutarch criticises for his great ambition</w:t>
      </w:r>
      <w:r w:rsidR="00411617">
        <w:t>.</w:t>
      </w:r>
      <w:r w:rsidR="00CE7AD9">
        <w:rPr>
          <w:rStyle w:val="FootnoteReference"/>
        </w:rPr>
        <w:footnoteReference w:id="7"/>
      </w:r>
      <w:r w:rsidR="00411617">
        <w:t xml:space="preserve"> This shows Plutarch’s emphasis on the morality of his characters, even if this moral judgement seems confusing and variable</w:t>
      </w:r>
      <w:r w:rsidR="00CE7AD9">
        <w:t xml:space="preserve"> at times</w:t>
      </w:r>
      <w:r>
        <w:t>.</w:t>
      </w:r>
      <w:r>
        <w:rPr>
          <w:rStyle w:val="FootnoteReference"/>
        </w:rPr>
        <w:footnoteReference w:id="8"/>
      </w:r>
      <w:r w:rsidR="00411617">
        <w:t xml:space="preserve"> Plutarch’s focus of the </w:t>
      </w:r>
      <w:r w:rsidR="00411617" w:rsidRPr="00411617">
        <w:rPr>
          <w:i/>
        </w:rPr>
        <w:t>parallel lives</w:t>
      </w:r>
      <w:r w:rsidR="00411617">
        <w:t xml:space="preserve"> was therefore to inform readers of his character’s morality, providing lessons and messages to Greeks and Romans alike.</w:t>
      </w:r>
      <w:r w:rsidR="006D7405">
        <w:rPr>
          <w:rStyle w:val="FootnoteReference"/>
        </w:rPr>
        <w:footnoteReference w:id="9"/>
      </w:r>
      <w:r w:rsidR="00411617">
        <w:t xml:space="preserve"> This means that in the </w:t>
      </w:r>
      <w:r w:rsidR="00411617">
        <w:rPr>
          <w:i/>
        </w:rPr>
        <w:t>Life of Alexander</w:t>
      </w:r>
      <w:r w:rsidR="00411617">
        <w:t>,</w:t>
      </w:r>
      <w:r w:rsidR="001B7F07">
        <w:t xml:space="preserve"> even</w:t>
      </w:r>
      <w:r w:rsidR="00411617">
        <w:t xml:space="preserve"> while Plutarch is not focusing on Philip, the parts where he is mentioned will be character-based passages, which are written specifically to portray a message.</w:t>
      </w:r>
      <w:r w:rsidR="00D50448">
        <w:rPr>
          <w:rStyle w:val="FootnoteReference"/>
        </w:rPr>
        <w:footnoteReference w:id="10"/>
      </w:r>
      <w:r w:rsidR="00411617">
        <w:t xml:space="preserve"> </w:t>
      </w:r>
      <w:r w:rsidR="001B7F07">
        <w:lastRenderedPageBreak/>
        <w:t xml:space="preserve">Plutarch also clearly read </w:t>
      </w:r>
      <w:proofErr w:type="spellStart"/>
      <w:r w:rsidR="001B7F07">
        <w:t>Ephorus</w:t>
      </w:r>
      <w:proofErr w:type="spellEnd"/>
      <w:r w:rsidR="001B7F07">
        <w:t xml:space="preserve">, a historian who wrote a </w:t>
      </w:r>
      <w:r w:rsidR="00CE7AD9">
        <w:t xml:space="preserve">general </w:t>
      </w:r>
      <w:r w:rsidR="001B7F07">
        <w:t xml:space="preserve">history and a </w:t>
      </w:r>
      <w:proofErr w:type="spellStart"/>
      <w:r w:rsidR="001B7F07">
        <w:rPr>
          <w:i/>
        </w:rPr>
        <w:t>Philippica</w:t>
      </w:r>
      <w:proofErr w:type="spellEnd"/>
      <w:r w:rsidR="001B7F07">
        <w:t>, which centred on the life of Philip II, which would have given Plutarch valuable insights into his character and deeds.</w:t>
      </w:r>
      <w:r w:rsidR="001B7F07">
        <w:rPr>
          <w:rStyle w:val="FootnoteReference"/>
        </w:rPr>
        <w:footnoteReference w:id="11"/>
      </w:r>
    </w:p>
    <w:p w:rsidR="008A43B8" w:rsidRDefault="008A43B8" w:rsidP="006A4FB1">
      <w:pPr>
        <w:spacing w:line="360" w:lineRule="auto"/>
      </w:pPr>
      <w:r>
        <w:t>However, according to Diodorus</w:t>
      </w:r>
      <w:r w:rsidR="00CE7AD9">
        <w:t>’ methodology</w:t>
      </w:r>
      <w:r>
        <w:t>, he focused in book 16 upon Philip II because focussing upon the king would provide the easiest to understand and read narrative to his readers, to inform them best about the events and history of the Greek and peri-Greek world.</w:t>
      </w:r>
      <w:r>
        <w:rPr>
          <w:rStyle w:val="FootnoteReference"/>
        </w:rPr>
        <w:footnoteReference w:id="12"/>
      </w:r>
      <w:r>
        <w:t xml:space="preserve"> Diodorus also informs the reader at the start of this book that Philip’s deeds were great, and it becomes clear throughout the book that Diodorus thought of the Macedonian king very favourably, with Diodorus even claiming</w:t>
      </w:r>
      <w:r w:rsidR="006D7405">
        <w:t xml:space="preserve"> that Philip was</w:t>
      </w:r>
      <w:r>
        <w:t xml:space="preserve">: </w:t>
      </w:r>
      <w:r w:rsidRPr="006D7405">
        <w:t>‘</w:t>
      </w:r>
      <w:hyperlink r:id="rId7" w:tgtFrame="morph" w:history="1">
        <w:r w:rsidR="006D7405" w:rsidRPr="006D7405">
          <w:t>ἑα</w:t>
        </w:r>
        <w:proofErr w:type="spellStart"/>
        <w:r w:rsidR="006D7405" w:rsidRPr="006D7405">
          <w:t>υτὸν</w:t>
        </w:r>
        <w:proofErr w:type="spellEnd"/>
      </w:hyperlink>
      <w:r w:rsidR="006D7405" w:rsidRPr="006D7405">
        <w:t> </w:t>
      </w:r>
      <w:proofErr w:type="spellStart"/>
      <w:r w:rsidR="006D7405" w:rsidRPr="006D7405">
        <w:fldChar w:fldCharType="begin"/>
      </w:r>
      <w:r w:rsidR="006D7405" w:rsidRPr="006D7405">
        <w:instrText xml:space="preserve"> HYPERLINK "http://www.perseus.tufts.edu/hopper/morph?l=toi%3Ds&amp;la=greek&amp;can=toi%3Ds0&amp;prior=e(auto\\n" \t "morph" </w:instrText>
      </w:r>
      <w:r w:rsidR="006D7405" w:rsidRPr="006D7405">
        <w:fldChar w:fldCharType="separate"/>
      </w:r>
      <w:r w:rsidR="006D7405" w:rsidRPr="006D7405">
        <w:t>τοῖς</w:t>
      </w:r>
      <w:proofErr w:type="spellEnd"/>
      <w:r w:rsidR="006D7405" w:rsidRPr="006D7405">
        <w:fldChar w:fldCharType="end"/>
      </w:r>
      <w:r w:rsidR="006D7405" w:rsidRPr="006D7405">
        <w:t> </w:t>
      </w:r>
      <w:proofErr w:type="spellStart"/>
      <w:r w:rsidR="006D7405" w:rsidRPr="006D7405">
        <w:fldChar w:fldCharType="begin"/>
      </w:r>
      <w:r w:rsidR="006D7405" w:rsidRPr="006D7405">
        <w:instrText xml:space="preserve"> HYPERLINK "http://www.perseus.tufts.edu/hopper/morph?l=dw%2Fdeka&amp;la=greek&amp;can=dw%2Fdeka0&amp;prior=toi=s" \t "morph" </w:instrText>
      </w:r>
      <w:r w:rsidR="006D7405" w:rsidRPr="006D7405">
        <w:fldChar w:fldCharType="separate"/>
      </w:r>
      <w:r w:rsidR="006D7405" w:rsidRPr="006D7405">
        <w:t>δώδεκ</w:t>
      </w:r>
      <w:proofErr w:type="spellEnd"/>
      <w:r w:rsidR="006D7405" w:rsidRPr="006D7405">
        <w:t>α</w:t>
      </w:r>
      <w:r w:rsidR="006D7405" w:rsidRPr="006D7405">
        <w:fldChar w:fldCharType="end"/>
      </w:r>
      <w:r w:rsidR="006D7405" w:rsidRPr="006D7405">
        <w:t> </w:t>
      </w:r>
      <w:hyperlink r:id="rId8" w:tgtFrame="morph" w:history="1">
        <w:r w:rsidR="006D7405" w:rsidRPr="006D7405">
          <w:t>θεοῖς</w:t>
        </w:r>
      </w:hyperlink>
      <w:r w:rsidR="006D7405" w:rsidRPr="006D7405">
        <w:t> </w:t>
      </w:r>
      <w:hyperlink r:id="rId9" w:tgtFrame="morph" w:history="1">
        <w:r w:rsidR="006D7405" w:rsidRPr="006D7405">
          <w:t>σύνθρονον</w:t>
        </w:r>
      </w:hyperlink>
      <w:r w:rsidR="006D7405" w:rsidRPr="006D7405">
        <w:t>’</w:t>
      </w:r>
      <w:r w:rsidR="006D7405">
        <w:t>.</w:t>
      </w:r>
      <w:r w:rsidR="006D7405">
        <w:rPr>
          <w:rStyle w:val="FootnoteReference"/>
        </w:rPr>
        <w:footnoteReference w:id="13"/>
      </w:r>
      <w:r w:rsidR="006D7405">
        <w:t xml:space="preserve"> Philip therefore is very heavily featured in Diodorus, who is keen to point out Philip’s dire starting position, using book 16 to frame his ascendency to hegemony over Greece.</w:t>
      </w:r>
      <w:r w:rsidR="006D7405">
        <w:rPr>
          <w:rStyle w:val="FootnoteReference"/>
        </w:rPr>
        <w:footnoteReference w:id="14"/>
      </w:r>
      <w:r w:rsidR="006D7405">
        <w:t xml:space="preserve"> </w:t>
      </w:r>
    </w:p>
    <w:p w:rsidR="006D7405" w:rsidRDefault="006D7405" w:rsidP="006A4FB1">
      <w:pPr>
        <w:spacing w:line="360" w:lineRule="auto"/>
      </w:pPr>
      <w:r>
        <w:t>Due to these two works having very different motivations and subjects, it is difficult to compare Philip’s portrayal in total between them. This notion that Plutarch fundamentally is writing about, and trying to emphasise the power and greatness of Alexander the Great, and that Diodorus is trying to emphasise the greatness and life of Philip II, is necessary to understanding the differences in their portrayals.</w:t>
      </w:r>
      <w:r>
        <w:rPr>
          <w:rStyle w:val="FootnoteReference"/>
        </w:rPr>
        <w:footnoteReference w:id="15"/>
      </w:r>
      <w:r>
        <w:t xml:space="preserve"> Diodorus reserves book 17 of his work for Alexander’s exploits, and therefore </w:t>
      </w:r>
      <w:r w:rsidR="00C116A8">
        <w:t xml:space="preserve">does not focus on his early life considerably in this work, in contrast to Plutarch, who while talking about Alexander does mention Philip </w:t>
      </w:r>
      <w:r w:rsidR="00CE7AD9">
        <w:t>noticeably</w:t>
      </w:r>
      <w:r w:rsidR="00C116A8">
        <w:t>.</w:t>
      </w:r>
      <w:r w:rsidR="00C116A8">
        <w:rPr>
          <w:rStyle w:val="FootnoteReference"/>
        </w:rPr>
        <w:footnoteReference w:id="16"/>
      </w:r>
      <w:r w:rsidR="00C116A8">
        <w:t xml:space="preserve"> This lack of</w:t>
      </w:r>
      <w:r w:rsidR="00CE7AD9">
        <w:t xml:space="preserve"> complete</w:t>
      </w:r>
      <w:r w:rsidR="00C116A8">
        <w:t xml:space="preserve"> paucity in Plutarch’s account highlights the relative importance of Philip to Alexander’s narrative, being not only Alexander’s father but also the progenitor of his efforts.</w:t>
      </w:r>
      <w:r w:rsidR="00C116A8">
        <w:rPr>
          <w:rStyle w:val="FootnoteReference"/>
        </w:rPr>
        <w:footnoteReference w:id="17"/>
      </w:r>
      <w:r w:rsidR="00C116A8">
        <w:t xml:space="preserve"> This relates to Diodorus’ reasons and clear need to focus upon Philip for a considerable portion of his writings, who according to scholars like Worthington and Gabriel, was critical in implementing the foundation of the Hellenistic world.</w:t>
      </w:r>
      <w:r w:rsidR="00C116A8">
        <w:rPr>
          <w:rStyle w:val="FootnoteReference"/>
        </w:rPr>
        <w:footnoteReference w:id="18"/>
      </w:r>
      <w:r w:rsidR="00C116A8">
        <w:t xml:space="preserve"> </w:t>
      </w:r>
      <w:r w:rsidR="004047A3">
        <w:t>Due to Plutarch’s work being from Alexander’s focus, and Diodorus’ account primarily dealing with events occurring with Greece, neither accounts reveal a great deal of detail concerning several campaigns of Philip that are not in the peri-Greek world.</w:t>
      </w:r>
      <w:r w:rsidR="00CE7AD9">
        <w:rPr>
          <w:rStyle w:val="FootnoteReference"/>
        </w:rPr>
        <w:footnoteReference w:id="19"/>
      </w:r>
    </w:p>
    <w:p w:rsidR="00C116A8" w:rsidRDefault="00C116A8" w:rsidP="006A4FB1">
      <w:pPr>
        <w:spacing w:line="360" w:lineRule="auto"/>
      </w:pPr>
      <w:r>
        <w:lastRenderedPageBreak/>
        <w:t>One of the clearest ways in which Plutarch and Diodorus can be compared</w:t>
      </w:r>
      <w:r w:rsidR="00D03657">
        <w:t xml:space="preserve"> is in their introductions of Philip to their works.</w:t>
      </w:r>
      <w:r w:rsidR="00D03657">
        <w:rPr>
          <w:rStyle w:val="FootnoteReference"/>
        </w:rPr>
        <w:footnoteReference w:id="20"/>
      </w:r>
      <w:r w:rsidR="00D03657">
        <w:t xml:space="preserve"> Diodorus believes that at the start of Philip’s narrative it is appropriate to say: ‘</w:t>
      </w:r>
      <w:hyperlink r:id="rId10" w:tgtFrame="morph" w:history="1">
        <w:r w:rsidR="00D03657" w:rsidRPr="00D03657">
          <w:t>Μα</w:t>
        </w:r>
        <w:proofErr w:type="spellStart"/>
        <w:r w:rsidR="00D03657" w:rsidRPr="00D03657">
          <w:t>κεδονί</w:t>
        </w:r>
        <w:proofErr w:type="spellEnd"/>
        <w:r w:rsidR="00D03657" w:rsidRPr="00D03657">
          <w:t>αν</w:t>
        </w:r>
      </w:hyperlink>
      <w:r w:rsidR="00D03657" w:rsidRPr="00D03657">
        <w:t> </w:t>
      </w:r>
      <w:hyperlink r:id="rId11" w:tgtFrame="morph" w:history="1">
        <w:r w:rsidR="00D03657" w:rsidRPr="00D03657">
          <w:t>δουλεύουσαν</w:t>
        </w:r>
      </w:hyperlink>
      <w:r w:rsidR="00D03657" w:rsidRPr="00D03657">
        <w:t> </w:t>
      </w:r>
      <w:hyperlink r:id="rId12" w:tgtFrame="morph" w:history="1">
        <w:r w:rsidR="00D03657" w:rsidRPr="00D03657">
          <w:t>Ἰλλυριοῖς</w:t>
        </w:r>
      </w:hyperlink>
      <w:r w:rsidR="00D03657">
        <w:t xml:space="preserve">’, which is accurate as </w:t>
      </w:r>
      <w:proofErr w:type="spellStart"/>
      <w:r w:rsidR="00D03657">
        <w:t>Cawkwell</w:t>
      </w:r>
      <w:proofErr w:type="spellEnd"/>
      <w:r w:rsidR="00D03657">
        <w:t xml:space="preserve"> describes that the Illyrians were a great threat to Macedon at this point.</w:t>
      </w:r>
      <w:r w:rsidR="00D03657">
        <w:rPr>
          <w:rStyle w:val="FootnoteReference"/>
        </w:rPr>
        <w:footnoteReference w:id="21"/>
      </w:r>
      <w:r w:rsidR="00D03657">
        <w:t xml:space="preserve"> Indeed before Diodorus even begins his account in earnest, he describes Philip as possessing ‘</w:t>
      </w:r>
      <w:proofErr w:type="spellStart"/>
      <w:r w:rsidR="00D47817" w:rsidRPr="00D47817">
        <w:t>ἀγχινοίᾳ</w:t>
      </w:r>
      <w:proofErr w:type="spellEnd"/>
      <w:r w:rsidR="00D47817" w:rsidRPr="00D47817">
        <w:t xml:space="preserve"> </w:t>
      </w:r>
      <w:proofErr w:type="spellStart"/>
      <w:r w:rsidR="00D47817" w:rsidRPr="00D47817">
        <w:t>στρ</w:t>
      </w:r>
      <w:proofErr w:type="spellEnd"/>
      <w:r w:rsidR="00D47817" w:rsidRPr="00D47817">
        <w:t xml:space="preserve">ατηγικῇ καὶ </w:t>
      </w:r>
      <w:proofErr w:type="spellStart"/>
      <w:r w:rsidR="00D47817" w:rsidRPr="00D47817">
        <w:t>ἀνδρείᾳ</w:t>
      </w:r>
      <w:proofErr w:type="spellEnd"/>
      <w:r w:rsidR="00D47817" w:rsidRPr="00D47817">
        <w:t xml:space="preserve"> καὶ λαμπ</w:t>
      </w:r>
      <w:proofErr w:type="spellStart"/>
      <w:r w:rsidR="00D47817" w:rsidRPr="00D47817">
        <w:t>ρότητι</w:t>
      </w:r>
      <w:proofErr w:type="spellEnd"/>
      <w:r w:rsidR="00D47817" w:rsidRPr="00D47817">
        <w:t xml:space="preserve"> </w:t>
      </w:r>
      <w:proofErr w:type="spellStart"/>
      <w:r w:rsidR="00D47817" w:rsidRPr="00D47817">
        <w:t>ψυχῆς</w:t>
      </w:r>
      <w:proofErr w:type="spellEnd"/>
      <w:r w:rsidR="00D47817">
        <w:t>’, which informs the reader of how to perceive Philip</w:t>
      </w:r>
      <w:r w:rsidR="00CE7AD9">
        <w:t xml:space="preserve"> positively</w:t>
      </w:r>
      <w:r w:rsidR="00D47817">
        <w:t xml:space="preserve"> throughout the book.</w:t>
      </w:r>
      <w:r w:rsidR="00D47817">
        <w:rPr>
          <w:rStyle w:val="FootnoteReference"/>
        </w:rPr>
        <w:footnoteReference w:id="22"/>
      </w:r>
      <w:r w:rsidR="00D47817">
        <w:t xml:space="preserve"> Consequently, Philip’s story in Diodorus when his predecessor was defeated, and Philip has been made a hostage at Thebes, </w:t>
      </w:r>
      <w:r w:rsidR="00CE7AD9">
        <w:t xml:space="preserve">is used </w:t>
      </w:r>
      <w:r w:rsidR="00D47817">
        <w:t>to highlight the humble beginnings of Philip’s reign.</w:t>
      </w:r>
      <w:r w:rsidR="00D47817">
        <w:rPr>
          <w:rStyle w:val="FootnoteReference"/>
        </w:rPr>
        <w:footnoteReference w:id="23"/>
      </w:r>
      <w:r w:rsidR="00D47817">
        <w:t xml:space="preserve"> Diodorus also shows that Philip received a Greek education, perhaps trying to make Philip a more amicable character to Greek and roman readers who may have prized</w:t>
      </w:r>
      <w:r w:rsidR="00CE7AD9">
        <w:t>,</w:t>
      </w:r>
      <w:r w:rsidR="00D47817">
        <w:t xml:space="preserve"> or received something similar.</w:t>
      </w:r>
      <w:r w:rsidR="00D47817">
        <w:rPr>
          <w:rStyle w:val="FootnoteReference"/>
        </w:rPr>
        <w:footnoteReference w:id="24"/>
      </w:r>
      <w:r w:rsidR="00D47817">
        <w:t xml:space="preserve"> In the introduction Philip is shown to be standing alone, with limited resources</w:t>
      </w:r>
      <w:r w:rsidR="00665FB3">
        <w:t>, low troop morale, and several imminent incursions into Macedon from all directions threatening his people.</w:t>
      </w:r>
      <w:r w:rsidR="00665FB3">
        <w:rPr>
          <w:rStyle w:val="FootnoteReference"/>
        </w:rPr>
        <w:footnoteReference w:id="25"/>
      </w:r>
      <w:r w:rsidR="00665FB3">
        <w:t xml:space="preserve"> Although, this account seems to be problematic as it implies Philip escaped Thebes and arrived in Macedon just in time.</w:t>
      </w:r>
      <w:r w:rsidR="00665FB3">
        <w:rPr>
          <w:rStyle w:val="FootnoteReference"/>
        </w:rPr>
        <w:footnoteReference w:id="26"/>
      </w:r>
      <w:r w:rsidR="00665FB3">
        <w:t xml:space="preserve"> </w:t>
      </w:r>
      <w:r w:rsidR="00CE7AD9">
        <w:t>Yet,</w:t>
      </w:r>
      <w:r w:rsidR="00665FB3">
        <w:t xml:space="preserve"> Worthington’s assessment that this was not the case and that Philip was governor under Perdiccas </w:t>
      </w:r>
      <w:r w:rsidR="006A4FB1">
        <w:t>for some time seems more likely, as it would have given Philip the necessary groundwork, and the ability to test and try his military reforms, rather than immediately invent the phalanx and march out to face the invaders like Diodorus’ introduction of Philip would suggest.</w:t>
      </w:r>
      <w:r w:rsidR="006A4FB1">
        <w:rPr>
          <w:rStyle w:val="FootnoteReference"/>
        </w:rPr>
        <w:footnoteReference w:id="27"/>
      </w:r>
      <w:r w:rsidR="006A4FB1">
        <w:t xml:space="preserve"> Diodorus also says: ‘</w:t>
      </w:r>
      <w:proofErr w:type="spellStart"/>
      <w:r w:rsidR="006A4FB1" w:rsidRPr="006A4FB1">
        <w:fldChar w:fldCharType="begin"/>
      </w:r>
      <w:r w:rsidR="006A4FB1" w:rsidRPr="006A4FB1">
        <w:instrText xml:space="preserve"> HYPERLINK "http://www.perseus.tufts.edu/hopper/morph?l=*fi%2Flippos&amp;la=greek&amp;can=*fi%2Flippos0&amp;prior=o(" \t "morph" </w:instrText>
      </w:r>
      <w:r w:rsidR="006A4FB1" w:rsidRPr="006A4FB1">
        <w:fldChar w:fldCharType="separate"/>
      </w:r>
      <w:r w:rsidR="006A4FB1" w:rsidRPr="006A4FB1">
        <w:t>Φίλι</w:t>
      </w:r>
      <w:proofErr w:type="spellEnd"/>
      <w:r w:rsidR="006A4FB1" w:rsidRPr="006A4FB1">
        <w:t>ππος</w:t>
      </w:r>
      <w:r w:rsidR="006A4FB1" w:rsidRPr="006A4FB1">
        <w:fldChar w:fldCharType="end"/>
      </w:r>
      <w:r w:rsidR="006A4FB1" w:rsidRPr="006A4FB1">
        <w:t> </w:t>
      </w:r>
      <w:hyperlink r:id="rId13" w:tgtFrame="morph" w:history="1">
        <w:r w:rsidR="006A4FB1" w:rsidRPr="006A4FB1">
          <w:t>οὐ</w:t>
        </w:r>
      </w:hyperlink>
      <w:r w:rsidR="006A4FB1" w:rsidRPr="006A4FB1">
        <w:t> </w:t>
      </w:r>
      <w:hyperlink r:id="rId14" w:tgtFrame="morph" w:history="1">
        <w:r w:rsidR="006A4FB1" w:rsidRPr="006A4FB1">
          <w:t>κατεπλάγη</w:t>
        </w:r>
      </w:hyperlink>
      <w:r w:rsidR="006A4FB1" w:rsidRPr="006A4FB1">
        <w:t> </w:t>
      </w:r>
      <w:hyperlink r:id="rId15" w:tgtFrame="morph" w:history="1">
        <w:r w:rsidR="006A4FB1" w:rsidRPr="006A4FB1">
          <w:t>τὸ</w:t>
        </w:r>
      </w:hyperlink>
      <w:r w:rsidR="006A4FB1" w:rsidRPr="006A4FB1">
        <w:t> </w:t>
      </w:r>
      <w:hyperlink r:id="rId16" w:tgtFrame="morph" w:history="1">
        <w:r w:rsidR="006A4FB1" w:rsidRPr="006A4FB1">
          <w:t>μέγεθος</w:t>
        </w:r>
      </w:hyperlink>
      <w:hyperlink r:id="rId17" w:tgtFrame="morph" w:history="1">
        <w:r w:rsidR="006A4FB1" w:rsidRPr="006A4FB1">
          <w:t>τῶν</w:t>
        </w:r>
      </w:hyperlink>
      <w:r w:rsidR="006A4FB1" w:rsidRPr="006A4FB1">
        <w:t> </w:t>
      </w:r>
      <w:hyperlink r:id="rId18" w:tgtFrame="morph" w:history="1">
        <w:r w:rsidR="006A4FB1" w:rsidRPr="006A4FB1">
          <w:t>προσδοκωμένων</w:t>
        </w:r>
      </w:hyperlink>
      <w:r w:rsidR="006A4FB1" w:rsidRPr="006A4FB1">
        <w:t> </w:t>
      </w:r>
      <w:hyperlink r:id="rId19" w:tgtFrame="morph" w:history="1">
        <w:r w:rsidR="006A4FB1" w:rsidRPr="006A4FB1">
          <w:t>δεινῶν</w:t>
        </w:r>
      </w:hyperlink>
      <w:r w:rsidR="006A4FB1" w:rsidRPr="006A4FB1">
        <w:t>’</w:t>
      </w:r>
      <w:r w:rsidR="006A4FB1">
        <w:t>, which may simply be how Philip portrayed himself to inspire his troops, which shows a lack of in-depth insight from Diodorus’ account.</w:t>
      </w:r>
      <w:r w:rsidR="006A4FB1">
        <w:rPr>
          <w:rStyle w:val="FootnoteReference"/>
        </w:rPr>
        <w:footnoteReference w:id="28"/>
      </w:r>
    </w:p>
    <w:p w:rsidR="00B36224" w:rsidRDefault="006A4FB1" w:rsidP="006A4FB1">
      <w:pPr>
        <w:spacing w:line="360" w:lineRule="auto"/>
      </w:pPr>
      <w:r>
        <w:t>This is in stark contrast with Plutarch first mentioning of Philip, which is concerning the conception of Alexander.</w:t>
      </w:r>
      <w:r>
        <w:rPr>
          <w:rStyle w:val="FootnoteReference"/>
        </w:rPr>
        <w:footnoteReference w:id="29"/>
      </w:r>
      <w:r>
        <w:t xml:space="preserve"> Plutarch declares that without question, Philip is a descendant of Heracles, which is attested to by all the Macedonian Argeads, which was the basis for Alexander I being able to compete in the Olympic games.</w:t>
      </w:r>
      <w:r>
        <w:rPr>
          <w:rStyle w:val="FootnoteReference"/>
        </w:rPr>
        <w:footnoteReference w:id="30"/>
      </w:r>
      <w:r w:rsidR="00CD3829">
        <w:t xml:space="preserve"> When Alexander </w:t>
      </w:r>
      <w:r w:rsidR="00094BEF">
        <w:t>i</w:t>
      </w:r>
      <w:r w:rsidR="00CD3829">
        <w:t>s conceived, Plutarch places considerable doubt upon Philip being the father, hinting at the distance that grew between Philip and Olympias due to concerning circumstances for Philip.</w:t>
      </w:r>
      <w:r w:rsidR="00CD3829">
        <w:rPr>
          <w:rStyle w:val="FootnoteReference"/>
        </w:rPr>
        <w:footnoteReference w:id="31"/>
      </w:r>
      <w:r w:rsidR="00CD3829">
        <w:t xml:space="preserve"> Plutarch suggests that Philip may have believed Olympias was </w:t>
      </w:r>
      <w:r w:rsidR="00CD3829">
        <w:lastRenderedPageBreak/>
        <w:t xml:space="preserve">partnered with a being who was </w:t>
      </w:r>
      <w:r w:rsidR="00CD3829" w:rsidRPr="00CD3829">
        <w:t>‘</w:t>
      </w:r>
      <w:proofErr w:type="spellStart"/>
      <w:r w:rsidR="00CD3829" w:rsidRPr="00CD3829">
        <w:fldChar w:fldCharType="begin"/>
      </w:r>
      <w:r w:rsidR="00CD3829" w:rsidRPr="00CD3829">
        <w:instrText xml:space="preserve"> HYPERLINK "http://www.perseus.tufts.edu/hopper/morph?l=krei%2Fttoni&amp;la=greek&amp;can=krei%2Fttoni0&amp;prior=w(s" \t "morph" </w:instrText>
      </w:r>
      <w:r w:rsidR="00CD3829" w:rsidRPr="00CD3829">
        <w:fldChar w:fldCharType="separate"/>
      </w:r>
      <w:r w:rsidR="00CD3829" w:rsidRPr="00CD3829">
        <w:t>κρείττονι</w:t>
      </w:r>
      <w:proofErr w:type="spellEnd"/>
      <w:r w:rsidR="00CD3829" w:rsidRPr="00CD3829">
        <w:fldChar w:fldCharType="end"/>
      </w:r>
      <w:r w:rsidR="00CD3829" w:rsidRPr="00CD3829">
        <w:t>’</w:t>
      </w:r>
      <w:r w:rsidR="00CD3829">
        <w:t xml:space="preserve"> to Philip.</w:t>
      </w:r>
      <w:r w:rsidR="00CD3829">
        <w:rPr>
          <w:rStyle w:val="FootnoteReference"/>
        </w:rPr>
        <w:footnoteReference w:id="32"/>
      </w:r>
      <w:r w:rsidR="00CD3829">
        <w:t xml:space="preserve"> This shows that Philip was weak, allowing an having no power over</w:t>
      </w:r>
      <w:r w:rsidR="00094BEF">
        <w:t xml:space="preserve"> with</w:t>
      </w:r>
      <w:r w:rsidR="00CD3829">
        <w:t xml:space="preserve"> who</w:t>
      </w:r>
      <w:r w:rsidR="00094BEF">
        <w:t>m</w:t>
      </w:r>
      <w:r w:rsidR="00CD3829">
        <w:t xml:space="preserve"> his wife </w:t>
      </w:r>
      <w:r w:rsidR="00094BEF">
        <w:t>is</w:t>
      </w:r>
      <w:r w:rsidR="00CD3829">
        <w:t xml:space="preserve"> having intercourse with</w:t>
      </w:r>
      <w:r w:rsidR="00094BEF">
        <w:t>.</w:t>
      </w:r>
      <w:r w:rsidR="00094BEF">
        <w:rPr>
          <w:rStyle w:val="FootnoteReference"/>
        </w:rPr>
        <w:footnoteReference w:id="33"/>
      </w:r>
      <w:r w:rsidR="00CD3829">
        <w:t xml:space="preserve"> </w:t>
      </w:r>
      <w:r w:rsidR="00094BEF">
        <w:t>H</w:t>
      </w:r>
      <w:r w:rsidR="00CD3829">
        <w:t xml:space="preserve">e </w:t>
      </w:r>
      <w:r w:rsidR="00094BEF">
        <w:t xml:space="preserve">also </w:t>
      </w:r>
      <w:r w:rsidR="00CD3829">
        <w:t>seems to have very little understanding or ability to control the seemingly supernatural elements surrounding Olympias.</w:t>
      </w:r>
      <w:r w:rsidR="00CD3829">
        <w:rPr>
          <w:rStyle w:val="FootnoteReference"/>
        </w:rPr>
        <w:footnoteReference w:id="34"/>
      </w:r>
      <w:r w:rsidR="00CD3829">
        <w:t xml:space="preserve"> Nevertheless, this negative appearance may be constructed by Plutarch purely to service his narrative of the mystical conception of Alexander, and therefore </w:t>
      </w:r>
      <w:r w:rsidR="00743344">
        <w:t xml:space="preserve">this extremely weak appearance of Philip in his introduction in the </w:t>
      </w:r>
      <w:r w:rsidR="00743344">
        <w:rPr>
          <w:i/>
        </w:rPr>
        <w:t>Life of Alexander</w:t>
      </w:r>
      <w:r w:rsidR="00743344">
        <w:t xml:space="preserve"> may be incidental.</w:t>
      </w:r>
      <w:r w:rsidR="00743344">
        <w:rPr>
          <w:rStyle w:val="FootnoteReference"/>
        </w:rPr>
        <w:footnoteReference w:id="35"/>
      </w:r>
      <w:r w:rsidR="00743344">
        <w:t xml:space="preserve"> It also may be that Plutarch is being more critical of Olympias, who is scolded by the biographer as over-indulgent and connected to the barbaric rituals and practices of non-Greek and Roman women.</w:t>
      </w:r>
      <w:r w:rsidR="00743344">
        <w:rPr>
          <w:rStyle w:val="FootnoteReference"/>
        </w:rPr>
        <w:footnoteReference w:id="36"/>
      </w:r>
      <w:r w:rsidR="00743344">
        <w:t xml:space="preserve"> Therefore, in contrast to Diodorus’ introduction, Philip is shown to be uncertain, afraid of women, and inferior—albeit to a God—to another who slept with his wife, all things surely Plutarch and his audience would consider unpalatable.</w:t>
      </w:r>
      <w:r w:rsidR="00743344">
        <w:rPr>
          <w:rStyle w:val="FootnoteReference"/>
        </w:rPr>
        <w:footnoteReference w:id="37"/>
      </w:r>
      <w:r w:rsidR="00B36224">
        <w:t xml:space="preserve"> To compare this introduction with Olympias more closely with Diodorus, It is necessary to examine Diodorus’ descriptions of Olympias’ interactions with Philip. Philip is shown as strengthening his relationship with Epirus through his interactions with Olympias.</w:t>
      </w:r>
      <w:r w:rsidR="00B36224">
        <w:rPr>
          <w:rStyle w:val="FootnoteReference"/>
        </w:rPr>
        <w:footnoteReference w:id="38"/>
      </w:r>
      <w:r w:rsidR="00B36224">
        <w:t xml:space="preserve"> Diodorus avoids associating Olympias with Philip’s death, and mentions nothing of this curious snake incident.</w:t>
      </w:r>
      <w:r w:rsidR="00B36224">
        <w:rPr>
          <w:rStyle w:val="FootnoteReference"/>
        </w:rPr>
        <w:footnoteReference w:id="39"/>
      </w:r>
      <w:r w:rsidR="00B36224">
        <w:t xml:space="preserve"> </w:t>
      </w:r>
      <w:r w:rsidR="008E1810">
        <w:t xml:space="preserve">However, Olympias shows this similarly powerful </w:t>
      </w:r>
      <w:r w:rsidR="00094BEF">
        <w:t xml:space="preserve">and maleficent </w:t>
      </w:r>
      <w:r w:rsidR="008E1810">
        <w:t>character in book 17, when Philip is not present.</w:t>
      </w:r>
      <w:r w:rsidR="008E1810">
        <w:rPr>
          <w:rStyle w:val="FootnoteReference"/>
        </w:rPr>
        <w:footnoteReference w:id="40"/>
      </w:r>
      <w:r w:rsidR="008E1810">
        <w:t xml:space="preserve"> </w:t>
      </w:r>
      <w:r w:rsidR="00B36224">
        <w:t>This means that Philip’s character in Diodorus is never obscured by Olympias</w:t>
      </w:r>
      <w:r w:rsidR="00094BEF">
        <w:t>’</w:t>
      </w:r>
      <w:r w:rsidR="00B36224">
        <w:t xml:space="preserve"> in this way, again showing Diodorus’ Philip to seem more powerful and greater than Plutarch’s.</w:t>
      </w:r>
      <w:r w:rsidR="00B36224">
        <w:rPr>
          <w:rStyle w:val="FootnoteReference"/>
        </w:rPr>
        <w:footnoteReference w:id="41"/>
      </w:r>
      <w:r w:rsidR="00B36224">
        <w:t xml:space="preserve"> </w:t>
      </w:r>
    </w:p>
    <w:p w:rsidR="00491957" w:rsidRDefault="00AD5CCD" w:rsidP="00AD5CCD">
      <w:pPr>
        <w:spacing w:line="360" w:lineRule="auto"/>
        <w:jc w:val="both"/>
      </w:pPr>
      <w:r>
        <w:t xml:space="preserve">As for the views Plutarch portrays in the rest of </w:t>
      </w:r>
      <w:r>
        <w:rPr>
          <w:i/>
        </w:rPr>
        <w:t xml:space="preserve">Life of Alexander, </w:t>
      </w:r>
      <w:r>
        <w:t xml:space="preserve">Philip is shown as thoroughly overshadowed by Alexander, providing what seems like an apocryphal anecdote about Alexander </w:t>
      </w:r>
      <w:r w:rsidR="008E1810">
        <w:t xml:space="preserve">being described as the </w:t>
      </w:r>
      <w:r w:rsidR="008E1810" w:rsidRPr="008E1810">
        <w:t>Macedonian ‘</w:t>
      </w:r>
      <w:hyperlink r:id="rId20" w:tgtFrame="morph" w:history="1">
        <w:r w:rsidR="008E1810" w:rsidRPr="008E1810">
          <w:t>βα</w:t>
        </w:r>
        <w:proofErr w:type="spellStart"/>
        <w:r w:rsidR="008E1810" w:rsidRPr="008E1810">
          <w:t>σιλέ</w:t>
        </w:r>
        <w:proofErr w:type="spellEnd"/>
        <w:r w:rsidR="008E1810" w:rsidRPr="008E1810">
          <w:t>α</w:t>
        </w:r>
      </w:hyperlink>
      <w:r w:rsidR="008E1810" w:rsidRPr="008E1810">
        <w:t>’</w:t>
      </w:r>
      <w:r w:rsidR="008E1810">
        <w:t xml:space="preserve"> and Philip only being called their </w:t>
      </w:r>
      <w:r w:rsidR="008E1810" w:rsidRPr="008E1810">
        <w:t>‘</w:t>
      </w:r>
      <w:proofErr w:type="spellStart"/>
      <w:r w:rsidR="008E1810" w:rsidRPr="008E1810">
        <w:fldChar w:fldCharType="begin"/>
      </w:r>
      <w:r w:rsidR="008E1810" w:rsidRPr="008E1810">
        <w:instrText xml:space="preserve"> HYPERLINK "http://www.perseus.tufts.edu/hopper/morph?l=strathgo%5Cn&amp;la=greek&amp;can=strathgo%5Cn0&amp;prior=de\\" \t "morph" </w:instrText>
      </w:r>
      <w:r w:rsidR="008E1810" w:rsidRPr="008E1810">
        <w:fldChar w:fldCharType="separate"/>
      </w:r>
      <w:r w:rsidR="008E1810" w:rsidRPr="008E1810">
        <w:t>στρ</w:t>
      </w:r>
      <w:proofErr w:type="spellEnd"/>
      <w:r w:rsidR="008E1810" w:rsidRPr="008E1810">
        <w:t>ατηγὸν</w:t>
      </w:r>
      <w:r w:rsidR="008E1810" w:rsidRPr="008E1810">
        <w:fldChar w:fldCharType="end"/>
      </w:r>
      <w:r w:rsidR="008E1810">
        <w:t>’.</w:t>
      </w:r>
      <w:r w:rsidR="008E1810">
        <w:rPr>
          <w:rStyle w:val="FootnoteReference"/>
        </w:rPr>
        <w:footnoteReference w:id="42"/>
      </w:r>
      <w:r w:rsidR="008E1810">
        <w:t xml:space="preserve"> Given what is understood about Macedonian succession, it seems unnatural that Philip </w:t>
      </w:r>
      <w:r w:rsidR="008E1810" w:rsidRPr="008E1810">
        <w:t>would ‘</w:t>
      </w:r>
      <w:hyperlink r:id="rId21" w:tgtFrame="morph" w:history="1">
        <w:r w:rsidR="008E1810" w:rsidRPr="008E1810">
          <w:t>χα</w:t>
        </w:r>
        <w:proofErr w:type="spellStart"/>
        <w:r w:rsidR="008E1810" w:rsidRPr="008E1810">
          <w:t>ίρειν</w:t>
        </w:r>
        <w:proofErr w:type="spellEnd"/>
      </w:hyperlink>
      <w:r w:rsidR="008E1810" w:rsidRPr="008E1810">
        <w:t>’</w:t>
      </w:r>
      <w:r w:rsidR="008E1810">
        <w:t xml:space="preserve"> at the prospect of himself not being referred to as king.</w:t>
      </w:r>
      <w:r w:rsidR="008E1810">
        <w:rPr>
          <w:rStyle w:val="FootnoteReference"/>
        </w:rPr>
        <w:footnoteReference w:id="43"/>
      </w:r>
      <w:r w:rsidR="008E1810">
        <w:t xml:space="preserve"> </w:t>
      </w:r>
      <w:r w:rsidR="00685CFE">
        <w:t>This incident does not appear in Diodorus, as it shows Philip as subservient to his son, which is something Diodorus makes clear is not his opinion.</w:t>
      </w:r>
      <w:r w:rsidR="00685CFE">
        <w:rPr>
          <w:rStyle w:val="FootnoteReference"/>
        </w:rPr>
        <w:footnoteReference w:id="44"/>
      </w:r>
      <w:r w:rsidR="0066129D">
        <w:t xml:space="preserve"> </w:t>
      </w:r>
    </w:p>
    <w:p w:rsidR="007B7335" w:rsidRDefault="0066129D" w:rsidP="00AD5CCD">
      <w:pPr>
        <w:spacing w:line="360" w:lineRule="auto"/>
        <w:jc w:val="both"/>
      </w:pPr>
      <w:r>
        <w:lastRenderedPageBreak/>
        <w:t>Again, Alexander appears to displace Philip in Plutarch when Alexander throws a cup at Attalus and Philip draws his weapon at Alexander but falls over a table due to alcohol.</w:t>
      </w:r>
      <w:r>
        <w:rPr>
          <w:rStyle w:val="FootnoteReference"/>
        </w:rPr>
        <w:footnoteReference w:id="45"/>
      </w:r>
      <w:r>
        <w:t xml:space="preserve"> This shows Philip as rash, violent, and weak, especially because he is defending a man who slighted his own son.</w:t>
      </w:r>
      <w:r>
        <w:rPr>
          <w:rStyle w:val="FootnoteReference"/>
        </w:rPr>
        <w:footnoteReference w:id="46"/>
      </w:r>
      <w:r>
        <w:t xml:space="preserve"> </w:t>
      </w:r>
      <w:r w:rsidR="00491957">
        <w:t>In Diodorus, one of the only real displays of contention between Alexander and Philip occurs at the Battle of Chaeronea, where Philip gives his son command of one wing of the army.</w:t>
      </w:r>
      <w:r w:rsidR="00491957">
        <w:rPr>
          <w:rStyle w:val="FootnoteReference"/>
        </w:rPr>
        <w:footnoteReference w:id="47"/>
      </w:r>
      <w:r w:rsidR="00491957">
        <w:t xml:space="preserve"> Determined to show his father his ability</w:t>
      </w:r>
      <w:r w:rsidR="00491957" w:rsidRPr="0005445A">
        <w:t>, Alexander broke the enemy line while Philip also engaged</w:t>
      </w:r>
      <w:r w:rsidR="000A2C0F" w:rsidRPr="0005445A">
        <w:t xml:space="preserve"> to prevent Alexander from being known as the victor,</w:t>
      </w:r>
      <w:r w:rsidR="0005445A">
        <w:t xml:space="preserve"> </w:t>
      </w:r>
      <w:r w:rsidR="000A2C0F" w:rsidRPr="0005445A">
        <w:t xml:space="preserve">which Diodorus tells us </w:t>
      </w:r>
      <w:r w:rsidR="0005445A" w:rsidRPr="0005445A">
        <w:t xml:space="preserve">Philip is </w:t>
      </w:r>
      <w:r w:rsidR="0005445A" w:rsidRPr="00C41357">
        <w:t>the one ‘</w:t>
      </w:r>
      <w:hyperlink r:id="rId22" w:tgtFrame="morph" w:history="1">
        <w:r w:rsidR="0005445A" w:rsidRPr="00C41357">
          <w:t>α</w:t>
        </w:r>
        <w:proofErr w:type="spellStart"/>
        <w:r w:rsidR="0005445A" w:rsidRPr="00C41357">
          <w:t>ἴτιος</w:t>
        </w:r>
        <w:proofErr w:type="spellEnd"/>
      </w:hyperlink>
      <w:r w:rsidR="0005445A" w:rsidRPr="00C41357">
        <w:t> </w:t>
      </w:r>
      <w:proofErr w:type="spellStart"/>
      <w:r w:rsidR="0005445A" w:rsidRPr="00C41357">
        <w:fldChar w:fldCharType="begin"/>
      </w:r>
      <w:r w:rsidR="0005445A" w:rsidRPr="00C41357">
        <w:instrText xml:space="preserve"> HYPERLINK "http://www.perseus.tufts.edu/hopper/morph?l=e%29ge%2Fneto&amp;la=greek&amp;can=e%29ge%2Fneto0&amp;prior=ai)/tios" \t "morph" </w:instrText>
      </w:r>
      <w:r w:rsidR="0005445A" w:rsidRPr="00C41357">
        <w:fldChar w:fldCharType="separate"/>
      </w:r>
      <w:r w:rsidR="0005445A" w:rsidRPr="00C41357">
        <w:t>ἐγένετο</w:t>
      </w:r>
      <w:proofErr w:type="spellEnd"/>
      <w:r w:rsidR="0005445A" w:rsidRPr="00C41357">
        <w:fldChar w:fldCharType="end"/>
      </w:r>
      <w:r w:rsidR="0005445A" w:rsidRPr="00C41357">
        <w:t> </w:t>
      </w:r>
      <w:proofErr w:type="spellStart"/>
      <w:r w:rsidR="0005445A" w:rsidRPr="00C41357">
        <w:fldChar w:fldCharType="begin"/>
      </w:r>
      <w:r w:rsidR="0005445A" w:rsidRPr="00C41357">
        <w:instrText xml:space="preserve"> HYPERLINK "http://www.perseus.tufts.edu/hopper/morph?l=th%3Ds&amp;la=greek&amp;can=th%3Ds2&amp;prior=e)ge/neto" \t "morph" </w:instrText>
      </w:r>
      <w:r w:rsidR="0005445A" w:rsidRPr="00C41357">
        <w:fldChar w:fldCharType="separate"/>
      </w:r>
      <w:r w:rsidR="0005445A" w:rsidRPr="00C41357">
        <w:t>τῆς</w:t>
      </w:r>
      <w:proofErr w:type="spellEnd"/>
      <w:r w:rsidR="0005445A" w:rsidRPr="00C41357">
        <w:fldChar w:fldCharType="end"/>
      </w:r>
      <w:r w:rsidR="0005445A" w:rsidRPr="00C41357">
        <w:t> </w:t>
      </w:r>
      <w:proofErr w:type="spellStart"/>
      <w:r w:rsidR="0005445A" w:rsidRPr="00C41357">
        <w:fldChar w:fldCharType="begin"/>
      </w:r>
      <w:r w:rsidR="0005445A" w:rsidRPr="00C41357">
        <w:instrText xml:space="preserve"> HYPERLINK "http://www.perseus.tufts.edu/hopper/morph?l=ni%2Fkhs&amp;la=greek&amp;can=ni%2Fkhs1&amp;prior=th=s" \t "morph" </w:instrText>
      </w:r>
      <w:r w:rsidR="0005445A" w:rsidRPr="00C41357">
        <w:fldChar w:fldCharType="separate"/>
      </w:r>
      <w:r w:rsidR="0005445A" w:rsidRPr="00C41357">
        <w:t>νίκης</w:t>
      </w:r>
      <w:proofErr w:type="spellEnd"/>
      <w:r w:rsidR="0005445A" w:rsidRPr="00C41357">
        <w:fldChar w:fldCharType="end"/>
      </w:r>
      <w:r w:rsidR="0005445A" w:rsidRPr="00C41357">
        <w:t>’</w:t>
      </w:r>
      <w:r w:rsidR="000A2C0F" w:rsidRPr="00C41357">
        <w:t>.</w:t>
      </w:r>
      <w:r w:rsidR="0005445A" w:rsidRPr="00C41357">
        <w:rPr>
          <w:vertAlign w:val="superscript"/>
        </w:rPr>
        <w:footnoteReference w:id="48"/>
      </w:r>
      <w:r w:rsidR="00C41357" w:rsidRPr="00C41357">
        <w:rPr>
          <w:vertAlign w:val="superscript"/>
        </w:rPr>
        <w:t xml:space="preserve"> </w:t>
      </w:r>
      <w:r w:rsidR="00C41357">
        <w:t>In contrast, Plutarch’s only mention of Chaeronea is that Alexander was the first to break the ranks of the Sacred Band of Thebes.</w:t>
      </w:r>
      <w:r w:rsidR="00C41357">
        <w:rPr>
          <w:rStyle w:val="FootnoteReference"/>
        </w:rPr>
        <w:footnoteReference w:id="49"/>
      </w:r>
      <w:r w:rsidR="00C41357">
        <w:t xml:space="preserve"> While this corroborates with Diodorus’ narrative, it momentously fails to mention the rest of the </w:t>
      </w:r>
      <w:r w:rsidR="0007175F">
        <w:t>B</w:t>
      </w:r>
      <w:r w:rsidR="00C41357">
        <w:t xml:space="preserve">attle which Philip was responsible for winning, and only overplays Alexander’s part </w:t>
      </w:r>
      <w:r w:rsidR="0007175F">
        <w:t>at Chaeronea, showing that Plutarch was unconcerned with Philip’s deeds in this work</w:t>
      </w:r>
      <w:r w:rsidR="00C41357">
        <w:t>.</w:t>
      </w:r>
      <w:r w:rsidR="0007175F">
        <w:rPr>
          <w:rStyle w:val="FootnoteReference"/>
        </w:rPr>
        <w:footnoteReference w:id="50"/>
      </w:r>
      <w:r w:rsidR="00B45EC0">
        <w:t xml:space="preserve"> </w:t>
      </w:r>
    </w:p>
    <w:p w:rsidR="006D0E47" w:rsidRDefault="006D0E47" w:rsidP="00AD5CCD">
      <w:pPr>
        <w:spacing w:line="360" w:lineRule="auto"/>
        <w:jc w:val="both"/>
      </w:pPr>
      <w:r>
        <w:t>Plutarch mentions Philip’s many successes through his impression of Alexander’s perspective</w:t>
      </w:r>
      <w:r w:rsidR="00777C4B">
        <w:t>.</w:t>
      </w:r>
      <w:r w:rsidR="00777C4B">
        <w:rPr>
          <w:rStyle w:val="FootnoteReference"/>
        </w:rPr>
        <w:footnoteReference w:id="51"/>
      </w:r>
      <w:r w:rsidR="00777C4B">
        <w:t xml:space="preserve"> Alexander remarks on the great amount of conquest, while also expressing distain for this, saying there would be none left for him.</w:t>
      </w:r>
      <w:r w:rsidR="00777C4B">
        <w:rPr>
          <w:rStyle w:val="FootnoteReference"/>
        </w:rPr>
        <w:footnoteReference w:id="52"/>
      </w:r>
      <w:r w:rsidR="00777C4B">
        <w:t xml:space="preserve"> This sentiment does attest to Philip’s enormous success, but also highlights this reoccurring animosity between the young Alexander and his father in this work.</w:t>
      </w:r>
      <w:r w:rsidR="00777C4B">
        <w:rPr>
          <w:rStyle w:val="FootnoteReference"/>
        </w:rPr>
        <w:footnoteReference w:id="53"/>
      </w:r>
      <w:r w:rsidR="00777C4B">
        <w:t xml:space="preserve"> Plutarch also mentions that Alexander had better reasons than Philip, implying Philip coveted wealth and pleasure.</w:t>
      </w:r>
      <w:r w:rsidR="00777C4B">
        <w:rPr>
          <w:rStyle w:val="FootnoteReference"/>
        </w:rPr>
        <w:footnoteReference w:id="54"/>
      </w:r>
      <w:r w:rsidR="00777C4B">
        <w:t xml:space="preserve"> Plutarch even tries to undermine Philip’s diplomatic abilities, declaring his son to surpass him even in this, impressing the Persian envoys.</w:t>
      </w:r>
      <w:r w:rsidR="00777C4B">
        <w:rPr>
          <w:rStyle w:val="FootnoteReference"/>
        </w:rPr>
        <w:footnoteReference w:id="55"/>
      </w:r>
      <w:r w:rsidR="00777C4B">
        <w:t xml:space="preserve"> This is in stark contrast to Diodorus, who believes Philip exhibited diplomatic prowess, and himself of most proud of his diplomatic abilities.</w:t>
      </w:r>
      <w:r w:rsidR="00777C4B">
        <w:rPr>
          <w:rStyle w:val="FootnoteReference"/>
        </w:rPr>
        <w:footnoteReference w:id="56"/>
      </w:r>
      <w:r w:rsidR="004047A3">
        <w:t xml:space="preserve"> Borza correctly identifies that while Philip showed a talent for diplomacy early in his life, he would continue to develop and rely upon his diplomatic abilities frequently throughout his life.</w:t>
      </w:r>
      <w:r w:rsidR="004047A3">
        <w:rPr>
          <w:rStyle w:val="FootnoteReference"/>
        </w:rPr>
        <w:footnoteReference w:id="57"/>
      </w:r>
    </w:p>
    <w:p w:rsidR="00B45EC0" w:rsidRDefault="007B7335" w:rsidP="00AD5CCD">
      <w:pPr>
        <w:spacing w:line="360" w:lineRule="auto"/>
        <w:jc w:val="both"/>
      </w:pPr>
      <w:r>
        <w:t>D</w:t>
      </w:r>
      <w:r w:rsidR="00B45EC0">
        <w:t xml:space="preserve">espite Philip and Alexander possessing animosity in Plutarch, Alexander does seem to express pleasure in knowing Philip’s murder was avenged, although this may be so that Alexander is not shown </w:t>
      </w:r>
      <w:r w:rsidR="00B45EC0">
        <w:lastRenderedPageBreak/>
        <w:t>as being the arbiter of Philip’s assassination.</w:t>
      </w:r>
      <w:r w:rsidR="00B45EC0">
        <w:rPr>
          <w:rStyle w:val="FootnoteReference"/>
        </w:rPr>
        <w:footnoteReference w:id="58"/>
      </w:r>
      <w:r w:rsidR="00B45EC0">
        <w:t xml:space="preserve"> </w:t>
      </w:r>
      <w:r>
        <w:t>It is also clear in Plutarch that some of the Macedonian soldiers also remember Philip fondly.</w:t>
      </w:r>
      <w:r>
        <w:rPr>
          <w:rStyle w:val="FootnoteReference"/>
        </w:rPr>
        <w:footnoteReference w:id="59"/>
      </w:r>
      <w:r>
        <w:t xml:space="preserve"> </w:t>
      </w:r>
      <w:proofErr w:type="spellStart"/>
      <w:r>
        <w:t>Cleitus</w:t>
      </w:r>
      <w:proofErr w:type="spellEnd"/>
      <w:r>
        <w:t xml:space="preserve"> whilst drunk attempts to chastise Alexander for disowning his father Philip in favour of Ammon, for which he expresses distaste.</w:t>
      </w:r>
      <w:r>
        <w:rPr>
          <w:rStyle w:val="FootnoteReference"/>
        </w:rPr>
        <w:footnoteReference w:id="60"/>
      </w:r>
      <w:r w:rsidR="00971BF1">
        <w:t xml:space="preserve"> According to Worthington, Alexander inherited the foundations for his conquests , citing Diodorus’ sentiment that Alexander’s inherited army was capable of overthrowing Persia, although Worthington questions that they would not need allies to do this.</w:t>
      </w:r>
      <w:r w:rsidR="00971BF1">
        <w:rPr>
          <w:rStyle w:val="FootnoteReference"/>
        </w:rPr>
        <w:footnoteReference w:id="61"/>
      </w:r>
      <w:r w:rsidR="00971BF1">
        <w:t xml:space="preserve"> This is also unlikely due to certain considerable obstacles that Alexander had to first overcome in order to conquer Persia, like the revolt of Thebes.</w:t>
      </w:r>
      <w:r w:rsidR="00971BF1">
        <w:rPr>
          <w:rStyle w:val="FootnoteReference"/>
        </w:rPr>
        <w:footnoteReference w:id="62"/>
      </w:r>
    </w:p>
    <w:p w:rsidR="0007175F" w:rsidRDefault="0007175F" w:rsidP="00AD5CCD">
      <w:pPr>
        <w:spacing w:line="360" w:lineRule="auto"/>
        <w:jc w:val="both"/>
      </w:pPr>
      <w:r>
        <w:t>Plutarch refers to Philip as defeating Greece, but not having sufficient time to become the master of it, which was a task that Alexander completed.</w:t>
      </w:r>
      <w:r>
        <w:rPr>
          <w:rStyle w:val="FootnoteReference"/>
        </w:rPr>
        <w:footnoteReference w:id="63"/>
      </w:r>
      <w:r>
        <w:t xml:space="preserve"> However, Diodorus describes that Philip united the Greek states and goes into reasonable detail about how he concluded it before returning to his homeland.</w:t>
      </w:r>
      <w:r>
        <w:rPr>
          <w:rStyle w:val="FootnoteReference"/>
        </w:rPr>
        <w:footnoteReference w:id="64"/>
      </w:r>
      <w:r>
        <w:t xml:space="preserve"> </w:t>
      </w:r>
      <w:r w:rsidR="008346E3">
        <w:t>Worthington favours Diodorus, reasoning Philip had indeed pacified Greece through militaristic and diplomatic means, strong evidence for this is that Philip leaves Greece and sets his sights upon Persia.</w:t>
      </w:r>
      <w:r w:rsidR="008346E3">
        <w:rPr>
          <w:rStyle w:val="FootnoteReference"/>
        </w:rPr>
        <w:footnoteReference w:id="65"/>
      </w:r>
      <w:r w:rsidR="008346E3">
        <w:t xml:space="preserve"> Diodorus also frames this submission by immediately contrasting it with the Greeks of Sicily becoming free due to a battle at the same time, which could mean to create this heavy contrast Diodorus may have exaggerated Philip’s complete dominance.</w:t>
      </w:r>
      <w:r w:rsidR="008346E3">
        <w:rPr>
          <w:rStyle w:val="FootnoteReference"/>
        </w:rPr>
        <w:footnoteReference w:id="66"/>
      </w:r>
      <w:r w:rsidR="008346E3">
        <w:t xml:space="preserve"> It is also likely, that if Philip after Chaeronea had chosen to conquer Greece using force rather than his diplomacy, he may have needed to perform sieges of poleis that could have been hard-fought and time-consuming, although while Hammond points these issues out, he also rejects the likelihood that this would prove difficult or even necessary for Philip.</w:t>
      </w:r>
      <w:r w:rsidR="008346E3">
        <w:rPr>
          <w:rStyle w:val="FootnoteReference"/>
        </w:rPr>
        <w:footnoteReference w:id="67"/>
      </w:r>
      <w:r w:rsidR="00B45EC0">
        <w:t xml:space="preserve"> Therefore while Philip did not conquer Greece outright as Plutarch may have seen that Alexander did, it was wholly unnecessary to do so militarily and Philip was named hegemon of Greece anyway.</w:t>
      </w:r>
      <w:r w:rsidR="00B45EC0">
        <w:rPr>
          <w:rStyle w:val="FootnoteReference"/>
        </w:rPr>
        <w:footnoteReference w:id="68"/>
      </w:r>
      <w:r w:rsidR="00B45EC0">
        <w:t xml:space="preserve"> </w:t>
      </w:r>
    </w:p>
    <w:p w:rsidR="001B7F07" w:rsidRDefault="001B7F07" w:rsidP="00AD5CCD">
      <w:pPr>
        <w:spacing w:line="360" w:lineRule="auto"/>
        <w:jc w:val="both"/>
      </w:pPr>
      <w:r>
        <w:t xml:space="preserve">In conclusion, </w:t>
      </w:r>
      <w:r w:rsidR="00266F6C">
        <w:t>the portrayals of Philip in Diodorus and Plutarch are wildly different, with Diodorus overall concluding Philip as a genius military tactician and diplomat, and with Plutarch overall concluding Philip as a temperamental tyrant who was weak in his private affairs.</w:t>
      </w:r>
      <w:r w:rsidR="00266F6C">
        <w:rPr>
          <w:rStyle w:val="FootnoteReference"/>
        </w:rPr>
        <w:footnoteReference w:id="69"/>
      </w:r>
      <w:r w:rsidR="00266F6C">
        <w:t xml:space="preserve"> While these comparisons are drastically different, it must be remembered that they are also for vastly different </w:t>
      </w:r>
      <w:r w:rsidR="00266F6C">
        <w:lastRenderedPageBreak/>
        <w:t>purposes</w:t>
      </w:r>
      <w:r w:rsidR="00D50448">
        <w:t>; Plutarch desired to inform the reader about his moral message</w:t>
      </w:r>
      <w:r w:rsidR="00094BEF">
        <w:t xml:space="preserve"> and Alexander’s greatness</w:t>
      </w:r>
      <w:r w:rsidR="00D50448">
        <w:t xml:space="preserve">, and Diodorus wished to tell the reader the history of </w:t>
      </w:r>
      <w:r w:rsidR="00094BEF">
        <w:t>Philip, whom</w:t>
      </w:r>
      <w:r w:rsidR="00D50448">
        <w:t xml:space="preserve"> he considered to be very great.</w:t>
      </w:r>
      <w:r w:rsidR="00D50448">
        <w:rPr>
          <w:rStyle w:val="FootnoteReference"/>
        </w:rPr>
        <w:footnoteReference w:id="70"/>
      </w:r>
      <w:r w:rsidR="00D50448">
        <w:t xml:space="preserve"> This overall means that these sources that naturally would not be compared must be due to the lack of surviving works on Philip’s life and Macedonian history in general</w:t>
      </w:r>
      <w:r w:rsidR="00094BEF">
        <w:t xml:space="preserve"> in order to gain insight into the differing opinions on Philip’s character</w:t>
      </w:r>
      <w:r w:rsidR="00D50448">
        <w:t>.</w:t>
      </w:r>
      <w:r w:rsidR="00D50448">
        <w:rPr>
          <w:rStyle w:val="FootnoteReference"/>
        </w:rPr>
        <w:footnoteReference w:id="71"/>
      </w:r>
    </w:p>
    <w:p w:rsidR="00B45EC0" w:rsidRDefault="00B45EC0" w:rsidP="00AD5CCD">
      <w:pPr>
        <w:spacing w:line="360" w:lineRule="auto"/>
        <w:jc w:val="both"/>
      </w:pPr>
    </w:p>
    <w:p w:rsidR="00B45EC0" w:rsidRPr="00C41357" w:rsidRDefault="00B45EC0" w:rsidP="00AD5CCD">
      <w:pPr>
        <w:spacing w:line="360" w:lineRule="auto"/>
        <w:jc w:val="both"/>
      </w:pPr>
    </w:p>
    <w:p w:rsidR="000719F4" w:rsidRPr="001E0FB3" w:rsidRDefault="000719F4"/>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545DF6" w:rsidRDefault="00545DF6"/>
    <w:p w:rsidR="00187AB9" w:rsidRDefault="00187AB9" w:rsidP="00E855C0"/>
    <w:p w:rsidR="00E855C0" w:rsidRDefault="00E855C0" w:rsidP="00E855C0">
      <w:pPr>
        <w:rPr>
          <w:u w:val="single"/>
        </w:rPr>
      </w:pPr>
      <w:r>
        <w:rPr>
          <w:u w:val="single"/>
        </w:rPr>
        <w:lastRenderedPageBreak/>
        <w:t>B</w:t>
      </w:r>
      <w:r w:rsidRPr="004340C8">
        <w:rPr>
          <w:u w:val="single"/>
        </w:rPr>
        <w:t>ibliography</w:t>
      </w:r>
    </w:p>
    <w:p w:rsidR="00E855C0" w:rsidRPr="004340C8" w:rsidRDefault="00E855C0" w:rsidP="00E855C0">
      <w:pPr>
        <w:rPr>
          <w:u w:val="single"/>
        </w:rPr>
      </w:pPr>
    </w:p>
    <w:p w:rsidR="00E855C0" w:rsidRDefault="00E855C0" w:rsidP="00E855C0">
      <w:pPr>
        <w:rPr>
          <w:u w:val="single"/>
        </w:rPr>
      </w:pPr>
      <w:r w:rsidRPr="004340C8">
        <w:rPr>
          <w:u w:val="single"/>
        </w:rPr>
        <w:t>Ancient sources:</w:t>
      </w:r>
    </w:p>
    <w:p w:rsidR="00971BF1" w:rsidRPr="00971BF1" w:rsidRDefault="00971BF1" w:rsidP="00E855C0">
      <w:r>
        <w:t xml:space="preserve">Arrian, </w:t>
      </w:r>
      <w:r>
        <w:rPr>
          <w:i/>
        </w:rPr>
        <w:t>Anabasis of Alexander.</w:t>
      </w:r>
      <w:r>
        <w:t xml:space="preserve"> E.J. </w:t>
      </w:r>
      <w:proofErr w:type="spellStart"/>
      <w:r>
        <w:t>Chinnock</w:t>
      </w:r>
      <w:proofErr w:type="spellEnd"/>
      <w:r>
        <w:t xml:space="preserve"> (trans.). 1884. London: Butler and Tanner.</w:t>
      </w:r>
    </w:p>
    <w:p w:rsidR="00E855C0" w:rsidRPr="00747B15" w:rsidRDefault="00E855C0" w:rsidP="00E855C0">
      <w:r w:rsidRPr="00747B15">
        <w:t xml:space="preserve">Diodorus Siculus, </w:t>
      </w:r>
      <w:r w:rsidRPr="00747B15">
        <w:rPr>
          <w:i/>
        </w:rPr>
        <w:t xml:space="preserve">Libraries. </w:t>
      </w:r>
      <w:r w:rsidRPr="00747B15">
        <w:t xml:space="preserve">C.H. </w:t>
      </w:r>
      <w:proofErr w:type="spellStart"/>
      <w:r w:rsidRPr="00747B15">
        <w:t>Oldfather</w:t>
      </w:r>
      <w:proofErr w:type="spellEnd"/>
      <w:r w:rsidRPr="00747B15">
        <w:t xml:space="preserve"> (trans.). </w:t>
      </w:r>
      <w:r w:rsidRPr="00747B15">
        <w:rPr>
          <w:i/>
        </w:rPr>
        <w:t xml:space="preserve"> </w:t>
      </w:r>
      <w:r w:rsidRPr="00747B15">
        <w:t>1989. London: William Heinemann Ltd.</w:t>
      </w:r>
    </w:p>
    <w:p w:rsidR="00E855C0" w:rsidRDefault="00E855C0" w:rsidP="00E855C0">
      <w:r w:rsidRPr="00747B15">
        <w:t xml:space="preserve">Herodotus, </w:t>
      </w:r>
      <w:r w:rsidRPr="00747B15">
        <w:rPr>
          <w:i/>
        </w:rPr>
        <w:t xml:space="preserve">The Histories. </w:t>
      </w:r>
      <w:r w:rsidRPr="00747B15">
        <w:t xml:space="preserve">A.D. Godley (trans.). 1920. London: William Heinemann Ltd. </w:t>
      </w:r>
    </w:p>
    <w:p w:rsidR="00E855C0" w:rsidRDefault="00E855C0" w:rsidP="00E855C0">
      <w:r>
        <w:t xml:space="preserve">Marcus </w:t>
      </w:r>
      <w:proofErr w:type="spellStart"/>
      <w:r>
        <w:t>Junianus</w:t>
      </w:r>
      <w:proofErr w:type="spellEnd"/>
      <w:r>
        <w:t xml:space="preserve"> Justinus, </w:t>
      </w:r>
      <w:r w:rsidRPr="00C95779">
        <w:rPr>
          <w:i/>
        </w:rPr>
        <w:t>Epitome</w:t>
      </w:r>
      <w:r>
        <w:rPr>
          <w:i/>
        </w:rPr>
        <w:t xml:space="preserve"> of the Philippic History of </w:t>
      </w:r>
      <w:proofErr w:type="spellStart"/>
      <w:r>
        <w:rPr>
          <w:i/>
        </w:rPr>
        <w:t>Pompeius</w:t>
      </w:r>
      <w:proofErr w:type="spellEnd"/>
      <w:r>
        <w:rPr>
          <w:i/>
        </w:rPr>
        <w:t xml:space="preserve"> </w:t>
      </w:r>
      <w:proofErr w:type="spellStart"/>
      <w:r>
        <w:rPr>
          <w:i/>
        </w:rPr>
        <w:t>Trogus</w:t>
      </w:r>
      <w:proofErr w:type="spellEnd"/>
      <w:r>
        <w:rPr>
          <w:i/>
        </w:rPr>
        <w:t xml:space="preserve">. </w:t>
      </w:r>
      <w:r>
        <w:t>J.S. Watson (trans.). 1853. London: Henry G Bohn.</w:t>
      </w:r>
    </w:p>
    <w:p w:rsidR="00187AB9" w:rsidRPr="00187AB9" w:rsidRDefault="00187AB9" w:rsidP="00E855C0">
      <w:r>
        <w:t xml:space="preserve">Plutarch, </w:t>
      </w:r>
      <w:r>
        <w:rPr>
          <w:i/>
        </w:rPr>
        <w:t xml:space="preserve">Life of Alexander. </w:t>
      </w:r>
      <w:r>
        <w:t>B. Perrin (trans.). 1919. London: William Heinemann Ltd.</w:t>
      </w:r>
      <w:bookmarkStart w:id="0" w:name="_GoBack"/>
      <w:bookmarkEnd w:id="0"/>
    </w:p>
    <w:p w:rsidR="00E855C0" w:rsidRPr="00F368E2" w:rsidRDefault="00E855C0" w:rsidP="00E855C0">
      <w:pPr>
        <w:ind w:left="720" w:hanging="720"/>
      </w:pPr>
      <w:r>
        <w:t xml:space="preserve">Thucydides, </w:t>
      </w:r>
      <w:r>
        <w:rPr>
          <w:i/>
        </w:rPr>
        <w:t xml:space="preserve">The Peloponnesian War. </w:t>
      </w:r>
      <w:r>
        <w:t>J.M. Dent (trans.). 1910. New York: E.P. Dutton.</w:t>
      </w:r>
    </w:p>
    <w:p w:rsidR="00E855C0" w:rsidRDefault="00E855C0" w:rsidP="00E855C0"/>
    <w:p w:rsidR="00E855C0" w:rsidRPr="004340C8" w:rsidRDefault="00E855C0" w:rsidP="00E855C0">
      <w:pPr>
        <w:rPr>
          <w:u w:val="single"/>
        </w:rPr>
      </w:pPr>
      <w:r w:rsidRPr="004340C8">
        <w:rPr>
          <w:u w:val="single"/>
        </w:rPr>
        <w:t>Modern scholarship</w:t>
      </w:r>
      <w:r>
        <w:rPr>
          <w:u w:val="single"/>
        </w:rPr>
        <w:t>:</w:t>
      </w:r>
    </w:p>
    <w:p w:rsidR="00E855C0" w:rsidRDefault="00E855C0" w:rsidP="00E855C0">
      <w:r w:rsidRPr="00747B15">
        <w:t xml:space="preserve">Borza, E.N. 1990. </w:t>
      </w:r>
      <w:r w:rsidRPr="00747B15">
        <w:rPr>
          <w:i/>
        </w:rPr>
        <w:t xml:space="preserve">In the shadow of Olympus: The emergence of Macedon. </w:t>
      </w:r>
      <w:r w:rsidRPr="00747B15">
        <w:t>Chichester: Princeton University Press.</w:t>
      </w:r>
    </w:p>
    <w:p w:rsidR="00411617" w:rsidRPr="00411617" w:rsidRDefault="00411617" w:rsidP="00E855C0">
      <w:proofErr w:type="spellStart"/>
      <w:r>
        <w:t>Buszard</w:t>
      </w:r>
      <w:proofErr w:type="spellEnd"/>
      <w:r>
        <w:t xml:space="preserve">, B. 2008. ‘Caesar’s Ambition: A Combined Reading of Plutarch’s </w:t>
      </w:r>
      <w:r>
        <w:rPr>
          <w:i/>
        </w:rPr>
        <w:t xml:space="preserve">Alexander-Caesar </w:t>
      </w:r>
      <w:r>
        <w:t xml:space="preserve">and </w:t>
      </w:r>
      <w:r>
        <w:rPr>
          <w:i/>
        </w:rPr>
        <w:t>Pyrrhus-Marius*</w:t>
      </w:r>
      <w:r>
        <w:t xml:space="preserve">’, </w:t>
      </w:r>
      <w:r>
        <w:rPr>
          <w:i/>
        </w:rPr>
        <w:t xml:space="preserve">Transactions of the American Philological Association. </w:t>
      </w:r>
      <w:r>
        <w:t>138. 1, 185-215.</w:t>
      </w:r>
    </w:p>
    <w:p w:rsidR="00E855C0" w:rsidRDefault="00E855C0" w:rsidP="00E855C0">
      <w:proofErr w:type="spellStart"/>
      <w:r w:rsidRPr="00747B15">
        <w:t>Cawkwell</w:t>
      </w:r>
      <w:proofErr w:type="spellEnd"/>
      <w:r w:rsidRPr="00747B15">
        <w:t xml:space="preserve">, G. 1978. </w:t>
      </w:r>
      <w:r w:rsidRPr="00747B15">
        <w:rPr>
          <w:i/>
        </w:rPr>
        <w:t xml:space="preserve">Philip of Macedon. </w:t>
      </w:r>
      <w:r w:rsidRPr="00747B15">
        <w:t xml:space="preserve">London: Faber. </w:t>
      </w:r>
    </w:p>
    <w:p w:rsidR="00E855C0" w:rsidRPr="002F7C0C" w:rsidRDefault="00E855C0" w:rsidP="00E855C0">
      <w:r>
        <w:t>Fox, R.J.L. 2015</w:t>
      </w:r>
      <w:r w:rsidR="00971BF1">
        <w:t>.</w:t>
      </w:r>
      <w:r>
        <w:t xml:space="preserve"> ‘Philip of Macedon: </w:t>
      </w:r>
      <w:proofErr w:type="spellStart"/>
      <w:r>
        <w:t>Accension</w:t>
      </w:r>
      <w:proofErr w:type="spellEnd"/>
      <w:r>
        <w:t xml:space="preserve">, Ambitions, and Self-Presentation’, in R.J.L. Fox (ed.), </w:t>
      </w:r>
      <w:r>
        <w:rPr>
          <w:i/>
        </w:rPr>
        <w:t xml:space="preserve">Brill’s Companion to Ancient Macedon: Studies in Archaeology and History of Macedon, 650BC-300AD. </w:t>
      </w:r>
      <w:r>
        <w:t>Leiden: Brill.</w:t>
      </w:r>
    </w:p>
    <w:p w:rsidR="00E855C0" w:rsidRDefault="00E855C0" w:rsidP="00E855C0">
      <w:r>
        <w:t xml:space="preserve">Gabriel, R.A. 2010. </w:t>
      </w:r>
      <w:r>
        <w:rPr>
          <w:i/>
        </w:rPr>
        <w:t xml:space="preserve">Philip of Macedon: Greater than Alexander. </w:t>
      </w:r>
      <w:r>
        <w:t xml:space="preserve">Lincoln: Potomac Books. </w:t>
      </w:r>
    </w:p>
    <w:p w:rsidR="00E855C0" w:rsidRPr="00182D43" w:rsidRDefault="00E855C0" w:rsidP="00E855C0">
      <w:r>
        <w:t xml:space="preserve">Hammond, N.G.L. </w:t>
      </w:r>
      <w:r w:rsidR="000719F4">
        <w:t>2002</w:t>
      </w:r>
      <w:r>
        <w:t xml:space="preserve">. </w:t>
      </w:r>
      <w:r w:rsidRPr="00182D43">
        <w:rPr>
          <w:i/>
        </w:rPr>
        <w:t xml:space="preserve">Philip </w:t>
      </w:r>
      <w:r>
        <w:rPr>
          <w:i/>
        </w:rPr>
        <w:t>o</w:t>
      </w:r>
      <w:r w:rsidRPr="00182D43">
        <w:rPr>
          <w:i/>
        </w:rPr>
        <w:t>f Macedon</w:t>
      </w:r>
      <w:r>
        <w:t xml:space="preserve">. Baltimore: John Hopkins University Press. </w:t>
      </w:r>
    </w:p>
    <w:p w:rsidR="00E855C0" w:rsidRDefault="00E855C0" w:rsidP="00E855C0">
      <w:r w:rsidRPr="00747B15">
        <w:t>King, C. J. 2018</w:t>
      </w:r>
      <w:r w:rsidRPr="00747B15">
        <w:rPr>
          <w:i/>
        </w:rPr>
        <w:t>. Ancient Macedonia</w:t>
      </w:r>
      <w:r w:rsidRPr="00747B15">
        <w:t>. London: Routledge.</w:t>
      </w:r>
    </w:p>
    <w:p w:rsidR="00E855C0" w:rsidRDefault="00E855C0" w:rsidP="00E855C0">
      <w:r>
        <w:t>Madsen, J.M. 2011</w:t>
      </w:r>
      <w:r w:rsidR="00971BF1">
        <w:t>.</w:t>
      </w:r>
      <w:r>
        <w:t xml:space="preserve"> ‘</w:t>
      </w:r>
      <w:r w:rsidRPr="007A06CA">
        <w:t>Philip II of Macedonia: Greater than Alexander</w:t>
      </w:r>
      <w:r>
        <w:t>.</w:t>
      </w:r>
      <w:r w:rsidRPr="007A06CA">
        <w:t>’</w:t>
      </w:r>
      <w:r>
        <w:rPr>
          <w:i/>
        </w:rPr>
        <w:t xml:space="preserve">. </w:t>
      </w:r>
      <w:r>
        <w:t>Review of ‘</w:t>
      </w:r>
      <w:r w:rsidRPr="007A06CA">
        <w:rPr>
          <w:i/>
        </w:rPr>
        <w:t>Philip II of Macedonia: Greater than Alexander,</w:t>
      </w:r>
      <w:r>
        <w:t xml:space="preserve"> by Richard A. Gabriel. </w:t>
      </w:r>
      <w:r>
        <w:rPr>
          <w:i/>
        </w:rPr>
        <w:t xml:space="preserve">Bryn </w:t>
      </w:r>
      <w:proofErr w:type="spellStart"/>
      <w:r>
        <w:rPr>
          <w:i/>
        </w:rPr>
        <w:t>Mawr</w:t>
      </w:r>
      <w:proofErr w:type="spellEnd"/>
      <w:r>
        <w:rPr>
          <w:i/>
        </w:rPr>
        <w:t xml:space="preserve"> Classical Review</w:t>
      </w:r>
      <w:r w:rsidRPr="007A06CA">
        <w:t xml:space="preserve">, </w:t>
      </w:r>
      <w:r>
        <w:t>5, pp. 41-42.</w:t>
      </w:r>
    </w:p>
    <w:p w:rsidR="008E1810" w:rsidRDefault="008E1810" w:rsidP="00E855C0">
      <w:r>
        <w:t xml:space="preserve">Mari. M. 2015. ‘Archaic and Early Classical Macedonia’, in R.J.L. Fox (ed.), </w:t>
      </w:r>
      <w:r>
        <w:rPr>
          <w:i/>
        </w:rPr>
        <w:t>Brill’s companion to Ancient Macedon</w:t>
      </w:r>
      <w:r w:rsidR="00685CFE">
        <w:rPr>
          <w:i/>
        </w:rPr>
        <w:t xml:space="preserve">: Studies in the Archaeology and History of Macedon, 650BC-300AD. </w:t>
      </w:r>
      <w:r w:rsidR="00685CFE">
        <w:t>Leiden: Brill. 79-92.</w:t>
      </w:r>
    </w:p>
    <w:p w:rsidR="00266F6C" w:rsidRPr="00266F6C" w:rsidRDefault="00266F6C" w:rsidP="00E855C0">
      <w:r>
        <w:t xml:space="preserve">Martin, T.R. 1981. ‘Diodorus on Philip II and Thessaly in the 350s B.C.’, </w:t>
      </w:r>
      <w:r>
        <w:rPr>
          <w:i/>
        </w:rPr>
        <w:t xml:space="preserve">Classical Philology. </w:t>
      </w:r>
      <w:r>
        <w:t>76. 188-202.</w:t>
      </w:r>
    </w:p>
    <w:p w:rsidR="000604E1" w:rsidRPr="000604E1" w:rsidRDefault="000604E1" w:rsidP="00E855C0">
      <w:r>
        <w:t xml:space="preserve">Schettino, M.T. 2014. ‘The use of Historical Sources’, in M. Beck (ed.), </w:t>
      </w:r>
      <w:r>
        <w:rPr>
          <w:i/>
        </w:rPr>
        <w:t>A Companion to Plutarch.</w:t>
      </w:r>
      <w:r>
        <w:t xml:space="preserve"> Oxford: Wiley-Blackwell.</w:t>
      </w:r>
    </w:p>
    <w:p w:rsidR="00E855C0" w:rsidRPr="00747B15" w:rsidRDefault="00E855C0" w:rsidP="00E855C0">
      <w:r>
        <w:t xml:space="preserve">Worthington, I. 2008. </w:t>
      </w:r>
      <w:r>
        <w:rPr>
          <w:i/>
        </w:rPr>
        <w:t xml:space="preserve">Philip II of Macedonia. </w:t>
      </w:r>
      <w:r>
        <w:t xml:space="preserve">London: Yale University Press. </w:t>
      </w:r>
    </w:p>
    <w:p w:rsidR="00E855C0" w:rsidRDefault="00E855C0"/>
    <w:sectPr w:rsidR="00E855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76B7" w:rsidRDefault="00DE76B7" w:rsidP="00545DF6">
      <w:pPr>
        <w:spacing w:after="0" w:line="240" w:lineRule="auto"/>
      </w:pPr>
      <w:r>
        <w:separator/>
      </w:r>
    </w:p>
  </w:endnote>
  <w:endnote w:type="continuationSeparator" w:id="0">
    <w:p w:rsidR="00DE76B7" w:rsidRDefault="00DE76B7" w:rsidP="00545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76B7" w:rsidRDefault="00DE76B7" w:rsidP="00545DF6">
      <w:pPr>
        <w:spacing w:after="0" w:line="240" w:lineRule="auto"/>
      </w:pPr>
      <w:r>
        <w:separator/>
      </w:r>
    </w:p>
  </w:footnote>
  <w:footnote w:type="continuationSeparator" w:id="0">
    <w:p w:rsidR="00DE76B7" w:rsidRDefault="00DE76B7" w:rsidP="00545DF6">
      <w:pPr>
        <w:spacing w:after="0" w:line="240" w:lineRule="auto"/>
      </w:pPr>
      <w:r>
        <w:continuationSeparator/>
      </w:r>
    </w:p>
  </w:footnote>
  <w:footnote w:id="1">
    <w:p w:rsidR="00B36224" w:rsidRPr="00545DF6" w:rsidRDefault="00B36224">
      <w:pPr>
        <w:pStyle w:val="FootnoteText"/>
      </w:pPr>
      <w:r>
        <w:rPr>
          <w:rStyle w:val="FootnoteReference"/>
        </w:rPr>
        <w:footnoteRef/>
      </w:r>
      <w:r>
        <w:t xml:space="preserve"> </w:t>
      </w:r>
      <w:proofErr w:type="spellStart"/>
      <w:r>
        <w:t>Diod</w:t>
      </w:r>
      <w:proofErr w:type="spellEnd"/>
      <w:r>
        <w:t xml:space="preserve">. 16.1; </w:t>
      </w:r>
      <w:proofErr w:type="spellStart"/>
      <w:r>
        <w:t>Plut</w:t>
      </w:r>
      <w:proofErr w:type="spellEnd"/>
      <w:r>
        <w:t xml:space="preserve">. </w:t>
      </w:r>
      <w:r>
        <w:rPr>
          <w:i/>
        </w:rPr>
        <w:t xml:space="preserve">Alex. </w:t>
      </w:r>
      <w:r>
        <w:t>2</w:t>
      </w:r>
    </w:p>
  </w:footnote>
  <w:footnote w:id="2">
    <w:p w:rsidR="00B36224" w:rsidRDefault="00B36224">
      <w:pPr>
        <w:pStyle w:val="FootnoteText"/>
      </w:pPr>
      <w:r>
        <w:rPr>
          <w:rStyle w:val="FootnoteReference"/>
        </w:rPr>
        <w:footnoteRef/>
      </w:r>
      <w:r>
        <w:t xml:space="preserve"> Borza 1990: 198-199; Gabriel 2010: 2; Worthington 2008: 1-3</w:t>
      </w:r>
    </w:p>
  </w:footnote>
  <w:footnote w:id="3">
    <w:p w:rsidR="00B36224" w:rsidRDefault="00B36224">
      <w:pPr>
        <w:pStyle w:val="FootnoteText"/>
      </w:pPr>
      <w:r>
        <w:rPr>
          <w:rStyle w:val="FootnoteReference"/>
        </w:rPr>
        <w:footnoteRef/>
      </w:r>
      <w:r>
        <w:t xml:space="preserve"> Worthington 2008: 1; Gabriel 2010: 1</w:t>
      </w:r>
    </w:p>
  </w:footnote>
  <w:footnote w:id="4">
    <w:p w:rsidR="00B36224" w:rsidRDefault="00B36224">
      <w:pPr>
        <w:pStyle w:val="FootnoteText"/>
      </w:pPr>
      <w:r>
        <w:rPr>
          <w:rStyle w:val="FootnoteReference"/>
        </w:rPr>
        <w:footnoteRef/>
      </w:r>
      <w:r>
        <w:t xml:space="preserve"> Worthington 2008: 2</w:t>
      </w:r>
    </w:p>
  </w:footnote>
  <w:footnote w:id="5">
    <w:p w:rsidR="00B36224" w:rsidRDefault="00B36224">
      <w:pPr>
        <w:pStyle w:val="FootnoteText"/>
      </w:pPr>
      <w:r>
        <w:rPr>
          <w:rStyle w:val="FootnoteReference"/>
        </w:rPr>
        <w:footnoteRef/>
      </w:r>
      <w:r>
        <w:t xml:space="preserve"> Hammond 2002: 11-13</w:t>
      </w:r>
    </w:p>
  </w:footnote>
  <w:footnote w:id="6">
    <w:p w:rsidR="00AD5CCD" w:rsidRPr="00AD5CCD" w:rsidRDefault="00AD5CCD">
      <w:pPr>
        <w:pStyle w:val="FootnoteText"/>
      </w:pPr>
      <w:r>
        <w:rPr>
          <w:rStyle w:val="FootnoteReference"/>
        </w:rPr>
        <w:footnoteRef/>
      </w:r>
      <w:r>
        <w:t xml:space="preserve"> </w:t>
      </w:r>
      <w:proofErr w:type="spellStart"/>
      <w:r>
        <w:t>Diod</w:t>
      </w:r>
      <w:proofErr w:type="spellEnd"/>
      <w:r>
        <w:t xml:space="preserve">. 16.1-3; </w:t>
      </w:r>
      <w:proofErr w:type="spellStart"/>
      <w:r>
        <w:t>Plut</w:t>
      </w:r>
      <w:proofErr w:type="spellEnd"/>
      <w:r>
        <w:t xml:space="preserve">. </w:t>
      </w:r>
      <w:r>
        <w:rPr>
          <w:i/>
        </w:rPr>
        <w:t xml:space="preserve">Alex. </w:t>
      </w:r>
      <w:r>
        <w:t>2</w:t>
      </w:r>
    </w:p>
  </w:footnote>
  <w:footnote w:id="7">
    <w:p w:rsidR="00CE7AD9" w:rsidRDefault="00CE7AD9">
      <w:pPr>
        <w:pStyle w:val="FootnoteText"/>
      </w:pPr>
      <w:r>
        <w:rPr>
          <w:rStyle w:val="FootnoteReference"/>
        </w:rPr>
        <w:footnoteRef/>
      </w:r>
      <w:r>
        <w:t xml:space="preserve"> </w:t>
      </w:r>
      <w:proofErr w:type="spellStart"/>
      <w:r>
        <w:t>Buszard</w:t>
      </w:r>
      <w:proofErr w:type="spellEnd"/>
      <w:r>
        <w:t xml:space="preserve"> 2008: 185-187</w:t>
      </w:r>
    </w:p>
  </w:footnote>
  <w:footnote w:id="8">
    <w:p w:rsidR="00B36224" w:rsidRDefault="00B36224">
      <w:pPr>
        <w:pStyle w:val="FootnoteText"/>
      </w:pPr>
      <w:r>
        <w:rPr>
          <w:rStyle w:val="FootnoteReference"/>
        </w:rPr>
        <w:footnoteRef/>
      </w:r>
      <w:r>
        <w:t xml:space="preserve"> </w:t>
      </w:r>
      <w:proofErr w:type="spellStart"/>
      <w:r>
        <w:t>Buszard</w:t>
      </w:r>
      <w:proofErr w:type="spellEnd"/>
      <w:r>
        <w:t xml:space="preserve"> 2008: 185-187</w:t>
      </w:r>
    </w:p>
  </w:footnote>
  <w:footnote w:id="9">
    <w:p w:rsidR="00B36224" w:rsidRPr="006D7405"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1</w:t>
      </w:r>
    </w:p>
  </w:footnote>
  <w:footnote w:id="10">
    <w:p w:rsidR="00D50448" w:rsidRDefault="00D50448">
      <w:pPr>
        <w:pStyle w:val="FootnoteText"/>
      </w:pPr>
      <w:r>
        <w:rPr>
          <w:rStyle w:val="FootnoteReference"/>
        </w:rPr>
        <w:footnoteRef/>
      </w:r>
      <w:r>
        <w:t xml:space="preserve"> </w:t>
      </w:r>
      <w:proofErr w:type="spellStart"/>
      <w:r>
        <w:t>Plut</w:t>
      </w:r>
      <w:proofErr w:type="spellEnd"/>
      <w:r>
        <w:t xml:space="preserve">. </w:t>
      </w:r>
      <w:r>
        <w:rPr>
          <w:i/>
        </w:rPr>
        <w:t xml:space="preserve">Alex. </w:t>
      </w:r>
      <w:r>
        <w:t>1</w:t>
      </w:r>
    </w:p>
  </w:footnote>
  <w:footnote w:id="11">
    <w:p w:rsidR="001B7F07" w:rsidRDefault="001B7F07">
      <w:pPr>
        <w:pStyle w:val="FootnoteText"/>
      </w:pPr>
      <w:r>
        <w:rPr>
          <w:rStyle w:val="FootnoteReference"/>
        </w:rPr>
        <w:footnoteRef/>
      </w:r>
      <w:r>
        <w:t xml:space="preserve"> Schettino</w:t>
      </w:r>
      <w:r w:rsidR="000604E1">
        <w:t xml:space="preserve"> 2014:</w:t>
      </w:r>
      <w:r>
        <w:t xml:space="preserve"> </w:t>
      </w:r>
      <w:r w:rsidR="000604E1">
        <w:t>420</w:t>
      </w:r>
    </w:p>
  </w:footnote>
  <w:footnote w:id="12">
    <w:p w:rsidR="00B36224" w:rsidRDefault="00B36224">
      <w:pPr>
        <w:pStyle w:val="FootnoteText"/>
      </w:pPr>
      <w:r>
        <w:rPr>
          <w:rStyle w:val="FootnoteReference"/>
        </w:rPr>
        <w:footnoteRef/>
      </w:r>
      <w:r>
        <w:t xml:space="preserve"> </w:t>
      </w:r>
      <w:proofErr w:type="spellStart"/>
      <w:r>
        <w:t>Diod</w:t>
      </w:r>
      <w:proofErr w:type="spellEnd"/>
      <w:r>
        <w:t>. 16.1</w:t>
      </w:r>
    </w:p>
  </w:footnote>
  <w:footnote w:id="13">
    <w:p w:rsidR="00B36224" w:rsidRDefault="00B36224">
      <w:pPr>
        <w:pStyle w:val="FootnoteText"/>
      </w:pPr>
      <w:r>
        <w:rPr>
          <w:rStyle w:val="FootnoteReference"/>
        </w:rPr>
        <w:footnoteRef/>
      </w:r>
      <w:r>
        <w:t xml:space="preserve"> </w:t>
      </w:r>
      <w:proofErr w:type="spellStart"/>
      <w:r>
        <w:t>Diod</w:t>
      </w:r>
      <w:proofErr w:type="spellEnd"/>
      <w:r>
        <w:t>. 16.1, 16.95.1</w:t>
      </w:r>
    </w:p>
  </w:footnote>
  <w:footnote w:id="14">
    <w:p w:rsidR="00B36224" w:rsidRDefault="00B36224">
      <w:pPr>
        <w:pStyle w:val="FootnoteText"/>
      </w:pPr>
      <w:r>
        <w:rPr>
          <w:rStyle w:val="FootnoteReference"/>
        </w:rPr>
        <w:footnoteRef/>
      </w:r>
      <w:r>
        <w:t xml:space="preserve"> </w:t>
      </w:r>
      <w:proofErr w:type="spellStart"/>
      <w:r>
        <w:t>Diod</w:t>
      </w:r>
      <w:proofErr w:type="spellEnd"/>
      <w:r>
        <w:t>. 16.1</w:t>
      </w:r>
    </w:p>
  </w:footnote>
  <w:footnote w:id="15">
    <w:p w:rsidR="00B36224" w:rsidRPr="006D7405" w:rsidRDefault="00B36224">
      <w:pPr>
        <w:pStyle w:val="FootnoteText"/>
      </w:pPr>
      <w:r>
        <w:rPr>
          <w:rStyle w:val="FootnoteReference"/>
        </w:rPr>
        <w:footnoteRef/>
      </w:r>
      <w:r>
        <w:t xml:space="preserve"> </w:t>
      </w:r>
      <w:proofErr w:type="spellStart"/>
      <w:r>
        <w:t>Diod</w:t>
      </w:r>
      <w:proofErr w:type="spellEnd"/>
      <w:r>
        <w:t xml:space="preserve">. 16.1; </w:t>
      </w:r>
      <w:proofErr w:type="spellStart"/>
      <w:r>
        <w:t>Plut</w:t>
      </w:r>
      <w:proofErr w:type="spellEnd"/>
      <w:r>
        <w:t xml:space="preserve">. </w:t>
      </w:r>
      <w:r>
        <w:rPr>
          <w:i/>
        </w:rPr>
        <w:t>Alex.</w:t>
      </w:r>
      <w:r>
        <w:t xml:space="preserve"> 1</w:t>
      </w:r>
    </w:p>
  </w:footnote>
  <w:footnote w:id="16">
    <w:p w:rsidR="00B36224" w:rsidRPr="00C116A8"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2-12</w:t>
      </w:r>
    </w:p>
  </w:footnote>
  <w:footnote w:id="17">
    <w:p w:rsidR="00B36224" w:rsidRPr="00C116A8"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11</w:t>
      </w:r>
    </w:p>
  </w:footnote>
  <w:footnote w:id="18">
    <w:p w:rsidR="00B36224" w:rsidRDefault="00B36224">
      <w:pPr>
        <w:pStyle w:val="FootnoteText"/>
      </w:pPr>
      <w:r>
        <w:rPr>
          <w:rStyle w:val="FootnoteReference"/>
        </w:rPr>
        <w:footnoteRef/>
      </w:r>
      <w:r>
        <w:t xml:space="preserve"> Gabriel 2010: 2-3; Worthington 2008: 1-3</w:t>
      </w:r>
    </w:p>
  </w:footnote>
  <w:footnote w:id="19">
    <w:p w:rsidR="00CE7AD9" w:rsidRPr="00CE7AD9" w:rsidRDefault="00CE7AD9">
      <w:pPr>
        <w:pStyle w:val="FootnoteText"/>
      </w:pPr>
      <w:r>
        <w:rPr>
          <w:rStyle w:val="FootnoteReference"/>
        </w:rPr>
        <w:footnoteRef/>
      </w:r>
      <w:r>
        <w:t xml:space="preserve"> </w:t>
      </w:r>
      <w:proofErr w:type="spellStart"/>
      <w:r>
        <w:t>Diod</w:t>
      </w:r>
      <w:proofErr w:type="spellEnd"/>
      <w:r>
        <w:t xml:space="preserve">. 16.1; </w:t>
      </w:r>
      <w:proofErr w:type="spellStart"/>
      <w:r>
        <w:t>Plut</w:t>
      </w:r>
      <w:proofErr w:type="spellEnd"/>
      <w:r>
        <w:t xml:space="preserve"> </w:t>
      </w:r>
      <w:r>
        <w:rPr>
          <w:i/>
        </w:rPr>
        <w:t xml:space="preserve">Alex. </w:t>
      </w:r>
      <w:r>
        <w:t>1</w:t>
      </w:r>
    </w:p>
  </w:footnote>
  <w:footnote w:id="20">
    <w:p w:rsidR="00B36224" w:rsidRPr="00D03657" w:rsidRDefault="00B36224">
      <w:pPr>
        <w:pStyle w:val="FootnoteText"/>
      </w:pPr>
      <w:r>
        <w:rPr>
          <w:rStyle w:val="FootnoteReference"/>
        </w:rPr>
        <w:footnoteRef/>
      </w:r>
      <w:r>
        <w:t xml:space="preserve"> </w:t>
      </w:r>
      <w:proofErr w:type="spellStart"/>
      <w:r>
        <w:t>Diod</w:t>
      </w:r>
      <w:proofErr w:type="spellEnd"/>
      <w:r>
        <w:t xml:space="preserve">. 16.1; </w:t>
      </w:r>
      <w:proofErr w:type="spellStart"/>
      <w:r>
        <w:t>Plut</w:t>
      </w:r>
      <w:proofErr w:type="spellEnd"/>
      <w:r>
        <w:t xml:space="preserve">. </w:t>
      </w:r>
      <w:r>
        <w:rPr>
          <w:i/>
        </w:rPr>
        <w:t xml:space="preserve">Alex. </w:t>
      </w:r>
      <w:r>
        <w:t>2</w:t>
      </w:r>
    </w:p>
  </w:footnote>
  <w:footnote w:id="21">
    <w:p w:rsidR="00B36224" w:rsidRDefault="00B36224">
      <w:pPr>
        <w:pStyle w:val="FootnoteText"/>
      </w:pPr>
      <w:r>
        <w:rPr>
          <w:rStyle w:val="FootnoteReference"/>
        </w:rPr>
        <w:footnoteRef/>
      </w:r>
      <w:r>
        <w:t xml:space="preserve"> </w:t>
      </w:r>
      <w:proofErr w:type="spellStart"/>
      <w:r>
        <w:t>Diod</w:t>
      </w:r>
      <w:proofErr w:type="spellEnd"/>
      <w:r>
        <w:t xml:space="preserve">. 16.1; </w:t>
      </w:r>
      <w:proofErr w:type="spellStart"/>
      <w:r>
        <w:t>Cawkwell</w:t>
      </w:r>
      <w:proofErr w:type="spellEnd"/>
      <w:r>
        <w:t xml:space="preserve"> 1978: 29</w:t>
      </w:r>
    </w:p>
  </w:footnote>
  <w:footnote w:id="22">
    <w:p w:rsidR="00B36224" w:rsidRDefault="00B36224">
      <w:pPr>
        <w:pStyle w:val="FootnoteText"/>
      </w:pPr>
      <w:r>
        <w:rPr>
          <w:rStyle w:val="FootnoteReference"/>
        </w:rPr>
        <w:footnoteRef/>
      </w:r>
      <w:r>
        <w:t xml:space="preserve"> </w:t>
      </w:r>
      <w:proofErr w:type="spellStart"/>
      <w:r>
        <w:t>Diod</w:t>
      </w:r>
      <w:proofErr w:type="spellEnd"/>
      <w:r>
        <w:t xml:space="preserve"> 16.1.6</w:t>
      </w:r>
    </w:p>
  </w:footnote>
  <w:footnote w:id="23">
    <w:p w:rsidR="00B36224" w:rsidRDefault="00B36224">
      <w:pPr>
        <w:pStyle w:val="FootnoteText"/>
      </w:pPr>
      <w:r>
        <w:rPr>
          <w:rStyle w:val="FootnoteReference"/>
        </w:rPr>
        <w:footnoteRef/>
      </w:r>
      <w:r>
        <w:t xml:space="preserve"> </w:t>
      </w:r>
      <w:proofErr w:type="spellStart"/>
      <w:r>
        <w:t>Diod</w:t>
      </w:r>
      <w:proofErr w:type="spellEnd"/>
      <w:r>
        <w:t>. 16.2</w:t>
      </w:r>
    </w:p>
  </w:footnote>
  <w:footnote w:id="24">
    <w:p w:rsidR="00B36224" w:rsidRDefault="00B36224">
      <w:pPr>
        <w:pStyle w:val="FootnoteText"/>
      </w:pPr>
      <w:r>
        <w:rPr>
          <w:rStyle w:val="FootnoteReference"/>
        </w:rPr>
        <w:footnoteRef/>
      </w:r>
      <w:r>
        <w:t xml:space="preserve"> </w:t>
      </w:r>
      <w:proofErr w:type="spellStart"/>
      <w:r>
        <w:t>Diod</w:t>
      </w:r>
      <w:proofErr w:type="spellEnd"/>
      <w:r>
        <w:t>. 16.2</w:t>
      </w:r>
    </w:p>
  </w:footnote>
  <w:footnote w:id="25">
    <w:p w:rsidR="00B36224" w:rsidRDefault="00B36224">
      <w:pPr>
        <w:pStyle w:val="FootnoteText"/>
      </w:pPr>
      <w:r>
        <w:rPr>
          <w:rStyle w:val="FootnoteReference"/>
        </w:rPr>
        <w:footnoteRef/>
      </w:r>
      <w:r>
        <w:t xml:space="preserve"> </w:t>
      </w:r>
      <w:proofErr w:type="spellStart"/>
      <w:r>
        <w:t>Diod</w:t>
      </w:r>
      <w:proofErr w:type="spellEnd"/>
      <w:r>
        <w:t xml:space="preserve"> 16.2; Worthington 2008: 23</w:t>
      </w:r>
    </w:p>
  </w:footnote>
  <w:footnote w:id="26">
    <w:p w:rsidR="00B36224" w:rsidRDefault="00B36224">
      <w:pPr>
        <w:pStyle w:val="FootnoteText"/>
      </w:pPr>
      <w:r>
        <w:rPr>
          <w:rStyle w:val="FootnoteReference"/>
        </w:rPr>
        <w:footnoteRef/>
      </w:r>
      <w:r>
        <w:t xml:space="preserve"> </w:t>
      </w:r>
      <w:proofErr w:type="spellStart"/>
      <w:r>
        <w:t>Diod</w:t>
      </w:r>
      <w:proofErr w:type="spellEnd"/>
      <w:r>
        <w:t xml:space="preserve"> 16.2</w:t>
      </w:r>
    </w:p>
  </w:footnote>
  <w:footnote w:id="27">
    <w:p w:rsidR="00B36224" w:rsidRDefault="00B36224">
      <w:pPr>
        <w:pStyle w:val="FootnoteText"/>
      </w:pPr>
      <w:r>
        <w:rPr>
          <w:rStyle w:val="FootnoteReference"/>
        </w:rPr>
        <w:footnoteRef/>
      </w:r>
      <w:r>
        <w:t xml:space="preserve"> </w:t>
      </w:r>
      <w:proofErr w:type="spellStart"/>
      <w:r>
        <w:t>Diod</w:t>
      </w:r>
      <w:proofErr w:type="spellEnd"/>
      <w:r>
        <w:t>. 16.2; Worthington 2008: 22</w:t>
      </w:r>
    </w:p>
  </w:footnote>
  <w:footnote w:id="28">
    <w:p w:rsidR="00B36224" w:rsidRDefault="00B36224">
      <w:pPr>
        <w:pStyle w:val="FootnoteText"/>
      </w:pPr>
      <w:r>
        <w:rPr>
          <w:rStyle w:val="FootnoteReference"/>
        </w:rPr>
        <w:footnoteRef/>
      </w:r>
      <w:r>
        <w:t xml:space="preserve"> </w:t>
      </w:r>
      <w:proofErr w:type="spellStart"/>
      <w:r>
        <w:t>Diod</w:t>
      </w:r>
      <w:proofErr w:type="spellEnd"/>
      <w:r>
        <w:t>. 16.3</w:t>
      </w:r>
    </w:p>
  </w:footnote>
  <w:footnote w:id="29">
    <w:p w:rsidR="00B36224" w:rsidRPr="006A4FB1"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2.1</w:t>
      </w:r>
    </w:p>
  </w:footnote>
  <w:footnote w:id="30">
    <w:p w:rsidR="00B36224" w:rsidRDefault="00B36224">
      <w:pPr>
        <w:pStyle w:val="FootnoteText"/>
      </w:pPr>
      <w:r>
        <w:rPr>
          <w:rStyle w:val="FootnoteReference"/>
        </w:rPr>
        <w:footnoteRef/>
      </w:r>
      <w:r>
        <w:t xml:space="preserve"> </w:t>
      </w:r>
      <w:proofErr w:type="spellStart"/>
      <w:r>
        <w:t>Hdt</w:t>
      </w:r>
      <w:proofErr w:type="spellEnd"/>
      <w:r>
        <w:t xml:space="preserve">. 5.22; </w:t>
      </w:r>
      <w:proofErr w:type="spellStart"/>
      <w:r>
        <w:t>Plut</w:t>
      </w:r>
      <w:proofErr w:type="spellEnd"/>
      <w:r>
        <w:t xml:space="preserve">. </w:t>
      </w:r>
      <w:r>
        <w:rPr>
          <w:i/>
        </w:rPr>
        <w:t xml:space="preserve">Alex. </w:t>
      </w:r>
      <w:r>
        <w:t>2</w:t>
      </w:r>
    </w:p>
  </w:footnote>
  <w:footnote w:id="31">
    <w:p w:rsidR="00B36224"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2.3-4</w:t>
      </w:r>
    </w:p>
  </w:footnote>
  <w:footnote w:id="32">
    <w:p w:rsidR="00B36224" w:rsidRPr="00CD3829"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2.4</w:t>
      </w:r>
    </w:p>
  </w:footnote>
  <w:footnote w:id="33">
    <w:p w:rsidR="00094BEF" w:rsidRDefault="00094BEF">
      <w:pPr>
        <w:pStyle w:val="FootnoteText"/>
      </w:pPr>
      <w:r>
        <w:rPr>
          <w:rStyle w:val="FootnoteReference"/>
        </w:rPr>
        <w:footnoteRef/>
      </w:r>
      <w:r>
        <w:t xml:space="preserve"> </w:t>
      </w:r>
      <w:proofErr w:type="spellStart"/>
      <w:r>
        <w:t>Plut</w:t>
      </w:r>
      <w:proofErr w:type="spellEnd"/>
      <w:r>
        <w:t xml:space="preserve">. </w:t>
      </w:r>
      <w:r>
        <w:rPr>
          <w:i/>
        </w:rPr>
        <w:t>Alex.</w:t>
      </w:r>
      <w:r>
        <w:t xml:space="preserve"> 2.4</w:t>
      </w:r>
    </w:p>
  </w:footnote>
  <w:footnote w:id="34">
    <w:p w:rsidR="00B36224" w:rsidRPr="00CD3829" w:rsidRDefault="00B36224">
      <w:pPr>
        <w:pStyle w:val="FootnoteText"/>
      </w:pPr>
      <w:r>
        <w:rPr>
          <w:rStyle w:val="FootnoteReference"/>
        </w:rPr>
        <w:footnoteRef/>
      </w:r>
      <w:r>
        <w:t xml:space="preserve"> </w:t>
      </w:r>
      <w:proofErr w:type="spellStart"/>
      <w:r>
        <w:t>Plut</w:t>
      </w:r>
      <w:proofErr w:type="spellEnd"/>
      <w:r>
        <w:t xml:space="preserve">. </w:t>
      </w:r>
      <w:r>
        <w:rPr>
          <w:i/>
        </w:rPr>
        <w:t>Alex.</w:t>
      </w:r>
      <w:r>
        <w:t xml:space="preserve"> 2.4</w:t>
      </w:r>
    </w:p>
  </w:footnote>
  <w:footnote w:id="35">
    <w:p w:rsidR="00B36224" w:rsidRPr="00743344" w:rsidRDefault="00B36224">
      <w:pPr>
        <w:pStyle w:val="FootnoteText"/>
      </w:pPr>
      <w:r>
        <w:rPr>
          <w:rStyle w:val="FootnoteReference"/>
        </w:rPr>
        <w:footnoteRef/>
      </w:r>
      <w:r>
        <w:t xml:space="preserve"> </w:t>
      </w:r>
      <w:proofErr w:type="spellStart"/>
      <w:r>
        <w:t>Plut</w:t>
      </w:r>
      <w:proofErr w:type="spellEnd"/>
      <w:r>
        <w:t xml:space="preserve">. </w:t>
      </w:r>
      <w:r>
        <w:rPr>
          <w:i/>
        </w:rPr>
        <w:t xml:space="preserve">Alex. </w:t>
      </w:r>
      <w:r>
        <w:t>2.4</w:t>
      </w:r>
    </w:p>
  </w:footnote>
  <w:footnote w:id="36">
    <w:p w:rsidR="00B36224" w:rsidRPr="00743344" w:rsidRDefault="00B36224">
      <w:pPr>
        <w:pStyle w:val="FootnoteText"/>
      </w:pPr>
      <w:r>
        <w:rPr>
          <w:rStyle w:val="FootnoteReference"/>
        </w:rPr>
        <w:footnoteRef/>
      </w:r>
      <w:r>
        <w:t xml:space="preserve"> </w:t>
      </w:r>
      <w:proofErr w:type="spellStart"/>
      <w:r>
        <w:t>Plut</w:t>
      </w:r>
      <w:proofErr w:type="spellEnd"/>
      <w:r>
        <w:t xml:space="preserve">. </w:t>
      </w:r>
      <w:r>
        <w:rPr>
          <w:i/>
        </w:rPr>
        <w:t>Alex.</w:t>
      </w:r>
      <w:r>
        <w:t xml:space="preserve"> 2.4</w:t>
      </w:r>
    </w:p>
  </w:footnote>
  <w:footnote w:id="37">
    <w:p w:rsidR="00B36224" w:rsidRDefault="00B36224">
      <w:pPr>
        <w:pStyle w:val="FootnoteText"/>
      </w:pPr>
      <w:r>
        <w:rPr>
          <w:rStyle w:val="FootnoteReference"/>
        </w:rPr>
        <w:footnoteRef/>
      </w:r>
      <w:r>
        <w:t xml:space="preserve"> </w:t>
      </w:r>
      <w:proofErr w:type="spellStart"/>
      <w:r>
        <w:t>Plut</w:t>
      </w:r>
      <w:proofErr w:type="spellEnd"/>
      <w:r>
        <w:t xml:space="preserve">. </w:t>
      </w:r>
      <w:r w:rsidRPr="00743344">
        <w:rPr>
          <w:i/>
        </w:rPr>
        <w:t>Alex</w:t>
      </w:r>
      <w:r>
        <w:t>. 2</w:t>
      </w:r>
    </w:p>
  </w:footnote>
  <w:footnote w:id="38">
    <w:p w:rsidR="00B36224" w:rsidRDefault="00B36224">
      <w:pPr>
        <w:pStyle w:val="FootnoteText"/>
      </w:pPr>
      <w:r>
        <w:rPr>
          <w:rStyle w:val="FootnoteReference"/>
        </w:rPr>
        <w:footnoteRef/>
      </w:r>
      <w:r>
        <w:t xml:space="preserve"> </w:t>
      </w:r>
      <w:proofErr w:type="spellStart"/>
      <w:r>
        <w:t>Diod</w:t>
      </w:r>
      <w:proofErr w:type="spellEnd"/>
      <w:r>
        <w:t>. 16.91</w:t>
      </w:r>
    </w:p>
  </w:footnote>
  <w:footnote w:id="39">
    <w:p w:rsidR="00B36224" w:rsidRPr="00B36224" w:rsidRDefault="00B36224">
      <w:pPr>
        <w:pStyle w:val="FootnoteText"/>
      </w:pPr>
      <w:r>
        <w:rPr>
          <w:rStyle w:val="FootnoteReference"/>
        </w:rPr>
        <w:footnoteRef/>
      </w:r>
      <w:r>
        <w:t xml:space="preserve"> </w:t>
      </w:r>
      <w:proofErr w:type="spellStart"/>
      <w:r>
        <w:t>Diod</w:t>
      </w:r>
      <w:proofErr w:type="spellEnd"/>
      <w:r>
        <w:t xml:space="preserve">. 16.95; </w:t>
      </w:r>
      <w:proofErr w:type="spellStart"/>
      <w:r>
        <w:t>Plut</w:t>
      </w:r>
      <w:proofErr w:type="spellEnd"/>
      <w:r>
        <w:t xml:space="preserve"> </w:t>
      </w:r>
      <w:r>
        <w:rPr>
          <w:i/>
        </w:rPr>
        <w:t xml:space="preserve">Alex. </w:t>
      </w:r>
      <w:r>
        <w:t>2</w:t>
      </w:r>
    </w:p>
  </w:footnote>
  <w:footnote w:id="40">
    <w:p w:rsidR="008E1810" w:rsidRDefault="008E1810">
      <w:pPr>
        <w:pStyle w:val="FootnoteText"/>
      </w:pPr>
      <w:r>
        <w:rPr>
          <w:rStyle w:val="FootnoteReference"/>
        </w:rPr>
        <w:footnoteRef/>
      </w:r>
      <w:r>
        <w:t xml:space="preserve"> </w:t>
      </w:r>
      <w:proofErr w:type="spellStart"/>
      <w:r>
        <w:t>Diod</w:t>
      </w:r>
      <w:proofErr w:type="spellEnd"/>
      <w:r>
        <w:t>. 17.2, 17.32, 17.108</w:t>
      </w:r>
    </w:p>
  </w:footnote>
  <w:footnote w:id="41">
    <w:p w:rsidR="00B36224" w:rsidRPr="00B36224" w:rsidRDefault="00B36224">
      <w:pPr>
        <w:pStyle w:val="FootnoteText"/>
      </w:pPr>
      <w:r>
        <w:rPr>
          <w:rStyle w:val="FootnoteReference"/>
        </w:rPr>
        <w:footnoteRef/>
      </w:r>
      <w:r>
        <w:t xml:space="preserve"> </w:t>
      </w:r>
      <w:proofErr w:type="spellStart"/>
      <w:r>
        <w:t>Diod</w:t>
      </w:r>
      <w:proofErr w:type="spellEnd"/>
      <w:r>
        <w:t xml:space="preserve">. 16.1, 16.95; </w:t>
      </w:r>
      <w:proofErr w:type="spellStart"/>
      <w:r>
        <w:t>Plut</w:t>
      </w:r>
      <w:proofErr w:type="spellEnd"/>
      <w:r>
        <w:t xml:space="preserve">. </w:t>
      </w:r>
      <w:r>
        <w:rPr>
          <w:i/>
        </w:rPr>
        <w:t xml:space="preserve">Alex. </w:t>
      </w:r>
      <w:r>
        <w:t>2</w:t>
      </w:r>
    </w:p>
  </w:footnote>
  <w:footnote w:id="42">
    <w:p w:rsidR="008E1810" w:rsidRPr="008E1810" w:rsidRDefault="008E1810">
      <w:pPr>
        <w:pStyle w:val="FootnoteText"/>
      </w:pPr>
      <w:r>
        <w:rPr>
          <w:rStyle w:val="FootnoteReference"/>
        </w:rPr>
        <w:footnoteRef/>
      </w:r>
      <w:r>
        <w:t xml:space="preserve"> </w:t>
      </w:r>
      <w:proofErr w:type="spellStart"/>
      <w:r>
        <w:t>Plut</w:t>
      </w:r>
      <w:proofErr w:type="spellEnd"/>
      <w:r>
        <w:t xml:space="preserve">. </w:t>
      </w:r>
      <w:r>
        <w:rPr>
          <w:i/>
        </w:rPr>
        <w:t xml:space="preserve">Alex. </w:t>
      </w:r>
      <w:r>
        <w:t>9.3</w:t>
      </w:r>
    </w:p>
  </w:footnote>
  <w:footnote w:id="43">
    <w:p w:rsidR="008E1810" w:rsidRPr="008E1810" w:rsidRDefault="008E1810">
      <w:pPr>
        <w:pStyle w:val="FootnoteText"/>
      </w:pPr>
      <w:r>
        <w:rPr>
          <w:rStyle w:val="FootnoteReference"/>
        </w:rPr>
        <w:footnoteRef/>
      </w:r>
      <w:r>
        <w:t xml:space="preserve"> </w:t>
      </w:r>
      <w:proofErr w:type="spellStart"/>
      <w:r>
        <w:t>Plut</w:t>
      </w:r>
      <w:proofErr w:type="spellEnd"/>
      <w:r>
        <w:t xml:space="preserve">. </w:t>
      </w:r>
      <w:r>
        <w:rPr>
          <w:i/>
        </w:rPr>
        <w:t xml:space="preserve">Alex. </w:t>
      </w:r>
      <w:r>
        <w:t>9.3; Mari 2015: 88-89</w:t>
      </w:r>
    </w:p>
  </w:footnote>
  <w:footnote w:id="44">
    <w:p w:rsidR="00685CFE" w:rsidRPr="00685CFE" w:rsidRDefault="00685CFE">
      <w:pPr>
        <w:pStyle w:val="FootnoteText"/>
      </w:pPr>
      <w:r>
        <w:rPr>
          <w:rStyle w:val="FootnoteReference"/>
        </w:rPr>
        <w:footnoteRef/>
      </w:r>
      <w:r>
        <w:t xml:space="preserve"> </w:t>
      </w:r>
      <w:proofErr w:type="spellStart"/>
      <w:r>
        <w:t>Diod</w:t>
      </w:r>
      <w:proofErr w:type="spellEnd"/>
      <w:r>
        <w:t xml:space="preserve">. 16.95; </w:t>
      </w:r>
      <w:proofErr w:type="spellStart"/>
      <w:r>
        <w:t>Plut</w:t>
      </w:r>
      <w:proofErr w:type="spellEnd"/>
      <w:r>
        <w:t xml:space="preserve">. </w:t>
      </w:r>
      <w:r>
        <w:rPr>
          <w:i/>
        </w:rPr>
        <w:t xml:space="preserve">Alex. </w:t>
      </w:r>
      <w:r>
        <w:t>9.3</w:t>
      </w:r>
    </w:p>
  </w:footnote>
  <w:footnote w:id="45">
    <w:p w:rsidR="0066129D" w:rsidRDefault="0066129D">
      <w:pPr>
        <w:pStyle w:val="FootnoteText"/>
      </w:pPr>
      <w:r>
        <w:rPr>
          <w:rStyle w:val="FootnoteReference"/>
        </w:rPr>
        <w:footnoteRef/>
      </w:r>
      <w:r>
        <w:t xml:space="preserve"> </w:t>
      </w:r>
      <w:proofErr w:type="spellStart"/>
      <w:r>
        <w:t>Plut</w:t>
      </w:r>
      <w:proofErr w:type="spellEnd"/>
      <w:r>
        <w:t xml:space="preserve">. </w:t>
      </w:r>
      <w:r w:rsidRPr="0066129D">
        <w:rPr>
          <w:i/>
        </w:rPr>
        <w:t>Alex</w:t>
      </w:r>
      <w:r>
        <w:t>. 9</w:t>
      </w:r>
    </w:p>
  </w:footnote>
  <w:footnote w:id="46">
    <w:p w:rsidR="0066129D" w:rsidRPr="0066129D" w:rsidRDefault="0066129D">
      <w:pPr>
        <w:pStyle w:val="FootnoteText"/>
      </w:pPr>
      <w:r>
        <w:rPr>
          <w:rStyle w:val="FootnoteReference"/>
        </w:rPr>
        <w:footnoteRef/>
      </w:r>
      <w:r>
        <w:t xml:space="preserve"> </w:t>
      </w:r>
      <w:proofErr w:type="spellStart"/>
      <w:r>
        <w:t>Plut</w:t>
      </w:r>
      <w:proofErr w:type="spellEnd"/>
      <w:r>
        <w:t xml:space="preserve">. </w:t>
      </w:r>
      <w:r>
        <w:rPr>
          <w:i/>
        </w:rPr>
        <w:t xml:space="preserve">Alex. </w:t>
      </w:r>
      <w:r>
        <w:t>9</w:t>
      </w:r>
    </w:p>
  </w:footnote>
  <w:footnote w:id="47">
    <w:p w:rsidR="00491957" w:rsidRDefault="00491957">
      <w:pPr>
        <w:pStyle w:val="FootnoteText"/>
      </w:pPr>
      <w:r>
        <w:rPr>
          <w:rStyle w:val="FootnoteReference"/>
        </w:rPr>
        <w:footnoteRef/>
      </w:r>
      <w:r>
        <w:t xml:space="preserve"> </w:t>
      </w:r>
      <w:proofErr w:type="spellStart"/>
      <w:r>
        <w:t>Diod</w:t>
      </w:r>
      <w:proofErr w:type="spellEnd"/>
      <w:r>
        <w:t>. 16.86</w:t>
      </w:r>
    </w:p>
  </w:footnote>
  <w:footnote w:id="48">
    <w:p w:rsidR="0005445A" w:rsidRDefault="0005445A">
      <w:pPr>
        <w:pStyle w:val="FootnoteText"/>
      </w:pPr>
      <w:r>
        <w:rPr>
          <w:rStyle w:val="FootnoteReference"/>
        </w:rPr>
        <w:footnoteRef/>
      </w:r>
      <w:r>
        <w:t xml:space="preserve"> </w:t>
      </w:r>
      <w:proofErr w:type="spellStart"/>
      <w:r>
        <w:t>Diod</w:t>
      </w:r>
      <w:proofErr w:type="spellEnd"/>
      <w:r>
        <w:t>. 16.86.1-4</w:t>
      </w:r>
    </w:p>
  </w:footnote>
  <w:footnote w:id="49">
    <w:p w:rsidR="00C41357" w:rsidRDefault="00C41357">
      <w:pPr>
        <w:pStyle w:val="FootnoteText"/>
      </w:pPr>
      <w:r>
        <w:rPr>
          <w:rStyle w:val="FootnoteReference"/>
        </w:rPr>
        <w:footnoteRef/>
      </w:r>
      <w:r>
        <w:t xml:space="preserve"> </w:t>
      </w:r>
      <w:proofErr w:type="spellStart"/>
      <w:r>
        <w:t>Plut</w:t>
      </w:r>
      <w:proofErr w:type="spellEnd"/>
      <w:r>
        <w:t xml:space="preserve">. </w:t>
      </w:r>
      <w:r w:rsidRPr="00C41357">
        <w:rPr>
          <w:i/>
        </w:rPr>
        <w:t>Alex.</w:t>
      </w:r>
      <w:r>
        <w:t xml:space="preserve"> 9.2</w:t>
      </w:r>
    </w:p>
  </w:footnote>
  <w:footnote w:id="50">
    <w:p w:rsidR="0007175F" w:rsidRPr="0007175F" w:rsidRDefault="0007175F">
      <w:pPr>
        <w:pStyle w:val="FootnoteText"/>
      </w:pPr>
      <w:r>
        <w:rPr>
          <w:rStyle w:val="FootnoteReference"/>
        </w:rPr>
        <w:footnoteRef/>
      </w:r>
      <w:r>
        <w:t xml:space="preserve"> </w:t>
      </w:r>
      <w:proofErr w:type="spellStart"/>
      <w:r>
        <w:t>Plut</w:t>
      </w:r>
      <w:proofErr w:type="spellEnd"/>
      <w:r>
        <w:t xml:space="preserve">. </w:t>
      </w:r>
      <w:r>
        <w:rPr>
          <w:i/>
        </w:rPr>
        <w:t xml:space="preserve">Alex. </w:t>
      </w:r>
      <w:r>
        <w:t>9.2</w:t>
      </w:r>
    </w:p>
  </w:footnote>
  <w:footnote w:id="51">
    <w:p w:rsidR="00777C4B" w:rsidRPr="00777C4B" w:rsidRDefault="00777C4B">
      <w:pPr>
        <w:pStyle w:val="FootnoteText"/>
      </w:pPr>
      <w:r>
        <w:rPr>
          <w:rStyle w:val="FootnoteReference"/>
        </w:rPr>
        <w:footnoteRef/>
      </w:r>
      <w:r>
        <w:t xml:space="preserve"> </w:t>
      </w:r>
      <w:proofErr w:type="spellStart"/>
      <w:r>
        <w:t>Plut</w:t>
      </w:r>
      <w:proofErr w:type="spellEnd"/>
      <w:r>
        <w:t xml:space="preserve">. </w:t>
      </w:r>
      <w:r>
        <w:rPr>
          <w:i/>
        </w:rPr>
        <w:t>Alex.</w:t>
      </w:r>
      <w:r>
        <w:t xml:space="preserve"> 5</w:t>
      </w:r>
    </w:p>
  </w:footnote>
  <w:footnote w:id="52">
    <w:p w:rsidR="00777C4B" w:rsidRPr="00777C4B" w:rsidRDefault="00777C4B">
      <w:pPr>
        <w:pStyle w:val="FootnoteText"/>
      </w:pPr>
      <w:r>
        <w:rPr>
          <w:rStyle w:val="FootnoteReference"/>
        </w:rPr>
        <w:footnoteRef/>
      </w:r>
      <w:r>
        <w:t xml:space="preserve"> </w:t>
      </w:r>
      <w:proofErr w:type="spellStart"/>
      <w:r>
        <w:t>Plut</w:t>
      </w:r>
      <w:proofErr w:type="spellEnd"/>
      <w:r>
        <w:t xml:space="preserve">. </w:t>
      </w:r>
      <w:r>
        <w:rPr>
          <w:i/>
        </w:rPr>
        <w:t>Alex.</w:t>
      </w:r>
      <w:r>
        <w:t xml:space="preserve"> 5</w:t>
      </w:r>
    </w:p>
  </w:footnote>
  <w:footnote w:id="53">
    <w:p w:rsidR="00777C4B" w:rsidRPr="00777C4B" w:rsidRDefault="00777C4B">
      <w:pPr>
        <w:pStyle w:val="FootnoteText"/>
      </w:pPr>
      <w:r>
        <w:rPr>
          <w:rStyle w:val="FootnoteReference"/>
        </w:rPr>
        <w:footnoteRef/>
      </w:r>
      <w:r>
        <w:t xml:space="preserve"> </w:t>
      </w:r>
      <w:proofErr w:type="spellStart"/>
      <w:r>
        <w:t>Plut</w:t>
      </w:r>
      <w:proofErr w:type="spellEnd"/>
      <w:r>
        <w:t xml:space="preserve">. </w:t>
      </w:r>
      <w:r>
        <w:rPr>
          <w:i/>
        </w:rPr>
        <w:t>Alex.</w:t>
      </w:r>
      <w:r>
        <w:t xml:space="preserve"> 5</w:t>
      </w:r>
    </w:p>
  </w:footnote>
  <w:footnote w:id="54">
    <w:p w:rsidR="00777C4B" w:rsidRPr="00777C4B" w:rsidRDefault="00777C4B">
      <w:pPr>
        <w:pStyle w:val="FootnoteText"/>
      </w:pPr>
      <w:r>
        <w:rPr>
          <w:rStyle w:val="FootnoteReference"/>
        </w:rPr>
        <w:footnoteRef/>
      </w:r>
      <w:r>
        <w:t xml:space="preserve"> </w:t>
      </w:r>
      <w:proofErr w:type="spellStart"/>
      <w:r>
        <w:t>Plut</w:t>
      </w:r>
      <w:proofErr w:type="spellEnd"/>
      <w:r>
        <w:t xml:space="preserve">. </w:t>
      </w:r>
      <w:r>
        <w:rPr>
          <w:i/>
        </w:rPr>
        <w:t xml:space="preserve">Alex. </w:t>
      </w:r>
      <w:r>
        <w:t>5</w:t>
      </w:r>
    </w:p>
  </w:footnote>
  <w:footnote w:id="55">
    <w:p w:rsidR="00777C4B" w:rsidRPr="00777C4B" w:rsidRDefault="00777C4B">
      <w:pPr>
        <w:pStyle w:val="FootnoteText"/>
      </w:pPr>
      <w:r>
        <w:rPr>
          <w:rStyle w:val="FootnoteReference"/>
        </w:rPr>
        <w:footnoteRef/>
      </w:r>
      <w:r>
        <w:t xml:space="preserve"> </w:t>
      </w:r>
      <w:proofErr w:type="spellStart"/>
      <w:r>
        <w:t>Plut</w:t>
      </w:r>
      <w:proofErr w:type="spellEnd"/>
      <w:r>
        <w:t xml:space="preserve">. </w:t>
      </w:r>
      <w:r>
        <w:rPr>
          <w:i/>
        </w:rPr>
        <w:t>Alex.</w:t>
      </w:r>
      <w:r>
        <w:t xml:space="preserve"> 5</w:t>
      </w:r>
    </w:p>
  </w:footnote>
  <w:footnote w:id="56">
    <w:p w:rsidR="00777C4B" w:rsidRDefault="00777C4B">
      <w:pPr>
        <w:pStyle w:val="FootnoteText"/>
      </w:pPr>
      <w:r>
        <w:rPr>
          <w:rStyle w:val="FootnoteReference"/>
        </w:rPr>
        <w:footnoteRef/>
      </w:r>
      <w:r>
        <w:t xml:space="preserve"> </w:t>
      </w:r>
      <w:proofErr w:type="spellStart"/>
      <w:r>
        <w:t>Diod</w:t>
      </w:r>
      <w:proofErr w:type="spellEnd"/>
      <w:r>
        <w:t>. 16.95</w:t>
      </w:r>
    </w:p>
  </w:footnote>
  <w:footnote w:id="57">
    <w:p w:rsidR="004047A3" w:rsidRDefault="004047A3">
      <w:pPr>
        <w:pStyle w:val="FootnoteText"/>
      </w:pPr>
      <w:r>
        <w:rPr>
          <w:rStyle w:val="FootnoteReference"/>
        </w:rPr>
        <w:footnoteRef/>
      </w:r>
      <w:r>
        <w:t xml:space="preserve"> Borza 1990: 206</w:t>
      </w:r>
    </w:p>
  </w:footnote>
  <w:footnote w:id="58">
    <w:p w:rsidR="00B45EC0" w:rsidRPr="00B45EC0" w:rsidRDefault="00B45EC0">
      <w:pPr>
        <w:pStyle w:val="FootnoteText"/>
      </w:pPr>
      <w:r>
        <w:rPr>
          <w:rStyle w:val="FootnoteReference"/>
        </w:rPr>
        <w:footnoteRef/>
      </w:r>
      <w:r>
        <w:t xml:space="preserve"> </w:t>
      </w:r>
      <w:proofErr w:type="spellStart"/>
      <w:r>
        <w:t>Plut</w:t>
      </w:r>
      <w:proofErr w:type="spellEnd"/>
      <w:r>
        <w:t xml:space="preserve">. </w:t>
      </w:r>
      <w:r>
        <w:rPr>
          <w:i/>
        </w:rPr>
        <w:t xml:space="preserve">Alex. </w:t>
      </w:r>
      <w:r>
        <w:t>27</w:t>
      </w:r>
    </w:p>
  </w:footnote>
  <w:footnote w:id="59">
    <w:p w:rsidR="007B7335" w:rsidRPr="007B7335" w:rsidRDefault="007B7335">
      <w:pPr>
        <w:pStyle w:val="FootnoteText"/>
      </w:pPr>
      <w:r>
        <w:rPr>
          <w:rStyle w:val="FootnoteReference"/>
        </w:rPr>
        <w:footnoteRef/>
      </w:r>
      <w:r>
        <w:t xml:space="preserve"> </w:t>
      </w:r>
      <w:proofErr w:type="spellStart"/>
      <w:r>
        <w:t>Plut</w:t>
      </w:r>
      <w:proofErr w:type="spellEnd"/>
      <w:r>
        <w:t xml:space="preserve">. </w:t>
      </w:r>
      <w:r>
        <w:rPr>
          <w:i/>
        </w:rPr>
        <w:t>Alex.</w:t>
      </w:r>
      <w:r>
        <w:t xml:space="preserve"> 50</w:t>
      </w:r>
    </w:p>
  </w:footnote>
  <w:footnote w:id="60">
    <w:p w:rsidR="007B7335" w:rsidRPr="007B7335" w:rsidRDefault="007B7335">
      <w:pPr>
        <w:pStyle w:val="FootnoteText"/>
      </w:pPr>
      <w:r>
        <w:rPr>
          <w:rStyle w:val="FootnoteReference"/>
        </w:rPr>
        <w:footnoteRef/>
      </w:r>
      <w:r>
        <w:t xml:space="preserve"> </w:t>
      </w:r>
      <w:proofErr w:type="spellStart"/>
      <w:r>
        <w:t>Plut</w:t>
      </w:r>
      <w:proofErr w:type="spellEnd"/>
      <w:r>
        <w:t xml:space="preserve">. </w:t>
      </w:r>
      <w:r>
        <w:rPr>
          <w:i/>
        </w:rPr>
        <w:t xml:space="preserve">Alex. </w:t>
      </w:r>
      <w:r>
        <w:t>50</w:t>
      </w:r>
    </w:p>
  </w:footnote>
  <w:footnote w:id="61">
    <w:p w:rsidR="00971BF1" w:rsidRDefault="00971BF1">
      <w:pPr>
        <w:pStyle w:val="FootnoteText"/>
      </w:pPr>
      <w:r>
        <w:rPr>
          <w:rStyle w:val="FootnoteReference"/>
        </w:rPr>
        <w:footnoteRef/>
      </w:r>
      <w:r>
        <w:t xml:space="preserve"> Diod. 16.1; Worthington 2008: 26</w:t>
      </w:r>
    </w:p>
  </w:footnote>
  <w:footnote w:id="62">
    <w:p w:rsidR="00971BF1" w:rsidRDefault="00971BF1">
      <w:pPr>
        <w:pStyle w:val="FootnoteText"/>
      </w:pPr>
      <w:r>
        <w:rPr>
          <w:rStyle w:val="FootnoteReference"/>
        </w:rPr>
        <w:footnoteRef/>
      </w:r>
      <w:r>
        <w:t xml:space="preserve"> Arr. </w:t>
      </w:r>
      <w:r w:rsidRPr="00971BF1">
        <w:rPr>
          <w:i/>
        </w:rPr>
        <w:t>Anab</w:t>
      </w:r>
      <w:r>
        <w:t>. 1.7-8</w:t>
      </w:r>
    </w:p>
  </w:footnote>
  <w:footnote w:id="63">
    <w:p w:rsidR="0007175F" w:rsidRPr="0007175F" w:rsidRDefault="0007175F">
      <w:pPr>
        <w:pStyle w:val="FootnoteText"/>
      </w:pPr>
      <w:r>
        <w:rPr>
          <w:rStyle w:val="FootnoteReference"/>
        </w:rPr>
        <w:footnoteRef/>
      </w:r>
      <w:r>
        <w:t xml:space="preserve"> </w:t>
      </w:r>
      <w:proofErr w:type="spellStart"/>
      <w:r>
        <w:t>Plut</w:t>
      </w:r>
      <w:proofErr w:type="spellEnd"/>
      <w:r>
        <w:t xml:space="preserve">. </w:t>
      </w:r>
      <w:r>
        <w:rPr>
          <w:i/>
        </w:rPr>
        <w:t xml:space="preserve">Alex. </w:t>
      </w:r>
      <w:r>
        <w:t>11</w:t>
      </w:r>
    </w:p>
  </w:footnote>
  <w:footnote w:id="64">
    <w:p w:rsidR="0007175F" w:rsidRDefault="0007175F">
      <w:pPr>
        <w:pStyle w:val="FootnoteText"/>
      </w:pPr>
      <w:r>
        <w:rPr>
          <w:rStyle w:val="FootnoteReference"/>
        </w:rPr>
        <w:footnoteRef/>
      </w:r>
      <w:r>
        <w:t xml:space="preserve"> </w:t>
      </w:r>
      <w:proofErr w:type="spellStart"/>
      <w:r>
        <w:t>Diod</w:t>
      </w:r>
      <w:proofErr w:type="spellEnd"/>
      <w:r>
        <w:t>. 16.89</w:t>
      </w:r>
    </w:p>
  </w:footnote>
  <w:footnote w:id="65">
    <w:p w:rsidR="008346E3" w:rsidRDefault="008346E3">
      <w:pPr>
        <w:pStyle w:val="FootnoteText"/>
      </w:pPr>
      <w:r>
        <w:rPr>
          <w:rStyle w:val="FootnoteReference"/>
        </w:rPr>
        <w:footnoteRef/>
      </w:r>
      <w:r>
        <w:t xml:space="preserve"> Diod. 16.89;</w:t>
      </w:r>
      <w:r w:rsidRPr="008346E3">
        <w:t xml:space="preserve"> </w:t>
      </w:r>
      <w:proofErr w:type="spellStart"/>
      <w:r>
        <w:t>Plut</w:t>
      </w:r>
      <w:proofErr w:type="spellEnd"/>
      <w:r>
        <w:t xml:space="preserve">. </w:t>
      </w:r>
      <w:r>
        <w:rPr>
          <w:i/>
        </w:rPr>
        <w:t xml:space="preserve">Alex. </w:t>
      </w:r>
      <w:r>
        <w:t>11; Worthington 2008: 151-153, 160</w:t>
      </w:r>
    </w:p>
  </w:footnote>
  <w:footnote w:id="66">
    <w:p w:rsidR="008346E3" w:rsidRDefault="008346E3">
      <w:pPr>
        <w:pStyle w:val="FootnoteText"/>
      </w:pPr>
      <w:r>
        <w:rPr>
          <w:rStyle w:val="FootnoteReference"/>
        </w:rPr>
        <w:footnoteRef/>
      </w:r>
      <w:r>
        <w:t xml:space="preserve"> </w:t>
      </w:r>
      <w:proofErr w:type="spellStart"/>
      <w:r>
        <w:t>Diod</w:t>
      </w:r>
      <w:proofErr w:type="spellEnd"/>
      <w:r>
        <w:t>. 16.88-90</w:t>
      </w:r>
    </w:p>
  </w:footnote>
  <w:footnote w:id="67">
    <w:p w:rsidR="008346E3" w:rsidRDefault="008346E3">
      <w:pPr>
        <w:pStyle w:val="FootnoteText"/>
      </w:pPr>
      <w:r>
        <w:rPr>
          <w:rStyle w:val="FootnoteReference"/>
        </w:rPr>
        <w:footnoteRef/>
      </w:r>
      <w:r>
        <w:t xml:space="preserve"> Hammond 2002</w:t>
      </w:r>
      <w:r w:rsidR="00B45EC0">
        <w:t>: 155-157</w:t>
      </w:r>
    </w:p>
  </w:footnote>
  <w:footnote w:id="68">
    <w:p w:rsidR="00B45EC0" w:rsidRPr="00B45EC0" w:rsidRDefault="00B45EC0">
      <w:pPr>
        <w:pStyle w:val="FootnoteText"/>
      </w:pPr>
      <w:r>
        <w:rPr>
          <w:rStyle w:val="FootnoteReference"/>
        </w:rPr>
        <w:footnoteRef/>
      </w:r>
      <w:r>
        <w:t xml:space="preserve"> </w:t>
      </w:r>
      <w:proofErr w:type="spellStart"/>
      <w:r>
        <w:t>Plut</w:t>
      </w:r>
      <w:proofErr w:type="spellEnd"/>
      <w:r>
        <w:t xml:space="preserve">. </w:t>
      </w:r>
      <w:r>
        <w:rPr>
          <w:i/>
        </w:rPr>
        <w:t xml:space="preserve">Alex. </w:t>
      </w:r>
      <w:r>
        <w:t>11; Hammond 2002: 158-163</w:t>
      </w:r>
    </w:p>
  </w:footnote>
  <w:footnote w:id="69">
    <w:p w:rsidR="00266F6C" w:rsidRPr="00266F6C" w:rsidRDefault="00266F6C">
      <w:pPr>
        <w:pStyle w:val="FootnoteText"/>
      </w:pPr>
      <w:r>
        <w:rPr>
          <w:rStyle w:val="FootnoteReference"/>
        </w:rPr>
        <w:footnoteRef/>
      </w:r>
      <w:r>
        <w:t xml:space="preserve"> </w:t>
      </w:r>
      <w:proofErr w:type="spellStart"/>
      <w:r>
        <w:t>Diod</w:t>
      </w:r>
      <w:proofErr w:type="spellEnd"/>
      <w:r>
        <w:t xml:space="preserve">. 16.1, 16.95; </w:t>
      </w:r>
      <w:proofErr w:type="spellStart"/>
      <w:r>
        <w:t>Plut</w:t>
      </w:r>
      <w:proofErr w:type="spellEnd"/>
      <w:r>
        <w:t xml:space="preserve">. </w:t>
      </w:r>
      <w:r>
        <w:rPr>
          <w:i/>
        </w:rPr>
        <w:t xml:space="preserve">Alex. </w:t>
      </w:r>
      <w:r>
        <w:t>2, 5, 9, 11</w:t>
      </w:r>
    </w:p>
  </w:footnote>
  <w:footnote w:id="70">
    <w:p w:rsidR="00D50448" w:rsidRPr="00D50448" w:rsidRDefault="00D50448">
      <w:pPr>
        <w:pStyle w:val="FootnoteText"/>
      </w:pPr>
      <w:r>
        <w:rPr>
          <w:rStyle w:val="FootnoteReference"/>
        </w:rPr>
        <w:footnoteRef/>
      </w:r>
      <w:r>
        <w:t xml:space="preserve"> </w:t>
      </w:r>
      <w:proofErr w:type="spellStart"/>
      <w:r>
        <w:t>Diod</w:t>
      </w:r>
      <w:proofErr w:type="spellEnd"/>
      <w:r>
        <w:t xml:space="preserve">. 16.1; </w:t>
      </w:r>
      <w:proofErr w:type="spellStart"/>
      <w:r>
        <w:t>Plut</w:t>
      </w:r>
      <w:proofErr w:type="spellEnd"/>
      <w:r>
        <w:t xml:space="preserve"> </w:t>
      </w:r>
      <w:r>
        <w:rPr>
          <w:i/>
        </w:rPr>
        <w:t xml:space="preserve">Alex. </w:t>
      </w:r>
      <w:r>
        <w:t>1</w:t>
      </w:r>
    </w:p>
  </w:footnote>
  <w:footnote w:id="71">
    <w:p w:rsidR="00D50448" w:rsidRDefault="00D50448">
      <w:pPr>
        <w:pStyle w:val="FootnoteText"/>
      </w:pPr>
      <w:r>
        <w:rPr>
          <w:rStyle w:val="FootnoteReference"/>
        </w:rPr>
        <w:footnoteRef/>
      </w:r>
      <w:r>
        <w:t xml:space="preserve"> Borza 1990: 21-22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8C"/>
    <w:rsid w:val="00021FC8"/>
    <w:rsid w:val="00031333"/>
    <w:rsid w:val="0005445A"/>
    <w:rsid w:val="000604E1"/>
    <w:rsid w:val="0007175F"/>
    <w:rsid w:val="000719F4"/>
    <w:rsid w:val="00094BEF"/>
    <w:rsid w:val="000A2C0F"/>
    <w:rsid w:val="000E3CB0"/>
    <w:rsid w:val="00187AB9"/>
    <w:rsid w:val="0019491B"/>
    <w:rsid w:val="001B7F07"/>
    <w:rsid w:val="001C5E17"/>
    <w:rsid w:val="001E0FB3"/>
    <w:rsid w:val="00214CCF"/>
    <w:rsid w:val="00233E23"/>
    <w:rsid w:val="00266F6C"/>
    <w:rsid w:val="002A688C"/>
    <w:rsid w:val="003F6692"/>
    <w:rsid w:val="004047A3"/>
    <w:rsid w:val="00411617"/>
    <w:rsid w:val="004368D2"/>
    <w:rsid w:val="00491957"/>
    <w:rsid w:val="00506DB2"/>
    <w:rsid w:val="00545DF6"/>
    <w:rsid w:val="00600504"/>
    <w:rsid w:val="00613F17"/>
    <w:rsid w:val="0066129D"/>
    <w:rsid w:val="00665FB3"/>
    <w:rsid w:val="00685CFE"/>
    <w:rsid w:val="006A4FB1"/>
    <w:rsid w:val="006D0E47"/>
    <w:rsid w:val="006D7405"/>
    <w:rsid w:val="00743344"/>
    <w:rsid w:val="007442AD"/>
    <w:rsid w:val="00777C4B"/>
    <w:rsid w:val="007B2E60"/>
    <w:rsid w:val="007B7335"/>
    <w:rsid w:val="007F5ABB"/>
    <w:rsid w:val="008346E3"/>
    <w:rsid w:val="00896029"/>
    <w:rsid w:val="008A43B8"/>
    <w:rsid w:val="008D7214"/>
    <w:rsid w:val="008E1810"/>
    <w:rsid w:val="009538A8"/>
    <w:rsid w:val="00971BF1"/>
    <w:rsid w:val="00A02E8F"/>
    <w:rsid w:val="00A364B0"/>
    <w:rsid w:val="00AD5CCD"/>
    <w:rsid w:val="00B36224"/>
    <w:rsid w:val="00B45EC0"/>
    <w:rsid w:val="00B54163"/>
    <w:rsid w:val="00B663DD"/>
    <w:rsid w:val="00B73EBF"/>
    <w:rsid w:val="00C116A8"/>
    <w:rsid w:val="00C14BD7"/>
    <w:rsid w:val="00C41357"/>
    <w:rsid w:val="00C774DF"/>
    <w:rsid w:val="00CD3829"/>
    <w:rsid w:val="00CE7AD9"/>
    <w:rsid w:val="00D03657"/>
    <w:rsid w:val="00D47817"/>
    <w:rsid w:val="00D50448"/>
    <w:rsid w:val="00D65E8B"/>
    <w:rsid w:val="00DE76B7"/>
    <w:rsid w:val="00E855C0"/>
    <w:rsid w:val="00EE00B0"/>
    <w:rsid w:val="00F544E8"/>
    <w:rsid w:val="00FA0FF4"/>
    <w:rsid w:val="00FA4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715DD"/>
  <w15:chartTrackingRefBased/>
  <w15:docId w15:val="{91BE928C-9E01-41FB-94CD-E22056BF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5D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5DF6"/>
    <w:rPr>
      <w:sz w:val="20"/>
      <w:szCs w:val="20"/>
    </w:rPr>
  </w:style>
  <w:style w:type="character" w:styleId="FootnoteReference">
    <w:name w:val="footnote reference"/>
    <w:basedOn w:val="DefaultParagraphFont"/>
    <w:uiPriority w:val="99"/>
    <w:semiHidden/>
    <w:unhideWhenUsed/>
    <w:rsid w:val="00545DF6"/>
    <w:rPr>
      <w:vertAlign w:val="superscript"/>
    </w:rPr>
  </w:style>
  <w:style w:type="character" w:styleId="Hyperlink">
    <w:name w:val="Hyperlink"/>
    <w:basedOn w:val="DefaultParagraphFont"/>
    <w:uiPriority w:val="99"/>
    <w:semiHidden/>
    <w:unhideWhenUsed/>
    <w:rsid w:val="006D7405"/>
    <w:rPr>
      <w:color w:val="0000FF"/>
      <w:u w:val="single"/>
    </w:rPr>
  </w:style>
  <w:style w:type="paragraph" w:styleId="EndnoteText">
    <w:name w:val="endnote text"/>
    <w:basedOn w:val="Normal"/>
    <w:link w:val="EndnoteTextChar"/>
    <w:uiPriority w:val="99"/>
    <w:semiHidden/>
    <w:unhideWhenUsed/>
    <w:rsid w:val="008346E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46E3"/>
    <w:rPr>
      <w:sz w:val="20"/>
      <w:szCs w:val="20"/>
    </w:rPr>
  </w:style>
  <w:style w:type="character" w:styleId="EndnoteReference">
    <w:name w:val="endnote reference"/>
    <w:basedOn w:val="DefaultParagraphFont"/>
    <w:uiPriority w:val="99"/>
    <w:semiHidden/>
    <w:unhideWhenUsed/>
    <w:rsid w:val="008346E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morph?l=qeoi%3Ds&amp;la=greek&amp;can=qeoi%3Ds0&amp;prior=dw/deka" TargetMode="External"/><Relationship Id="rId13" Type="http://schemas.openxmlformats.org/officeDocument/2006/relationships/hyperlink" Target="http://www.perseus.tufts.edu/hopper/morph?l=ou%29&amp;la=greek&amp;can=ou%290&amp;prior=*fi/lippos" TargetMode="External"/><Relationship Id="rId18" Type="http://schemas.openxmlformats.org/officeDocument/2006/relationships/hyperlink" Target="http://www.perseus.tufts.edu/hopper/morph?l=prosdokwme%2Fnwn&amp;la=greek&amp;can=prosdokwme%2Fnwn0&amp;prior=tw=n" TargetMode="External"/><Relationship Id="rId3" Type="http://schemas.openxmlformats.org/officeDocument/2006/relationships/settings" Target="settings.xml"/><Relationship Id="rId21" Type="http://schemas.openxmlformats.org/officeDocument/2006/relationships/hyperlink" Target="http://www.perseus.tufts.edu/hopper/morph?l=xai%2Frein&amp;la=greek&amp;can=xai%2Frein0&amp;prior=kai\" TargetMode="External"/><Relationship Id="rId7" Type="http://schemas.openxmlformats.org/officeDocument/2006/relationships/hyperlink" Target="http://www.perseus.tufts.edu/hopper/morph?l=e%28auto%5Cn&amp;la=greek&amp;can=e%28auto%5Cn1&amp;prior=a)rxh=s" TargetMode="External"/><Relationship Id="rId12" Type="http://schemas.openxmlformats.org/officeDocument/2006/relationships/hyperlink" Target="http://www.perseus.tufts.edu/hopper/morph?l=*%29illurioi%3Ds&amp;la=greek&amp;can=*%29illurioi%3Ds0&amp;prior=douleu/ousan" TargetMode="External"/><Relationship Id="rId17" Type="http://schemas.openxmlformats.org/officeDocument/2006/relationships/hyperlink" Target="http://www.perseus.tufts.edu/hopper/morph?l=tw%3Dn&amp;la=greek&amp;can=tw%3Dn1&amp;prior=me/geqos" TargetMode="External"/><Relationship Id="rId2" Type="http://schemas.openxmlformats.org/officeDocument/2006/relationships/styles" Target="styles.xml"/><Relationship Id="rId16" Type="http://schemas.openxmlformats.org/officeDocument/2006/relationships/hyperlink" Target="http://www.perseus.tufts.edu/hopper/morph?l=me%2Fgeqos&amp;la=greek&amp;can=me%2Fgeqos1&amp;prior=to\" TargetMode="External"/><Relationship Id="rId20" Type="http://schemas.openxmlformats.org/officeDocument/2006/relationships/hyperlink" Target="http://www.perseus.tufts.edu/hopper/morph?l=basile%2Fa&amp;la=greek&amp;can=basile%2Fa0&amp;prior=m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erseus.tufts.edu/hopper/morph?l=douleu%2Fousan&amp;la=greek&amp;can=douleu%2Fousan0&amp;prior=*makedoni/a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perseus.tufts.edu/hopper/morph?l=to%5C&amp;la=greek&amp;can=to%5C1&amp;prior=katepla/gh" TargetMode="External"/><Relationship Id="rId23" Type="http://schemas.openxmlformats.org/officeDocument/2006/relationships/fontTable" Target="fontTable.xml"/><Relationship Id="rId10" Type="http://schemas.openxmlformats.org/officeDocument/2006/relationships/hyperlink" Target="http://www.perseus.tufts.edu/hopper/morph?l=*makedoni%2Fan&amp;la=greek&amp;can=*makedoni%2Fan0&amp;prior=th\n" TargetMode="External"/><Relationship Id="rId19" Type="http://schemas.openxmlformats.org/officeDocument/2006/relationships/hyperlink" Target="http://www.perseus.tufts.edu/hopper/morph?l=deinw%3Dn&amp;la=greek&amp;can=deinw%3Dn0&amp;prior=prosdokwme/nwn" TargetMode="External"/><Relationship Id="rId4" Type="http://schemas.openxmlformats.org/officeDocument/2006/relationships/webSettings" Target="webSettings.xml"/><Relationship Id="rId9" Type="http://schemas.openxmlformats.org/officeDocument/2006/relationships/hyperlink" Target="http://www.perseus.tufts.edu/hopper/morph?l=su%2Fnqronon&amp;la=greek&amp;can=su%2Fnqronon0&amp;prior=qeoi=s" TargetMode="External"/><Relationship Id="rId14" Type="http://schemas.openxmlformats.org/officeDocument/2006/relationships/hyperlink" Target="http://www.perseus.tufts.edu/hopper/morph?l=katepla%2Fgh&amp;la=greek&amp;can=katepla%2Fgh0&amp;prior=ou)" TargetMode="External"/><Relationship Id="rId22" Type="http://schemas.openxmlformats.org/officeDocument/2006/relationships/hyperlink" Target="http://www.perseus.tufts.edu/hopper/morph?l=ai%29%2Ftios&amp;la=greek&amp;can=ai%29%2Ftios0&amp;prior=sunanagka/s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7BB2B-7BBA-43F3-A45C-97CF0FCFD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8</Pages>
  <Words>2935</Words>
  <Characters>16732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13</cp:revision>
  <dcterms:created xsi:type="dcterms:W3CDTF">2019-04-12T08:31:00Z</dcterms:created>
  <dcterms:modified xsi:type="dcterms:W3CDTF">2019-04-12T14:42:00Z</dcterms:modified>
</cp:coreProperties>
</file>