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9E743F" w14:textId="52CBBA66" w:rsidR="002343BB" w:rsidRDefault="002343BB" w:rsidP="008A1EB7">
      <w:pPr>
        <w:jc w:val="center"/>
      </w:pPr>
      <w:r w:rsidRPr="008A1EB7">
        <w:rPr>
          <w:b/>
          <w:bCs/>
        </w:rPr>
        <w:t>Student Name:</w:t>
      </w:r>
      <w:r>
        <w:t xml:space="preserve"> Chelsea Aitken</w:t>
      </w:r>
    </w:p>
    <w:p w14:paraId="55387EA4" w14:textId="77777777" w:rsidR="002343BB" w:rsidRPr="008A1EB7" w:rsidRDefault="002343BB" w:rsidP="008A1EB7">
      <w:pPr>
        <w:jc w:val="center"/>
        <w:rPr>
          <w:b/>
          <w:bCs/>
        </w:rPr>
      </w:pPr>
    </w:p>
    <w:p w14:paraId="26147C62" w14:textId="2975EBE0" w:rsidR="00CA13E7" w:rsidRPr="008A1EB7" w:rsidRDefault="002343BB" w:rsidP="00FF25F6">
      <w:pPr>
        <w:jc w:val="center"/>
        <w:rPr>
          <w:b/>
          <w:bCs/>
        </w:rPr>
      </w:pPr>
      <w:r w:rsidRPr="008A1EB7">
        <w:rPr>
          <w:b/>
          <w:bCs/>
        </w:rPr>
        <w:t>Student number:</w:t>
      </w:r>
      <w:r w:rsidR="00FF25F6">
        <w:rPr>
          <w:b/>
          <w:bCs/>
        </w:rPr>
        <w:t xml:space="preserve"> </w:t>
      </w:r>
      <w:r w:rsidR="00FF25F6" w:rsidRPr="00FF25F6">
        <w:t>2319753</w:t>
      </w:r>
    </w:p>
    <w:p w14:paraId="22610CA5" w14:textId="77777777" w:rsidR="002343BB" w:rsidRDefault="002343BB" w:rsidP="008A1EB7">
      <w:pPr>
        <w:jc w:val="center"/>
      </w:pPr>
    </w:p>
    <w:p w14:paraId="1FA10C25" w14:textId="717A30BE" w:rsidR="002343BB" w:rsidRDefault="002343BB" w:rsidP="008A1EB7">
      <w:pPr>
        <w:jc w:val="center"/>
      </w:pPr>
      <w:r w:rsidRPr="008A1EB7">
        <w:rPr>
          <w:b/>
          <w:bCs/>
        </w:rPr>
        <w:t xml:space="preserve">Programme: </w:t>
      </w:r>
      <w:r w:rsidR="008A1EB7" w:rsidRPr="008A1EB7">
        <w:rPr>
          <w:b/>
          <w:bCs/>
        </w:rPr>
        <w:t>G</w:t>
      </w:r>
      <w:r w:rsidRPr="008A1EB7">
        <w:rPr>
          <w:b/>
          <w:bCs/>
        </w:rPr>
        <w:t>raduate</w:t>
      </w:r>
      <w:r>
        <w:t xml:space="preserve"> Diploma in Policing (GDIP)</w:t>
      </w:r>
    </w:p>
    <w:p w14:paraId="4B370185" w14:textId="77777777" w:rsidR="002343BB" w:rsidRDefault="002343BB" w:rsidP="008A1EB7">
      <w:pPr>
        <w:jc w:val="center"/>
      </w:pPr>
    </w:p>
    <w:p w14:paraId="3D9AF590" w14:textId="0C58AD1B" w:rsidR="002343BB" w:rsidRDefault="002343BB" w:rsidP="008A1EB7">
      <w:pPr>
        <w:jc w:val="center"/>
      </w:pPr>
      <w:r w:rsidRPr="008A1EB7">
        <w:rPr>
          <w:b/>
          <w:bCs/>
        </w:rPr>
        <w:t>Module Code:</w:t>
      </w:r>
      <w:r>
        <w:t xml:space="preserve"> BMPP6005D</w:t>
      </w:r>
    </w:p>
    <w:p w14:paraId="688E1B6A" w14:textId="77777777" w:rsidR="00B963BA" w:rsidRDefault="00B963BA" w:rsidP="008A1EB7">
      <w:pPr>
        <w:jc w:val="center"/>
      </w:pPr>
    </w:p>
    <w:p w14:paraId="2696515B" w14:textId="77777777" w:rsidR="002343BB" w:rsidRDefault="002343BB" w:rsidP="008A1EB7">
      <w:pPr>
        <w:jc w:val="center"/>
      </w:pPr>
    </w:p>
    <w:p w14:paraId="55DD506D" w14:textId="77777777" w:rsidR="00726D91" w:rsidRDefault="00726D91" w:rsidP="00175468">
      <w:pPr>
        <w:ind w:right="531"/>
        <w:jc w:val="both"/>
        <w:rPr>
          <w:rFonts w:ascii="Arial" w:eastAsia="Calibri" w:hAnsi="Arial" w:cs="Arial"/>
          <w:b/>
          <w:bCs/>
          <w:sz w:val="22"/>
          <w:szCs w:val="22"/>
          <w:u w:val="single"/>
        </w:rPr>
      </w:pPr>
    </w:p>
    <w:p w14:paraId="4832211C" w14:textId="77777777" w:rsidR="00726D91" w:rsidRDefault="00726D91" w:rsidP="00175468">
      <w:pPr>
        <w:ind w:right="531"/>
        <w:jc w:val="both"/>
        <w:rPr>
          <w:rFonts w:ascii="Arial" w:eastAsia="Calibri" w:hAnsi="Arial" w:cs="Arial"/>
          <w:b/>
          <w:bCs/>
          <w:sz w:val="22"/>
          <w:szCs w:val="22"/>
          <w:u w:val="single"/>
        </w:rPr>
      </w:pPr>
    </w:p>
    <w:p w14:paraId="4957E2E8" w14:textId="77777777" w:rsidR="00726D91" w:rsidRDefault="00726D91" w:rsidP="00175468">
      <w:pPr>
        <w:ind w:right="531"/>
        <w:jc w:val="both"/>
        <w:rPr>
          <w:rFonts w:ascii="Arial" w:eastAsia="Calibri" w:hAnsi="Arial" w:cs="Arial"/>
          <w:b/>
          <w:bCs/>
          <w:sz w:val="22"/>
          <w:szCs w:val="22"/>
          <w:u w:val="single"/>
        </w:rPr>
      </w:pPr>
    </w:p>
    <w:p w14:paraId="245E5B68" w14:textId="77777777" w:rsidR="00726D91" w:rsidRDefault="00726D91" w:rsidP="00175468">
      <w:pPr>
        <w:ind w:right="531"/>
        <w:jc w:val="both"/>
        <w:rPr>
          <w:rFonts w:ascii="Arial" w:eastAsia="Calibri" w:hAnsi="Arial" w:cs="Arial"/>
          <w:b/>
          <w:bCs/>
          <w:sz w:val="22"/>
          <w:szCs w:val="22"/>
          <w:u w:val="single"/>
        </w:rPr>
      </w:pPr>
    </w:p>
    <w:p w14:paraId="47E15AD3" w14:textId="77777777" w:rsidR="00726D91" w:rsidRDefault="00726D91" w:rsidP="00175468">
      <w:pPr>
        <w:ind w:right="531"/>
        <w:jc w:val="both"/>
        <w:rPr>
          <w:rFonts w:ascii="Arial" w:eastAsia="Calibri" w:hAnsi="Arial" w:cs="Arial"/>
          <w:b/>
          <w:bCs/>
          <w:sz w:val="22"/>
          <w:szCs w:val="22"/>
          <w:u w:val="single"/>
        </w:rPr>
      </w:pPr>
    </w:p>
    <w:p w14:paraId="0828A495" w14:textId="77777777" w:rsidR="00726D91" w:rsidRDefault="00726D91" w:rsidP="00175468">
      <w:pPr>
        <w:ind w:right="531"/>
        <w:jc w:val="both"/>
        <w:rPr>
          <w:rFonts w:ascii="Arial" w:eastAsia="Calibri" w:hAnsi="Arial" w:cs="Arial"/>
          <w:b/>
          <w:bCs/>
          <w:sz w:val="22"/>
          <w:szCs w:val="22"/>
          <w:u w:val="single"/>
        </w:rPr>
      </w:pPr>
    </w:p>
    <w:p w14:paraId="6C57D856" w14:textId="77777777" w:rsidR="00726D91" w:rsidRDefault="00726D91" w:rsidP="00175468">
      <w:pPr>
        <w:ind w:right="531"/>
        <w:jc w:val="both"/>
        <w:rPr>
          <w:rFonts w:ascii="Arial" w:eastAsia="Calibri" w:hAnsi="Arial" w:cs="Arial"/>
          <w:b/>
          <w:bCs/>
          <w:sz w:val="22"/>
          <w:szCs w:val="22"/>
          <w:u w:val="single"/>
        </w:rPr>
      </w:pPr>
    </w:p>
    <w:p w14:paraId="5B0D3F99" w14:textId="77777777" w:rsidR="00726D91" w:rsidRDefault="00726D91" w:rsidP="00175468">
      <w:pPr>
        <w:ind w:right="531"/>
        <w:jc w:val="both"/>
        <w:rPr>
          <w:rFonts w:ascii="Arial" w:eastAsia="Calibri" w:hAnsi="Arial" w:cs="Arial"/>
          <w:b/>
          <w:bCs/>
          <w:sz w:val="22"/>
          <w:szCs w:val="22"/>
          <w:u w:val="single"/>
        </w:rPr>
      </w:pPr>
    </w:p>
    <w:p w14:paraId="0F448F35" w14:textId="77777777" w:rsidR="00726D91" w:rsidRDefault="00726D91" w:rsidP="00175468">
      <w:pPr>
        <w:ind w:right="531"/>
        <w:jc w:val="both"/>
        <w:rPr>
          <w:rFonts w:ascii="Arial" w:eastAsia="Calibri" w:hAnsi="Arial" w:cs="Arial"/>
          <w:b/>
          <w:bCs/>
          <w:sz w:val="22"/>
          <w:szCs w:val="22"/>
          <w:u w:val="single"/>
        </w:rPr>
      </w:pPr>
    </w:p>
    <w:p w14:paraId="4CC6B9D9" w14:textId="77777777" w:rsidR="00726D91" w:rsidRDefault="00726D91" w:rsidP="00175468">
      <w:pPr>
        <w:ind w:right="531"/>
        <w:jc w:val="both"/>
        <w:rPr>
          <w:rFonts w:ascii="Arial" w:eastAsia="Calibri" w:hAnsi="Arial" w:cs="Arial"/>
          <w:b/>
          <w:bCs/>
          <w:sz w:val="22"/>
          <w:szCs w:val="22"/>
          <w:u w:val="single"/>
        </w:rPr>
      </w:pPr>
    </w:p>
    <w:p w14:paraId="3C37BEE6" w14:textId="77777777" w:rsidR="00726D91" w:rsidRDefault="00726D91" w:rsidP="00175468">
      <w:pPr>
        <w:ind w:right="531"/>
        <w:jc w:val="both"/>
        <w:rPr>
          <w:rFonts w:ascii="Arial" w:eastAsia="Calibri" w:hAnsi="Arial" w:cs="Arial"/>
          <w:b/>
          <w:bCs/>
          <w:sz w:val="22"/>
          <w:szCs w:val="22"/>
          <w:u w:val="single"/>
        </w:rPr>
      </w:pPr>
    </w:p>
    <w:p w14:paraId="310F1E5E" w14:textId="77777777" w:rsidR="00726D91" w:rsidRDefault="00726D91" w:rsidP="00175468">
      <w:pPr>
        <w:ind w:right="531"/>
        <w:jc w:val="both"/>
        <w:rPr>
          <w:rFonts w:ascii="Arial" w:eastAsia="Calibri" w:hAnsi="Arial" w:cs="Arial"/>
          <w:b/>
          <w:bCs/>
          <w:sz w:val="22"/>
          <w:szCs w:val="22"/>
          <w:u w:val="single"/>
        </w:rPr>
      </w:pPr>
    </w:p>
    <w:p w14:paraId="004F810E" w14:textId="77777777" w:rsidR="00726D91" w:rsidRDefault="00726D91" w:rsidP="00175468">
      <w:pPr>
        <w:ind w:right="531"/>
        <w:jc w:val="both"/>
        <w:rPr>
          <w:rFonts w:ascii="Arial" w:eastAsia="Calibri" w:hAnsi="Arial" w:cs="Arial"/>
          <w:b/>
          <w:bCs/>
          <w:sz w:val="22"/>
          <w:szCs w:val="22"/>
          <w:u w:val="single"/>
        </w:rPr>
      </w:pPr>
    </w:p>
    <w:p w14:paraId="5311B85D" w14:textId="77777777" w:rsidR="00726D91" w:rsidRDefault="00726D91" w:rsidP="00175468">
      <w:pPr>
        <w:ind w:right="531"/>
        <w:jc w:val="both"/>
        <w:rPr>
          <w:rFonts w:ascii="Arial" w:eastAsia="Calibri" w:hAnsi="Arial" w:cs="Arial"/>
          <w:b/>
          <w:bCs/>
          <w:sz w:val="22"/>
          <w:szCs w:val="22"/>
          <w:u w:val="single"/>
        </w:rPr>
      </w:pPr>
    </w:p>
    <w:p w14:paraId="02DB85D7" w14:textId="77777777" w:rsidR="00726D91" w:rsidRDefault="00726D91" w:rsidP="00175468">
      <w:pPr>
        <w:ind w:right="531"/>
        <w:jc w:val="both"/>
        <w:rPr>
          <w:rFonts w:ascii="Arial" w:eastAsia="Calibri" w:hAnsi="Arial" w:cs="Arial"/>
          <w:b/>
          <w:bCs/>
          <w:sz w:val="22"/>
          <w:szCs w:val="22"/>
          <w:u w:val="single"/>
        </w:rPr>
      </w:pPr>
    </w:p>
    <w:p w14:paraId="321EF812" w14:textId="77777777" w:rsidR="00726D91" w:rsidRDefault="00726D91" w:rsidP="00175468">
      <w:pPr>
        <w:ind w:right="531"/>
        <w:jc w:val="both"/>
        <w:rPr>
          <w:rFonts w:ascii="Arial" w:eastAsia="Calibri" w:hAnsi="Arial" w:cs="Arial"/>
          <w:b/>
          <w:bCs/>
          <w:sz w:val="22"/>
          <w:szCs w:val="22"/>
          <w:u w:val="single"/>
        </w:rPr>
      </w:pPr>
    </w:p>
    <w:p w14:paraId="7968A328" w14:textId="77777777" w:rsidR="00726D91" w:rsidRDefault="00726D91" w:rsidP="00175468">
      <w:pPr>
        <w:ind w:right="531"/>
        <w:jc w:val="both"/>
        <w:rPr>
          <w:rFonts w:ascii="Arial" w:eastAsia="Calibri" w:hAnsi="Arial" w:cs="Arial"/>
          <w:b/>
          <w:bCs/>
          <w:sz w:val="22"/>
          <w:szCs w:val="22"/>
          <w:u w:val="single"/>
        </w:rPr>
      </w:pPr>
    </w:p>
    <w:p w14:paraId="6FBBA7A6" w14:textId="77777777" w:rsidR="00726D91" w:rsidRDefault="00726D91" w:rsidP="00175468">
      <w:pPr>
        <w:ind w:right="531"/>
        <w:jc w:val="both"/>
        <w:rPr>
          <w:rFonts w:ascii="Arial" w:eastAsia="Calibri" w:hAnsi="Arial" w:cs="Arial"/>
          <w:b/>
          <w:bCs/>
          <w:sz w:val="22"/>
          <w:szCs w:val="22"/>
          <w:u w:val="single"/>
        </w:rPr>
      </w:pPr>
    </w:p>
    <w:p w14:paraId="7431327E" w14:textId="77777777" w:rsidR="00726D91" w:rsidRDefault="00726D91" w:rsidP="00175468">
      <w:pPr>
        <w:ind w:right="531"/>
        <w:jc w:val="both"/>
        <w:rPr>
          <w:rFonts w:ascii="Arial" w:eastAsia="Calibri" w:hAnsi="Arial" w:cs="Arial"/>
          <w:b/>
          <w:bCs/>
          <w:sz w:val="22"/>
          <w:szCs w:val="22"/>
          <w:u w:val="single"/>
        </w:rPr>
      </w:pPr>
    </w:p>
    <w:p w14:paraId="08A68ACD" w14:textId="77777777" w:rsidR="00726D91" w:rsidRDefault="00726D91" w:rsidP="00175468">
      <w:pPr>
        <w:ind w:right="531"/>
        <w:jc w:val="both"/>
        <w:rPr>
          <w:rFonts w:ascii="Arial" w:eastAsia="Calibri" w:hAnsi="Arial" w:cs="Arial"/>
          <w:b/>
          <w:bCs/>
          <w:sz w:val="22"/>
          <w:szCs w:val="22"/>
          <w:u w:val="single"/>
        </w:rPr>
      </w:pPr>
    </w:p>
    <w:p w14:paraId="224C4021" w14:textId="77777777" w:rsidR="00726D91" w:rsidRDefault="00726D91" w:rsidP="00175468">
      <w:pPr>
        <w:ind w:right="531"/>
        <w:jc w:val="both"/>
        <w:rPr>
          <w:rFonts w:ascii="Arial" w:eastAsia="Calibri" w:hAnsi="Arial" w:cs="Arial"/>
          <w:b/>
          <w:bCs/>
          <w:sz w:val="22"/>
          <w:szCs w:val="22"/>
          <w:u w:val="single"/>
        </w:rPr>
      </w:pPr>
    </w:p>
    <w:p w14:paraId="0C2329DE" w14:textId="77777777" w:rsidR="00726D91" w:rsidRDefault="00726D91" w:rsidP="00175468">
      <w:pPr>
        <w:ind w:right="531"/>
        <w:jc w:val="both"/>
        <w:rPr>
          <w:rFonts w:ascii="Arial" w:eastAsia="Calibri" w:hAnsi="Arial" w:cs="Arial"/>
          <w:b/>
          <w:bCs/>
          <w:sz w:val="22"/>
          <w:szCs w:val="22"/>
          <w:u w:val="single"/>
        </w:rPr>
      </w:pPr>
    </w:p>
    <w:p w14:paraId="5FFF371C" w14:textId="77777777" w:rsidR="00726D91" w:rsidRDefault="00726D91" w:rsidP="00175468">
      <w:pPr>
        <w:ind w:right="531"/>
        <w:jc w:val="both"/>
        <w:rPr>
          <w:rFonts w:ascii="Arial" w:eastAsia="Calibri" w:hAnsi="Arial" w:cs="Arial"/>
          <w:b/>
          <w:bCs/>
          <w:sz w:val="22"/>
          <w:szCs w:val="22"/>
          <w:u w:val="single"/>
        </w:rPr>
      </w:pPr>
    </w:p>
    <w:p w14:paraId="4BBED2DD" w14:textId="77777777" w:rsidR="00726D91" w:rsidRDefault="00726D91" w:rsidP="00175468">
      <w:pPr>
        <w:ind w:right="531"/>
        <w:jc w:val="both"/>
        <w:rPr>
          <w:rFonts w:ascii="Arial" w:eastAsia="Calibri" w:hAnsi="Arial" w:cs="Arial"/>
          <w:b/>
          <w:bCs/>
          <w:sz w:val="22"/>
          <w:szCs w:val="22"/>
          <w:u w:val="single"/>
        </w:rPr>
      </w:pPr>
    </w:p>
    <w:p w14:paraId="58B331CB" w14:textId="77777777" w:rsidR="00726D91" w:rsidRDefault="00726D91" w:rsidP="00175468">
      <w:pPr>
        <w:ind w:right="531"/>
        <w:jc w:val="both"/>
        <w:rPr>
          <w:rFonts w:ascii="Arial" w:eastAsia="Calibri" w:hAnsi="Arial" w:cs="Arial"/>
          <w:b/>
          <w:bCs/>
          <w:sz w:val="22"/>
          <w:szCs w:val="22"/>
          <w:u w:val="single"/>
        </w:rPr>
      </w:pPr>
    </w:p>
    <w:p w14:paraId="64066107" w14:textId="77777777" w:rsidR="00726D91" w:rsidRDefault="00726D91" w:rsidP="00175468">
      <w:pPr>
        <w:ind w:right="531"/>
        <w:jc w:val="both"/>
        <w:rPr>
          <w:rFonts w:ascii="Arial" w:eastAsia="Calibri" w:hAnsi="Arial" w:cs="Arial"/>
          <w:b/>
          <w:bCs/>
          <w:sz w:val="22"/>
          <w:szCs w:val="22"/>
          <w:u w:val="single"/>
        </w:rPr>
      </w:pPr>
    </w:p>
    <w:p w14:paraId="1CFC7780" w14:textId="77777777" w:rsidR="00726D91" w:rsidRDefault="00726D91" w:rsidP="00175468">
      <w:pPr>
        <w:ind w:right="531"/>
        <w:jc w:val="both"/>
        <w:rPr>
          <w:rFonts w:ascii="Arial" w:eastAsia="Calibri" w:hAnsi="Arial" w:cs="Arial"/>
          <w:b/>
          <w:bCs/>
          <w:sz w:val="22"/>
          <w:szCs w:val="22"/>
          <w:u w:val="single"/>
        </w:rPr>
      </w:pPr>
    </w:p>
    <w:p w14:paraId="223B5DBC" w14:textId="77777777" w:rsidR="00726D91" w:rsidRDefault="00726D91" w:rsidP="00175468">
      <w:pPr>
        <w:ind w:right="531"/>
        <w:jc w:val="both"/>
        <w:rPr>
          <w:rFonts w:ascii="Arial" w:eastAsia="Calibri" w:hAnsi="Arial" w:cs="Arial"/>
          <w:b/>
          <w:bCs/>
          <w:sz w:val="22"/>
          <w:szCs w:val="22"/>
          <w:u w:val="single"/>
        </w:rPr>
      </w:pPr>
    </w:p>
    <w:p w14:paraId="21DB402C" w14:textId="77777777" w:rsidR="00726D91" w:rsidRDefault="00726D91" w:rsidP="00175468">
      <w:pPr>
        <w:ind w:right="531"/>
        <w:jc w:val="both"/>
        <w:rPr>
          <w:rFonts w:ascii="Arial" w:eastAsia="Calibri" w:hAnsi="Arial" w:cs="Arial"/>
          <w:b/>
          <w:bCs/>
          <w:sz w:val="22"/>
          <w:szCs w:val="22"/>
          <w:u w:val="single"/>
        </w:rPr>
      </w:pPr>
    </w:p>
    <w:p w14:paraId="04655FFD" w14:textId="77777777" w:rsidR="00726D91" w:rsidRDefault="00726D91" w:rsidP="00175468">
      <w:pPr>
        <w:ind w:right="531"/>
        <w:jc w:val="both"/>
        <w:rPr>
          <w:rFonts w:ascii="Arial" w:eastAsia="Calibri" w:hAnsi="Arial" w:cs="Arial"/>
          <w:b/>
          <w:bCs/>
          <w:sz w:val="22"/>
          <w:szCs w:val="22"/>
          <w:u w:val="single"/>
        </w:rPr>
      </w:pPr>
    </w:p>
    <w:p w14:paraId="2A3F9662" w14:textId="77777777" w:rsidR="00726D91" w:rsidRDefault="00726D91" w:rsidP="00175468">
      <w:pPr>
        <w:ind w:right="531"/>
        <w:jc w:val="both"/>
        <w:rPr>
          <w:rFonts w:ascii="Arial" w:eastAsia="Calibri" w:hAnsi="Arial" w:cs="Arial"/>
          <w:b/>
          <w:bCs/>
          <w:sz w:val="22"/>
          <w:szCs w:val="22"/>
          <w:u w:val="single"/>
        </w:rPr>
      </w:pPr>
    </w:p>
    <w:p w14:paraId="0DB87E6C" w14:textId="77777777" w:rsidR="00726D91" w:rsidRDefault="00726D91" w:rsidP="00175468">
      <w:pPr>
        <w:ind w:right="531"/>
        <w:jc w:val="both"/>
        <w:rPr>
          <w:rFonts w:ascii="Arial" w:eastAsia="Calibri" w:hAnsi="Arial" w:cs="Arial"/>
          <w:b/>
          <w:bCs/>
          <w:sz w:val="22"/>
          <w:szCs w:val="22"/>
          <w:u w:val="single"/>
        </w:rPr>
      </w:pPr>
    </w:p>
    <w:p w14:paraId="3BA2D953" w14:textId="77777777" w:rsidR="00726D91" w:rsidRDefault="00726D91" w:rsidP="00175468">
      <w:pPr>
        <w:ind w:right="531"/>
        <w:jc w:val="both"/>
        <w:rPr>
          <w:rFonts w:ascii="Arial" w:eastAsia="Calibri" w:hAnsi="Arial" w:cs="Arial"/>
          <w:b/>
          <w:bCs/>
          <w:sz w:val="22"/>
          <w:szCs w:val="22"/>
          <w:u w:val="single"/>
        </w:rPr>
      </w:pPr>
    </w:p>
    <w:p w14:paraId="2616614C" w14:textId="77777777" w:rsidR="00726D91" w:rsidRDefault="00726D91" w:rsidP="00175468">
      <w:pPr>
        <w:ind w:right="531"/>
        <w:jc w:val="both"/>
        <w:rPr>
          <w:rFonts w:ascii="Arial" w:eastAsia="Calibri" w:hAnsi="Arial" w:cs="Arial"/>
          <w:b/>
          <w:bCs/>
          <w:sz w:val="22"/>
          <w:szCs w:val="22"/>
          <w:u w:val="single"/>
        </w:rPr>
      </w:pPr>
    </w:p>
    <w:p w14:paraId="52A8DED1" w14:textId="77777777" w:rsidR="00726D91" w:rsidRDefault="00726D91" w:rsidP="00175468">
      <w:pPr>
        <w:ind w:right="531"/>
        <w:jc w:val="both"/>
        <w:rPr>
          <w:rFonts w:ascii="Arial" w:eastAsia="Calibri" w:hAnsi="Arial" w:cs="Arial"/>
          <w:b/>
          <w:bCs/>
          <w:sz w:val="22"/>
          <w:szCs w:val="22"/>
          <w:u w:val="single"/>
        </w:rPr>
      </w:pPr>
    </w:p>
    <w:p w14:paraId="40ABF47E" w14:textId="77777777" w:rsidR="00726D91" w:rsidRDefault="00726D91" w:rsidP="00175468">
      <w:pPr>
        <w:ind w:right="531"/>
        <w:jc w:val="both"/>
        <w:rPr>
          <w:rFonts w:ascii="Arial" w:eastAsia="Calibri" w:hAnsi="Arial" w:cs="Arial"/>
          <w:b/>
          <w:bCs/>
          <w:sz w:val="22"/>
          <w:szCs w:val="22"/>
          <w:u w:val="single"/>
        </w:rPr>
      </w:pPr>
    </w:p>
    <w:p w14:paraId="6F5AB550" w14:textId="77777777" w:rsidR="00726D91" w:rsidRDefault="00726D91" w:rsidP="00175468">
      <w:pPr>
        <w:ind w:right="531"/>
        <w:jc w:val="both"/>
        <w:rPr>
          <w:rFonts w:ascii="Arial" w:eastAsia="Calibri" w:hAnsi="Arial" w:cs="Arial"/>
          <w:b/>
          <w:bCs/>
          <w:sz w:val="22"/>
          <w:szCs w:val="22"/>
          <w:u w:val="single"/>
        </w:rPr>
      </w:pPr>
    </w:p>
    <w:p w14:paraId="154DB999" w14:textId="77777777" w:rsidR="00726D91" w:rsidRDefault="00726D91" w:rsidP="00175468">
      <w:pPr>
        <w:ind w:right="531"/>
        <w:jc w:val="both"/>
        <w:rPr>
          <w:rFonts w:ascii="Arial" w:eastAsia="Calibri" w:hAnsi="Arial" w:cs="Arial"/>
          <w:b/>
          <w:bCs/>
          <w:sz w:val="22"/>
          <w:szCs w:val="22"/>
          <w:u w:val="single"/>
        </w:rPr>
      </w:pPr>
    </w:p>
    <w:p w14:paraId="63736FC4" w14:textId="77777777" w:rsidR="00726D91" w:rsidRDefault="00726D91" w:rsidP="00175468">
      <w:pPr>
        <w:ind w:right="531"/>
        <w:jc w:val="both"/>
        <w:rPr>
          <w:rFonts w:ascii="Arial" w:eastAsia="Calibri" w:hAnsi="Arial" w:cs="Arial"/>
          <w:b/>
          <w:bCs/>
          <w:sz w:val="22"/>
          <w:szCs w:val="22"/>
          <w:u w:val="single"/>
        </w:rPr>
      </w:pPr>
    </w:p>
    <w:p w14:paraId="607590E1" w14:textId="77777777" w:rsidR="00726D91" w:rsidRDefault="00726D91" w:rsidP="00175468">
      <w:pPr>
        <w:ind w:right="531"/>
        <w:jc w:val="both"/>
        <w:rPr>
          <w:rFonts w:ascii="Arial" w:eastAsia="Calibri" w:hAnsi="Arial" w:cs="Arial"/>
          <w:b/>
          <w:bCs/>
          <w:sz w:val="22"/>
          <w:szCs w:val="22"/>
          <w:u w:val="single"/>
        </w:rPr>
      </w:pPr>
    </w:p>
    <w:p w14:paraId="5CB8D65C" w14:textId="77777777" w:rsidR="00726D91" w:rsidRDefault="00726D91" w:rsidP="00175468">
      <w:pPr>
        <w:ind w:right="531"/>
        <w:jc w:val="both"/>
        <w:rPr>
          <w:rFonts w:ascii="Arial" w:eastAsia="Calibri" w:hAnsi="Arial" w:cs="Arial"/>
          <w:b/>
          <w:bCs/>
          <w:sz w:val="22"/>
          <w:szCs w:val="22"/>
          <w:u w:val="single"/>
        </w:rPr>
      </w:pPr>
    </w:p>
    <w:p w14:paraId="54BAFD05" w14:textId="77777777" w:rsidR="00726D91" w:rsidRDefault="00726D91" w:rsidP="00175468">
      <w:pPr>
        <w:ind w:right="531"/>
        <w:jc w:val="both"/>
        <w:rPr>
          <w:rFonts w:ascii="Arial" w:eastAsia="Calibri" w:hAnsi="Arial" w:cs="Arial"/>
          <w:b/>
          <w:bCs/>
          <w:sz w:val="22"/>
          <w:szCs w:val="22"/>
          <w:u w:val="single"/>
        </w:rPr>
      </w:pPr>
    </w:p>
    <w:p w14:paraId="4C3AC39F" w14:textId="77777777" w:rsidR="00726D91" w:rsidRDefault="00726D91" w:rsidP="00175468">
      <w:pPr>
        <w:ind w:right="531"/>
        <w:jc w:val="both"/>
        <w:rPr>
          <w:rFonts w:ascii="Arial" w:eastAsia="Calibri" w:hAnsi="Arial" w:cs="Arial"/>
          <w:b/>
          <w:bCs/>
          <w:sz w:val="22"/>
          <w:szCs w:val="22"/>
          <w:u w:val="single"/>
        </w:rPr>
      </w:pPr>
    </w:p>
    <w:p w14:paraId="24FF19EF" w14:textId="77777777" w:rsidR="00726D91" w:rsidRDefault="00726D91" w:rsidP="00175468">
      <w:pPr>
        <w:ind w:right="531"/>
        <w:jc w:val="both"/>
        <w:rPr>
          <w:rFonts w:ascii="Arial" w:eastAsia="Calibri" w:hAnsi="Arial" w:cs="Arial"/>
          <w:b/>
          <w:bCs/>
          <w:sz w:val="22"/>
          <w:szCs w:val="22"/>
          <w:u w:val="single"/>
        </w:rPr>
      </w:pPr>
    </w:p>
    <w:p w14:paraId="0AA4ABBA" w14:textId="056F96F6" w:rsidR="0056333A" w:rsidRPr="00B963BA" w:rsidRDefault="0056333A" w:rsidP="00175468">
      <w:pPr>
        <w:ind w:right="531"/>
        <w:jc w:val="both"/>
        <w:rPr>
          <w:rFonts w:ascii="Arial" w:eastAsia="Calibri" w:hAnsi="Arial" w:cs="Arial"/>
          <w:b/>
          <w:bCs/>
          <w:sz w:val="22"/>
          <w:szCs w:val="22"/>
          <w:u w:val="single"/>
        </w:rPr>
      </w:pPr>
      <w:r w:rsidRPr="00B963BA">
        <w:rPr>
          <w:rFonts w:ascii="Arial" w:eastAsia="Calibri" w:hAnsi="Arial" w:cs="Arial"/>
          <w:b/>
          <w:bCs/>
          <w:sz w:val="22"/>
          <w:szCs w:val="22"/>
          <w:u w:val="single"/>
        </w:rPr>
        <w:lastRenderedPageBreak/>
        <w:t>Essay one:</w:t>
      </w:r>
    </w:p>
    <w:p w14:paraId="035AAEB0" w14:textId="77777777" w:rsidR="0056333A" w:rsidRPr="00726D91" w:rsidRDefault="0056333A" w:rsidP="00175468">
      <w:pPr>
        <w:spacing w:line="257" w:lineRule="auto"/>
        <w:ind w:right="531"/>
        <w:rPr>
          <w:rFonts w:ascii="Arial" w:eastAsia="Calibri" w:hAnsi="Arial" w:cs="Arial"/>
          <w:b/>
          <w:bCs/>
          <w:sz w:val="22"/>
          <w:szCs w:val="22"/>
        </w:rPr>
      </w:pPr>
      <w:r w:rsidRPr="00726D91">
        <w:rPr>
          <w:rFonts w:ascii="Arial" w:eastAsia="Calibri" w:hAnsi="Arial" w:cs="Arial"/>
          <w:b/>
          <w:bCs/>
          <w:sz w:val="22"/>
          <w:szCs w:val="22"/>
        </w:rPr>
        <w:t>How effectively has the police service adapted to accommodate diversity within the UK? Consider the police force itself and/or the way police engage with diverse communities.</w:t>
      </w:r>
    </w:p>
    <w:p w14:paraId="3C4962D2" w14:textId="77777777" w:rsidR="0056333A" w:rsidRDefault="0056333A" w:rsidP="00175468">
      <w:pPr>
        <w:spacing w:line="257" w:lineRule="auto"/>
        <w:ind w:right="531"/>
        <w:rPr>
          <w:rFonts w:ascii="Arial" w:hAnsi="Arial" w:cs="Arial"/>
          <w:sz w:val="22"/>
          <w:szCs w:val="22"/>
        </w:rPr>
      </w:pPr>
    </w:p>
    <w:p w14:paraId="6660D3C6" w14:textId="061CDE1F" w:rsidR="0056333A" w:rsidRDefault="0056333A" w:rsidP="00175468">
      <w:pPr>
        <w:spacing w:line="257" w:lineRule="auto"/>
        <w:ind w:right="531"/>
        <w:rPr>
          <w:rFonts w:ascii="Arial" w:hAnsi="Arial" w:cs="Arial"/>
          <w:sz w:val="22"/>
          <w:szCs w:val="22"/>
        </w:rPr>
      </w:pPr>
      <w:r>
        <w:rPr>
          <w:rFonts w:ascii="Arial" w:hAnsi="Arial" w:cs="Arial"/>
          <w:sz w:val="22"/>
          <w:szCs w:val="22"/>
        </w:rPr>
        <w:t>The United Kingdom’s diverse population is shaped by immigration, globalisation and changing in demographics all of which presents complex challenges and opportunities for the police force</w:t>
      </w:r>
      <w:r w:rsidR="00175468">
        <w:rPr>
          <w:rFonts w:ascii="Arial" w:hAnsi="Arial" w:cs="Arial"/>
          <w:sz w:val="22"/>
          <w:szCs w:val="22"/>
        </w:rPr>
        <w:t xml:space="preserve"> </w:t>
      </w:r>
      <w:sdt>
        <w:sdtPr>
          <w:rPr>
            <w:rFonts w:ascii="Arial" w:hAnsi="Arial" w:cs="Arial"/>
            <w:sz w:val="22"/>
            <w:szCs w:val="22"/>
          </w:rPr>
          <w:id w:val="-1359653464"/>
          <w:citation/>
        </w:sdtPr>
        <w:sdtContent>
          <w:r w:rsidR="00175468">
            <w:rPr>
              <w:rFonts w:ascii="Arial" w:hAnsi="Arial" w:cs="Arial"/>
              <w:sz w:val="22"/>
              <w:szCs w:val="22"/>
            </w:rPr>
            <w:fldChar w:fldCharType="begin"/>
          </w:r>
          <w:r w:rsidR="00175468">
            <w:rPr>
              <w:rFonts w:ascii="Arial" w:hAnsi="Arial" w:cs="Arial"/>
              <w:sz w:val="22"/>
              <w:szCs w:val="22"/>
            </w:rPr>
            <w:instrText xml:space="preserve">CITATION Bet \l 2057 </w:instrText>
          </w:r>
          <w:r w:rsidR="00175468">
            <w:rPr>
              <w:rFonts w:ascii="Arial" w:hAnsi="Arial" w:cs="Arial"/>
              <w:sz w:val="22"/>
              <w:szCs w:val="22"/>
            </w:rPr>
            <w:fldChar w:fldCharType="separate"/>
          </w:r>
          <w:r w:rsidR="00175468" w:rsidRPr="00175468">
            <w:rPr>
              <w:rFonts w:ascii="Arial" w:hAnsi="Arial" w:cs="Arial"/>
              <w:noProof/>
              <w:sz w:val="22"/>
              <w:szCs w:val="22"/>
            </w:rPr>
            <w:t>(Loftus, 2009)</w:t>
          </w:r>
          <w:r w:rsidR="00175468">
            <w:rPr>
              <w:rFonts w:ascii="Arial" w:hAnsi="Arial" w:cs="Arial"/>
              <w:sz w:val="22"/>
              <w:szCs w:val="22"/>
            </w:rPr>
            <w:fldChar w:fldCharType="end"/>
          </w:r>
        </w:sdtContent>
      </w:sdt>
      <w:r>
        <w:rPr>
          <w:rFonts w:ascii="Arial" w:hAnsi="Arial" w:cs="Arial"/>
          <w:sz w:val="22"/>
          <w:szCs w:val="22"/>
        </w:rPr>
        <w:t xml:space="preserve">. Cultural competences are required for effective policing along with representative recruitment and community engagement. This essay uses </w:t>
      </w:r>
      <w:proofErr w:type="spellStart"/>
      <w:r>
        <w:rPr>
          <w:rFonts w:ascii="Arial" w:hAnsi="Arial" w:cs="Arial"/>
          <w:sz w:val="22"/>
          <w:szCs w:val="22"/>
        </w:rPr>
        <w:t>Borton’s</w:t>
      </w:r>
      <w:proofErr w:type="spellEnd"/>
      <w:r>
        <w:rPr>
          <w:rFonts w:ascii="Arial" w:hAnsi="Arial" w:cs="Arial"/>
          <w:sz w:val="22"/>
          <w:szCs w:val="22"/>
        </w:rPr>
        <w:t xml:space="preserve"> (1970) reflective model </w:t>
      </w:r>
      <w:proofErr w:type="gramStart"/>
      <w:r>
        <w:rPr>
          <w:rFonts w:ascii="Arial" w:hAnsi="Arial" w:cs="Arial"/>
          <w:sz w:val="22"/>
          <w:szCs w:val="22"/>
        </w:rPr>
        <w:t>in order to</w:t>
      </w:r>
      <w:proofErr w:type="gramEnd"/>
      <w:r>
        <w:rPr>
          <w:rFonts w:ascii="Arial" w:hAnsi="Arial" w:cs="Arial"/>
          <w:sz w:val="22"/>
          <w:szCs w:val="22"/>
        </w:rPr>
        <w:t xml:space="preserve"> explore how effectively the United Kingdom’s police force has adapted to accommodate diversity with the consideration of internal structures and changes and external engagement with minority communities</w:t>
      </w:r>
      <w:r w:rsidR="00175468">
        <w:rPr>
          <w:rFonts w:ascii="Arial" w:hAnsi="Arial" w:cs="Arial"/>
          <w:sz w:val="22"/>
          <w:szCs w:val="22"/>
        </w:rPr>
        <w:t xml:space="preserve"> </w:t>
      </w:r>
      <w:sdt>
        <w:sdtPr>
          <w:rPr>
            <w:rFonts w:ascii="Arial" w:hAnsi="Arial" w:cs="Arial"/>
            <w:sz w:val="22"/>
            <w:szCs w:val="22"/>
          </w:rPr>
          <w:id w:val="577719440"/>
          <w:citation/>
        </w:sdtPr>
        <w:sdtContent>
          <w:r w:rsidR="00175468">
            <w:rPr>
              <w:rFonts w:ascii="Arial" w:hAnsi="Arial" w:cs="Arial"/>
              <w:sz w:val="22"/>
              <w:szCs w:val="22"/>
            </w:rPr>
            <w:fldChar w:fldCharType="begin"/>
          </w:r>
          <w:r w:rsidR="00175468">
            <w:rPr>
              <w:rFonts w:ascii="Arial" w:hAnsi="Arial" w:cs="Arial"/>
              <w:sz w:val="22"/>
              <w:szCs w:val="22"/>
            </w:rPr>
            <w:instrText xml:space="preserve"> CITATION Nic10 \l 2057 </w:instrText>
          </w:r>
          <w:r w:rsidR="00175468">
            <w:rPr>
              <w:rFonts w:ascii="Arial" w:hAnsi="Arial" w:cs="Arial"/>
              <w:sz w:val="22"/>
              <w:szCs w:val="22"/>
            </w:rPr>
            <w:fldChar w:fldCharType="separate"/>
          </w:r>
          <w:r w:rsidR="00175468" w:rsidRPr="00175468">
            <w:rPr>
              <w:rFonts w:ascii="Arial" w:hAnsi="Arial" w:cs="Arial"/>
              <w:noProof/>
              <w:sz w:val="22"/>
              <w:szCs w:val="22"/>
            </w:rPr>
            <w:t>(Morant &amp; Edwards, 2010)</w:t>
          </w:r>
          <w:r w:rsidR="00175468">
            <w:rPr>
              <w:rFonts w:ascii="Arial" w:hAnsi="Arial" w:cs="Arial"/>
              <w:sz w:val="22"/>
              <w:szCs w:val="22"/>
            </w:rPr>
            <w:fldChar w:fldCharType="end"/>
          </w:r>
        </w:sdtContent>
      </w:sdt>
      <w:r>
        <w:rPr>
          <w:rFonts w:ascii="Arial" w:hAnsi="Arial" w:cs="Arial"/>
          <w:sz w:val="22"/>
          <w:szCs w:val="22"/>
        </w:rPr>
        <w:t>. This analysis and essay are supported by academic research and policy which draws on professional experience in policing.</w:t>
      </w:r>
    </w:p>
    <w:p w14:paraId="2BA949B1" w14:textId="77777777" w:rsidR="0056333A" w:rsidRDefault="0056333A" w:rsidP="00175468">
      <w:pPr>
        <w:spacing w:line="257" w:lineRule="auto"/>
        <w:ind w:right="531"/>
        <w:rPr>
          <w:rFonts w:ascii="Arial" w:hAnsi="Arial" w:cs="Arial"/>
          <w:sz w:val="22"/>
          <w:szCs w:val="22"/>
        </w:rPr>
      </w:pPr>
    </w:p>
    <w:p w14:paraId="187CE152" w14:textId="58AECC1B"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Following The Stephen Lawrence Inquiry, over the last three decades, diversity within the police have gained prominence. This </w:t>
      </w:r>
      <w:proofErr w:type="gramStart"/>
      <w:r>
        <w:rPr>
          <w:rFonts w:ascii="Arial" w:hAnsi="Arial" w:cs="Arial"/>
          <w:sz w:val="22"/>
          <w:szCs w:val="22"/>
        </w:rPr>
        <w:t>particular inquiry</w:t>
      </w:r>
      <w:proofErr w:type="gramEnd"/>
      <w:r>
        <w:rPr>
          <w:rFonts w:ascii="Arial" w:hAnsi="Arial" w:cs="Arial"/>
          <w:sz w:val="22"/>
          <w:szCs w:val="22"/>
        </w:rPr>
        <w:t xml:space="preserve"> supported the identification of institutional racism within the Metropolitan Police and further to this, led to 70 different recommendations to help improve recruitment, training and stop search accountability along with community relations</w:t>
      </w:r>
      <w:r w:rsidR="00175468">
        <w:rPr>
          <w:rFonts w:ascii="Arial" w:hAnsi="Arial" w:cs="Arial"/>
          <w:sz w:val="22"/>
          <w:szCs w:val="22"/>
        </w:rPr>
        <w:t xml:space="preserve"> </w:t>
      </w:r>
      <w:sdt>
        <w:sdtPr>
          <w:rPr>
            <w:rFonts w:ascii="Arial" w:hAnsi="Arial" w:cs="Arial"/>
            <w:sz w:val="22"/>
            <w:szCs w:val="22"/>
          </w:rPr>
          <w:id w:val="-1380626249"/>
          <w:citation/>
        </w:sdtPr>
        <w:sdtContent>
          <w:r w:rsidR="00175468">
            <w:rPr>
              <w:rFonts w:ascii="Arial" w:hAnsi="Arial" w:cs="Arial"/>
              <w:sz w:val="22"/>
              <w:szCs w:val="22"/>
            </w:rPr>
            <w:fldChar w:fldCharType="begin"/>
          </w:r>
          <w:r w:rsidR="00175468">
            <w:rPr>
              <w:rFonts w:ascii="Arial" w:hAnsi="Arial" w:cs="Arial"/>
              <w:sz w:val="22"/>
              <w:szCs w:val="22"/>
            </w:rPr>
            <w:instrText xml:space="preserve"> CITATION Ani24 \l 2057 </w:instrText>
          </w:r>
          <w:r w:rsidR="00175468">
            <w:rPr>
              <w:rFonts w:ascii="Arial" w:hAnsi="Arial" w:cs="Arial"/>
              <w:sz w:val="22"/>
              <w:szCs w:val="22"/>
            </w:rPr>
            <w:fldChar w:fldCharType="separate"/>
          </w:r>
          <w:r w:rsidR="00175468" w:rsidRPr="00175468">
            <w:rPr>
              <w:rFonts w:ascii="Arial" w:hAnsi="Arial" w:cs="Arial"/>
              <w:noProof/>
              <w:sz w:val="22"/>
              <w:szCs w:val="22"/>
            </w:rPr>
            <w:t>(Basu, 2024)</w:t>
          </w:r>
          <w:r w:rsidR="00175468">
            <w:rPr>
              <w:rFonts w:ascii="Arial" w:hAnsi="Arial" w:cs="Arial"/>
              <w:sz w:val="22"/>
              <w:szCs w:val="22"/>
            </w:rPr>
            <w:fldChar w:fldCharType="end"/>
          </w:r>
        </w:sdtContent>
      </w:sdt>
      <w:r>
        <w:rPr>
          <w:rFonts w:ascii="Arial" w:hAnsi="Arial" w:cs="Arial"/>
          <w:sz w:val="22"/>
          <w:szCs w:val="22"/>
        </w:rPr>
        <w:t>.</w:t>
      </w:r>
    </w:p>
    <w:p w14:paraId="09DCCE59" w14:textId="77777777" w:rsidR="0056333A" w:rsidRDefault="0056333A" w:rsidP="00175468">
      <w:pPr>
        <w:spacing w:line="257" w:lineRule="auto"/>
        <w:ind w:right="531"/>
        <w:rPr>
          <w:rFonts w:ascii="Arial" w:hAnsi="Arial" w:cs="Arial"/>
          <w:sz w:val="22"/>
          <w:szCs w:val="22"/>
        </w:rPr>
      </w:pPr>
    </w:p>
    <w:p w14:paraId="76E4F1B6" w14:textId="00479E98"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Efforts have been made to improve diversity within the police force such as Positive Action. Positive Action was created </w:t>
      </w:r>
      <w:proofErr w:type="gramStart"/>
      <w:r>
        <w:rPr>
          <w:rFonts w:ascii="Arial" w:hAnsi="Arial" w:cs="Arial"/>
          <w:sz w:val="22"/>
          <w:szCs w:val="22"/>
        </w:rPr>
        <w:t>in order to</w:t>
      </w:r>
      <w:proofErr w:type="gramEnd"/>
      <w:r>
        <w:rPr>
          <w:rFonts w:ascii="Arial" w:hAnsi="Arial" w:cs="Arial"/>
          <w:sz w:val="22"/>
          <w:szCs w:val="22"/>
        </w:rPr>
        <w:t xml:space="preserve"> address the underrepresentation of Black, Asian and Minority Ethics Officers</w:t>
      </w:r>
      <w:r w:rsidR="00175468">
        <w:rPr>
          <w:rFonts w:ascii="Arial" w:hAnsi="Arial" w:cs="Arial"/>
          <w:sz w:val="22"/>
          <w:szCs w:val="22"/>
        </w:rPr>
        <w:t xml:space="preserve"> </w:t>
      </w:r>
      <w:sdt>
        <w:sdtPr>
          <w:rPr>
            <w:rFonts w:ascii="Arial" w:hAnsi="Arial" w:cs="Arial"/>
            <w:sz w:val="22"/>
            <w:szCs w:val="22"/>
          </w:rPr>
          <w:id w:val="-1713876123"/>
          <w:citation/>
        </w:sdtPr>
        <w:sdtContent>
          <w:r w:rsidR="00175468">
            <w:rPr>
              <w:rFonts w:ascii="Arial" w:hAnsi="Arial" w:cs="Arial"/>
              <w:sz w:val="22"/>
              <w:szCs w:val="22"/>
            </w:rPr>
            <w:fldChar w:fldCharType="begin"/>
          </w:r>
          <w:r w:rsidR="00175468">
            <w:rPr>
              <w:rFonts w:ascii="Arial" w:hAnsi="Arial" w:cs="Arial"/>
              <w:sz w:val="22"/>
              <w:szCs w:val="22"/>
            </w:rPr>
            <w:instrText xml:space="preserve"> CITATION Ire17 \l 2057 </w:instrText>
          </w:r>
          <w:r w:rsidR="00175468">
            <w:rPr>
              <w:rFonts w:ascii="Arial" w:hAnsi="Arial" w:cs="Arial"/>
              <w:sz w:val="22"/>
              <w:szCs w:val="22"/>
            </w:rPr>
            <w:fldChar w:fldCharType="separate"/>
          </w:r>
          <w:r w:rsidR="00175468" w:rsidRPr="00175468">
            <w:rPr>
              <w:rFonts w:ascii="Arial" w:hAnsi="Arial" w:cs="Arial"/>
              <w:noProof/>
              <w:sz w:val="22"/>
              <w:szCs w:val="22"/>
            </w:rPr>
            <w:t>(Afful, 2017)</w:t>
          </w:r>
          <w:r w:rsidR="00175468">
            <w:rPr>
              <w:rFonts w:ascii="Arial" w:hAnsi="Arial" w:cs="Arial"/>
              <w:sz w:val="22"/>
              <w:szCs w:val="22"/>
            </w:rPr>
            <w:fldChar w:fldCharType="end"/>
          </w:r>
        </w:sdtContent>
      </w:sdt>
      <w:r>
        <w:rPr>
          <w:rFonts w:ascii="Arial" w:hAnsi="Arial" w:cs="Arial"/>
          <w:sz w:val="22"/>
          <w:szCs w:val="22"/>
        </w:rPr>
        <w:t>. The Police Uplift Programme which launched in 2019 aimed to recruit 20,000 additional officers along with improving representation. However, as of 2023, only 8.3% of officers in England and Wales were from Black, Asian, and Minority Ethnic backgrounds compared to 14.4% of the general population which shows that the uptake remains disproportionate. This is shown even lower in senior roles which only 5% of chief officers being from Black, Asian, and Minority Ethnic backgrounds</w:t>
      </w:r>
      <w:r w:rsidR="00175468">
        <w:rPr>
          <w:rFonts w:ascii="Arial" w:hAnsi="Arial" w:cs="Arial"/>
          <w:sz w:val="22"/>
          <w:szCs w:val="22"/>
        </w:rPr>
        <w:t xml:space="preserve"> </w:t>
      </w:r>
      <w:sdt>
        <w:sdtPr>
          <w:rPr>
            <w:rFonts w:ascii="Arial" w:hAnsi="Arial" w:cs="Arial"/>
            <w:sz w:val="22"/>
            <w:szCs w:val="22"/>
          </w:rPr>
          <w:id w:val="-1468193317"/>
          <w:citation/>
        </w:sdtPr>
        <w:sdtContent>
          <w:r w:rsidR="00175468">
            <w:rPr>
              <w:rFonts w:ascii="Arial" w:hAnsi="Arial" w:cs="Arial"/>
              <w:sz w:val="22"/>
              <w:szCs w:val="22"/>
            </w:rPr>
            <w:fldChar w:fldCharType="begin"/>
          </w:r>
          <w:r w:rsidR="00175468">
            <w:rPr>
              <w:rFonts w:ascii="Arial" w:hAnsi="Arial" w:cs="Arial"/>
              <w:sz w:val="22"/>
              <w:szCs w:val="22"/>
            </w:rPr>
            <w:instrText xml:space="preserve"> CITATION Gar23 \l 2057 </w:instrText>
          </w:r>
          <w:r w:rsidR="00175468">
            <w:rPr>
              <w:rFonts w:ascii="Arial" w:hAnsi="Arial" w:cs="Arial"/>
              <w:sz w:val="22"/>
              <w:szCs w:val="22"/>
            </w:rPr>
            <w:fldChar w:fldCharType="separate"/>
          </w:r>
          <w:r w:rsidR="00175468" w:rsidRPr="00175468">
            <w:rPr>
              <w:rFonts w:ascii="Arial" w:hAnsi="Arial" w:cs="Arial"/>
              <w:noProof/>
              <w:sz w:val="22"/>
              <w:szCs w:val="22"/>
            </w:rPr>
            <w:t>(Stubbs, 2023)</w:t>
          </w:r>
          <w:r w:rsidR="00175468">
            <w:rPr>
              <w:rFonts w:ascii="Arial" w:hAnsi="Arial" w:cs="Arial"/>
              <w:sz w:val="22"/>
              <w:szCs w:val="22"/>
            </w:rPr>
            <w:fldChar w:fldCharType="end"/>
          </w:r>
        </w:sdtContent>
      </w:sdt>
      <w:r>
        <w:rPr>
          <w:rFonts w:ascii="Arial" w:hAnsi="Arial" w:cs="Arial"/>
          <w:sz w:val="22"/>
          <w:szCs w:val="22"/>
        </w:rPr>
        <w:t>.</w:t>
      </w:r>
    </w:p>
    <w:p w14:paraId="4819DAF6" w14:textId="77777777" w:rsidR="0056333A" w:rsidRDefault="0056333A" w:rsidP="00175468">
      <w:pPr>
        <w:spacing w:line="257" w:lineRule="auto"/>
        <w:ind w:right="531"/>
        <w:rPr>
          <w:rFonts w:ascii="Arial" w:hAnsi="Arial" w:cs="Arial"/>
          <w:sz w:val="22"/>
          <w:szCs w:val="22"/>
        </w:rPr>
      </w:pPr>
    </w:p>
    <w:p w14:paraId="22F1F559" w14:textId="15F6066B"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Research by </w:t>
      </w:r>
      <w:sdt>
        <w:sdtPr>
          <w:rPr>
            <w:rFonts w:ascii="Arial" w:hAnsi="Arial" w:cs="Arial"/>
            <w:sz w:val="22"/>
            <w:szCs w:val="22"/>
          </w:rPr>
          <w:id w:val="805129235"/>
          <w:citation/>
        </w:sdtPr>
        <w:sdtContent>
          <w:r w:rsidR="00F05F4C">
            <w:rPr>
              <w:rFonts w:ascii="Arial" w:hAnsi="Arial" w:cs="Arial"/>
              <w:sz w:val="22"/>
              <w:szCs w:val="22"/>
            </w:rPr>
            <w:fldChar w:fldCharType="begin"/>
          </w:r>
          <w:r w:rsidR="00F05F4C">
            <w:rPr>
              <w:rFonts w:ascii="Arial" w:hAnsi="Arial" w:cs="Arial"/>
              <w:sz w:val="22"/>
              <w:szCs w:val="22"/>
            </w:rPr>
            <w:instrText xml:space="preserve"> CITATION Jac16 \l 2057 </w:instrText>
          </w:r>
          <w:r w:rsidR="00F05F4C">
            <w:rPr>
              <w:rFonts w:ascii="Arial" w:hAnsi="Arial" w:cs="Arial"/>
              <w:sz w:val="22"/>
              <w:szCs w:val="22"/>
            </w:rPr>
            <w:fldChar w:fldCharType="separate"/>
          </w:r>
          <w:r w:rsidR="00F05F4C" w:rsidRPr="00F05F4C">
            <w:rPr>
              <w:rFonts w:ascii="Arial" w:hAnsi="Arial" w:cs="Arial"/>
              <w:noProof/>
              <w:sz w:val="22"/>
              <w:szCs w:val="22"/>
            </w:rPr>
            <w:t>(Goode &amp; Lumsden, 2016)</w:t>
          </w:r>
          <w:r w:rsidR="00F05F4C">
            <w:rPr>
              <w:rFonts w:ascii="Arial" w:hAnsi="Arial" w:cs="Arial"/>
              <w:sz w:val="22"/>
              <w:szCs w:val="22"/>
            </w:rPr>
            <w:fldChar w:fldCharType="end"/>
          </w:r>
        </w:sdtContent>
      </w:sdt>
      <w:r>
        <w:rPr>
          <w:rFonts w:ascii="Arial" w:hAnsi="Arial" w:cs="Arial"/>
          <w:sz w:val="22"/>
          <w:szCs w:val="22"/>
        </w:rPr>
        <w:t xml:space="preserve">found that while training within police forces raised awareness, it does not necessarily translate to behavioural change unless it is in used in practice and evaluated regularly. This is due to cultural competency and unconscious bias being rolled out in forces nationally. In addition to this, </w:t>
      </w:r>
      <w:sdt>
        <w:sdtPr>
          <w:rPr>
            <w:rFonts w:ascii="Arial" w:hAnsi="Arial" w:cs="Arial"/>
            <w:sz w:val="22"/>
            <w:szCs w:val="22"/>
          </w:rPr>
          <w:id w:val="126132815"/>
          <w:citation/>
        </w:sdtPr>
        <w:sdtContent>
          <w:r w:rsidR="00F05F4C">
            <w:rPr>
              <w:rFonts w:ascii="Arial" w:hAnsi="Arial" w:cs="Arial"/>
              <w:sz w:val="22"/>
              <w:szCs w:val="22"/>
            </w:rPr>
            <w:fldChar w:fldCharType="begin"/>
          </w:r>
          <w:r w:rsidR="00F05F4C">
            <w:rPr>
              <w:rFonts w:ascii="Arial" w:hAnsi="Arial" w:cs="Arial"/>
              <w:sz w:val="22"/>
              <w:szCs w:val="22"/>
            </w:rPr>
            <w:instrText xml:space="preserve"> CITATION Bet \l 2057 </w:instrText>
          </w:r>
          <w:r w:rsidR="00F05F4C">
            <w:rPr>
              <w:rFonts w:ascii="Arial" w:hAnsi="Arial" w:cs="Arial"/>
              <w:sz w:val="22"/>
              <w:szCs w:val="22"/>
            </w:rPr>
            <w:fldChar w:fldCharType="separate"/>
          </w:r>
          <w:r w:rsidR="00F05F4C" w:rsidRPr="00F05F4C">
            <w:rPr>
              <w:rFonts w:ascii="Arial" w:hAnsi="Arial" w:cs="Arial"/>
              <w:noProof/>
              <w:sz w:val="22"/>
              <w:szCs w:val="22"/>
            </w:rPr>
            <w:t>(Loftus, 2009)</w:t>
          </w:r>
          <w:r w:rsidR="00F05F4C">
            <w:rPr>
              <w:rFonts w:ascii="Arial" w:hAnsi="Arial" w:cs="Arial"/>
              <w:sz w:val="22"/>
              <w:szCs w:val="22"/>
            </w:rPr>
            <w:fldChar w:fldCharType="end"/>
          </w:r>
        </w:sdtContent>
      </w:sdt>
      <w:r>
        <w:rPr>
          <w:rFonts w:ascii="Arial" w:hAnsi="Arial" w:cs="Arial"/>
          <w:sz w:val="22"/>
          <w:szCs w:val="22"/>
        </w:rPr>
        <w:t>highlights how reform is hindered due to fundamental elements of police culture such as risk aversion and cynicisms along with group solidarity</w:t>
      </w:r>
      <w:r w:rsidR="00F05F4C">
        <w:rPr>
          <w:rFonts w:ascii="Arial" w:hAnsi="Arial" w:cs="Arial"/>
          <w:sz w:val="22"/>
          <w:szCs w:val="22"/>
        </w:rPr>
        <w:t>.</w:t>
      </w:r>
    </w:p>
    <w:p w14:paraId="375E12FA" w14:textId="77777777" w:rsidR="0056333A" w:rsidRDefault="0056333A" w:rsidP="00175468">
      <w:pPr>
        <w:spacing w:line="257" w:lineRule="auto"/>
        <w:ind w:right="531"/>
        <w:rPr>
          <w:rFonts w:ascii="Arial" w:hAnsi="Arial" w:cs="Arial"/>
          <w:sz w:val="22"/>
          <w:szCs w:val="22"/>
        </w:rPr>
      </w:pPr>
    </w:p>
    <w:p w14:paraId="2F0ACAC7" w14:textId="24911D3A"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Other initiatives such as Neighbourhood Policing, Independent Advisory Groups and Stop and Search Monitoring Panels were introduced </w:t>
      </w:r>
      <w:proofErr w:type="gramStart"/>
      <w:r>
        <w:rPr>
          <w:rFonts w:ascii="Arial" w:hAnsi="Arial" w:cs="Arial"/>
          <w:sz w:val="22"/>
          <w:szCs w:val="22"/>
        </w:rPr>
        <w:t>in order to</w:t>
      </w:r>
      <w:proofErr w:type="gramEnd"/>
      <w:r>
        <w:rPr>
          <w:rFonts w:ascii="Arial" w:hAnsi="Arial" w:cs="Arial"/>
          <w:sz w:val="22"/>
          <w:szCs w:val="22"/>
        </w:rPr>
        <w:t xml:space="preserve"> improve community trust and officer accountability</w:t>
      </w:r>
      <w:r w:rsidR="00F05F4C">
        <w:rPr>
          <w:rFonts w:ascii="Arial" w:hAnsi="Arial" w:cs="Arial"/>
          <w:sz w:val="22"/>
          <w:szCs w:val="22"/>
        </w:rPr>
        <w:t xml:space="preserve"> </w:t>
      </w:r>
      <w:sdt>
        <w:sdtPr>
          <w:rPr>
            <w:rFonts w:ascii="Arial" w:hAnsi="Arial" w:cs="Arial"/>
            <w:sz w:val="22"/>
            <w:szCs w:val="22"/>
          </w:rPr>
          <w:id w:val="1915658848"/>
          <w:citation/>
        </w:sdtPr>
        <w:sdtContent>
          <w:r w:rsidR="00F05F4C">
            <w:rPr>
              <w:rFonts w:ascii="Arial" w:hAnsi="Arial" w:cs="Arial"/>
              <w:sz w:val="22"/>
              <w:szCs w:val="22"/>
            </w:rPr>
            <w:fldChar w:fldCharType="begin"/>
          </w:r>
          <w:r w:rsidR="00F05F4C">
            <w:rPr>
              <w:rFonts w:ascii="Arial" w:hAnsi="Arial" w:cs="Arial"/>
              <w:sz w:val="22"/>
              <w:szCs w:val="22"/>
            </w:rPr>
            <w:instrText xml:space="preserve"> CITATION Ian071 \l 2057 </w:instrText>
          </w:r>
          <w:r w:rsidR="00F05F4C">
            <w:rPr>
              <w:rFonts w:ascii="Arial" w:hAnsi="Arial" w:cs="Arial"/>
              <w:sz w:val="22"/>
              <w:szCs w:val="22"/>
            </w:rPr>
            <w:fldChar w:fldCharType="separate"/>
          </w:r>
          <w:r w:rsidR="00F05F4C" w:rsidRPr="00F05F4C">
            <w:rPr>
              <w:rFonts w:ascii="Arial" w:hAnsi="Arial" w:cs="Arial"/>
              <w:noProof/>
              <w:sz w:val="22"/>
              <w:szCs w:val="22"/>
            </w:rPr>
            <w:t>(Barnes &amp; Eagle, 2007)</w:t>
          </w:r>
          <w:r w:rsidR="00F05F4C">
            <w:rPr>
              <w:rFonts w:ascii="Arial" w:hAnsi="Arial" w:cs="Arial"/>
              <w:sz w:val="22"/>
              <w:szCs w:val="22"/>
            </w:rPr>
            <w:fldChar w:fldCharType="end"/>
          </w:r>
        </w:sdtContent>
      </w:sdt>
      <w:r>
        <w:rPr>
          <w:rFonts w:ascii="Arial" w:hAnsi="Arial" w:cs="Arial"/>
          <w:sz w:val="22"/>
          <w:szCs w:val="22"/>
        </w:rPr>
        <w:t xml:space="preserve">. However, the use of Stop and Search remains controversial. </w:t>
      </w:r>
      <w:sdt>
        <w:sdtPr>
          <w:rPr>
            <w:rFonts w:ascii="Arial" w:hAnsi="Arial" w:cs="Arial"/>
            <w:sz w:val="22"/>
            <w:szCs w:val="22"/>
          </w:rPr>
          <w:id w:val="-200942296"/>
          <w:citation/>
        </w:sdtPr>
        <w:sdtContent>
          <w:r w:rsidR="00F05F4C">
            <w:rPr>
              <w:rFonts w:ascii="Arial" w:hAnsi="Arial" w:cs="Arial"/>
              <w:sz w:val="22"/>
              <w:szCs w:val="22"/>
            </w:rPr>
            <w:fldChar w:fldCharType="begin"/>
          </w:r>
          <w:r w:rsidR="00F05F4C">
            <w:rPr>
              <w:rFonts w:ascii="Arial" w:hAnsi="Arial" w:cs="Arial"/>
              <w:sz w:val="22"/>
              <w:szCs w:val="22"/>
            </w:rPr>
            <w:instrText xml:space="preserve"> CITATION Kos24 \l 2057 </w:instrText>
          </w:r>
          <w:r w:rsidR="00F05F4C">
            <w:rPr>
              <w:rFonts w:ascii="Arial" w:hAnsi="Arial" w:cs="Arial"/>
              <w:sz w:val="22"/>
              <w:szCs w:val="22"/>
            </w:rPr>
            <w:fldChar w:fldCharType="separate"/>
          </w:r>
          <w:r w:rsidR="00F05F4C" w:rsidRPr="00F05F4C">
            <w:rPr>
              <w:rFonts w:ascii="Arial" w:hAnsi="Arial" w:cs="Arial"/>
              <w:noProof/>
              <w:sz w:val="22"/>
              <w:szCs w:val="22"/>
            </w:rPr>
            <w:t>(Duff &amp; Kemp, 2024)</w:t>
          </w:r>
          <w:r w:rsidR="00F05F4C">
            <w:rPr>
              <w:rFonts w:ascii="Arial" w:hAnsi="Arial" w:cs="Arial"/>
              <w:sz w:val="22"/>
              <w:szCs w:val="22"/>
            </w:rPr>
            <w:fldChar w:fldCharType="end"/>
          </w:r>
        </w:sdtContent>
      </w:sdt>
      <w:r w:rsidR="00F05F4C">
        <w:rPr>
          <w:rFonts w:ascii="Arial" w:hAnsi="Arial" w:cs="Arial"/>
          <w:sz w:val="22"/>
          <w:szCs w:val="22"/>
        </w:rPr>
        <w:t xml:space="preserve"> </w:t>
      </w:r>
      <w:r>
        <w:rPr>
          <w:rFonts w:ascii="Arial" w:hAnsi="Arial" w:cs="Arial"/>
          <w:sz w:val="22"/>
          <w:szCs w:val="22"/>
        </w:rPr>
        <w:t>highlights how Black People are 9.7 times more likely to be stopped and searched over White People despite the lower detection rates. Research such as HMICFRS concludes that stop and search powers are largely used still, such as Section 60 Stop and Searches which allow searches to be conducted without reasonable suspicion</w:t>
      </w:r>
      <w:r w:rsidR="00F05F4C">
        <w:rPr>
          <w:rFonts w:ascii="Arial" w:hAnsi="Arial" w:cs="Arial"/>
          <w:sz w:val="22"/>
          <w:szCs w:val="22"/>
        </w:rPr>
        <w:t xml:space="preserve"> </w:t>
      </w:r>
      <w:sdt>
        <w:sdtPr>
          <w:rPr>
            <w:rFonts w:ascii="Arial" w:hAnsi="Arial" w:cs="Arial"/>
            <w:sz w:val="22"/>
            <w:szCs w:val="22"/>
          </w:rPr>
          <w:id w:val="-105963675"/>
          <w:citation/>
        </w:sdtPr>
        <w:sdtContent>
          <w:r w:rsidR="00F05F4C">
            <w:rPr>
              <w:rFonts w:ascii="Arial" w:hAnsi="Arial" w:cs="Arial"/>
              <w:sz w:val="22"/>
              <w:szCs w:val="22"/>
            </w:rPr>
            <w:fldChar w:fldCharType="begin"/>
          </w:r>
          <w:r w:rsidR="00F05F4C">
            <w:rPr>
              <w:rFonts w:ascii="Arial" w:hAnsi="Arial" w:cs="Arial"/>
              <w:sz w:val="22"/>
              <w:szCs w:val="22"/>
            </w:rPr>
            <w:instrText xml:space="preserve"> CITATION Ben17 \l 2057 </w:instrText>
          </w:r>
          <w:r w:rsidR="00F05F4C">
            <w:rPr>
              <w:rFonts w:ascii="Arial" w:hAnsi="Arial" w:cs="Arial"/>
              <w:sz w:val="22"/>
              <w:szCs w:val="22"/>
            </w:rPr>
            <w:fldChar w:fldCharType="separate"/>
          </w:r>
          <w:r w:rsidR="00F05F4C" w:rsidRPr="00F05F4C">
            <w:rPr>
              <w:rFonts w:ascii="Arial" w:hAnsi="Arial" w:cs="Arial"/>
              <w:noProof/>
              <w:sz w:val="22"/>
              <w:szCs w:val="22"/>
            </w:rPr>
            <w:t>(Bowling, 2017)</w:t>
          </w:r>
          <w:r w:rsidR="00F05F4C">
            <w:rPr>
              <w:rFonts w:ascii="Arial" w:hAnsi="Arial" w:cs="Arial"/>
              <w:sz w:val="22"/>
              <w:szCs w:val="22"/>
            </w:rPr>
            <w:fldChar w:fldCharType="end"/>
          </w:r>
        </w:sdtContent>
      </w:sdt>
      <w:r>
        <w:rPr>
          <w:rFonts w:ascii="Arial" w:hAnsi="Arial" w:cs="Arial"/>
          <w:sz w:val="22"/>
          <w:szCs w:val="22"/>
        </w:rPr>
        <w:t xml:space="preserve">. </w:t>
      </w:r>
    </w:p>
    <w:p w14:paraId="4C11F27C" w14:textId="77777777" w:rsidR="0056333A" w:rsidRDefault="0056333A" w:rsidP="00175468">
      <w:pPr>
        <w:spacing w:line="257" w:lineRule="auto"/>
        <w:ind w:right="531"/>
        <w:rPr>
          <w:rFonts w:ascii="Arial" w:hAnsi="Arial" w:cs="Arial"/>
          <w:sz w:val="22"/>
          <w:szCs w:val="22"/>
        </w:rPr>
      </w:pPr>
    </w:p>
    <w:p w14:paraId="67904FBE" w14:textId="4C7B17D1"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Although policies have been introduced, research </w:t>
      </w:r>
      <w:proofErr w:type="gramStart"/>
      <w:r>
        <w:rPr>
          <w:rFonts w:ascii="Arial" w:hAnsi="Arial" w:cs="Arial"/>
          <w:sz w:val="22"/>
          <w:szCs w:val="22"/>
        </w:rPr>
        <w:t>makes the suggestion that</w:t>
      </w:r>
      <w:proofErr w:type="gramEnd"/>
      <w:r>
        <w:rPr>
          <w:rFonts w:ascii="Arial" w:hAnsi="Arial" w:cs="Arial"/>
          <w:sz w:val="22"/>
          <w:szCs w:val="22"/>
        </w:rPr>
        <w:t xml:space="preserve"> their implementation and impact have been inconsistent. There is a clear gap between legislation and on the ground policing which affects police legitimacy and operational effectiveness</w:t>
      </w:r>
      <w:r w:rsidR="00F05F4C">
        <w:rPr>
          <w:rFonts w:ascii="Arial" w:hAnsi="Arial" w:cs="Arial"/>
          <w:sz w:val="22"/>
          <w:szCs w:val="22"/>
        </w:rPr>
        <w:t xml:space="preserve"> </w:t>
      </w:r>
      <w:sdt>
        <w:sdtPr>
          <w:rPr>
            <w:rFonts w:ascii="Arial" w:hAnsi="Arial" w:cs="Arial"/>
            <w:sz w:val="22"/>
            <w:szCs w:val="22"/>
          </w:rPr>
          <w:id w:val="1423771117"/>
          <w:citation/>
        </w:sdtPr>
        <w:sdtContent>
          <w:r w:rsidR="00F05F4C">
            <w:rPr>
              <w:rFonts w:ascii="Arial" w:hAnsi="Arial" w:cs="Arial"/>
              <w:sz w:val="22"/>
              <w:szCs w:val="22"/>
            </w:rPr>
            <w:fldChar w:fldCharType="begin"/>
          </w:r>
          <w:r w:rsidR="00F05F4C">
            <w:rPr>
              <w:rFonts w:ascii="Arial" w:hAnsi="Arial" w:cs="Arial"/>
              <w:sz w:val="22"/>
              <w:szCs w:val="22"/>
            </w:rPr>
            <w:instrText xml:space="preserve"> CITATION Lor13 \l 2057 </w:instrText>
          </w:r>
          <w:r w:rsidR="00F05F4C">
            <w:rPr>
              <w:rFonts w:ascii="Arial" w:hAnsi="Arial" w:cs="Arial"/>
              <w:sz w:val="22"/>
              <w:szCs w:val="22"/>
            </w:rPr>
            <w:fldChar w:fldCharType="separate"/>
          </w:r>
          <w:r w:rsidR="00F05F4C" w:rsidRPr="00F05F4C">
            <w:rPr>
              <w:rFonts w:ascii="Arial" w:hAnsi="Arial" w:cs="Arial"/>
              <w:noProof/>
              <w:sz w:val="22"/>
              <w:szCs w:val="22"/>
            </w:rPr>
            <w:t>(Mazerolle, et al., 2013)</w:t>
          </w:r>
          <w:r w:rsidR="00F05F4C">
            <w:rPr>
              <w:rFonts w:ascii="Arial" w:hAnsi="Arial" w:cs="Arial"/>
              <w:sz w:val="22"/>
              <w:szCs w:val="22"/>
            </w:rPr>
            <w:fldChar w:fldCharType="end"/>
          </w:r>
        </w:sdtContent>
      </w:sdt>
      <w:r>
        <w:rPr>
          <w:rFonts w:ascii="Arial" w:hAnsi="Arial" w:cs="Arial"/>
          <w:sz w:val="22"/>
          <w:szCs w:val="22"/>
        </w:rPr>
        <w:t>.</w:t>
      </w:r>
    </w:p>
    <w:p w14:paraId="26501DEB" w14:textId="77777777" w:rsidR="0056333A" w:rsidRDefault="0056333A" w:rsidP="00175468">
      <w:pPr>
        <w:spacing w:line="257" w:lineRule="auto"/>
        <w:ind w:right="531"/>
        <w:rPr>
          <w:rFonts w:ascii="Arial" w:hAnsi="Arial" w:cs="Arial"/>
          <w:sz w:val="22"/>
          <w:szCs w:val="22"/>
        </w:rPr>
      </w:pPr>
    </w:p>
    <w:p w14:paraId="6A987771" w14:textId="6AF07733"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The culture within policing is remaining the same with little change as </w:t>
      </w:r>
      <w:sdt>
        <w:sdtPr>
          <w:rPr>
            <w:rFonts w:ascii="Arial" w:hAnsi="Arial" w:cs="Arial"/>
            <w:sz w:val="22"/>
            <w:szCs w:val="22"/>
          </w:rPr>
          <w:id w:val="720255118"/>
          <w:citation/>
        </w:sdtPr>
        <w:sdtContent>
          <w:r w:rsidR="00F05F4C">
            <w:rPr>
              <w:rFonts w:ascii="Arial" w:hAnsi="Arial" w:cs="Arial"/>
              <w:sz w:val="22"/>
              <w:szCs w:val="22"/>
            </w:rPr>
            <w:fldChar w:fldCharType="begin"/>
          </w:r>
          <w:r w:rsidR="00F05F4C">
            <w:rPr>
              <w:rFonts w:ascii="Arial" w:hAnsi="Arial" w:cs="Arial"/>
              <w:sz w:val="22"/>
              <w:szCs w:val="22"/>
            </w:rPr>
            <w:instrText xml:space="preserve"> CITATION Sha13 \l 2057 </w:instrText>
          </w:r>
          <w:r w:rsidR="00F05F4C">
            <w:rPr>
              <w:rFonts w:ascii="Arial" w:hAnsi="Arial" w:cs="Arial"/>
              <w:sz w:val="22"/>
              <w:szCs w:val="22"/>
            </w:rPr>
            <w:fldChar w:fldCharType="separate"/>
          </w:r>
          <w:r w:rsidR="00F05F4C" w:rsidRPr="00F05F4C">
            <w:rPr>
              <w:rFonts w:ascii="Arial" w:hAnsi="Arial" w:cs="Arial"/>
              <w:noProof/>
              <w:sz w:val="22"/>
              <w:szCs w:val="22"/>
            </w:rPr>
            <w:t>(Chan, 2013)</w:t>
          </w:r>
          <w:r w:rsidR="00F05F4C">
            <w:rPr>
              <w:rFonts w:ascii="Arial" w:hAnsi="Arial" w:cs="Arial"/>
              <w:sz w:val="22"/>
              <w:szCs w:val="22"/>
            </w:rPr>
            <w:fldChar w:fldCharType="end"/>
          </w:r>
        </w:sdtContent>
      </w:sdt>
      <w:r w:rsidR="00F05F4C">
        <w:rPr>
          <w:rFonts w:ascii="Arial" w:hAnsi="Arial" w:cs="Arial"/>
          <w:sz w:val="22"/>
          <w:szCs w:val="22"/>
        </w:rPr>
        <w:t xml:space="preserve"> </w:t>
      </w:r>
      <w:r>
        <w:rPr>
          <w:rFonts w:ascii="Arial" w:hAnsi="Arial" w:cs="Arial"/>
          <w:sz w:val="22"/>
          <w:szCs w:val="22"/>
        </w:rPr>
        <w:t xml:space="preserve">and </w:t>
      </w:r>
      <w:sdt>
        <w:sdtPr>
          <w:rPr>
            <w:rFonts w:ascii="Arial" w:hAnsi="Arial" w:cs="Arial"/>
            <w:sz w:val="22"/>
            <w:szCs w:val="22"/>
          </w:rPr>
          <w:id w:val="963465731"/>
          <w:citation/>
        </w:sdtPr>
        <w:sdtContent>
          <w:r w:rsidR="00F05F4C">
            <w:rPr>
              <w:rFonts w:ascii="Arial" w:hAnsi="Arial" w:cs="Arial"/>
              <w:sz w:val="22"/>
              <w:szCs w:val="22"/>
            </w:rPr>
            <w:fldChar w:fldCharType="begin"/>
          </w:r>
          <w:r w:rsidR="00F05F4C">
            <w:rPr>
              <w:rFonts w:ascii="Arial" w:hAnsi="Arial" w:cs="Arial"/>
              <w:sz w:val="22"/>
              <w:szCs w:val="22"/>
            </w:rPr>
            <w:instrText xml:space="preserve"> CITATION Hil21 \l 2057 </w:instrText>
          </w:r>
          <w:r w:rsidR="00F05F4C">
            <w:rPr>
              <w:rFonts w:ascii="Arial" w:hAnsi="Arial" w:cs="Arial"/>
              <w:sz w:val="22"/>
              <w:szCs w:val="22"/>
            </w:rPr>
            <w:fldChar w:fldCharType="separate"/>
          </w:r>
          <w:r w:rsidR="00F05F4C" w:rsidRPr="00F05F4C">
            <w:rPr>
              <w:rFonts w:ascii="Arial" w:hAnsi="Arial" w:cs="Arial"/>
              <w:noProof/>
              <w:sz w:val="22"/>
              <w:szCs w:val="22"/>
            </w:rPr>
            <w:t>(Miller, 2021)</w:t>
          </w:r>
          <w:r w:rsidR="00F05F4C">
            <w:rPr>
              <w:rFonts w:ascii="Arial" w:hAnsi="Arial" w:cs="Arial"/>
              <w:sz w:val="22"/>
              <w:szCs w:val="22"/>
            </w:rPr>
            <w:fldChar w:fldCharType="end"/>
          </w:r>
        </w:sdtContent>
      </w:sdt>
      <w:r w:rsidR="00F05F4C">
        <w:rPr>
          <w:rFonts w:ascii="Arial" w:hAnsi="Arial" w:cs="Arial"/>
          <w:sz w:val="22"/>
          <w:szCs w:val="22"/>
        </w:rPr>
        <w:t xml:space="preserve"> </w:t>
      </w:r>
      <w:r>
        <w:rPr>
          <w:rFonts w:ascii="Arial" w:hAnsi="Arial" w:cs="Arial"/>
          <w:sz w:val="22"/>
          <w:szCs w:val="22"/>
        </w:rPr>
        <w:t xml:space="preserve">suggest that ‘canteen culture’ which are the informal values and norms within the police often create prejudice and undermine the equality policies in place. On the ground in policing, Black, Asian and Ethnic Minority officers often report experiences of racism and isolation within the force. A recent Police Federation Survey from 2022 found that 45% of Black, Asian and Ethic Minority officer experience or witness racism within the force with many expressing </w:t>
      </w:r>
      <w:r w:rsidR="00F05F4C">
        <w:rPr>
          <w:rFonts w:ascii="Arial" w:hAnsi="Arial" w:cs="Arial"/>
          <w:sz w:val="22"/>
          <w:szCs w:val="22"/>
        </w:rPr>
        <w:t>lacks</w:t>
      </w:r>
      <w:r>
        <w:rPr>
          <w:rFonts w:ascii="Arial" w:hAnsi="Arial" w:cs="Arial"/>
          <w:sz w:val="22"/>
          <w:szCs w:val="22"/>
        </w:rPr>
        <w:t xml:space="preserve"> trust when making a complaint about such behaviour</w:t>
      </w:r>
      <w:r w:rsidR="00F05F4C">
        <w:rPr>
          <w:rFonts w:ascii="Arial" w:hAnsi="Arial" w:cs="Arial"/>
          <w:sz w:val="22"/>
          <w:szCs w:val="22"/>
        </w:rPr>
        <w:t xml:space="preserve"> </w:t>
      </w:r>
      <w:sdt>
        <w:sdtPr>
          <w:rPr>
            <w:rFonts w:ascii="Arial" w:hAnsi="Arial" w:cs="Arial"/>
            <w:sz w:val="22"/>
            <w:szCs w:val="22"/>
          </w:rPr>
          <w:id w:val="801495333"/>
          <w:citation/>
        </w:sdtPr>
        <w:sdtContent>
          <w:r w:rsidR="00F05F4C">
            <w:rPr>
              <w:rFonts w:ascii="Arial" w:hAnsi="Arial" w:cs="Arial"/>
              <w:sz w:val="22"/>
              <w:szCs w:val="22"/>
            </w:rPr>
            <w:fldChar w:fldCharType="begin"/>
          </w:r>
          <w:r w:rsidR="00F05F4C">
            <w:rPr>
              <w:rFonts w:ascii="Arial" w:hAnsi="Arial" w:cs="Arial"/>
              <w:sz w:val="22"/>
              <w:szCs w:val="22"/>
            </w:rPr>
            <w:instrText xml:space="preserve"> CITATION Joh22 \l 2057 </w:instrText>
          </w:r>
          <w:r w:rsidR="00F05F4C">
            <w:rPr>
              <w:rFonts w:ascii="Arial" w:hAnsi="Arial" w:cs="Arial"/>
              <w:sz w:val="22"/>
              <w:szCs w:val="22"/>
            </w:rPr>
            <w:fldChar w:fldCharType="separate"/>
          </w:r>
          <w:r w:rsidR="00F05F4C" w:rsidRPr="00F05F4C">
            <w:rPr>
              <w:rFonts w:ascii="Arial" w:hAnsi="Arial" w:cs="Arial"/>
              <w:noProof/>
              <w:sz w:val="22"/>
              <w:szCs w:val="22"/>
            </w:rPr>
            <w:t>(McDaniel &amp; Malik, 2022)</w:t>
          </w:r>
          <w:r w:rsidR="00F05F4C">
            <w:rPr>
              <w:rFonts w:ascii="Arial" w:hAnsi="Arial" w:cs="Arial"/>
              <w:sz w:val="22"/>
              <w:szCs w:val="22"/>
            </w:rPr>
            <w:fldChar w:fldCharType="end"/>
          </w:r>
        </w:sdtContent>
      </w:sdt>
      <w:r>
        <w:rPr>
          <w:rFonts w:ascii="Arial" w:hAnsi="Arial" w:cs="Arial"/>
          <w:sz w:val="22"/>
          <w:szCs w:val="22"/>
        </w:rPr>
        <w:t>.</w:t>
      </w:r>
    </w:p>
    <w:p w14:paraId="762B174B" w14:textId="77777777" w:rsidR="0056333A" w:rsidRDefault="0056333A" w:rsidP="00175468">
      <w:pPr>
        <w:spacing w:line="257" w:lineRule="auto"/>
        <w:ind w:right="531"/>
        <w:rPr>
          <w:rFonts w:ascii="Arial" w:hAnsi="Arial" w:cs="Arial"/>
          <w:sz w:val="22"/>
          <w:szCs w:val="22"/>
        </w:rPr>
      </w:pPr>
    </w:p>
    <w:p w14:paraId="6E299201" w14:textId="2C99D782"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Further to this, </w:t>
      </w:r>
      <w:sdt>
        <w:sdtPr>
          <w:rPr>
            <w:rFonts w:ascii="Arial" w:hAnsi="Arial" w:cs="Arial"/>
            <w:sz w:val="22"/>
            <w:szCs w:val="22"/>
          </w:rPr>
          <w:id w:val="-1615052957"/>
          <w:citation/>
        </w:sdtPr>
        <w:sdtContent>
          <w:r w:rsidR="00F05F4C">
            <w:rPr>
              <w:rFonts w:ascii="Arial" w:hAnsi="Arial" w:cs="Arial"/>
              <w:sz w:val="22"/>
              <w:szCs w:val="22"/>
            </w:rPr>
            <w:fldChar w:fldCharType="begin"/>
          </w:r>
          <w:r w:rsidR="00F05F4C">
            <w:rPr>
              <w:rFonts w:ascii="Arial" w:hAnsi="Arial" w:cs="Arial"/>
              <w:sz w:val="22"/>
              <w:szCs w:val="22"/>
            </w:rPr>
            <w:instrText xml:space="preserve"> CITATION Sim97 \l 2057 </w:instrText>
          </w:r>
          <w:r w:rsidR="00F05F4C">
            <w:rPr>
              <w:rFonts w:ascii="Arial" w:hAnsi="Arial" w:cs="Arial"/>
              <w:sz w:val="22"/>
              <w:szCs w:val="22"/>
            </w:rPr>
            <w:fldChar w:fldCharType="separate"/>
          </w:r>
          <w:r w:rsidR="00F05F4C" w:rsidRPr="00F05F4C">
            <w:rPr>
              <w:rFonts w:ascii="Arial" w:hAnsi="Arial" w:cs="Arial"/>
              <w:noProof/>
              <w:sz w:val="22"/>
              <w:szCs w:val="22"/>
            </w:rPr>
            <w:t>(Holdaway, 1997)</w:t>
          </w:r>
          <w:r w:rsidR="00F05F4C">
            <w:rPr>
              <w:rFonts w:ascii="Arial" w:hAnsi="Arial" w:cs="Arial"/>
              <w:sz w:val="22"/>
              <w:szCs w:val="22"/>
            </w:rPr>
            <w:fldChar w:fldCharType="end"/>
          </w:r>
        </w:sdtContent>
      </w:sdt>
      <w:r w:rsidR="00F05F4C">
        <w:rPr>
          <w:rFonts w:ascii="Arial" w:hAnsi="Arial" w:cs="Arial"/>
          <w:sz w:val="22"/>
          <w:szCs w:val="22"/>
        </w:rPr>
        <w:t xml:space="preserve"> </w:t>
      </w:r>
      <w:r>
        <w:rPr>
          <w:rFonts w:ascii="Arial" w:hAnsi="Arial" w:cs="Arial"/>
          <w:sz w:val="22"/>
          <w:szCs w:val="22"/>
        </w:rPr>
        <w:t xml:space="preserve">highlights ‘institutional </w:t>
      </w:r>
      <w:r w:rsidR="00F05F4C">
        <w:rPr>
          <w:rFonts w:ascii="Arial" w:hAnsi="Arial" w:cs="Arial"/>
          <w:sz w:val="22"/>
          <w:szCs w:val="22"/>
        </w:rPr>
        <w:t>inertia</w:t>
      </w:r>
      <w:r>
        <w:rPr>
          <w:rFonts w:ascii="Arial" w:hAnsi="Arial" w:cs="Arial"/>
          <w:sz w:val="22"/>
          <w:szCs w:val="22"/>
        </w:rPr>
        <w:t>’ within the police force which is where diversity initiatives are deprioritised in favour of immediate operational demands. Limitations in role models and mentorship are shown to be down to lack of diversity within senior management and ranks all of which are critical for progression and retention within the police force.</w:t>
      </w:r>
    </w:p>
    <w:p w14:paraId="4BD310A5" w14:textId="77777777" w:rsidR="0056333A" w:rsidRDefault="0056333A" w:rsidP="00175468">
      <w:pPr>
        <w:spacing w:line="257" w:lineRule="auto"/>
        <w:ind w:right="531"/>
        <w:rPr>
          <w:rFonts w:ascii="Arial" w:hAnsi="Arial" w:cs="Arial"/>
          <w:sz w:val="22"/>
          <w:szCs w:val="22"/>
        </w:rPr>
      </w:pPr>
    </w:p>
    <w:p w14:paraId="140A69F3" w14:textId="21CBF385" w:rsidR="0056333A" w:rsidRPr="008D6777" w:rsidRDefault="0056333A" w:rsidP="00175468">
      <w:pPr>
        <w:spacing w:line="257" w:lineRule="auto"/>
        <w:ind w:right="531"/>
        <w:rPr>
          <w:rFonts w:ascii="Arial" w:hAnsi="Arial" w:cs="Arial"/>
          <w:sz w:val="22"/>
          <w:szCs w:val="22"/>
        </w:rPr>
      </w:pPr>
      <w:r>
        <w:rPr>
          <w:rFonts w:ascii="Arial" w:hAnsi="Arial" w:cs="Arial"/>
          <w:sz w:val="22"/>
          <w:szCs w:val="22"/>
        </w:rPr>
        <w:t xml:space="preserve">From the perspective of the community, viewing such disproportionate practices in policing </w:t>
      </w:r>
      <w:proofErr w:type="gramStart"/>
      <w:r>
        <w:rPr>
          <w:rFonts w:ascii="Arial" w:hAnsi="Arial" w:cs="Arial"/>
          <w:sz w:val="22"/>
          <w:szCs w:val="22"/>
        </w:rPr>
        <w:t>has an effect on</w:t>
      </w:r>
      <w:proofErr w:type="gramEnd"/>
      <w:r>
        <w:rPr>
          <w:rFonts w:ascii="Arial" w:hAnsi="Arial" w:cs="Arial"/>
          <w:sz w:val="22"/>
          <w:szCs w:val="22"/>
        </w:rPr>
        <w:t xml:space="preserve"> legitimacy. </w:t>
      </w:r>
      <w:sdt>
        <w:sdtPr>
          <w:rPr>
            <w:rFonts w:ascii="Arial" w:hAnsi="Arial" w:cs="Arial"/>
            <w:sz w:val="22"/>
            <w:szCs w:val="22"/>
          </w:rPr>
          <w:id w:val="-467747529"/>
          <w:citation/>
        </w:sdtPr>
        <w:sdtContent>
          <w:r w:rsidR="00F05F4C">
            <w:rPr>
              <w:rFonts w:ascii="Arial" w:hAnsi="Arial" w:cs="Arial"/>
              <w:sz w:val="22"/>
              <w:szCs w:val="22"/>
            </w:rPr>
            <w:fldChar w:fldCharType="begin"/>
          </w:r>
          <w:r w:rsidR="00F05F4C">
            <w:rPr>
              <w:rFonts w:ascii="Arial" w:hAnsi="Arial" w:cs="Arial"/>
              <w:sz w:val="22"/>
              <w:szCs w:val="22"/>
            </w:rPr>
            <w:instrText xml:space="preserve"> CITATION Ben20 \l 2057 </w:instrText>
          </w:r>
          <w:r w:rsidR="00F05F4C">
            <w:rPr>
              <w:rFonts w:ascii="Arial" w:hAnsi="Arial" w:cs="Arial"/>
              <w:sz w:val="22"/>
              <w:szCs w:val="22"/>
            </w:rPr>
            <w:fldChar w:fldCharType="separate"/>
          </w:r>
          <w:r w:rsidR="00F05F4C" w:rsidRPr="00F05F4C">
            <w:rPr>
              <w:rFonts w:ascii="Arial" w:hAnsi="Arial" w:cs="Arial"/>
              <w:noProof/>
              <w:sz w:val="22"/>
              <w:szCs w:val="22"/>
            </w:rPr>
            <w:t>(Bradford, 2020)</w:t>
          </w:r>
          <w:r w:rsidR="00F05F4C">
            <w:rPr>
              <w:rFonts w:ascii="Arial" w:hAnsi="Arial" w:cs="Arial"/>
              <w:sz w:val="22"/>
              <w:szCs w:val="22"/>
            </w:rPr>
            <w:fldChar w:fldCharType="end"/>
          </w:r>
        </w:sdtContent>
      </w:sdt>
      <w:r w:rsidR="00857F3A">
        <w:rPr>
          <w:rFonts w:ascii="Arial" w:hAnsi="Arial" w:cs="Arial"/>
          <w:sz w:val="22"/>
          <w:szCs w:val="22"/>
        </w:rPr>
        <w:t xml:space="preserve"> </w:t>
      </w:r>
      <w:r w:rsidRPr="008D6777">
        <w:rPr>
          <w:rFonts w:ascii="Arial" w:hAnsi="Arial" w:cs="Arial"/>
          <w:sz w:val="22"/>
          <w:szCs w:val="22"/>
        </w:rPr>
        <w:t>emphasises that procedural fairness, where police treat individuals with dignity and transparency, is more important than outcomes in building trust. Communities that perceive the police as biased are less likely to cooperate or report crimes.</w:t>
      </w:r>
    </w:p>
    <w:p w14:paraId="6E8F3916" w14:textId="77777777" w:rsidR="0056333A" w:rsidRPr="008D6777" w:rsidRDefault="0056333A" w:rsidP="00175468">
      <w:pPr>
        <w:spacing w:line="257" w:lineRule="auto"/>
        <w:ind w:right="531"/>
        <w:rPr>
          <w:rFonts w:ascii="Arial" w:hAnsi="Arial" w:cs="Arial"/>
          <w:sz w:val="22"/>
          <w:szCs w:val="22"/>
        </w:rPr>
      </w:pPr>
    </w:p>
    <w:p w14:paraId="078DE879" w14:textId="28E41B84" w:rsidR="0056333A" w:rsidRDefault="0056333A" w:rsidP="00175468">
      <w:pPr>
        <w:spacing w:line="257" w:lineRule="auto"/>
        <w:ind w:right="531"/>
        <w:rPr>
          <w:rFonts w:ascii="Arial" w:hAnsi="Arial" w:cs="Arial"/>
          <w:sz w:val="22"/>
          <w:szCs w:val="22"/>
        </w:rPr>
      </w:pPr>
      <w:r w:rsidRPr="008D6777">
        <w:rPr>
          <w:rFonts w:ascii="Arial" w:hAnsi="Arial" w:cs="Arial"/>
          <w:sz w:val="22"/>
          <w:szCs w:val="22"/>
        </w:rPr>
        <w:t>For instance, the </w:t>
      </w:r>
      <w:sdt>
        <w:sdtPr>
          <w:rPr>
            <w:rFonts w:ascii="Arial" w:hAnsi="Arial" w:cs="Arial"/>
            <w:sz w:val="22"/>
            <w:szCs w:val="22"/>
          </w:rPr>
          <w:id w:val="-999879508"/>
          <w:citation/>
        </w:sdtPr>
        <w:sdtContent>
          <w:r w:rsidR="00857F3A">
            <w:rPr>
              <w:rFonts w:ascii="Arial" w:hAnsi="Arial" w:cs="Arial"/>
              <w:sz w:val="22"/>
              <w:szCs w:val="22"/>
            </w:rPr>
            <w:fldChar w:fldCharType="begin"/>
          </w:r>
          <w:r w:rsidR="00857F3A">
            <w:rPr>
              <w:rFonts w:ascii="Arial" w:hAnsi="Arial" w:cs="Arial"/>
              <w:sz w:val="22"/>
              <w:szCs w:val="22"/>
            </w:rPr>
            <w:instrText xml:space="preserve"> CITATION Dav17 \l 2057 </w:instrText>
          </w:r>
          <w:r w:rsidR="00857F3A">
            <w:rPr>
              <w:rFonts w:ascii="Arial" w:hAnsi="Arial" w:cs="Arial"/>
              <w:sz w:val="22"/>
              <w:szCs w:val="22"/>
            </w:rPr>
            <w:fldChar w:fldCharType="separate"/>
          </w:r>
          <w:r w:rsidR="00857F3A" w:rsidRPr="00857F3A">
            <w:rPr>
              <w:rFonts w:ascii="Arial" w:hAnsi="Arial" w:cs="Arial"/>
              <w:noProof/>
              <w:sz w:val="22"/>
              <w:szCs w:val="22"/>
            </w:rPr>
            <w:t>(Lammy, 2017)</w:t>
          </w:r>
          <w:r w:rsidR="00857F3A">
            <w:rPr>
              <w:rFonts w:ascii="Arial" w:hAnsi="Arial" w:cs="Arial"/>
              <w:sz w:val="22"/>
              <w:szCs w:val="22"/>
            </w:rPr>
            <w:fldChar w:fldCharType="end"/>
          </w:r>
        </w:sdtContent>
      </w:sdt>
      <w:r w:rsidR="00857F3A" w:rsidRPr="008D6777">
        <w:rPr>
          <w:rFonts w:ascii="Arial" w:hAnsi="Arial" w:cs="Arial"/>
          <w:sz w:val="22"/>
          <w:szCs w:val="22"/>
        </w:rPr>
        <w:t xml:space="preserve"> </w:t>
      </w:r>
      <w:r w:rsidRPr="008D6777">
        <w:rPr>
          <w:rFonts w:ascii="Arial" w:hAnsi="Arial" w:cs="Arial"/>
          <w:sz w:val="22"/>
          <w:szCs w:val="22"/>
        </w:rPr>
        <w:t>found that ethnic minority youths are significantly less likely to report victimisation or engage with community policing schemes due to fear of discrimination. Trust is especially fragile among Black communities, where police encounters are often seen as intrusive or hostile.</w:t>
      </w:r>
    </w:p>
    <w:p w14:paraId="6A1C1796" w14:textId="77777777" w:rsidR="0056333A" w:rsidRDefault="0056333A" w:rsidP="00175468">
      <w:pPr>
        <w:spacing w:line="257" w:lineRule="auto"/>
        <w:ind w:right="531"/>
        <w:rPr>
          <w:rFonts w:ascii="Arial" w:hAnsi="Arial" w:cs="Arial"/>
          <w:sz w:val="22"/>
          <w:szCs w:val="22"/>
        </w:rPr>
      </w:pPr>
    </w:p>
    <w:p w14:paraId="52C1C715" w14:textId="6284579E" w:rsidR="0056333A" w:rsidRDefault="0056333A" w:rsidP="00175468">
      <w:pPr>
        <w:spacing w:line="257" w:lineRule="auto"/>
        <w:ind w:right="531"/>
        <w:rPr>
          <w:rFonts w:ascii="Arial" w:hAnsi="Arial" w:cs="Arial"/>
          <w:sz w:val="22"/>
          <w:szCs w:val="22"/>
        </w:rPr>
      </w:pPr>
      <w:r>
        <w:rPr>
          <w:rFonts w:ascii="Arial" w:hAnsi="Arial" w:cs="Arial"/>
          <w:sz w:val="22"/>
          <w:szCs w:val="22"/>
        </w:rPr>
        <w:t>In terms of leadership, it must have the capabilities to change by actively promoting diversity.</w:t>
      </w:r>
      <w:r w:rsidRPr="001A4436">
        <w:rPr>
          <w:rFonts w:ascii="Arial" w:hAnsi="Arial" w:cs="Arial"/>
          <w:sz w:val="22"/>
          <w:szCs w:val="22"/>
        </w:rPr>
        <w:t xml:space="preserve"> Senior officers should </w:t>
      </w:r>
      <w:r>
        <w:rPr>
          <w:rFonts w:ascii="Arial" w:hAnsi="Arial" w:cs="Arial"/>
          <w:sz w:val="22"/>
          <w:szCs w:val="22"/>
        </w:rPr>
        <w:t>take part in</w:t>
      </w:r>
      <w:r w:rsidRPr="001A4436">
        <w:rPr>
          <w:rFonts w:ascii="Arial" w:hAnsi="Arial" w:cs="Arial"/>
          <w:sz w:val="22"/>
          <w:szCs w:val="22"/>
        </w:rPr>
        <w:t xml:space="preserve"> inclusive leadership training and be held accountable through diversity performance </w:t>
      </w:r>
      <w:r>
        <w:rPr>
          <w:rFonts w:ascii="Arial" w:hAnsi="Arial" w:cs="Arial"/>
          <w:sz w:val="22"/>
          <w:szCs w:val="22"/>
        </w:rPr>
        <w:t xml:space="preserve">reviews regularly. </w:t>
      </w:r>
      <w:r w:rsidRPr="001A4436">
        <w:rPr>
          <w:rFonts w:ascii="Arial" w:hAnsi="Arial" w:cs="Arial"/>
          <w:sz w:val="22"/>
          <w:szCs w:val="22"/>
        </w:rPr>
        <w:t>Th</w:t>
      </w:r>
      <w:r>
        <w:rPr>
          <w:rFonts w:ascii="Arial" w:hAnsi="Arial" w:cs="Arial"/>
          <w:sz w:val="22"/>
          <w:szCs w:val="22"/>
        </w:rPr>
        <w:t>e</w:t>
      </w:r>
      <w:r w:rsidRPr="001A4436">
        <w:rPr>
          <w:rFonts w:ascii="Arial" w:hAnsi="Arial" w:cs="Arial"/>
          <w:sz w:val="22"/>
          <w:szCs w:val="22"/>
        </w:rPr>
        <w:t> </w:t>
      </w:r>
      <w:r w:rsidRPr="0009404A">
        <w:rPr>
          <w:rFonts w:ascii="Arial" w:hAnsi="Arial" w:cs="Arial"/>
          <w:sz w:val="22"/>
          <w:szCs w:val="22"/>
        </w:rPr>
        <w:t>Race Action Plan</w:t>
      </w:r>
      <w:r>
        <w:rPr>
          <w:rFonts w:ascii="Arial" w:hAnsi="Arial" w:cs="Arial"/>
          <w:b/>
          <w:bCs/>
          <w:sz w:val="22"/>
          <w:szCs w:val="22"/>
        </w:rPr>
        <w:t xml:space="preserve"> </w:t>
      </w:r>
      <w:r w:rsidRPr="001A4436">
        <w:rPr>
          <w:rFonts w:ascii="Arial" w:hAnsi="Arial" w:cs="Arial"/>
          <w:sz w:val="22"/>
          <w:szCs w:val="22"/>
        </w:rPr>
        <w:t>must be</w:t>
      </w:r>
      <w:r>
        <w:rPr>
          <w:rFonts w:ascii="Arial" w:hAnsi="Arial" w:cs="Arial"/>
          <w:sz w:val="22"/>
          <w:szCs w:val="22"/>
        </w:rPr>
        <w:t xml:space="preserve"> </w:t>
      </w:r>
      <w:r w:rsidRPr="001A4436">
        <w:rPr>
          <w:rFonts w:ascii="Arial" w:hAnsi="Arial" w:cs="Arial"/>
          <w:sz w:val="22"/>
          <w:szCs w:val="22"/>
        </w:rPr>
        <w:t xml:space="preserve">implemented and independently evaluated, with outcomes made </w:t>
      </w:r>
      <w:r>
        <w:rPr>
          <w:rFonts w:ascii="Arial" w:hAnsi="Arial" w:cs="Arial"/>
          <w:sz w:val="22"/>
          <w:szCs w:val="22"/>
        </w:rPr>
        <w:t xml:space="preserve">available </w:t>
      </w:r>
      <w:r w:rsidRPr="001A4436">
        <w:rPr>
          <w:rFonts w:ascii="Arial" w:hAnsi="Arial" w:cs="Arial"/>
          <w:sz w:val="22"/>
          <w:szCs w:val="22"/>
        </w:rPr>
        <w:t xml:space="preserve">to the public. </w:t>
      </w:r>
      <w:r>
        <w:rPr>
          <w:rFonts w:ascii="Arial" w:hAnsi="Arial" w:cs="Arial"/>
          <w:sz w:val="22"/>
          <w:szCs w:val="22"/>
        </w:rPr>
        <w:t>Police f</w:t>
      </w:r>
      <w:r w:rsidRPr="001A4436">
        <w:rPr>
          <w:rFonts w:ascii="Arial" w:hAnsi="Arial" w:cs="Arial"/>
          <w:sz w:val="22"/>
          <w:szCs w:val="22"/>
        </w:rPr>
        <w:t xml:space="preserve">orces should also review promotion and retention policies to ensure fair progression pathways for </w:t>
      </w:r>
      <w:r>
        <w:rPr>
          <w:rFonts w:ascii="Arial" w:hAnsi="Arial" w:cs="Arial"/>
          <w:sz w:val="22"/>
          <w:szCs w:val="22"/>
        </w:rPr>
        <w:t>ethnic minority groups</w:t>
      </w:r>
      <w:r w:rsidR="00857F3A">
        <w:rPr>
          <w:rFonts w:ascii="Arial" w:hAnsi="Arial" w:cs="Arial"/>
          <w:sz w:val="22"/>
          <w:szCs w:val="22"/>
        </w:rPr>
        <w:t xml:space="preserve"> </w:t>
      </w:r>
      <w:sdt>
        <w:sdtPr>
          <w:rPr>
            <w:rFonts w:ascii="Arial" w:hAnsi="Arial" w:cs="Arial"/>
            <w:sz w:val="22"/>
            <w:szCs w:val="22"/>
          </w:rPr>
          <w:id w:val="2067532491"/>
          <w:citation/>
        </w:sdtPr>
        <w:sdtContent>
          <w:r w:rsidR="00857F3A">
            <w:rPr>
              <w:rFonts w:ascii="Arial" w:hAnsi="Arial" w:cs="Arial"/>
              <w:sz w:val="22"/>
              <w:szCs w:val="22"/>
            </w:rPr>
            <w:fldChar w:fldCharType="begin"/>
          </w:r>
          <w:r w:rsidR="00857F3A">
            <w:rPr>
              <w:rFonts w:ascii="Arial" w:hAnsi="Arial" w:cs="Arial"/>
              <w:sz w:val="22"/>
              <w:szCs w:val="22"/>
            </w:rPr>
            <w:instrText xml:space="preserve"> CITATION Ant19 \l 2057 </w:instrText>
          </w:r>
          <w:r w:rsidR="00857F3A">
            <w:rPr>
              <w:rFonts w:ascii="Arial" w:hAnsi="Arial" w:cs="Arial"/>
              <w:sz w:val="22"/>
              <w:szCs w:val="22"/>
            </w:rPr>
            <w:fldChar w:fldCharType="separate"/>
          </w:r>
          <w:r w:rsidR="00857F3A" w:rsidRPr="00857F3A">
            <w:rPr>
              <w:rFonts w:ascii="Arial" w:hAnsi="Arial" w:cs="Arial"/>
              <w:noProof/>
              <w:sz w:val="22"/>
              <w:szCs w:val="22"/>
            </w:rPr>
            <w:t>(Braga, et al., 2019)</w:t>
          </w:r>
          <w:r w:rsidR="00857F3A">
            <w:rPr>
              <w:rFonts w:ascii="Arial" w:hAnsi="Arial" w:cs="Arial"/>
              <w:sz w:val="22"/>
              <w:szCs w:val="22"/>
            </w:rPr>
            <w:fldChar w:fldCharType="end"/>
          </w:r>
        </w:sdtContent>
      </w:sdt>
      <w:r>
        <w:rPr>
          <w:rFonts w:ascii="Arial" w:hAnsi="Arial" w:cs="Arial"/>
          <w:sz w:val="22"/>
          <w:szCs w:val="22"/>
        </w:rPr>
        <w:t>.</w:t>
      </w:r>
    </w:p>
    <w:p w14:paraId="6EFF588D" w14:textId="77777777" w:rsidR="0056333A" w:rsidRDefault="0056333A" w:rsidP="00175468">
      <w:pPr>
        <w:spacing w:line="257" w:lineRule="auto"/>
        <w:ind w:right="531"/>
        <w:rPr>
          <w:rFonts w:ascii="Arial" w:hAnsi="Arial" w:cs="Arial"/>
          <w:sz w:val="22"/>
          <w:szCs w:val="22"/>
        </w:rPr>
      </w:pPr>
    </w:p>
    <w:p w14:paraId="54F516F4" w14:textId="52F21AAD" w:rsidR="0056333A" w:rsidRPr="001A4436" w:rsidRDefault="00000000" w:rsidP="00175468">
      <w:pPr>
        <w:spacing w:line="257" w:lineRule="auto"/>
        <w:ind w:right="531"/>
        <w:rPr>
          <w:rFonts w:ascii="Arial" w:hAnsi="Arial" w:cs="Arial"/>
          <w:sz w:val="22"/>
          <w:szCs w:val="22"/>
        </w:rPr>
      </w:pPr>
      <w:sdt>
        <w:sdtPr>
          <w:rPr>
            <w:rFonts w:ascii="Arial" w:hAnsi="Arial" w:cs="Arial"/>
            <w:sz w:val="22"/>
            <w:szCs w:val="22"/>
          </w:rPr>
          <w:id w:val="1721548849"/>
          <w:citation/>
        </w:sdtPr>
        <w:sdtContent>
          <w:r w:rsidR="00857F3A">
            <w:rPr>
              <w:rFonts w:ascii="Arial" w:hAnsi="Arial" w:cs="Arial"/>
              <w:sz w:val="22"/>
              <w:szCs w:val="22"/>
            </w:rPr>
            <w:fldChar w:fldCharType="begin"/>
          </w:r>
          <w:r w:rsidR="00857F3A">
            <w:rPr>
              <w:rFonts w:ascii="Arial" w:hAnsi="Arial" w:cs="Arial"/>
              <w:sz w:val="22"/>
              <w:szCs w:val="22"/>
            </w:rPr>
            <w:instrText xml:space="preserve"> CITATION Pet10 \l 2057 </w:instrText>
          </w:r>
          <w:r w:rsidR="00857F3A">
            <w:rPr>
              <w:rFonts w:ascii="Arial" w:hAnsi="Arial" w:cs="Arial"/>
              <w:sz w:val="22"/>
              <w:szCs w:val="22"/>
            </w:rPr>
            <w:fldChar w:fldCharType="separate"/>
          </w:r>
          <w:r w:rsidR="00857F3A" w:rsidRPr="00857F3A">
            <w:rPr>
              <w:rFonts w:ascii="Arial" w:hAnsi="Arial" w:cs="Arial"/>
              <w:noProof/>
              <w:sz w:val="22"/>
              <w:szCs w:val="22"/>
            </w:rPr>
            <w:t>(Manning, 2010)</w:t>
          </w:r>
          <w:r w:rsidR="00857F3A">
            <w:rPr>
              <w:rFonts w:ascii="Arial" w:hAnsi="Arial" w:cs="Arial"/>
              <w:sz w:val="22"/>
              <w:szCs w:val="22"/>
            </w:rPr>
            <w:fldChar w:fldCharType="end"/>
          </w:r>
        </w:sdtContent>
      </w:sdt>
      <w:r w:rsidR="00857F3A">
        <w:rPr>
          <w:rFonts w:ascii="Arial" w:hAnsi="Arial" w:cs="Arial"/>
          <w:sz w:val="22"/>
          <w:szCs w:val="22"/>
        </w:rPr>
        <w:t xml:space="preserve"> </w:t>
      </w:r>
      <w:r w:rsidR="0056333A" w:rsidRPr="001A4436">
        <w:rPr>
          <w:rFonts w:ascii="Arial" w:hAnsi="Arial" w:cs="Arial"/>
          <w:sz w:val="22"/>
          <w:szCs w:val="22"/>
        </w:rPr>
        <w:t xml:space="preserve">advocate for a model of "democratic policing" </w:t>
      </w:r>
      <w:r w:rsidR="0056333A">
        <w:rPr>
          <w:rFonts w:ascii="Arial" w:hAnsi="Arial" w:cs="Arial"/>
          <w:sz w:val="22"/>
          <w:szCs w:val="22"/>
        </w:rPr>
        <w:t xml:space="preserve">where members of the public </w:t>
      </w:r>
      <w:r w:rsidR="0056333A" w:rsidRPr="001A4436">
        <w:rPr>
          <w:rFonts w:ascii="Arial" w:hAnsi="Arial" w:cs="Arial"/>
          <w:sz w:val="22"/>
          <w:szCs w:val="22"/>
        </w:rPr>
        <w:t>are active partners, not passive recipients. Forces should expand Youth IAGs, community scrutiny panels, and school-based liaison initiatives, ensuring they have</w:t>
      </w:r>
      <w:r w:rsidR="0056333A">
        <w:rPr>
          <w:rFonts w:ascii="Arial" w:hAnsi="Arial" w:cs="Arial"/>
          <w:sz w:val="22"/>
          <w:szCs w:val="22"/>
        </w:rPr>
        <w:t xml:space="preserve"> </w:t>
      </w:r>
      <w:r w:rsidR="0056333A" w:rsidRPr="001A4436">
        <w:rPr>
          <w:rFonts w:ascii="Arial" w:hAnsi="Arial" w:cs="Arial"/>
          <w:sz w:val="22"/>
          <w:szCs w:val="22"/>
        </w:rPr>
        <w:t>genuine influence over policy and practice.</w:t>
      </w:r>
      <w:r w:rsidR="0056333A">
        <w:rPr>
          <w:rFonts w:ascii="Arial" w:hAnsi="Arial" w:cs="Arial"/>
          <w:sz w:val="22"/>
          <w:szCs w:val="22"/>
        </w:rPr>
        <w:t xml:space="preserve"> </w:t>
      </w:r>
      <w:r w:rsidR="0056333A" w:rsidRPr="001A4436">
        <w:rPr>
          <w:rFonts w:ascii="Arial" w:hAnsi="Arial" w:cs="Arial"/>
          <w:sz w:val="22"/>
          <w:szCs w:val="22"/>
        </w:rPr>
        <w:t>Further</w:t>
      </w:r>
      <w:r w:rsidR="0056333A">
        <w:rPr>
          <w:rFonts w:ascii="Arial" w:hAnsi="Arial" w:cs="Arial"/>
          <w:sz w:val="22"/>
          <w:szCs w:val="22"/>
        </w:rPr>
        <w:t xml:space="preserve"> to this</w:t>
      </w:r>
      <w:r w:rsidR="0056333A" w:rsidRPr="001A4436">
        <w:rPr>
          <w:rFonts w:ascii="Arial" w:hAnsi="Arial" w:cs="Arial"/>
          <w:sz w:val="22"/>
          <w:szCs w:val="22"/>
        </w:rPr>
        <w:t xml:space="preserve">, stop and search monitoring should be </w:t>
      </w:r>
      <w:r w:rsidR="0056333A">
        <w:rPr>
          <w:rFonts w:ascii="Arial" w:hAnsi="Arial" w:cs="Arial"/>
          <w:sz w:val="22"/>
          <w:szCs w:val="22"/>
        </w:rPr>
        <w:t>followed up with</w:t>
      </w:r>
      <w:r w:rsidR="0056333A" w:rsidRPr="001A4436">
        <w:rPr>
          <w:rFonts w:ascii="Arial" w:hAnsi="Arial" w:cs="Arial"/>
          <w:sz w:val="22"/>
          <w:szCs w:val="22"/>
        </w:rPr>
        <w:t xml:space="preserve"> officer performance and training needs. Research by College of Policing (2020) shows that feedback</w:t>
      </w:r>
      <w:r w:rsidR="0056333A">
        <w:rPr>
          <w:rFonts w:ascii="Arial" w:hAnsi="Arial" w:cs="Arial"/>
          <w:sz w:val="22"/>
          <w:szCs w:val="22"/>
        </w:rPr>
        <w:t>-based</w:t>
      </w:r>
      <w:r w:rsidR="0056333A" w:rsidRPr="001A4436">
        <w:rPr>
          <w:rFonts w:ascii="Arial" w:hAnsi="Arial" w:cs="Arial"/>
          <w:sz w:val="22"/>
          <w:szCs w:val="22"/>
        </w:rPr>
        <w:t xml:space="preserve"> training </w:t>
      </w:r>
      <w:r w:rsidR="0056333A">
        <w:rPr>
          <w:rFonts w:ascii="Arial" w:hAnsi="Arial" w:cs="Arial"/>
          <w:sz w:val="22"/>
          <w:szCs w:val="22"/>
        </w:rPr>
        <w:t xml:space="preserve">linked </w:t>
      </w:r>
      <w:r w:rsidR="0056333A" w:rsidRPr="001A4436">
        <w:rPr>
          <w:rFonts w:ascii="Arial" w:hAnsi="Arial" w:cs="Arial"/>
          <w:sz w:val="22"/>
          <w:szCs w:val="22"/>
        </w:rPr>
        <w:t>to real</w:t>
      </w:r>
      <w:r w:rsidR="0056333A">
        <w:rPr>
          <w:rFonts w:ascii="Arial" w:hAnsi="Arial" w:cs="Arial"/>
          <w:sz w:val="22"/>
          <w:szCs w:val="22"/>
        </w:rPr>
        <w:t xml:space="preserve"> </w:t>
      </w:r>
      <w:r w:rsidR="0056333A" w:rsidRPr="001A4436">
        <w:rPr>
          <w:rFonts w:ascii="Arial" w:hAnsi="Arial" w:cs="Arial"/>
          <w:sz w:val="22"/>
          <w:szCs w:val="22"/>
        </w:rPr>
        <w:t>world data</w:t>
      </w:r>
      <w:r w:rsidR="0056333A">
        <w:rPr>
          <w:rFonts w:ascii="Arial" w:hAnsi="Arial" w:cs="Arial"/>
          <w:sz w:val="22"/>
          <w:szCs w:val="22"/>
        </w:rPr>
        <w:t xml:space="preserve"> such as reviewing body worn video,</w:t>
      </w:r>
      <w:r w:rsidR="0056333A" w:rsidRPr="001A4436">
        <w:rPr>
          <w:rFonts w:ascii="Arial" w:hAnsi="Arial" w:cs="Arial"/>
          <w:sz w:val="22"/>
          <w:szCs w:val="22"/>
        </w:rPr>
        <w:t xml:space="preserve"> can improve procedural justice and reduce </w:t>
      </w:r>
      <w:r w:rsidR="0056333A">
        <w:rPr>
          <w:rFonts w:ascii="Arial" w:hAnsi="Arial" w:cs="Arial"/>
          <w:sz w:val="22"/>
          <w:szCs w:val="22"/>
        </w:rPr>
        <w:t>incorrect</w:t>
      </w:r>
      <w:r w:rsidR="0056333A" w:rsidRPr="001A4436">
        <w:rPr>
          <w:rFonts w:ascii="Arial" w:hAnsi="Arial" w:cs="Arial"/>
          <w:sz w:val="22"/>
          <w:szCs w:val="22"/>
        </w:rPr>
        <w:t xml:space="preserve"> outcomes</w:t>
      </w:r>
      <w:r w:rsidR="00857F3A">
        <w:rPr>
          <w:rFonts w:ascii="Arial" w:hAnsi="Arial" w:cs="Arial"/>
          <w:sz w:val="22"/>
          <w:szCs w:val="22"/>
        </w:rPr>
        <w:t xml:space="preserve"> </w:t>
      </w:r>
      <w:sdt>
        <w:sdtPr>
          <w:rPr>
            <w:rFonts w:ascii="Arial" w:hAnsi="Arial" w:cs="Arial"/>
            <w:sz w:val="22"/>
            <w:szCs w:val="22"/>
          </w:rPr>
          <w:id w:val="-280950143"/>
          <w:citation/>
        </w:sdtPr>
        <w:sdtContent>
          <w:r w:rsidR="00857F3A">
            <w:rPr>
              <w:rFonts w:ascii="Arial" w:hAnsi="Arial" w:cs="Arial"/>
              <w:sz w:val="22"/>
              <w:szCs w:val="22"/>
            </w:rPr>
            <w:fldChar w:fldCharType="begin"/>
          </w:r>
          <w:r w:rsidR="00857F3A">
            <w:rPr>
              <w:rFonts w:ascii="Arial" w:hAnsi="Arial" w:cs="Arial"/>
              <w:sz w:val="22"/>
              <w:szCs w:val="22"/>
            </w:rPr>
            <w:instrText xml:space="preserve"> CITATION Col21 \l 2057 </w:instrText>
          </w:r>
          <w:r w:rsidR="00857F3A">
            <w:rPr>
              <w:rFonts w:ascii="Arial" w:hAnsi="Arial" w:cs="Arial"/>
              <w:sz w:val="22"/>
              <w:szCs w:val="22"/>
            </w:rPr>
            <w:fldChar w:fldCharType="separate"/>
          </w:r>
          <w:r w:rsidR="00857F3A" w:rsidRPr="00857F3A">
            <w:rPr>
              <w:rFonts w:ascii="Arial" w:hAnsi="Arial" w:cs="Arial"/>
              <w:noProof/>
              <w:sz w:val="22"/>
              <w:szCs w:val="22"/>
            </w:rPr>
            <w:t>(CollegeofPolicing, 2021)</w:t>
          </w:r>
          <w:r w:rsidR="00857F3A">
            <w:rPr>
              <w:rFonts w:ascii="Arial" w:hAnsi="Arial" w:cs="Arial"/>
              <w:sz w:val="22"/>
              <w:szCs w:val="22"/>
            </w:rPr>
            <w:fldChar w:fldCharType="end"/>
          </w:r>
        </w:sdtContent>
      </w:sdt>
      <w:r w:rsidR="0056333A" w:rsidRPr="001A4436">
        <w:rPr>
          <w:rFonts w:ascii="Arial" w:hAnsi="Arial" w:cs="Arial"/>
          <w:sz w:val="22"/>
          <w:szCs w:val="22"/>
        </w:rPr>
        <w:t>.</w:t>
      </w:r>
    </w:p>
    <w:p w14:paraId="597E6089" w14:textId="77777777" w:rsidR="0056333A" w:rsidRDefault="0056333A" w:rsidP="00175468">
      <w:pPr>
        <w:spacing w:line="257" w:lineRule="auto"/>
        <w:ind w:right="531"/>
        <w:rPr>
          <w:rFonts w:ascii="Arial" w:hAnsi="Arial" w:cs="Arial"/>
          <w:sz w:val="22"/>
          <w:szCs w:val="22"/>
        </w:rPr>
      </w:pPr>
    </w:p>
    <w:p w14:paraId="1ED48C0A" w14:textId="1DB5EB44" w:rsidR="0056333A" w:rsidRPr="001A4436" w:rsidRDefault="0056333A" w:rsidP="00175468">
      <w:pPr>
        <w:spacing w:line="257" w:lineRule="auto"/>
        <w:ind w:right="531"/>
        <w:rPr>
          <w:rFonts w:ascii="Arial" w:hAnsi="Arial" w:cs="Arial"/>
          <w:sz w:val="22"/>
          <w:szCs w:val="22"/>
        </w:rPr>
      </w:pPr>
      <w:r>
        <w:rPr>
          <w:rFonts w:ascii="Arial" w:hAnsi="Arial" w:cs="Arial"/>
          <w:sz w:val="22"/>
          <w:szCs w:val="22"/>
        </w:rPr>
        <w:t xml:space="preserve">Long term commitment is required for cultural change within policing. Equality and </w:t>
      </w:r>
      <w:r w:rsidRPr="001A4436">
        <w:rPr>
          <w:rFonts w:ascii="Arial" w:hAnsi="Arial" w:cs="Arial"/>
          <w:sz w:val="22"/>
          <w:szCs w:val="22"/>
        </w:rPr>
        <w:t xml:space="preserve">Diversity training should </w:t>
      </w:r>
      <w:r>
        <w:rPr>
          <w:rFonts w:ascii="Arial" w:hAnsi="Arial" w:cs="Arial"/>
          <w:sz w:val="22"/>
          <w:szCs w:val="22"/>
        </w:rPr>
        <w:t>be in depth and regular to</w:t>
      </w:r>
      <w:r w:rsidRPr="001A4436">
        <w:rPr>
          <w:rFonts w:ascii="Arial" w:hAnsi="Arial" w:cs="Arial"/>
          <w:sz w:val="22"/>
          <w:szCs w:val="22"/>
        </w:rPr>
        <w:t xml:space="preserve"> reflec</w:t>
      </w:r>
      <w:r>
        <w:rPr>
          <w:rFonts w:ascii="Arial" w:hAnsi="Arial" w:cs="Arial"/>
          <w:sz w:val="22"/>
          <w:szCs w:val="22"/>
        </w:rPr>
        <w:t xml:space="preserve">t on incidents attended. </w:t>
      </w:r>
      <w:r w:rsidRPr="001A4436">
        <w:rPr>
          <w:rFonts w:ascii="Arial" w:hAnsi="Arial" w:cs="Arial"/>
          <w:sz w:val="22"/>
          <w:szCs w:val="22"/>
        </w:rPr>
        <w:t>As </w:t>
      </w:r>
      <w:sdt>
        <w:sdtPr>
          <w:rPr>
            <w:rFonts w:ascii="Arial" w:hAnsi="Arial" w:cs="Arial"/>
            <w:sz w:val="22"/>
            <w:szCs w:val="22"/>
          </w:rPr>
          <w:id w:val="1911029248"/>
          <w:citation/>
        </w:sdtPr>
        <w:sdtContent>
          <w:r w:rsidR="004640A9">
            <w:rPr>
              <w:rFonts w:ascii="Arial" w:hAnsi="Arial" w:cs="Arial"/>
              <w:sz w:val="22"/>
              <w:szCs w:val="22"/>
            </w:rPr>
            <w:fldChar w:fldCharType="begin"/>
          </w:r>
          <w:r w:rsidR="004640A9">
            <w:rPr>
              <w:rFonts w:ascii="Arial" w:hAnsi="Arial" w:cs="Arial"/>
              <w:sz w:val="22"/>
              <w:szCs w:val="22"/>
            </w:rPr>
            <w:instrText xml:space="preserve"> CITATION Mol22 \l 2057 </w:instrText>
          </w:r>
          <w:r w:rsidR="004640A9">
            <w:rPr>
              <w:rFonts w:ascii="Arial" w:hAnsi="Arial" w:cs="Arial"/>
              <w:sz w:val="22"/>
              <w:szCs w:val="22"/>
            </w:rPr>
            <w:fldChar w:fldCharType="separate"/>
          </w:r>
          <w:r w:rsidR="004640A9" w:rsidRPr="004640A9">
            <w:rPr>
              <w:rFonts w:ascii="Arial" w:hAnsi="Arial" w:cs="Arial"/>
              <w:noProof/>
              <w:sz w:val="22"/>
              <w:szCs w:val="22"/>
            </w:rPr>
            <w:t>(Moller, 2022)</w:t>
          </w:r>
          <w:r w:rsidR="004640A9">
            <w:rPr>
              <w:rFonts w:ascii="Arial" w:hAnsi="Arial" w:cs="Arial"/>
              <w:sz w:val="22"/>
              <w:szCs w:val="22"/>
            </w:rPr>
            <w:fldChar w:fldCharType="end"/>
          </w:r>
        </w:sdtContent>
      </w:sdt>
      <w:r w:rsidR="004640A9">
        <w:rPr>
          <w:rFonts w:ascii="Arial" w:hAnsi="Arial" w:cs="Arial"/>
          <w:sz w:val="22"/>
          <w:szCs w:val="22"/>
        </w:rPr>
        <w:t xml:space="preserve"> </w:t>
      </w:r>
      <w:r>
        <w:rPr>
          <w:rFonts w:ascii="Arial" w:hAnsi="Arial" w:cs="Arial"/>
          <w:sz w:val="22"/>
          <w:szCs w:val="22"/>
        </w:rPr>
        <w:t>explain in their research</w:t>
      </w:r>
      <w:r w:rsidRPr="001A4436">
        <w:rPr>
          <w:rFonts w:ascii="Arial" w:hAnsi="Arial" w:cs="Arial"/>
          <w:sz w:val="22"/>
          <w:szCs w:val="22"/>
        </w:rPr>
        <w:t>, professional identity in policing is shaped through “practice-based learning.” Reflective supervision, peer learning, and incident reviews can help normalise inclusive thinking.</w:t>
      </w:r>
    </w:p>
    <w:p w14:paraId="5B0D2882" w14:textId="77777777" w:rsidR="0056333A" w:rsidRDefault="0056333A" w:rsidP="00175468">
      <w:pPr>
        <w:spacing w:line="257" w:lineRule="auto"/>
        <w:ind w:right="531"/>
        <w:rPr>
          <w:rFonts w:ascii="Arial" w:hAnsi="Arial" w:cs="Arial"/>
          <w:sz w:val="22"/>
          <w:szCs w:val="22"/>
        </w:rPr>
      </w:pPr>
    </w:p>
    <w:p w14:paraId="22D7EB01" w14:textId="216F8E85" w:rsidR="0056333A" w:rsidRDefault="0056333A" w:rsidP="00175468">
      <w:pPr>
        <w:spacing w:line="257" w:lineRule="auto"/>
        <w:ind w:right="531"/>
        <w:rPr>
          <w:rFonts w:ascii="Arial" w:hAnsi="Arial" w:cs="Arial"/>
          <w:sz w:val="22"/>
          <w:szCs w:val="22"/>
        </w:rPr>
      </w:pPr>
      <w:r w:rsidRPr="001A4436">
        <w:rPr>
          <w:rFonts w:ascii="Arial" w:hAnsi="Arial" w:cs="Arial"/>
          <w:sz w:val="22"/>
          <w:szCs w:val="22"/>
        </w:rPr>
        <w:t xml:space="preserve">Additionally, mentorship schemes that support minority officers in navigating workplace challenges should be resourced and recognised in promotion criteria. The Black Police </w:t>
      </w:r>
      <w:r w:rsidRPr="001A4436">
        <w:rPr>
          <w:rFonts w:ascii="Arial" w:hAnsi="Arial" w:cs="Arial"/>
          <w:sz w:val="22"/>
          <w:szCs w:val="22"/>
        </w:rPr>
        <w:lastRenderedPageBreak/>
        <w:t>Association has highlighted the value of such schemes in improving morale and retention</w:t>
      </w:r>
      <w:r w:rsidR="004640A9">
        <w:rPr>
          <w:rFonts w:ascii="Arial" w:hAnsi="Arial" w:cs="Arial"/>
          <w:sz w:val="22"/>
          <w:szCs w:val="22"/>
        </w:rPr>
        <w:t xml:space="preserve"> </w:t>
      </w:r>
      <w:sdt>
        <w:sdtPr>
          <w:rPr>
            <w:rFonts w:ascii="Arial" w:hAnsi="Arial" w:cs="Arial"/>
            <w:sz w:val="22"/>
            <w:szCs w:val="22"/>
          </w:rPr>
          <w:id w:val="218410084"/>
          <w:citation/>
        </w:sdtPr>
        <w:sdtContent>
          <w:r w:rsidR="004640A9">
            <w:rPr>
              <w:rFonts w:ascii="Arial" w:hAnsi="Arial" w:cs="Arial"/>
              <w:sz w:val="22"/>
              <w:szCs w:val="22"/>
            </w:rPr>
            <w:fldChar w:fldCharType="begin"/>
          </w:r>
          <w:r w:rsidR="004640A9">
            <w:rPr>
              <w:rFonts w:ascii="Arial" w:hAnsi="Arial" w:cs="Arial"/>
              <w:sz w:val="22"/>
              <w:szCs w:val="22"/>
            </w:rPr>
            <w:instrText xml:space="preserve"> CITATION Jer23 \l 2057 </w:instrText>
          </w:r>
          <w:r w:rsidR="004640A9">
            <w:rPr>
              <w:rFonts w:ascii="Arial" w:hAnsi="Arial" w:cs="Arial"/>
              <w:sz w:val="22"/>
              <w:szCs w:val="22"/>
            </w:rPr>
            <w:fldChar w:fldCharType="separate"/>
          </w:r>
          <w:r w:rsidR="004640A9" w:rsidRPr="004640A9">
            <w:rPr>
              <w:rFonts w:ascii="Arial" w:hAnsi="Arial" w:cs="Arial"/>
              <w:noProof/>
              <w:sz w:val="22"/>
              <w:szCs w:val="22"/>
            </w:rPr>
            <w:t>(Wilson, et al., 2023)</w:t>
          </w:r>
          <w:r w:rsidR="004640A9">
            <w:rPr>
              <w:rFonts w:ascii="Arial" w:hAnsi="Arial" w:cs="Arial"/>
              <w:sz w:val="22"/>
              <w:szCs w:val="22"/>
            </w:rPr>
            <w:fldChar w:fldCharType="end"/>
          </w:r>
        </w:sdtContent>
      </w:sdt>
      <w:r w:rsidRPr="001A4436">
        <w:rPr>
          <w:rFonts w:ascii="Arial" w:hAnsi="Arial" w:cs="Arial"/>
          <w:sz w:val="22"/>
          <w:szCs w:val="22"/>
        </w:rPr>
        <w:t>.</w:t>
      </w:r>
    </w:p>
    <w:p w14:paraId="505F4ECB" w14:textId="77777777" w:rsidR="0056333A" w:rsidRPr="008D6777" w:rsidRDefault="0056333A" w:rsidP="00175468">
      <w:pPr>
        <w:spacing w:line="257" w:lineRule="auto"/>
        <w:ind w:right="531"/>
        <w:rPr>
          <w:rFonts w:ascii="Arial" w:hAnsi="Arial" w:cs="Arial"/>
          <w:sz w:val="22"/>
          <w:szCs w:val="22"/>
        </w:rPr>
      </w:pPr>
    </w:p>
    <w:p w14:paraId="1010166D" w14:textId="53E1196E" w:rsidR="0056333A" w:rsidRDefault="0056333A" w:rsidP="00175468">
      <w:pPr>
        <w:spacing w:line="257" w:lineRule="auto"/>
        <w:ind w:right="531"/>
        <w:rPr>
          <w:rFonts w:ascii="Arial" w:hAnsi="Arial" w:cs="Arial"/>
          <w:sz w:val="22"/>
          <w:szCs w:val="22"/>
        </w:rPr>
      </w:pPr>
      <w:r>
        <w:rPr>
          <w:rFonts w:ascii="Arial" w:hAnsi="Arial" w:cs="Arial"/>
          <w:sz w:val="22"/>
          <w:szCs w:val="22"/>
        </w:rPr>
        <w:t>Overall, evidence and research suggest</w:t>
      </w:r>
      <w:r w:rsidRPr="001A4436">
        <w:rPr>
          <w:rFonts w:ascii="Arial" w:hAnsi="Arial" w:cs="Arial"/>
          <w:sz w:val="22"/>
          <w:szCs w:val="22"/>
        </w:rPr>
        <w:t xml:space="preserve"> that while the UK police </w:t>
      </w:r>
      <w:r>
        <w:rPr>
          <w:rFonts w:ascii="Arial" w:hAnsi="Arial" w:cs="Arial"/>
          <w:sz w:val="22"/>
          <w:szCs w:val="22"/>
        </w:rPr>
        <w:t>force</w:t>
      </w:r>
      <w:r w:rsidRPr="001A4436">
        <w:rPr>
          <w:rFonts w:ascii="Arial" w:hAnsi="Arial" w:cs="Arial"/>
          <w:sz w:val="22"/>
          <w:szCs w:val="22"/>
        </w:rPr>
        <w:t xml:space="preserve"> has taken significant steps to accommodate diversity, </w:t>
      </w:r>
      <w:r>
        <w:rPr>
          <w:rFonts w:ascii="Arial" w:hAnsi="Arial" w:cs="Arial"/>
          <w:sz w:val="22"/>
          <w:szCs w:val="22"/>
        </w:rPr>
        <w:t>further improvement is still required</w:t>
      </w:r>
      <w:r w:rsidRPr="001A4436">
        <w:rPr>
          <w:rFonts w:ascii="Arial" w:hAnsi="Arial" w:cs="Arial"/>
          <w:sz w:val="22"/>
          <w:szCs w:val="22"/>
        </w:rPr>
        <w:t xml:space="preserve">. </w:t>
      </w:r>
      <w:r>
        <w:rPr>
          <w:rFonts w:ascii="Arial" w:hAnsi="Arial" w:cs="Arial"/>
          <w:sz w:val="22"/>
          <w:szCs w:val="22"/>
        </w:rPr>
        <w:t xml:space="preserve">Current policies and procedures make the </w:t>
      </w:r>
      <w:r w:rsidRPr="001A4436">
        <w:rPr>
          <w:rFonts w:ascii="Arial" w:hAnsi="Arial" w:cs="Arial"/>
          <w:sz w:val="22"/>
          <w:szCs w:val="22"/>
        </w:rPr>
        <w:t>reflect</w:t>
      </w:r>
      <w:r>
        <w:rPr>
          <w:rFonts w:ascii="Arial" w:hAnsi="Arial" w:cs="Arial"/>
          <w:sz w:val="22"/>
          <w:szCs w:val="22"/>
        </w:rPr>
        <w:t>ion</w:t>
      </w:r>
      <w:r w:rsidRPr="001A4436">
        <w:rPr>
          <w:rFonts w:ascii="Arial" w:hAnsi="Arial" w:cs="Arial"/>
          <w:sz w:val="22"/>
          <w:szCs w:val="22"/>
        </w:rPr>
        <w:t xml:space="preserve"> </w:t>
      </w:r>
      <w:r>
        <w:rPr>
          <w:rFonts w:ascii="Arial" w:hAnsi="Arial" w:cs="Arial"/>
          <w:sz w:val="22"/>
          <w:szCs w:val="22"/>
        </w:rPr>
        <w:t>against</w:t>
      </w:r>
      <w:r w:rsidRPr="001A4436">
        <w:rPr>
          <w:rFonts w:ascii="Arial" w:hAnsi="Arial" w:cs="Arial"/>
          <w:sz w:val="22"/>
          <w:szCs w:val="22"/>
        </w:rPr>
        <w:t xml:space="preserve"> policy intent and cultural inertia. Addressing these challenges requires leadership, community </w:t>
      </w:r>
      <w:r>
        <w:rPr>
          <w:rFonts w:ascii="Arial" w:hAnsi="Arial" w:cs="Arial"/>
          <w:sz w:val="22"/>
          <w:szCs w:val="22"/>
        </w:rPr>
        <w:t>engagement</w:t>
      </w:r>
      <w:r w:rsidRPr="001A4436">
        <w:rPr>
          <w:rFonts w:ascii="Arial" w:hAnsi="Arial" w:cs="Arial"/>
          <w:sz w:val="22"/>
          <w:szCs w:val="22"/>
        </w:rPr>
        <w:t xml:space="preserve">, and ongoing cultural reform. </w:t>
      </w:r>
      <w:r>
        <w:rPr>
          <w:rFonts w:ascii="Arial" w:hAnsi="Arial" w:cs="Arial"/>
          <w:sz w:val="22"/>
          <w:szCs w:val="22"/>
        </w:rPr>
        <w:t>Ensuring equity is in the heart of policing will then lead to earning the trust and cooperation from the public and those within the force.</w:t>
      </w:r>
    </w:p>
    <w:p w14:paraId="564FEB3B" w14:textId="77777777" w:rsidR="00B963BA" w:rsidRDefault="00B963BA" w:rsidP="00175468">
      <w:pPr>
        <w:spacing w:line="257" w:lineRule="auto"/>
        <w:ind w:right="531"/>
        <w:rPr>
          <w:rFonts w:ascii="Arial" w:hAnsi="Arial" w:cs="Arial"/>
          <w:sz w:val="22"/>
          <w:szCs w:val="22"/>
        </w:rPr>
      </w:pPr>
    </w:p>
    <w:p w14:paraId="463AAB0E" w14:textId="6339F1D9" w:rsidR="00B963BA" w:rsidRPr="00B963BA" w:rsidRDefault="00B963BA" w:rsidP="00175468">
      <w:pPr>
        <w:spacing w:line="257" w:lineRule="auto"/>
        <w:ind w:right="531"/>
        <w:rPr>
          <w:rFonts w:ascii="Arial" w:hAnsi="Arial" w:cs="Arial"/>
          <w:b/>
          <w:bCs/>
          <w:sz w:val="22"/>
          <w:szCs w:val="22"/>
          <w:u w:val="single"/>
        </w:rPr>
      </w:pPr>
      <w:r w:rsidRPr="00B963BA">
        <w:rPr>
          <w:rFonts w:ascii="Arial" w:hAnsi="Arial" w:cs="Arial"/>
          <w:b/>
          <w:bCs/>
          <w:sz w:val="22"/>
          <w:szCs w:val="22"/>
          <w:u w:val="single"/>
        </w:rPr>
        <w:t>Word Count: 1060 words</w:t>
      </w:r>
    </w:p>
    <w:p w14:paraId="7220CA86" w14:textId="77777777" w:rsidR="0056333A" w:rsidRPr="00693B87" w:rsidRDefault="0056333A" w:rsidP="00175468">
      <w:pPr>
        <w:spacing w:line="257" w:lineRule="auto"/>
        <w:ind w:right="531"/>
        <w:rPr>
          <w:rFonts w:ascii="Arial" w:hAnsi="Arial" w:cs="Arial"/>
          <w:sz w:val="22"/>
          <w:szCs w:val="22"/>
        </w:rPr>
      </w:pPr>
    </w:p>
    <w:p w14:paraId="37C6F737" w14:textId="77777777" w:rsidR="00B963BA" w:rsidRDefault="00B963BA" w:rsidP="00175468">
      <w:pPr>
        <w:spacing w:line="257" w:lineRule="auto"/>
        <w:ind w:right="531"/>
        <w:rPr>
          <w:rFonts w:ascii="Arial" w:hAnsi="Arial" w:cs="Arial"/>
          <w:b/>
          <w:bCs/>
          <w:sz w:val="22"/>
          <w:szCs w:val="22"/>
          <w:u w:val="single"/>
        </w:rPr>
      </w:pPr>
    </w:p>
    <w:p w14:paraId="08B0980C" w14:textId="77777777" w:rsidR="00B963BA" w:rsidRDefault="00B963BA" w:rsidP="00175468">
      <w:pPr>
        <w:spacing w:line="257" w:lineRule="auto"/>
        <w:ind w:right="531"/>
        <w:rPr>
          <w:rFonts w:ascii="Arial" w:hAnsi="Arial" w:cs="Arial"/>
          <w:b/>
          <w:bCs/>
          <w:sz w:val="22"/>
          <w:szCs w:val="22"/>
          <w:u w:val="single"/>
        </w:rPr>
      </w:pPr>
    </w:p>
    <w:p w14:paraId="30EE0122" w14:textId="77777777" w:rsidR="00B963BA" w:rsidRDefault="00B963BA" w:rsidP="00175468">
      <w:pPr>
        <w:spacing w:line="257" w:lineRule="auto"/>
        <w:ind w:right="531"/>
        <w:rPr>
          <w:rFonts w:ascii="Arial" w:hAnsi="Arial" w:cs="Arial"/>
          <w:b/>
          <w:bCs/>
          <w:sz w:val="22"/>
          <w:szCs w:val="22"/>
          <w:u w:val="single"/>
        </w:rPr>
      </w:pPr>
    </w:p>
    <w:p w14:paraId="76CB4E64" w14:textId="77777777" w:rsidR="00B963BA" w:rsidRDefault="00B963BA" w:rsidP="00175468">
      <w:pPr>
        <w:spacing w:line="257" w:lineRule="auto"/>
        <w:ind w:right="531"/>
        <w:rPr>
          <w:rFonts w:ascii="Arial" w:hAnsi="Arial" w:cs="Arial"/>
          <w:b/>
          <w:bCs/>
          <w:sz w:val="22"/>
          <w:szCs w:val="22"/>
          <w:u w:val="single"/>
        </w:rPr>
      </w:pPr>
    </w:p>
    <w:p w14:paraId="28C5215E" w14:textId="77777777" w:rsidR="00B963BA" w:rsidRDefault="00B963BA" w:rsidP="00175468">
      <w:pPr>
        <w:spacing w:line="257" w:lineRule="auto"/>
        <w:ind w:right="531"/>
        <w:rPr>
          <w:rFonts w:ascii="Arial" w:hAnsi="Arial" w:cs="Arial"/>
          <w:b/>
          <w:bCs/>
          <w:sz w:val="22"/>
          <w:szCs w:val="22"/>
          <w:u w:val="single"/>
        </w:rPr>
      </w:pPr>
    </w:p>
    <w:p w14:paraId="1A49A93F" w14:textId="77777777" w:rsidR="00B963BA" w:rsidRDefault="00B963BA" w:rsidP="00175468">
      <w:pPr>
        <w:spacing w:line="257" w:lineRule="auto"/>
        <w:ind w:right="531"/>
        <w:rPr>
          <w:rFonts w:ascii="Arial" w:hAnsi="Arial" w:cs="Arial"/>
          <w:b/>
          <w:bCs/>
          <w:sz w:val="22"/>
          <w:szCs w:val="22"/>
          <w:u w:val="single"/>
        </w:rPr>
      </w:pPr>
    </w:p>
    <w:p w14:paraId="597736AE" w14:textId="77777777" w:rsidR="00B963BA" w:rsidRDefault="00B963BA" w:rsidP="00175468">
      <w:pPr>
        <w:spacing w:line="257" w:lineRule="auto"/>
        <w:ind w:right="531"/>
        <w:rPr>
          <w:rFonts w:ascii="Arial" w:hAnsi="Arial" w:cs="Arial"/>
          <w:b/>
          <w:bCs/>
          <w:sz w:val="22"/>
          <w:szCs w:val="22"/>
          <w:u w:val="single"/>
        </w:rPr>
      </w:pPr>
    </w:p>
    <w:p w14:paraId="4A2BCB27" w14:textId="77777777" w:rsidR="00B963BA" w:rsidRDefault="00B963BA" w:rsidP="00175468">
      <w:pPr>
        <w:spacing w:line="257" w:lineRule="auto"/>
        <w:ind w:right="531"/>
        <w:rPr>
          <w:rFonts w:ascii="Arial" w:hAnsi="Arial" w:cs="Arial"/>
          <w:b/>
          <w:bCs/>
          <w:sz w:val="22"/>
          <w:szCs w:val="22"/>
          <w:u w:val="single"/>
        </w:rPr>
      </w:pPr>
    </w:p>
    <w:p w14:paraId="40034EB0" w14:textId="77777777" w:rsidR="00B963BA" w:rsidRDefault="00B963BA" w:rsidP="00175468">
      <w:pPr>
        <w:spacing w:line="257" w:lineRule="auto"/>
        <w:ind w:right="531"/>
        <w:rPr>
          <w:rFonts w:ascii="Arial" w:hAnsi="Arial" w:cs="Arial"/>
          <w:b/>
          <w:bCs/>
          <w:sz w:val="22"/>
          <w:szCs w:val="22"/>
          <w:u w:val="single"/>
        </w:rPr>
      </w:pPr>
    </w:p>
    <w:p w14:paraId="30DD8DA8" w14:textId="77777777" w:rsidR="00B963BA" w:rsidRDefault="00B963BA" w:rsidP="00175468">
      <w:pPr>
        <w:spacing w:line="257" w:lineRule="auto"/>
        <w:ind w:right="531"/>
        <w:rPr>
          <w:rFonts w:ascii="Arial" w:hAnsi="Arial" w:cs="Arial"/>
          <w:b/>
          <w:bCs/>
          <w:sz w:val="22"/>
          <w:szCs w:val="22"/>
          <w:u w:val="single"/>
        </w:rPr>
      </w:pPr>
    </w:p>
    <w:p w14:paraId="3AA51116" w14:textId="77777777" w:rsidR="00B963BA" w:rsidRDefault="00B963BA" w:rsidP="00175468">
      <w:pPr>
        <w:spacing w:line="257" w:lineRule="auto"/>
        <w:ind w:right="531"/>
        <w:rPr>
          <w:rFonts w:ascii="Arial" w:hAnsi="Arial" w:cs="Arial"/>
          <w:b/>
          <w:bCs/>
          <w:sz w:val="22"/>
          <w:szCs w:val="22"/>
          <w:u w:val="single"/>
        </w:rPr>
      </w:pPr>
    </w:p>
    <w:p w14:paraId="6DD2057F" w14:textId="77777777" w:rsidR="00B963BA" w:rsidRDefault="00B963BA" w:rsidP="00175468">
      <w:pPr>
        <w:spacing w:line="257" w:lineRule="auto"/>
        <w:ind w:right="531"/>
        <w:rPr>
          <w:rFonts w:ascii="Arial" w:hAnsi="Arial" w:cs="Arial"/>
          <w:b/>
          <w:bCs/>
          <w:sz w:val="22"/>
          <w:szCs w:val="22"/>
          <w:u w:val="single"/>
        </w:rPr>
      </w:pPr>
    </w:p>
    <w:p w14:paraId="37C90445" w14:textId="77777777" w:rsidR="00B963BA" w:rsidRDefault="00B963BA" w:rsidP="00175468">
      <w:pPr>
        <w:spacing w:line="257" w:lineRule="auto"/>
        <w:ind w:right="531"/>
        <w:rPr>
          <w:rFonts w:ascii="Arial" w:hAnsi="Arial" w:cs="Arial"/>
          <w:b/>
          <w:bCs/>
          <w:sz w:val="22"/>
          <w:szCs w:val="22"/>
          <w:u w:val="single"/>
        </w:rPr>
      </w:pPr>
    </w:p>
    <w:p w14:paraId="12DD9CF8" w14:textId="77777777" w:rsidR="00B963BA" w:rsidRDefault="00B963BA" w:rsidP="00175468">
      <w:pPr>
        <w:spacing w:line="257" w:lineRule="auto"/>
        <w:ind w:right="531"/>
        <w:rPr>
          <w:rFonts w:ascii="Arial" w:hAnsi="Arial" w:cs="Arial"/>
          <w:b/>
          <w:bCs/>
          <w:sz w:val="22"/>
          <w:szCs w:val="22"/>
          <w:u w:val="single"/>
        </w:rPr>
      </w:pPr>
    </w:p>
    <w:p w14:paraId="31F4A653" w14:textId="77777777" w:rsidR="00B963BA" w:rsidRDefault="00B963BA" w:rsidP="00175468">
      <w:pPr>
        <w:spacing w:line="257" w:lineRule="auto"/>
        <w:ind w:right="531"/>
        <w:rPr>
          <w:rFonts w:ascii="Arial" w:hAnsi="Arial" w:cs="Arial"/>
          <w:b/>
          <w:bCs/>
          <w:sz w:val="22"/>
          <w:szCs w:val="22"/>
          <w:u w:val="single"/>
        </w:rPr>
      </w:pPr>
    </w:p>
    <w:p w14:paraId="66979489" w14:textId="77777777" w:rsidR="00B963BA" w:rsidRDefault="00B963BA" w:rsidP="00175468">
      <w:pPr>
        <w:spacing w:line="257" w:lineRule="auto"/>
        <w:ind w:right="531"/>
        <w:rPr>
          <w:rFonts w:ascii="Arial" w:hAnsi="Arial" w:cs="Arial"/>
          <w:b/>
          <w:bCs/>
          <w:sz w:val="22"/>
          <w:szCs w:val="22"/>
          <w:u w:val="single"/>
        </w:rPr>
      </w:pPr>
    </w:p>
    <w:p w14:paraId="51BA00BD" w14:textId="77777777" w:rsidR="00B963BA" w:rsidRDefault="00B963BA" w:rsidP="00175468">
      <w:pPr>
        <w:spacing w:line="257" w:lineRule="auto"/>
        <w:ind w:right="531"/>
        <w:rPr>
          <w:rFonts w:ascii="Arial" w:hAnsi="Arial" w:cs="Arial"/>
          <w:b/>
          <w:bCs/>
          <w:sz w:val="22"/>
          <w:szCs w:val="22"/>
          <w:u w:val="single"/>
        </w:rPr>
      </w:pPr>
    </w:p>
    <w:p w14:paraId="167B3013" w14:textId="77777777" w:rsidR="00B963BA" w:rsidRDefault="00B963BA" w:rsidP="00175468">
      <w:pPr>
        <w:spacing w:line="257" w:lineRule="auto"/>
        <w:ind w:right="531"/>
        <w:rPr>
          <w:rFonts w:ascii="Arial" w:hAnsi="Arial" w:cs="Arial"/>
          <w:b/>
          <w:bCs/>
          <w:sz w:val="22"/>
          <w:szCs w:val="22"/>
          <w:u w:val="single"/>
        </w:rPr>
      </w:pPr>
    </w:p>
    <w:p w14:paraId="29BFEF3F" w14:textId="77777777" w:rsidR="00B963BA" w:rsidRDefault="00B963BA" w:rsidP="00175468">
      <w:pPr>
        <w:spacing w:line="257" w:lineRule="auto"/>
        <w:ind w:right="531"/>
        <w:rPr>
          <w:rFonts w:ascii="Arial" w:hAnsi="Arial" w:cs="Arial"/>
          <w:b/>
          <w:bCs/>
          <w:sz w:val="22"/>
          <w:szCs w:val="22"/>
          <w:u w:val="single"/>
        </w:rPr>
      </w:pPr>
    </w:p>
    <w:p w14:paraId="0989469B" w14:textId="77777777" w:rsidR="00B963BA" w:rsidRDefault="00B963BA" w:rsidP="00175468">
      <w:pPr>
        <w:spacing w:line="257" w:lineRule="auto"/>
        <w:ind w:right="531"/>
        <w:rPr>
          <w:rFonts w:ascii="Arial" w:hAnsi="Arial" w:cs="Arial"/>
          <w:b/>
          <w:bCs/>
          <w:sz w:val="22"/>
          <w:szCs w:val="22"/>
          <w:u w:val="single"/>
        </w:rPr>
      </w:pPr>
    </w:p>
    <w:p w14:paraId="5AE7AAAF" w14:textId="77777777" w:rsidR="00B963BA" w:rsidRDefault="00B963BA" w:rsidP="00175468">
      <w:pPr>
        <w:spacing w:line="257" w:lineRule="auto"/>
        <w:ind w:right="531"/>
        <w:rPr>
          <w:rFonts w:ascii="Arial" w:hAnsi="Arial" w:cs="Arial"/>
          <w:b/>
          <w:bCs/>
          <w:sz w:val="22"/>
          <w:szCs w:val="22"/>
          <w:u w:val="single"/>
        </w:rPr>
      </w:pPr>
    </w:p>
    <w:p w14:paraId="04394D2A" w14:textId="77777777" w:rsidR="00B963BA" w:rsidRDefault="00B963BA" w:rsidP="00175468">
      <w:pPr>
        <w:spacing w:line="257" w:lineRule="auto"/>
        <w:ind w:right="531"/>
        <w:rPr>
          <w:rFonts w:ascii="Arial" w:hAnsi="Arial" w:cs="Arial"/>
          <w:b/>
          <w:bCs/>
          <w:sz w:val="22"/>
          <w:szCs w:val="22"/>
          <w:u w:val="single"/>
        </w:rPr>
      </w:pPr>
    </w:p>
    <w:p w14:paraId="567CA33E" w14:textId="77777777" w:rsidR="00B963BA" w:rsidRDefault="00B963BA" w:rsidP="00175468">
      <w:pPr>
        <w:spacing w:line="257" w:lineRule="auto"/>
        <w:ind w:right="531"/>
        <w:rPr>
          <w:rFonts w:ascii="Arial" w:hAnsi="Arial" w:cs="Arial"/>
          <w:b/>
          <w:bCs/>
          <w:sz w:val="22"/>
          <w:szCs w:val="22"/>
          <w:u w:val="single"/>
        </w:rPr>
      </w:pPr>
    </w:p>
    <w:p w14:paraId="445A9456" w14:textId="77777777" w:rsidR="00B963BA" w:rsidRDefault="00B963BA" w:rsidP="00175468">
      <w:pPr>
        <w:spacing w:line="257" w:lineRule="auto"/>
        <w:ind w:right="531"/>
        <w:rPr>
          <w:rFonts w:ascii="Arial" w:hAnsi="Arial" w:cs="Arial"/>
          <w:b/>
          <w:bCs/>
          <w:sz w:val="22"/>
          <w:szCs w:val="22"/>
          <w:u w:val="single"/>
        </w:rPr>
      </w:pPr>
    </w:p>
    <w:p w14:paraId="3D104656" w14:textId="77777777" w:rsidR="00B963BA" w:rsidRDefault="00B963BA" w:rsidP="00175468">
      <w:pPr>
        <w:spacing w:line="257" w:lineRule="auto"/>
        <w:ind w:right="531"/>
        <w:rPr>
          <w:rFonts w:ascii="Arial" w:hAnsi="Arial" w:cs="Arial"/>
          <w:b/>
          <w:bCs/>
          <w:sz w:val="22"/>
          <w:szCs w:val="22"/>
          <w:u w:val="single"/>
        </w:rPr>
      </w:pPr>
    </w:p>
    <w:p w14:paraId="7165FEE8" w14:textId="77777777" w:rsidR="00B963BA" w:rsidRDefault="00B963BA" w:rsidP="00175468">
      <w:pPr>
        <w:spacing w:line="257" w:lineRule="auto"/>
        <w:ind w:right="531"/>
        <w:rPr>
          <w:rFonts w:ascii="Arial" w:hAnsi="Arial" w:cs="Arial"/>
          <w:b/>
          <w:bCs/>
          <w:sz w:val="22"/>
          <w:szCs w:val="22"/>
          <w:u w:val="single"/>
        </w:rPr>
      </w:pPr>
    </w:p>
    <w:p w14:paraId="3BE9E449" w14:textId="77777777" w:rsidR="00726D91" w:rsidRDefault="00726D91" w:rsidP="00175468">
      <w:pPr>
        <w:spacing w:line="257" w:lineRule="auto"/>
        <w:ind w:right="531"/>
        <w:rPr>
          <w:rFonts w:ascii="Arial" w:hAnsi="Arial" w:cs="Arial"/>
          <w:b/>
          <w:bCs/>
          <w:sz w:val="22"/>
          <w:szCs w:val="22"/>
          <w:u w:val="single"/>
        </w:rPr>
      </w:pPr>
    </w:p>
    <w:p w14:paraId="4F84D7A7" w14:textId="77777777" w:rsidR="00726D91" w:rsidRDefault="00726D91" w:rsidP="00175468">
      <w:pPr>
        <w:spacing w:line="257" w:lineRule="auto"/>
        <w:ind w:right="531"/>
        <w:rPr>
          <w:rFonts w:ascii="Arial" w:hAnsi="Arial" w:cs="Arial"/>
          <w:b/>
          <w:bCs/>
          <w:sz w:val="22"/>
          <w:szCs w:val="22"/>
          <w:u w:val="single"/>
        </w:rPr>
      </w:pPr>
    </w:p>
    <w:p w14:paraId="03021234" w14:textId="77777777" w:rsidR="00726D91" w:rsidRDefault="00726D91" w:rsidP="00175468">
      <w:pPr>
        <w:spacing w:line="257" w:lineRule="auto"/>
        <w:ind w:right="531"/>
        <w:rPr>
          <w:rFonts w:ascii="Arial" w:hAnsi="Arial" w:cs="Arial"/>
          <w:b/>
          <w:bCs/>
          <w:sz w:val="22"/>
          <w:szCs w:val="22"/>
          <w:u w:val="single"/>
        </w:rPr>
      </w:pPr>
    </w:p>
    <w:p w14:paraId="4DC63459" w14:textId="77777777" w:rsidR="00726D91" w:rsidRDefault="00726D91" w:rsidP="00175468">
      <w:pPr>
        <w:spacing w:line="257" w:lineRule="auto"/>
        <w:ind w:right="531"/>
        <w:rPr>
          <w:rFonts w:ascii="Arial" w:hAnsi="Arial" w:cs="Arial"/>
          <w:b/>
          <w:bCs/>
          <w:sz w:val="22"/>
          <w:szCs w:val="22"/>
          <w:u w:val="single"/>
        </w:rPr>
      </w:pPr>
    </w:p>
    <w:p w14:paraId="09B91D2B" w14:textId="77777777" w:rsidR="00726D91" w:rsidRDefault="00726D91" w:rsidP="00175468">
      <w:pPr>
        <w:spacing w:line="257" w:lineRule="auto"/>
        <w:ind w:right="531"/>
        <w:rPr>
          <w:rFonts w:ascii="Arial" w:hAnsi="Arial" w:cs="Arial"/>
          <w:b/>
          <w:bCs/>
          <w:sz w:val="22"/>
          <w:szCs w:val="22"/>
          <w:u w:val="single"/>
        </w:rPr>
      </w:pPr>
    </w:p>
    <w:p w14:paraId="3B6B826A" w14:textId="77777777" w:rsidR="00726D91" w:rsidRDefault="00726D91" w:rsidP="00175468">
      <w:pPr>
        <w:spacing w:line="257" w:lineRule="auto"/>
        <w:ind w:right="531"/>
        <w:rPr>
          <w:rFonts w:ascii="Arial" w:hAnsi="Arial" w:cs="Arial"/>
          <w:b/>
          <w:bCs/>
          <w:sz w:val="22"/>
          <w:szCs w:val="22"/>
          <w:u w:val="single"/>
        </w:rPr>
      </w:pPr>
    </w:p>
    <w:p w14:paraId="3BB33311" w14:textId="77777777" w:rsidR="00726D91" w:rsidRDefault="00726D91" w:rsidP="00175468">
      <w:pPr>
        <w:spacing w:line="257" w:lineRule="auto"/>
        <w:ind w:right="531"/>
        <w:rPr>
          <w:rFonts w:ascii="Arial" w:hAnsi="Arial" w:cs="Arial"/>
          <w:b/>
          <w:bCs/>
          <w:sz w:val="22"/>
          <w:szCs w:val="22"/>
          <w:u w:val="single"/>
        </w:rPr>
      </w:pPr>
    </w:p>
    <w:p w14:paraId="7134EEDB" w14:textId="77777777" w:rsidR="00726D91" w:rsidRDefault="00726D91" w:rsidP="00175468">
      <w:pPr>
        <w:spacing w:line="257" w:lineRule="auto"/>
        <w:ind w:right="531"/>
        <w:rPr>
          <w:rFonts w:ascii="Arial" w:hAnsi="Arial" w:cs="Arial"/>
          <w:b/>
          <w:bCs/>
          <w:sz w:val="22"/>
          <w:szCs w:val="22"/>
          <w:u w:val="single"/>
        </w:rPr>
      </w:pPr>
    </w:p>
    <w:p w14:paraId="4F8CFBD9" w14:textId="77777777" w:rsidR="00726D91" w:rsidRDefault="00726D91" w:rsidP="00175468">
      <w:pPr>
        <w:spacing w:line="257" w:lineRule="auto"/>
        <w:ind w:right="531"/>
        <w:rPr>
          <w:rFonts w:ascii="Arial" w:hAnsi="Arial" w:cs="Arial"/>
          <w:b/>
          <w:bCs/>
          <w:sz w:val="22"/>
          <w:szCs w:val="22"/>
          <w:u w:val="single"/>
        </w:rPr>
      </w:pPr>
    </w:p>
    <w:p w14:paraId="0808A07A" w14:textId="77777777" w:rsidR="00726D91" w:rsidRDefault="00726D91" w:rsidP="00175468">
      <w:pPr>
        <w:spacing w:line="257" w:lineRule="auto"/>
        <w:ind w:right="531"/>
        <w:rPr>
          <w:rFonts w:ascii="Arial" w:hAnsi="Arial" w:cs="Arial"/>
          <w:b/>
          <w:bCs/>
          <w:sz w:val="22"/>
          <w:szCs w:val="22"/>
          <w:u w:val="single"/>
        </w:rPr>
      </w:pPr>
    </w:p>
    <w:p w14:paraId="1C57A9FD" w14:textId="77777777" w:rsidR="00726D91" w:rsidRDefault="00726D91" w:rsidP="00175468">
      <w:pPr>
        <w:spacing w:line="257" w:lineRule="auto"/>
        <w:ind w:right="531"/>
        <w:rPr>
          <w:rFonts w:ascii="Arial" w:hAnsi="Arial" w:cs="Arial"/>
          <w:b/>
          <w:bCs/>
          <w:sz w:val="22"/>
          <w:szCs w:val="22"/>
          <w:u w:val="single"/>
        </w:rPr>
      </w:pPr>
    </w:p>
    <w:p w14:paraId="1627A17D" w14:textId="77777777" w:rsidR="00A8249B" w:rsidRDefault="00A8249B" w:rsidP="00175468">
      <w:pPr>
        <w:spacing w:line="257" w:lineRule="auto"/>
        <w:ind w:right="531"/>
        <w:rPr>
          <w:rFonts w:ascii="Arial" w:hAnsi="Arial" w:cs="Arial"/>
          <w:b/>
          <w:bCs/>
          <w:sz w:val="22"/>
          <w:szCs w:val="22"/>
          <w:u w:val="single"/>
        </w:rPr>
      </w:pPr>
    </w:p>
    <w:p w14:paraId="526B3247" w14:textId="77777777" w:rsidR="00A8249B" w:rsidRDefault="00A8249B" w:rsidP="00175468">
      <w:pPr>
        <w:spacing w:line="257" w:lineRule="auto"/>
        <w:ind w:right="531"/>
        <w:rPr>
          <w:rFonts w:ascii="Arial" w:hAnsi="Arial" w:cs="Arial"/>
          <w:b/>
          <w:bCs/>
          <w:sz w:val="22"/>
          <w:szCs w:val="22"/>
          <w:u w:val="single"/>
        </w:rPr>
      </w:pPr>
    </w:p>
    <w:p w14:paraId="6F0661E6" w14:textId="7CB1F75A" w:rsidR="0056333A" w:rsidRPr="00B963BA" w:rsidRDefault="0056333A" w:rsidP="00175468">
      <w:pPr>
        <w:spacing w:line="257" w:lineRule="auto"/>
        <w:ind w:right="531"/>
        <w:rPr>
          <w:rFonts w:ascii="Arial" w:hAnsi="Arial" w:cs="Arial"/>
          <w:b/>
          <w:bCs/>
          <w:sz w:val="22"/>
          <w:szCs w:val="22"/>
          <w:u w:val="single"/>
        </w:rPr>
      </w:pPr>
      <w:r w:rsidRPr="00B963BA">
        <w:rPr>
          <w:rFonts w:ascii="Arial" w:hAnsi="Arial" w:cs="Arial"/>
          <w:b/>
          <w:bCs/>
          <w:sz w:val="22"/>
          <w:szCs w:val="22"/>
          <w:u w:val="single"/>
        </w:rPr>
        <w:lastRenderedPageBreak/>
        <w:t>Essay two:</w:t>
      </w:r>
    </w:p>
    <w:p w14:paraId="4749CCE1" w14:textId="77777777" w:rsidR="0056333A" w:rsidRPr="00726D91" w:rsidRDefault="0056333A" w:rsidP="00726D91">
      <w:pPr>
        <w:spacing w:line="257" w:lineRule="auto"/>
        <w:ind w:right="531"/>
        <w:rPr>
          <w:rFonts w:ascii="Arial" w:eastAsia="Calibri" w:hAnsi="Arial" w:cs="Arial"/>
          <w:sz w:val="22"/>
          <w:szCs w:val="22"/>
        </w:rPr>
      </w:pPr>
      <w:r w:rsidRPr="00726D91">
        <w:rPr>
          <w:rFonts w:ascii="Arial" w:eastAsia="Calibri" w:hAnsi="Arial" w:cs="Arial"/>
          <w:b/>
          <w:bCs/>
          <w:sz w:val="22"/>
          <w:szCs w:val="22"/>
        </w:rPr>
        <w:t>Response policing – Why is it important to manage mental wellbeing in policing? What can be the consequences if mental wellbeing is not managed appropriately?</w:t>
      </w:r>
    </w:p>
    <w:p w14:paraId="4FCE1337" w14:textId="77777777" w:rsidR="0056333A" w:rsidRDefault="0056333A" w:rsidP="00175468">
      <w:pPr>
        <w:spacing w:line="257" w:lineRule="auto"/>
        <w:ind w:right="531"/>
        <w:rPr>
          <w:rFonts w:ascii="Arial" w:hAnsi="Arial" w:cs="Arial"/>
          <w:sz w:val="22"/>
          <w:szCs w:val="22"/>
        </w:rPr>
      </w:pPr>
    </w:p>
    <w:p w14:paraId="2FC3F66E" w14:textId="35CA23C6" w:rsidR="0056333A" w:rsidRDefault="0056333A" w:rsidP="00175468">
      <w:pPr>
        <w:spacing w:line="257" w:lineRule="auto"/>
        <w:ind w:right="531"/>
        <w:rPr>
          <w:rFonts w:ascii="Arial" w:hAnsi="Arial" w:cs="Arial"/>
          <w:sz w:val="22"/>
          <w:szCs w:val="22"/>
        </w:rPr>
      </w:pPr>
      <w:r>
        <w:rPr>
          <w:rFonts w:ascii="Arial" w:hAnsi="Arial" w:cs="Arial"/>
          <w:sz w:val="22"/>
          <w:szCs w:val="22"/>
        </w:rPr>
        <w:t>The importance of mental wellbeing within policing has become more recognisable in more recent years, particularly focussing on those working within response policing. Response policing opens officers to traumatic incidents, under pressure thinking, demand shift work while managing a workload, all which contribute and effect an officer’s mental wellbeing and health. If mental health is not addressed and managed, this could take an affect not only on the officer, but the organisation, public safety, and trust from communities in the police</w:t>
      </w:r>
      <w:r w:rsidR="004640A9">
        <w:rPr>
          <w:rFonts w:ascii="Arial" w:hAnsi="Arial" w:cs="Arial"/>
          <w:sz w:val="22"/>
          <w:szCs w:val="22"/>
        </w:rPr>
        <w:t xml:space="preserve"> </w:t>
      </w:r>
      <w:sdt>
        <w:sdtPr>
          <w:rPr>
            <w:rFonts w:ascii="Arial" w:hAnsi="Arial" w:cs="Arial"/>
            <w:sz w:val="22"/>
            <w:szCs w:val="22"/>
          </w:rPr>
          <w:id w:val="-1205093668"/>
          <w:citation/>
        </w:sdtPr>
        <w:sdtContent>
          <w:r w:rsidR="004640A9">
            <w:rPr>
              <w:rFonts w:ascii="Arial" w:hAnsi="Arial" w:cs="Arial"/>
              <w:sz w:val="22"/>
              <w:szCs w:val="22"/>
            </w:rPr>
            <w:fldChar w:fldCharType="begin"/>
          </w:r>
          <w:r w:rsidR="004640A9">
            <w:rPr>
              <w:rFonts w:ascii="Arial" w:hAnsi="Arial" w:cs="Arial"/>
              <w:sz w:val="22"/>
              <w:szCs w:val="22"/>
            </w:rPr>
            <w:instrText xml:space="preserve"> CITATION Kat20 \l 2057 </w:instrText>
          </w:r>
          <w:r w:rsidR="004640A9">
            <w:rPr>
              <w:rFonts w:ascii="Arial" w:hAnsi="Arial" w:cs="Arial"/>
              <w:sz w:val="22"/>
              <w:szCs w:val="22"/>
            </w:rPr>
            <w:fldChar w:fldCharType="separate"/>
          </w:r>
          <w:r w:rsidR="004640A9" w:rsidRPr="004640A9">
            <w:rPr>
              <w:rFonts w:ascii="Arial" w:hAnsi="Arial" w:cs="Arial"/>
              <w:noProof/>
              <w:sz w:val="22"/>
              <w:szCs w:val="22"/>
            </w:rPr>
            <w:t>(Jetelina, et al., 2020)</w:t>
          </w:r>
          <w:r w:rsidR="004640A9">
            <w:rPr>
              <w:rFonts w:ascii="Arial" w:hAnsi="Arial" w:cs="Arial"/>
              <w:sz w:val="22"/>
              <w:szCs w:val="22"/>
            </w:rPr>
            <w:fldChar w:fldCharType="end"/>
          </w:r>
        </w:sdtContent>
      </w:sdt>
      <w:r>
        <w:rPr>
          <w:rFonts w:ascii="Arial" w:hAnsi="Arial" w:cs="Arial"/>
          <w:sz w:val="22"/>
          <w:szCs w:val="22"/>
        </w:rPr>
        <w:t>.</w:t>
      </w:r>
    </w:p>
    <w:p w14:paraId="0BD19E73" w14:textId="77777777" w:rsidR="0056333A" w:rsidRDefault="0056333A" w:rsidP="00175468">
      <w:pPr>
        <w:spacing w:line="257" w:lineRule="auto"/>
        <w:ind w:right="531"/>
        <w:rPr>
          <w:rFonts w:ascii="Arial" w:hAnsi="Arial" w:cs="Arial"/>
          <w:sz w:val="22"/>
          <w:szCs w:val="22"/>
        </w:rPr>
      </w:pPr>
    </w:p>
    <w:p w14:paraId="03B85602" w14:textId="1DB82633" w:rsidR="0056333A" w:rsidRDefault="0056333A" w:rsidP="00175468">
      <w:pPr>
        <w:spacing w:line="257" w:lineRule="auto"/>
        <w:ind w:right="531"/>
        <w:rPr>
          <w:rFonts w:ascii="Arial" w:hAnsi="Arial" w:cs="Arial"/>
          <w:sz w:val="22"/>
          <w:szCs w:val="22"/>
        </w:rPr>
      </w:pPr>
      <w:r>
        <w:rPr>
          <w:rFonts w:ascii="Arial" w:hAnsi="Arial" w:cs="Arial"/>
          <w:sz w:val="22"/>
          <w:szCs w:val="22"/>
        </w:rPr>
        <w:t>Policing in general is widely known to be a stressful role. Response officers are those who are typically off on scene to major incidents in the first instance which could leave them vulnerable to psychological strain</w:t>
      </w:r>
      <w:r w:rsidR="00963CBD">
        <w:rPr>
          <w:rFonts w:ascii="Arial" w:hAnsi="Arial" w:cs="Arial"/>
          <w:sz w:val="22"/>
          <w:szCs w:val="22"/>
        </w:rPr>
        <w:t xml:space="preserve"> </w:t>
      </w:r>
      <w:sdt>
        <w:sdtPr>
          <w:rPr>
            <w:rFonts w:ascii="Arial" w:hAnsi="Arial" w:cs="Arial"/>
            <w:sz w:val="22"/>
            <w:szCs w:val="22"/>
          </w:rPr>
          <w:id w:val="69312725"/>
          <w:citation/>
        </w:sdtPr>
        <w:sdtContent>
          <w:r w:rsidR="00963CBD">
            <w:rPr>
              <w:rFonts w:ascii="Arial" w:hAnsi="Arial" w:cs="Arial"/>
              <w:sz w:val="22"/>
              <w:szCs w:val="22"/>
            </w:rPr>
            <w:fldChar w:fldCharType="begin"/>
          </w:r>
          <w:r w:rsidR="00963CBD">
            <w:rPr>
              <w:rFonts w:ascii="Arial" w:hAnsi="Arial" w:cs="Arial"/>
              <w:sz w:val="22"/>
              <w:szCs w:val="22"/>
            </w:rPr>
            <w:instrText xml:space="preserve"> CITATION Kat04 \l 2057 </w:instrText>
          </w:r>
          <w:r w:rsidR="00963CBD">
            <w:rPr>
              <w:rFonts w:ascii="Arial" w:hAnsi="Arial" w:cs="Arial"/>
              <w:sz w:val="22"/>
              <w:szCs w:val="22"/>
            </w:rPr>
            <w:fldChar w:fldCharType="separate"/>
          </w:r>
          <w:r w:rsidR="00963CBD" w:rsidRPr="00963CBD">
            <w:rPr>
              <w:rFonts w:ascii="Arial" w:hAnsi="Arial" w:cs="Arial"/>
              <w:noProof/>
              <w:sz w:val="22"/>
              <w:szCs w:val="22"/>
            </w:rPr>
            <w:t>(Ellison, 2004)</w:t>
          </w:r>
          <w:r w:rsidR="00963CBD">
            <w:rPr>
              <w:rFonts w:ascii="Arial" w:hAnsi="Arial" w:cs="Arial"/>
              <w:sz w:val="22"/>
              <w:szCs w:val="22"/>
            </w:rPr>
            <w:fldChar w:fldCharType="end"/>
          </w:r>
        </w:sdtContent>
      </w:sdt>
      <w:r>
        <w:rPr>
          <w:rFonts w:ascii="Arial" w:hAnsi="Arial" w:cs="Arial"/>
          <w:sz w:val="22"/>
          <w:szCs w:val="22"/>
        </w:rPr>
        <w:t xml:space="preserve">. Research suggests that officers who are exposed to critical incidents such as domestic abuse, suicide, road traffic collisions and violent crime can lead to higher rates to Post-Traumatic Stress Disorder (PTSD), anxiety and depression. A particular study by </w:t>
      </w:r>
      <w:sdt>
        <w:sdtPr>
          <w:rPr>
            <w:rFonts w:ascii="Arial" w:hAnsi="Arial" w:cs="Arial"/>
            <w:sz w:val="22"/>
            <w:szCs w:val="22"/>
          </w:rPr>
          <w:id w:val="165909416"/>
          <w:citation/>
        </w:sdtPr>
        <w:sdtContent>
          <w:r w:rsidR="00963CBD">
            <w:rPr>
              <w:rFonts w:ascii="Arial" w:hAnsi="Arial" w:cs="Arial"/>
              <w:sz w:val="22"/>
              <w:szCs w:val="22"/>
            </w:rPr>
            <w:fldChar w:fldCharType="begin"/>
          </w:r>
          <w:r w:rsidR="00963CBD">
            <w:rPr>
              <w:rFonts w:ascii="Arial" w:hAnsi="Arial" w:cs="Arial"/>
              <w:sz w:val="22"/>
              <w:szCs w:val="22"/>
            </w:rPr>
            <w:instrText xml:space="preserve"> CITATION Amr19 \l 2057 </w:instrText>
          </w:r>
          <w:r w:rsidR="00963CBD">
            <w:rPr>
              <w:rFonts w:ascii="Arial" w:hAnsi="Arial" w:cs="Arial"/>
              <w:sz w:val="22"/>
              <w:szCs w:val="22"/>
            </w:rPr>
            <w:fldChar w:fldCharType="separate"/>
          </w:r>
          <w:r w:rsidR="00963CBD" w:rsidRPr="00963CBD">
            <w:rPr>
              <w:rFonts w:ascii="Arial" w:hAnsi="Arial" w:cs="Arial"/>
              <w:noProof/>
              <w:sz w:val="22"/>
              <w:szCs w:val="22"/>
            </w:rPr>
            <w:t>(Purba &amp; Demou, 2019)</w:t>
          </w:r>
          <w:r w:rsidR="00963CBD">
            <w:rPr>
              <w:rFonts w:ascii="Arial" w:hAnsi="Arial" w:cs="Arial"/>
              <w:sz w:val="22"/>
              <w:szCs w:val="22"/>
            </w:rPr>
            <w:fldChar w:fldCharType="end"/>
          </w:r>
        </w:sdtContent>
      </w:sdt>
      <w:r w:rsidR="00963CBD">
        <w:rPr>
          <w:rFonts w:ascii="Arial" w:hAnsi="Arial" w:cs="Arial"/>
          <w:sz w:val="22"/>
          <w:szCs w:val="22"/>
        </w:rPr>
        <w:t xml:space="preserve"> </w:t>
      </w:r>
      <w:r>
        <w:rPr>
          <w:rFonts w:ascii="Arial" w:hAnsi="Arial" w:cs="Arial"/>
          <w:sz w:val="22"/>
          <w:szCs w:val="22"/>
        </w:rPr>
        <w:t xml:space="preserve">had found that police officers report more incidents of poor mental health than other emergency services due to being exposed to stressful situations on a regular basis. </w:t>
      </w:r>
      <w:proofErr w:type="gramStart"/>
      <w:r>
        <w:rPr>
          <w:rFonts w:ascii="Arial" w:hAnsi="Arial" w:cs="Arial"/>
          <w:sz w:val="22"/>
          <w:szCs w:val="22"/>
        </w:rPr>
        <w:t>Similar to</w:t>
      </w:r>
      <w:proofErr w:type="gramEnd"/>
      <w:r>
        <w:rPr>
          <w:rFonts w:ascii="Arial" w:hAnsi="Arial" w:cs="Arial"/>
          <w:sz w:val="22"/>
          <w:szCs w:val="22"/>
        </w:rPr>
        <w:t xml:space="preserve"> this research, </w:t>
      </w:r>
      <w:sdt>
        <w:sdtPr>
          <w:rPr>
            <w:rFonts w:ascii="Arial" w:hAnsi="Arial" w:cs="Arial"/>
            <w:sz w:val="22"/>
            <w:szCs w:val="22"/>
          </w:rPr>
          <w:id w:val="-1274084478"/>
          <w:citation/>
        </w:sdtPr>
        <w:sdtContent>
          <w:r w:rsidR="00963CBD">
            <w:rPr>
              <w:rFonts w:ascii="Arial" w:hAnsi="Arial" w:cs="Arial"/>
              <w:sz w:val="22"/>
              <w:szCs w:val="22"/>
            </w:rPr>
            <w:fldChar w:fldCharType="begin"/>
          </w:r>
          <w:r w:rsidR="00963CBD">
            <w:rPr>
              <w:rFonts w:ascii="Arial" w:hAnsi="Arial" w:cs="Arial"/>
              <w:sz w:val="22"/>
              <w:szCs w:val="22"/>
            </w:rPr>
            <w:instrText xml:space="preserve"> CITATION JJo16 \l 2057 </w:instrText>
          </w:r>
          <w:r w:rsidR="00963CBD">
            <w:rPr>
              <w:rFonts w:ascii="Arial" w:hAnsi="Arial" w:cs="Arial"/>
              <w:sz w:val="22"/>
              <w:szCs w:val="22"/>
            </w:rPr>
            <w:fldChar w:fldCharType="separate"/>
          </w:r>
          <w:r w:rsidR="00963CBD" w:rsidRPr="00963CBD">
            <w:rPr>
              <w:rFonts w:ascii="Arial" w:hAnsi="Arial" w:cs="Arial"/>
              <w:noProof/>
              <w:sz w:val="22"/>
              <w:szCs w:val="22"/>
            </w:rPr>
            <w:t>(Joudmonth &amp; Randall, 2016)</w:t>
          </w:r>
          <w:r w:rsidR="00963CBD">
            <w:rPr>
              <w:rFonts w:ascii="Arial" w:hAnsi="Arial" w:cs="Arial"/>
              <w:sz w:val="22"/>
              <w:szCs w:val="22"/>
            </w:rPr>
            <w:fldChar w:fldCharType="end"/>
          </w:r>
        </w:sdtContent>
      </w:sdt>
      <w:r w:rsidR="00963CBD">
        <w:rPr>
          <w:rFonts w:ascii="Arial" w:hAnsi="Arial" w:cs="Arial"/>
          <w:sz w:val="22"/>
          <w:szCs w:val="22"/>
        </w:rPr>
        <w:t xml:space="preserve"> </w:t>
      </w:r>
      <w:r>
        <w:rPr>
          <w:rFonts w:ascii="Arial" w:hAnsi="Arial" w:cs="Arial"/>
          <w:sz w:val="22"/>
          <w:szCs w:val="22"/>
        </w:rPr>
        <w:t>reported that 28% of police officers exhibited symptoms of psychological distress.</w:t>
      </w:r>
    </w:p>
    <w:p w14:paraId="51C82EFE" w14:textId="77777777" w:rsidR="0056333A" w:rsidRDefault="0056333A" w:rsidP="00175468">
      <w:pPr>
        <w:spacing w:line="257" w:lineRule="auto"/>
        <w:ind w:right="531"/>
        <w:rPr>
          <w:rFonts w:ascii="Arial" w:hAnsi="Arial" w:cs="Arial"/>
          <w:sz w:val="22"/>
          <w:szCs w:val="22"/>
        </w:rPr>
      </w:pPr>
    </w:p>
    <w:p w14:paraId="07BF9CD2" w14:textId="3CE5744B" w:rsidR="0056333A" w:rsidRDefault="0056333A" w:rsidP="00175468">
      <w:pPr>
        <w:spacing w:line="257" w:lineRule="auto"/>
        <w:ind w:right="531"/>
        <w:rPr>
          <w:rFonts w:ascii="Arial" w:hAnsi="Arial" w:cs="Arial"/>
          <w:sz w:val="22"/>
          <w:szCs w:val="22"/>
        </w:rPr>
      </w:pPr>
      <w:r>
        <w:rPr>
          <w:rFonts w:ascii="Arial" w:hAnsi="Arial" w:cs="Arial"/>
          <w:sz w:val="22"/>
          <w:szCs w:val="22"/>
        </w:rPr>
        <w:t>One of the major factors which contribute to poor mental health within response policing is the unpredictable and often high-adrenaline nature of work. Response officers are required to attend multiple incidents which vary during a single shift, often with limited time in-between to debrief what had happened at the previous call before going to the next</w:t>
      </w:r>
      <w:r w:rsidR="00963CBD">
        <w:rPr>
          <w:rFonts w:ascii="Arial" w:hAnsi="Arial" w:cs="Arial"/>
          <w:sz w:val="22"/>
          <w:szCs w:val="22"/>
        </w:rPr>
        <w:t xml:space="preserve"> </w:t>
      </w:r>
      <w:sdt>
        <w:sdtPr>
          <w:rPr>
            <w:rFonts w:ascii="Arial" w:hAnsi="Arial" w:cs="Arial"/>
            <w:sz w:val="22"/>
            <w:szCs w:val="22"/>
          </w:rPr>
          <w:id w:val="-1337153653"/>
          <w:citation/>
        </w:sdtPr>
        <w:sdtContent>
          <w:r w:rsidR="00963CBD">
            <w:rPr>
              <w:rFonts w:ascii="Arial" w:hAnsi="Arial" w:cs="Arial"/>
              <w:sz w:val="22"/>
              <w:szCs w:val="22"/>
            </w:rPr>
            <w:fldChar w:fldCharType="begin"/>
          </w:r>
          <w:r w:rsidR="00963CBD">
            <w:rPr>
              <w:rFonts w:ascii="Arial" w:hAnsi="Arial" w:cs="Arial"/>
              <w:sz w:val="22"/>
              <w:szCs w:val="22"/>
            </w:rPr>
            <w:instrText xml:space="preserve"> CITATION Bar10 \l 2057 </w:instrText>
          </w:r>
          <w:r w:rsidR="00963CBD">
            <w:rPr>
              <w:rFonts w:ascii="Arial" w:hAnsi="Arial" w:cs="Arial"/>
              <w:sz w:val="22"/>
              <w:szCs w:val="22"/>
            </w:rPr>
            <w:fldChar w:fldCharType="separate"/>
          </w:r>
          <w:r w:rsidR="00963CBD" w:rsidRPr="00963CBD">
            <w:rPr>
              <w:rFonts w:ascii="Arial" w:hAnsi="Arial" w:cs="Arial"/>
              <w:noProof/>
              <w:sz w:val="22"/>
              <w:szCs w:val="22"/>
            </w:rPr>
            <w:t>(Koch, 2010)</w:t>
          </w:r>
          <w:r w:rsidR="00963CBD">
            <w:rPr>
              <w:rFonts w:ascii="Arial" w:hAnsi="Arial" w:cs="Arial"/>
              <w:sz w:val="22"/>
              <w:szCs w:val="22"/>
            </w:rPr>
            <w:fldChar w:fldCharType="end"/>
          </w:r>
        </w:sdtContent>
      </w:sdt>
      <w:r>
        <w:rPr>
          <w:rFonts w:ascii="Arial" w:hAnsi="Arial" w:cs="Arial"/>
          <w:sz w:val="22"/>
          <w:szCs w:val="22"/>
        </w:rPr>
        <w:t xml:space="preserve">. This is also known as ‘cumulative trauma’ which results in high level of stress over time which can lead to being burnt out if not addresses. In further cases and research, the policing culture also exacerbates the issues. Traditional policing culture support emotional restraint and a stigma to not call in sick when needed, this leads to officers suppressing emotion in fear of appearing weak. </w:t>
      </w:r>
      <w:sdt>
        <w:sdtPr>
          <w:rPr>
            <w:rFonts w:ascii="Arial" w:hAnsi="Arial" w:cs="Arial"/>
            <w:sz w:val="22"/>
            <w:szCs w:val="22"/>
          </w:rPr>
          <w:id w:val="-34511939"/>
          <w:citation/>
        </w:sdtPr>
        <w:sdtContent>
          <w:r w:rsidR="00963CBD">
            <w:rPr>
              <w:rFonts w:ascii="Arial" w:hAnsi="Arial" w:cs="Arial"/>
              <w:sz w:val="22"/>
              <w:szCs w:val="22"/>
            </w:rPr>
            <w:fldChar w:fldCharType="begin"/>
          </w:r>
          <w:r w:rsidR="00963CBD">
            <w:rPr>
              <w:rFonts w:ascii="Arial" w:hAnsi="Arial" w:cs="Arial"/>
              <w:sz w:val="22"/>
              <w:szCs w:val="22"/>
            </w:rPr>
            <w:instrText xml:space="preserve"> CITATION Bet \l 2057 </w:instrText>
          </w:r>
          <w:r w:rsidR="00963CBD">
            <w:rPr>
              <w:rFonts w:ascii="Arial" w:hAnsi="Arial" w:cs="Arial"/>
              <w:sz w:val="22"/>
              <w:szCs w:val="22"/>
            </w:rPr>
            <w:fldChar w:fldCharType="separate"/>
          </w:r>
          <w:r w:rsidR="00963CBD" w:rsidRPr="00963CBD">
            <w:rPr>
              <w:rFonts w:ascii="Arial" w:hAnsi="Arial" w:cs="Arial"/>
              <w:noProof/>
              <w:sz w:val="22"/>
              <w:szCs w:val="22"/>
            </w:rPr>
            <w:t>(Loftus, 2009)</w:t>
          </w:r>
          <w:r w:rsidR="00963CBD">
            <w:rPr>
              <w:rFonts w:ascii="Arial" w:hAnsi="Arial" w:cs="Arial"/>
              <w:sz w:val="22"/>
              <w:szCs w:val="22"/>
            </w:rPr>
            <w:fldChar w:fldCharType="end"/>
          </w:r>
        </w:sdtContent>
      </w:sdt>
      <w:r w:rsidR="00963CBD">
        <w:rPr>
          <w:rFonts w:ascii="Arial" w:hAnsi="Arial" w:cs="Arial"/>
          <w:sz w:val="22"/>
          <w:szCs w:val="22"/>
        </w:rPr>
        <w:t xml:space="preserve"> </w:t>
      </w:r>
      <w:r>
        <w:rPr>
          <w:rFonts w:ascii="Arial" w:hAnsi="Arial" w:cs="Arial"/>
          <w:sz w:val="22"/>
          <w:szCs w:val="22"/>
        </w:rPr>
        <w:t>makes the argument that this expectation within policing to appear emotionally resilient, contributes to officers not seeking help when they need it as they fear that admitting mental distress may affect credibility or progression</w:t>
      </w:r>
      <w:r w:rsidR="00963CBD">
        <w:rPr>
          <w:rFonts w:ascii="Arial" w:hAnsi="Arial" w:cs="Arial"/>
          <w:sz w:val="22"/>
          <w:szCs w:val="22"/>
        </w:rPr>
        <w:t xml:space="preserve"> </w:t>
      </w:r>
      <w:sdt>
        <w:sdtPr>
          <w:rPr>
            <w:rFonts w:ascii="Arial" w:hAnsi="Arial" w:cs="Arial"/>
            <w:sz w:val="22"/>
            <w:szCs w:val="22"/>
          </w:rPr>
          <w:id w:val="-2027166134"/>
          <w:citation/>
        </w:sdtPr>
        <w:sdtContent>
          <w:r w:rsidR="00963CBD">
            <w:rPr>
              <w:rFonts w:ascii="Arial" w:hAnsi="Arial" w:cs="Arial"/>
              <w:sz w:val="22"/>
              <w:szCs w:val="22"/>
            </w:rPr>
            <w:fldChar w:fldCharType="begin"/>
          </w:r>
          <w:r w:rsidR="00963CBD">
            <w:rPr>
              <w:rFonts w:ascii="Arial" w:hAnsi="Arial" w:cs="Arial"/>
              <w:sz w:val="22"/>
              <w:szCs w:val="22"/>
            </w:rPr>
            <w:instrText xml:space="preserve"> CITATION Jim20 \l 2057 </w:instrText>
          </w:r>
          <w:r w:rsidR="00963CBD">
            <w:rPr>
              <w:rFonts w:ascii="Arial" w:hAnsi="Arial" w:cs="Arial"/>
              <w:sz w:val="22"/>
              <w:szCs w:val="22"/>
            </w:rPr>
            <w:fldChar w:fldCharType="separate"/>
          </w:r>
          <w:r w:rsidR="00963CBD" w:rsidRPr="00963CBD">
            <w:rPr>
              <w:rFonts w:ascii="Arial" w:hAnsi="Arial" w:cs="Arial"/>
              <w:noProof/>
              <w:sz w:val="22"/>
              <w:szCs w:val="22"/>
            </w:rPr>
            <w:t>(Foley &amp; Masset, 2020)</w:t>
          </w:r>
          <w:r w:rsidR="00963CBD">
            <w:rPr>
              <w:rFonts w:ascii="Arial" w:hAnsi="Arial" w:cs="Arial"/>
              <w:sz w:val="22"/>
              <w:szCs w:val="22"/>
            </w:rPr>
            <w:fldChar w:fldCharType="end"/>
          </w:r>
        </w:sdtContent>
      </w:sdt>
      <w:r>
        <w:rPr>
          <w:rFonts w:ascii="Arial" w:hAnsi="Arial" w:cs="Arial"/>
          <w:sz w:val="22"/>
          <w:szCs w:val="22"/>
        </w:rPr>
        <w:t>.</w:t>
      </w:r>
    </w:p>
    <w:p w14:paraId="5CEFCFE5" w14:textId="77777777" w:rsidR="0056333A" w:rsidRDefault="0056333A" w:rsidP="00175468">
      <w:pPr>
        <w:spacing w:line="257" w:lineRule="auto"/>
        <w:ind w:right="531"/>
        <w:rPr>
          <w:rFonts w:ascii="Arial" w:hAnsi="Arial" w:cs="Arial"/>
          <w:sz w:val="22"/>
          <w:szCs w:val="22"/>
        </w:rPr>
      </w:pPr>
    </w:p>
    <w:p w14:paraId="77077973" w14:textId="44976F99" w:rsidR="0056333A" w:rsidRDefault="0056333A" w:rsidP="00175468">
      <w:pPr>
        <w:spacing w:line="257" w:lineRule="auto"/>
        <w:ind w:right="531"/>
        <w:rPr>
          <w:rFonts w:ascii="Arial" w:hAnsi="Arial" w:cs="Arial"/>
          <w:sz w:val="22"/>
          <w:szCs w:val="22"/>
        </w:rPr>
      </w:pPr>
      <w:r>
        <w:rPr>
          <w:rFonts w:ascii="Arial" w:hAnsi="Arial" w:cs="Arial"/>
          <w:sz w:val="22"/>
          <w:szCs w:val="22"/>
        </w:rPr>
        <w:t>There are also consequences operationally when officers experience poor mental wellbeing. Officers which experience unaddressed stress and mental strain are more print to errors, reduced capability in decision making and lower levels of interpersonal sensitivity</w:t>
      </w:r>
      <w:r w:rsidR="00963CBD">
        <w:rPr>
          <w:rFonts w:ascii="Arial" w:hAnsi="Arial" w:cs="Arial"/>
          <w:sz w:val="22"/>
          <w:szCs w:val="22"/>
        </w:rPr>
        <w:t xml:space="preserve"> </w:t>
      </w:r>
      <w:sdt>
        <w:sdtPr>
          <w:rPr>
            <w:rFonts w:ascii="Arial" w:hAnsi="Arial" w:cs="Arial"/>
            <w:sz w:val="22"/>
            <w:szCs w:val="22"/>
          </w:rPr>
          <w:id w:val="812915705"/>
          <w:citation/>
        </w:sdtPr>
        <w:sdtContent>
          <w:r w:rsidR="00963CBD">
            <w:rPr>
              <w:rFonts w:ascii="Arial" w:hAnsi="Arial" w:cs="Arial"/>
              <w:sz w:val="22"/>
              <w:szCs w:val="22"/>
            </w:rPr>
            <w:fldChar w:fldCharType="begin"/>
          </w:r>
          <w:r w:rsidR="00963CBD">
            <w:rPr>
              <w:rFonts w:ascii="Arial" w:hAnsi="Arial" w:cs="Arial"/>
              <w:sz w:val="22"/>
              <w:szCs w:val="22"/>
            </w:rPr>
            <w:instrText xml:space="preserve"> CITATION Bro19 \l 2057 </w:instrText>
          </w:r>
          <w:r w:rsidR="00963CBD">
            <w:rPr>
              <w:rFonts w:ascii="Arial" w:hAnsi="Arial" w:cs="Arial"/>
              <w:sz w:val="22"/>
              <w:szCs w:val="22"/>
            </w:rPr>
            <w:fldChar w:fldCharType="separate"/>
          </w:r>
          <w:r w:rsidR="00963CBD" w:rsidRPr="00963CBD">
            <w:rPr>
              <w:rFonts w:ascii="Arial" w:hAnsi="Arial" w:cs="Arial"/>
              <w:noProof/>
              <w:sz w:val="22"/>
              <w:szCs w:val="22"/>
            </w:rPr>
            <w:t>(Tuttle, et al., 2019)</w:t>
          </w:r>
          <w:r w:rsidR="00963CBD">
            <w:rPr>
              <w:rFonts w:ascii="Arial" w:hAnsi="Arial" w:cs="Arial"/>
              <w:sz w:val="22"/>
              <w:szCs w:val="22"/>
            </w:rPr>
            <w:fldChar w:fldCharType="end"/>
          </w:r>
        </w:sdtContent>
      </w:sdt>
      <w:r>
        <w:rPr>
          <w:rFonts w:ascii="Arial" w:hAnsi="Arial" w:cs="Arial"/>
          <w:sz w:val="22"/>
          <w:szCs w:val="22"/>
        </w:rPr>
        <w:t xml:space="preserve">. This can impair officers’ ability to handle certain situations effectively and appropriately, increasing a risk to the public. For example, research by </w:t>
      </w:r>
      <w:sdt>
        <w:sdtPr>
          <w:rPr>
            <w:rFonts w:ascii="Arial" w:hAnsi="Arial" w:cs="Arial"/>
            <w:sz w:val="22"/>
            <w:szCs w:val="22"/>
          </w:rPr>
          <w:id w:val="-1731539936"/>
          <w:citation/>
        </w:sdtPr>
        <w:sdtContent>
          <w:r w:rsidR="00963CBD">
            <w:rPr>
              <w:rFonts w:ascii="Arial" w:hAnsi="Arial" w:cs="Arial"/>
              <w:sz w:val="22"/>
              <w:szCs w:val="22"/>
            </w:rPr>
            <w:fldChar w:fldCharType="begin"/>
          </w:r>
          <w:r w:rsidR="00963CBD">
            <w:rPr>
              <w:rFonts w:ascii="Arial" w:hAnsi="Arial" w:cs="Arial"/>
              <w:sz w:val="22"/>
              <w:szCs w:val="22"/>
            </w:rPr>
            <w:instrText xml:space="preserve"> CITATION GAn19 \l 2057 </w:instrText>
          </w:r>
          <w:r w:rsidR="00963CBD">
            <w:rPr>
              <w:rFonts w:ascii="Arial" w:hAnsi="Arial" w:cs="Arial"/>
              <w:sz w:val="22"/>
              <w:szCs w:val="22"/>
            </w:rPr>
            <w:fldChar w:fldCharType="separate"/>
          </w:r>
          <w:r w:rsidR="00963CBD" w:rsidRPr="00963CBD">
            <w:rPr>
              <w:rFonts w:ascii="Arial" w:hAnsi="Arial" w:cs="Arial"/>
              <w:noProof/>
              <w:sz w:val="22"/>
              <w:szCs w:val="22"/>
            </w:rPr>
            <w:t>(Anderson, et al., 2019)</w:t>
          </w:r>
          <w:r w:rsidR="00963CBD">
            <w:rPr>
              <w:rFonts w:ascii="Arial" w:hAnsi="Arial" w:cs="Arial"/>
              <w:sz w:val="22"/>
              <w:szCs w:val="22"/>
            </w:rPr>
            <w:fldChar w:fldCharType="end"/>
          </w:r>
        </w:sdtContent>
      </w:sdt>
      <w:r w:rsidR="00963CBD">
        <w:rPr>
          <w:rFonts w:ascii="Arial" w:hAnsi="Arial" w:cs="Arial"/>
          <w:sz w:val="22"/>
          <w:szCs w:val="22"/>
        </w:rPr>
        <w:t xml:space="preserve"> </w:t>
      </w:r>
      <w:r>
        <w:rPr>
          <w:rFonts w:ascii="Arial" w:hAnsi="Arial" w:cs="Arial"/>
          <w:sz w:val="22"/>
          <w:szCs w:val="22"/>
        </w:rPr>
        <w:t>explains that cognitive fatigue in officers correlates with reduced use of force judgement and lower communication effectiveness in crisis situations. Further to this, officers can be physically present in a situation and mentally disengaged, this due to a direct consequence of not addressing poor or lowered mental health. According to the Police Federation, mental health related absences from work have become the leading cause for long term sickness throughout police forces in the UK.</w:t>
      </w:r>
    </w:p>
    <w:p w14:paraId="74CB3B3E" w14:textId="77777777" w:rsidR="0056333A" w:rsidRDefault="0056333A" w:rsidP="00175468">
      <w:pPr>
        <w:spacing w:line="257" w:lineRule="auto"/>
        <w:ind w:right="531"/>
        <w:rPr>
          <w:rFonts w:ascii="Arial" w:hAnsi="Arial" w:cs="Arial"/>
          <w:sz w:val="22"/>
          <w:szCs w:val="22"/>
        </w:rPr>
      </w:pPr>
    </w:p>
    <w:p w14:paraId="33ACAD24" w14:textId="171CC6D5" w:rsidR="0056333A" w:rsidRDefault="0056333A" w:rsidP="00175468">
      <w:pPr>
        <w:spacing w:line="257" w:lineRule="auto"/>
        <w:ind w:right="531"/>
        <w:rPr>
          <w:rFonts w:ascii="Arial" w:hAnsi="Arial" w:cs="Arial"/>
          <w:sz w:val="22"/>
          <w:szCs w:val="22"/>
        </w:rPr>
      </w:pPr>
      <w:r>
        <w:rPr>
          <w:rFonts w:ascii="Arial" w:hAnsi="Arial" w:cs="Arial"/>
          <w:sz w:val="22"/>
          <w:szCs w:val="22"/>
        </w:rPr>
        <w:lastRenderedPageBreak/>
        <w:t>From an ethical and legal perspective of mental welling being in response officer, forces have a duty of care towards police officers. The Health and Safety at Work Act 1974 and related case law state that employers should take all reasonable steps to ensure the wellbeing of staff including mental health, are looked after. Failure to do so can open police forces to litigation, claims and reputational damage in the public eye. Furthermore, from a standpoint of human rights, officers have the right to work in conditions that do not harm their psychological integrity, although this is hard for response officers due to the nature of work and incidents they are exposed to. This highlighting that mental wellbeing is not only a welfare issue but an organisational ethical responsibility</w:t>
      </w:r>
      <w:r w:rsidR="00963CBD">
        <w:rPr>
          <w:rFonts w:ascii="Arial" w:hAnsi="Arial" w:cs="Arial"/>
          <w:sz w:val="22"/>
          <w:szCs w:val="22"/>
        </w:rPr>
        <w:t xml:space="preserve"> </w:t>
      </w:r>
      <w:sdt>
        <w:sdtPr>
          <w:rPr>
            <w:rFonts w:ascii="Arial" w:hAnsi="Arial" w:cs="Arial"/>
            <w:sz w:val="22"/>
            <w:szCs w:val="22"/>
          </w:rPr>
          <w:id w:val="573547815"/>
          <w:citation/>
        </w:sdtPr>
        <w:sdtContent>
          <w:r w:rsidR="00963CBD">
            <w:rPr>
              <w:rFonts w:ascii="Arial" w:hAnsi="Arial" w:cs="Arial"/>
              <w:sz w:val="22"/>
              <w:szCs w:val="22"/>
            </w:rPr>
            <w:fldChar w:fldCharType="begin"/>
          </w:r>
          <w:r w:rsidR="00963CBD">
            <w:rPr>
              <w:rFonts w:ascii="Arial" w:hAnsi="Arial" w:cs="Arial"/>
              <w:sz w:val="22"/>
              <w:szCs w:val="22"/>
            </w:rPr>
            <w:instrText xml:space="preserve"> CITATION Pau22 \l 2057 </w:instrText>
          </w:r>
          <w:r w:rsidR="00963CBD">
            <w:rPr>
              <w:rFonts w:ascii="Arial" w:hAnsi="Arial" w:cs="Arial"/>
              <w:sz w:val="22"/>
              <w:szCs w:val="22"/>
            </w:rPr>
            <w:fldChar w:fldCharType="separate"/>
          </w:r>
          <w:r w:rsidR="00963CBD" w:rsidRPr="00963CBD">
            <w:rPr>
              <w:rFonts w:ascii="Arial" w:hAnsi="Arial" w:cs="Arial"/>
              <w:noProof/>
              <w:sz w:val="22"/>
              <w:szCs w:val="22"/>
            </w:rPr>
            <w:t>(Almond, et al., 2022)</w:t>
          </w:r>
          <w:r w:rsidR="00963CBD">
            <w:rPr>
              <w:rFonts w:ascii="Arial" w:hAnsi="Arial" w:cs="Arial"/>
              <w:sz w:val="22"/>
              <w:szCs w:val="22"/>
            </w:rPr>
            <w:fldChar w:fldCharType="end"/>
          </w:r>
        </w:sdtContent>
      </w:sdt>
      <w:r>
        <w:rPr>
          <w:rFonts w:ascii="Arial" w:hAnsi="Arial" w:cs="Arial"/>
          <w:sz w:val="22"/>
          <w:szCs w:val="22"/>
        </w:rPr>
        <w:t>.</w:t>
      </w:r>
    </w:p>
    <w:p w14:paraId="027AFC0C" w14:textId="77777777" w:rsidR="0056333A" w:rsidRDefault="0056333A" w:rsidP="00175468">
      <w:pPr>
        <w:spacing w:line="257" w:lineRule="auto"/>
        <w:ind w:right="531"/>
        <w:rPr>
          <w:rFonts w:ascii="Arial" w:hAnsi="Arial" w:cs="Arial"/>
          <w:sz w:val="22"/>
          <w:szCs w:val="22"/>
        </w:rPr>
      </w:pPr>
    </w:p>
    <w:p w14:paraId="43241427" w14:textId="7290A089"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The impact of mental wellbeing being poor within officers, is not confined to them, it </w:t>
      </w:r>
      <w:proofErr w:type="gramStart"/>
      <w:r>
        <w:rPr>
          <w:rFonts w:ascii="Arial" w:hAnsi="Arial" w:cs="Arial"/>
          <w:sz w:val="22"/>
          <w:szCs w:val="22"/>
        </w:rPr>
        <w:t>has an effect on</w:t>
      </w:r>
      <w:proofErr w:type="gramEnd"/>
      <w:r>
        <w:rPr>
          <w:rFonts w:ascii="Arial" w:hAnsi="Arial" w:cs="Arial"/>
          <w:sz w:val="22"/>
          <w:szCs w:val="22"/>
        </w:rPr>
        <w:t xml:space="preserve"> the quality of service delivered to the public. Those officers who do experience psychological strain could struggle with empathy, patience, and de-escalating situations they may attend. This becomes problematic due to </w:t>
      </w:r>
      <w:proofErr w:type="gramStart"/>
      <w:r>
        <w:rPr>
          <w:rFonts w:ascii="Arial" w:hAnsi="Arial" w:cs="Arial"/>
          <w:sz w:val="22"/>
          <w:szCs w:val="22"/>
        </w:rPr>
        <w:t>the vast majority of</w:t>
      </w:r>
      <w:proofErr w:type="gramEnd"/>
      <w:r>
        <w:rPr>
          <w:rFonts w:ascii="Arial" w:hAnsi="Arial" w:cs="Arial"/>
          <w:sz w:val="22"/>
          <w:szCs w:val="22"/>
        </w:rPr>
        <w:t xml:space="preserve"> policing work revolves around working with the public and interacting with people who may experience their own mental health issues. According to the College of Policing</w:t>
      </w:r>
      <w:r w:rsidR="00B963BA">
        <w:rPr>
          <w:rFonts w:ascii="Arial" w:hAnsi="Arial" w:cs="Arial"/>
          <w:sz w:val="22"/>
          <w:szCs w:val="22"/>
        </w:rPr>
        <w:t xml:space="preserve">, </w:t>
      </w:r>
      <w:r>
        <w:rPr>
          <w:rFonts w:ascii="Arial" w:hAnsi="Arial" w:cs="Arial"/>
          <w:sz w:val="22"/>
          <w:szCs w:val="22"/>
        </w:rPr>
        <w:t>20% of police time is spent dealing with incidents involving individuals with mental health requirements. If officers themselves are experiencing their own poor mental health, their ability to deal with the public in a similar situation could be compromised potentially leading to negative outcomes for all involved</w:t>
      </w:r>
      <w:r w:rsidR="00963CBD">
        <w:rPr>
          <w:rFonts w:ascii="Arial" w:hAnsi="Arial" w:cs="Arial"/>
          <w:sz w:val="22"/>
          <w:szCs w:val="22"/>
        </w:rPr>
        <w:t xml:space="preserve"> </w:t>
      </w:r>
      <w:sdt>
        <w:sdtPr>
          <w:rPr>
            <w:rFonts w:ascii="Arial" w:hAnsi="Arial" w:cs="Arial"/>
            <w:sz w:val="22"/>
            <w:szCs w:val="22"/>
          </w:rPr>
          <w:id w:val="271055462"/>
          <w:citation/>
        </w:sdtPr>
        <w:sdtContent>
          <w:r w:rsidR="00B963BA">
            <w:rPr>
              <w:rFonts w:ascii="Arial" w:hAnsi="Arial" w:cs="Arial"/>
              <w:sz w:val="22"/>
              <w:szCs w:val="22"/>
            </w:rPr>
            <w:fldChar w:fldCharType="begin"/>
          </w:r>
          <w:r w:rsidR="00B963BA">
            <w:rPr>
              <w:rFonts w:ascii="Arial" w:hAnsi="Arial" w:cs="Arial"/>
              <w:sz w:val="22"/>
              <w:szCs w:val="22"/>
            </w:rPr>
            <w:instrText xml:space="preserve"> CITATION Col15 \l 2057 </w:instrText>
          </w:r>
          <w:r w:rsidR="00B963BA">
            <w:rPr>
              <w:rFonts w:ascii="Arial" w:hAnsi="Arial" w:cs="Arial"/>
              <w:sz w:val="22"/>
              <w:szCs w:val="22"/>
            </w:rPr>
            <w:fldChar w:fldCharType="separate"/>
          </w:r>
          <w:r w:rsidR="00B963BA" w:rsidRPr="00B963BA">
            <w:rPr>
              <w:rFonts w:ascii="Arial" w:hAnsi="Arial" w:cs="Arial"/>
              <w:noProof/>
              <w:sz w:val="22"/>
              <w:szCs w:val="22"/>
            </w:rPr>
            <w:t>(CollegeofPolicing, 2015)</w:t>
          </w:r>
          <w:r w:rsidR="00B963BA">
            <w:rPr>
              <w:rFonts w:ascii="Arial" w:hAnsi="Arial" w:cs="Arial"/>
              <w:sz w:val="22"/>
              <w:szCs w:val="22"/>
            </w:rPr>
            <w:fldChar w:fldCharType="end"/>
          </w:r>
        </w:sdtContent>
      </w:sdt>
      <w:r>
        <w:rPr>
          <w:rFonts w:ascii="Arial" w:hAnsi="Arial" w:cs="Arial"/>
          <w:sz w:val="22"/>
          <w:szCs w:val="22"/>
        </w:rPr>
        <w:t>.</w:t>
      </w:r>
    </w:p>
    <w:p w14:paraId="5A25F40F" w14:textId="77777777" w:rsidR="0056333A" w:rsidRDefault="0056333A" w:rsidP="00175468">
      <w:pPr>
        <w:spacing w:line="257" w:lineRule="auto"/>
        <w:ind w:right="531"/>
        <w:rPr>
          <w:rFonts w:ascii="Arial" w:hAnsi="Arial" w:cs="Arial"/>
          <w:sz w:val="22"/>
          <w:szCs w:val="22"/>
        </w:rPr>
      </w:pPr>
    </w:p>
    <w:p w14:paraId="7D10D6C3" w14:textId="6A862546"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During the time of COVID-19, this further </w:t>
      </w:r>
      <w:proofErr w:type="gramStart"/>
      <w:r>
        <w:rPr>
          <w:rFonts w:ascii="Arial" w:hAnsi="Arial" w:cs="Arial"/>
          <w:sz w:val="22"/>
          <w:szCs w:val="22"/>
        </w:rPr>
        <w:t>had an effect on</w:t>
      </w:r>
      <w:proofErr w:type="gramEnd"/>
      <w:r>
        <w:rPr>
          <w:rFonts w:ascii="Arial" w:hAnsi="Arial" w:cs="Arial"/>
          <w:sz w:val="22"/>
          <w:szCs w:val="22"/>
        </w:rPr>
        <w:t xml:space="preserve"> psychological wellbeing of response officers. Not only did officers continue to work the front line with the added pressure of health risk, but they also had to enforce an unpopular public health restriction while dealing with an increase of domestic abuse incidents and mental health incidents. Research by </w:t>
      </w:r>
      <w:proofErr w:type="spellStart"/>
      <w:r>
        <w:rPr>
          <w:rFonts w:ascii="Arial" w:hAnsi="Arial" w:cs="Arial"/>
          <w:sz w:val="22"/>
          <w:szCs w:val="22"/>
        </w:rPr>
        <w:t>Stevelink</w:t>
      </w:r>
      <w:proofErr w:type="spellEnd"/>
      <w:r>
        <w:rPr>
          <w:rFonts w:ascii="Arial" w:hAnsi="Arial" w:cs="Arial"/>
          <w:sz w:val="22"/>
          <w:szCs w:val="22"/>
        </w:rPr>
        <w:t xml:space="preserve"> (2020) explained the heightened levels of stress, anxiety, and burnout in UK police officers during this time, with response officers particularly affected. This research highlights the need to suitable wellbeing strategies within policing</w:t>
      </w:r>
      <w:r w:rsidR="00B963BA">
        <w:rPr>
          <w:rFonts w:ascii="Arial" w:hAnsi="Arial" w:cs="Arial"/>
          <w:sz w:val="22"/>
          <w:szCs w:val="22"/>
        </w:rPr>
        <w:t xml:space="preserve"> </w:t>
      </w:r>
      <w:sdt>
        <w:sdtPr>
          <w:rPr>
            <w:rFonts w:ascii="Arial" w:hAnsi="Arial" w:cs="Arial"/>
            <w:sz w:val="22"/>
            <w:szCs w:val="22"/>
          </w:rPr>
          <w:id w:val="-384876053"/>
          <w:citation/>
        </w:sdtPr>
        <w:sdtContent>
          <w:r w:rsidR="00B963BA">
            <w:rPr>
              <w:rFonts w:ascii="Arial" w:hAnsi="Arial" w:cs="Arial"/>
              <w:sz w:val="22"/>
              <w:szCs w:val="22"/>
            </w:rPr>
            <w:fldChar w:fldCharType="begin"/>
          </w:r>
          <w:r w:rsidR="00B963BA">
            <w:rPr>
              <w:rFonts w:ascii="Arial" w:hAnsi="Arial" w:cs="Arial"/>
              <w:sz w:val="22"/>
              <w:szCs w:val="22"/>
            </w:rPr>
            <w:instrText xml:space="preserve"> CITATION Ste201 \l 2057 </w:instrText>
          </w:r>
          <w:r w:rsidR="00B963BA">
            <w:rPr>
              <w:rFonts w:ascii="Arial" w:hAnsi="Arial" w:cs="Arial"/>
              <w:sz w:val="22"/>
              <w:szCs w:val="22"/>
            </w:rPr>
            <w:fldChar w:fldCharType="separate"/>
          </w:r>
          <w:r w:rsidR="00B963BA" w:rsidRPr="00B963BA">
            <w:rPr>
              <w:rFonts w:ascii="Arial" w:hAnsi="Arial" w:cs="Arial"/>
              <w:noProof/>
              <w:sz w:val="22"/>
              <w:szCs w:val="22"/>
            </w:rPr>
            <w:t>(Stevelink, 2020)</w:t>
          </w:r>
          <w:r w:rsidR="00B963BA">
            <w:rPr>
              <w:rFonts w:ascii="Arial" w:hAnsi="Arial" w:cs="Arial"/>
              <w:sz w:val="22"/>
              <w:szCs w:val="22"/>
            </w:rPr>
            <w:fldChar w:fldCharType="end"/>
          </w:r>
        </w:sdtContent>
      </w:sdt>
      <w:r>
        <w:rPr>
          <w:rFonts w:ascii="Arial" w:hAnsi="Arial" w:cs="Arial"/>
          <w:sz w:val="22"/>
          <w:szCs w:val="22"/>
        </w:rPr>
        <w:t>.</w:t>
      </w:r>
    </w:p>
    <w:p w14:paraId="0A0BE596" w14:textId="77777777" w:rsidR="0056333A" w:rsidRDefault="0056333A" w:rsidP="00175468">
      <w:pPr>
        <w:spacing w:line="257" w:lineRule="auto"/>
        <w:ind w:right="531"/>
        <w:rPr>
          <w:rFonts w:ascii="Arial" w:hAnsi="Arial" w:cs="Arial"/>
          <w:sz w:val="22"/>
          <w:szCs w:val="22"/>
        </w:rPr>
      </w:pPr>
    </w:p>
    <w:p w14:paraId="057370CE" w14:textId="379D0A63" w:rsidR="0056333A" w:rsidRDefault="0056333A" w:rsidP="00175468">
      <w:pPr>
        <w:spacing w:line="257" w:lineRule="auto"/>
        <w:ind w:right="531"/>
        <w:rPr>
          <w:rFonts w:ascii="Arial" w:hAnsi="Arial" w:cs="Arial"/>
          <w:sz w:val="22"/>
          <w:szCs w:val="22"/>
        </w:rPr>
      </w:pPr>
      <w:r>
        <w:rPr>
          <w:rFonts w:ascii="Arial" w:hAnsi="Arial" w:cs="Arial"/>
          <w:sz w:val="22"/>
          <w:szCs w:val="22"/>
        </w:rPr>
        <w:t>Other factors that contribute to poor mental health within response policing are workload management and shift pattern, this along with call demand. Response officers are expected to manage a high workload, update victims, investigate crimes along with responding to incidents which come in and having limited response officers to attend them. The long and irregular shift patterns contribute to sleep deprivation, fatigue, and impaired recovery. Research by Vila shows that officers working shifts longer than 12 hours are significantly more likely to experience accidents, aggression, and poor physical health. Therefore, policies on shift length, rest periods and workload balancing should be part of a wellbeing strategy within policing</w:t>
      </w:r>
      <w:r w:rsidR="00B963BA">
        <w:rPr>
          <w:rFonts w:ascii="Arial" w:hAnsi="Arial" w:cs="Arial"/>
          <w:sz w:val="22"/>
          <w:szCs w:val="22"/>
        </w:rPr>
        <w:t xml:space="preserve"> </w:t>
      </w:r>
      <w:sdt>
        <w:sdtPr>
          <w:rPr>
            <w:rFonts w:ascii="Arial" w:hAnsi="Arial" w:cs="Arial"/>
            <w:sz w:val="22"/>
            <w:szCs w:val="22"/>
          </w:rPr>
          <w:id w:val="-1026398112"/>
          <w:citation/>
        </w:sdtPr>
        <w:sdtContent>
          <w:r w:rsidR="00B963BA">
            <w:rPr>
              <w:rFonts w:ascii="Arial" w:hAnsi="Arial" w:cs="Arial"/>
              <w:sz w:val="22"/>
              <w:szCs w:val="22"/>
            </w:rPr>
            <w:fldChar w:fldCharType="begin"/>
          </w:r>
          <w:r w:rsidR="00B963BA">
            <w:rPr>
              <w:rFonts w:ascii="Arial" w:hAnsi="Arial" w:cs="Arial"/>
              <w:sz w:val="22"/>
              <w:szCs w:val="22"/>
            </w:rPr>
            <w:instrText xml:space="preserve"> CITATION Bry06 \l 2057 </w:instrText>
          </w:r>
          <w:r w:rsidR="00B963BA">
            <w:rPr>
              <w:rFonts w:ascii="Arial" w:hAnsi="Arial" w:cs="Arial"/>
              <w:sz w:val="22"/>
              <w:szCs w:val="22"/>
            </w:rPr>
            <w:fldChar w:fldCharType="separate"/>
          </w:r>
          <w:r w:rsidR="00B963BA" w:rsidRPr="00B963BA">
            <w:rPr>
              <w:rFonts w:ascii="Arial" w:hAnsi="Arial" w:cs="Arial"/>
              <w:noProof/>
              <w:sz w:val="22"/>
              <w:szCs w:val="22"/>
            </w:rPr>
            <w:t>(Vila, 2006)</w:t>
          </w:r>
          <w:r w:rsidR="00B963BA">
            <w:rPr>
              <w:rFonts w:ascii="Arial" w:hAnsi="Arial" w:cs="Arial"/>
              <w:sz w:val="22"/>
              <w:szCs w:val="22"/>
            </w:rPr>
            <w:fldChar w:fldCharType="end"/>
          </w:r>
        </w:sdtContent>
      </w:sdt>
      <w:r>
        <w:rPr>
          <w:rFonts w:ascii="Arial" w:hAnsi="Arial" w:cs="Arial"/>
          <w:sz w:val="22"/>
          <w:szCs w:val="22"/>
        </w:rPr>
        <w:t>.</w:t>
      </w:r>
    </w:p>
    <w:p w14:paraId="38BB42FD" w14:textId="77777777" w:rsidR="0056333A" w:rsidRDefault="0056333A" w:rsidP="00175468">
      <w:pPr>
        <w:spacing w:line="257" w:lineRule="auto"/>
        <w:ind w:right="531"/>
        <w:rPr>
          <w:rFonts w:ascii="Arial" w:hAnsi="Arial" w:cs="Arial"/>
          <w:sz w:val="22"/>
          <w:szCs w:val="22"/>
        </w:rPr>
      </w:pPr>
    </w:p>
    <w:p w14:paraId="0305A793" w14:textId="1CF288A5"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Overall, the failure to manage mental wellbeing within response policing undermines both resilience and operational capability. It lowers public trust in police along with between officers and leadership. When mental wellbeing is prioritised, it can lead to more resilient officers, improved decision making and public trust along with higher level of organisational loyalty and performance. Mental wellbeing is not a peripheral issue but a core component of professional policing. It must be in the heart of police culture, </w:t>
      </w:r>
      <w:proofErr w:type="gramStart"/>
      <w:r>
        <w:rPr>
          <w:rFonts w:ascii="Arial" w:hAnsi="Arial" w:cs="Arial"/>
          <w:sz w:val="22"/>
          <w:szCs w:val="22"/>
        </w:rPr>
        <w:t>policy</w:t>
      </w:r>
      <w:proofErr w:type="gramEnd"/>
      <w:r>
        <w:rPr>
          <w:rFonts w:ascii="Arial" w:hAnsi="Arial" w:cs="Arial"/>
          <w:sz w:val="22"/>
          <w:szCs w:val="22"/>
        </w:rPr>
        <w:t xml:space="preserve"> and practice within forces in order to meet the complex and emotional challenges of modern-day policing. </w:t>
      </w:r>
    </w:p>
    <w:p w14:paraId="01363DEC" w14:textId="7574ADEC" w:rsidR="00B963BA" w:rsidRPr="00B963BA" w:rsidRDefault="00B963BA" w:rsidP="00175468">
      <w:pPr>
        <w:spacing w:line="257" w:lineRule="auto"/>
        <w:ind w:right="531"/>
        <w:rPr>
          <w:rFonts w:ascii="Arial" w:hAnsi="Arial" w:cs="Arial"/>
          <w:b/>
          <w:bCs/>
          <w:sz w:val="22"/>
          <w:szCs w:val="22"/>
          <w:u w:val="single"/>
        </w:rPr>
      </w:pPr>
      <w:r w:rsidRPr="00B963BA">
        <w:rPr>
          <w:rFonts w:ascii="Arial" w:hAnsi="Arial" w:cs="Arial"/>
          <w:b/>
          <w:bCs/>
          <w:sz w:val="22"/>
          <w:szCs w:val="22"/>
          <w:u w:val="single"/>
        </w:rPr>
        <w:t>Word Count: 1075 words</w:t>
      </w:r>
    </w:p>
    <w:p w14:paraId="0AFA66B5" w14:textId="77777777" w:rsidR="0056333A" w:rsidRDefault="0056333A" w:rsidP="00175468">
      <w:pPr>
        <w:spacing w:line="257" w:lineRule="auto"/>
        <w:ind w:right="531"/>
        <w:rPr>
          <w:rFonts w:ascii="Arial" w:hAnsi="Arial" w:cs="Arial"/>
          <w:sz w:val="22"/>
          <w:szCs w:val="22"/>
        </w:rPr>
      </w:pPr>
    </w:p>
    <w:p w14:paraId="483EA68E" w14:textId="77777777" w:rsidR="0056333A" w:rsidRPr="00726D91" w:rsidRDefault="0056333A" w:rsidP="00175468">
      <w:pPr>
        <w:spacing w:line="257" w:lineRule="auto"/>
        <w:ind w:right="531"/>
        <w:rPr>
          <w:rFonts w:ascii="Arial" w:hAnsi="Arial" w:cs="Arial"/>
          <w:b/>
          <w:bCs/>
          <w:sz w:val="22"/>
          <w:szCs w:val="22"/>
          <w:u w:val="single"/>
        </w:rPr>
      </w:pPr>
      <w:r w:rsidRPr="00726D91">
        <w:rPr>
          <w:rFonts w:ascii="Arial" w:hAnsi="Arial" w:cs="Arial"/>
          <w:b/>
          <w:bCs/>
          <w:sz w:val="22"/>
          <w:szCs w:val="22"/>
          <w:u w:val="single"/>
        </w:rPr>
        <w:t xml:space="preserve">Essay four: </w:t>
      </w:r>
    </w:p>
    <w:p w14:paraId="26885F2B" w14:textId="77777777" w:rsidR="0056333A" w:rsidRPr="00726D91" w:rsidRDefault="0056333A" w:rsidP="00175468">
      <w:pPr>
        <w:spacing w:line="257" w:lineRule="auto"/>
        <w:ind w:right="531"/>
        <w:rPr>
          <w:rFonts w:ascii="Arial" w:eastAsia="Calibri" w:hAnsi="Arial" w:cs="Arial"/>
          <w:b/>
          <w:bCs/>
          <w:sz w:val="22"/>
          <w:szCs w:val="22"/>
        </w:rPr>
      </w:pPr>
      <w:r w:rsidRPr="00726D91">
        <w:rPr>
          <w:rFonts w:ascii="Arial" w:eastAsia="Calibri" w:hAnsi="Arial" w:cs="Arial"/>
          <w:b/>
          <w:bCs/>
          <w:sz w:val="22"/>
          <w:szCs w:val="22"/>
        </w:rPr>
        <w:t>Outline potential links between serious and organised crime and public protection issues. What characteristics make some people more vulnerable to exploitation by serious and organised crime gangs?</w:t>
      </w:r>
    </w:p>
    <w:p w14:paraId="550B94BA" w14:textId="77777777" w:rsidR="0056333A" w:rsidRDefault="0056333A" w:rsidP="00175468">
      <w:pPr>
        <w:spacing w:line="257" w:lineRule="auto"/>
        <w:ind w:right="531"/>
        <w:rPr>
          <w:rFonts w:ascii="Arial" w:hAnsi="Arial" w:cs="Arial"/>
          <w:sz w:val="22"/>
          <w:szCs w:val="22"/>
        </w:rPr>
      </w:pPr>
    </w:p>
    <w:p w14:paraId="3855929D" w14:textId="2817F7EC" w:rsidR="0056333A" w:rsidRDefault="0056333A" w:rsidP="00175468">
      <w:pPr>
        <w:spacing w:line="257" w:lineRule="auto"/>
        <w:ind w:right="531"/>
        <w:rPr>
          <w:rFonts w:ascii="Arial" w:hAnsi="Arial" w:cs="Arial"/>
          <w:sz w:val="22"/>
          <w:szCs w:val="22"/>
        </w:rPr>
      </w:pPr>
      <w:r>
        <w:rPr>
          <w:rFonts w:ascii="Arial" w:hAnsi="Arial" w:cs="Arial"/>
          <w:sz w:val="22"/>
          <w:szCs w:val="22"/>
        </w:rPr>
        <w:t>Serious and organised crime (SOC) presents a complex and evolving threat to the public within the United Kingdom and globally. The links between SOC and public protection concerns are both structural and interpersonal, often involved exploitation of young and vulnerable people by criminal networks. Organised Crime Groups (OCGs) are increasingly involved in offences including human trafficking, child sexual exploitation, modern day slavery and county lines, all of which are serious crimes. A nuanced understanding of how vulnerability is created, perceived, and exploited by OCGs is important for the development of effective public protection</w:t>
      </w:r>
      <w:r w:rsidR="00A9016C">
        <w:rPr>
          <w:rFonts w:ascii="Arial" w:hAnsi="Arial" w:cs="Arial"/>
          <w:sz w:val="22"/>
          <w:szCs w:val="22"/>
        </w:rPr>
        <w:t xml:space="preserve"> </w:t>
      </w:r>
      <w:sdt>
        <w:sdtPr>
          <w:rPr>
            <w:rFonts w:ascii="Arial" w:hAnsi="Arial" w:cs="Arial"/>
            <w:sz w:val="22"/>
            <w:szCs w:val="22"/>
          </w:rPr>
          <w:id w:val="-2078814189"/>
          <w:citation/>
        </w:sdtPr>
        <w:sdtContent>
          <w:r w:rsidR="00A9016C">
            <w:rPr>
              <w:rFonts w:ascii="Arial" w:hAnsi="Arial" w:cs="Arial"/>
              <w:sz w:val="22"/>
              <w:szCs w:val="22"/>
            </w:rPr>
            <w:fldChar w:fldCharType="begin"/>
          </w:r>
          <w:r w:rsidR="00A9016C">
            <w:rPr>
              <w:rFonts w:ascii="Arial" w:hAnsi="Arial" w:cs="Arial"/>
              <w:sz w:val="22"/>
              <w:szCs w:val="22"/>
            </w:rPr>
            <w:instrText xml:space="preserve"> CITATION Pet13 \l 2057 </w:instrText>
          </w:r>
          <w:r w:rsidR="00A9016C">
            <w:rPr>
              <w:rFonts w:ascii="Arial" w:hAnsi="Arial" w:cs="Arial"/>
              <w:sz w:val="22"/>
              <w:szCs w:val="22"/>
            </w:rPr>
            <w:fldChar w:fldCharType="separate"/>
          </w:r>
          <w:r w:rsidR="00A9016C" w:rsidRPr="00A9016C">
            <w:rPr>
              <w:rFonts w:ascii="Arial" w:hAnsi="Arial" w:cs="Arial"/>
              <w:noProof/>
              <w:sz w:val="22"/>
              <w:szCs w:val="22"/>
            </w:rPr>
            <w:t>(Gill, 2013)</w:t>
          </w:r>
          <w:r w:rsidR="00A9016C">
            <w:rPr>
              <w:rFonts w:ascii="Arial" w:hAnsi="Arial" w:cs="Arial"/>
              <w:sz w:val="22"/>
              <w:szCs w:val="22"/>
            </w:rPr>
            <w:fldChar w:fldCharType="end"/>
          </w:r>
        </w:sdtContent>
      </w:sdt>
      <w:r>
        <w:rPr>
          <w:rFonts w:ascii="Arial" w:hAnsi="Arial" w:cs="Arial"/>
          <w:sz w:val="22"/>
          <w:szCs w:val="22"/>
        </w:rPr>
        <w:t xml:space="preserve">. </w:t>
      </w:r>
    </w:p>
    <w:p w14:paraId="45E67238" w14:textId="77777777" w:rsidR="0056333A" w:rsidRDefault="0056333A" w:rsidP="00175468">
      <w:pPr>
        <w:spacing w:line="257" w:lineRule="auto"/>
        <w:ind w:right="531"/>
        <w:rPr>
          <w:rFonts w:ascii="Arial" w:hAnsi="Arial" w:cs="Arial"/>
          <w:sz w:val="22"/>
          <w:szCs w:val="22"/>
        </w:rPr>
      </w:pPr>
    </w:p>
    <w:p w14:paraId="34B89860" w14:textId="3FBBC26A"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Organised crime </w:t>
      </w:r>
      <w:proofErr w:type="gramStart"/>
      <w:r>
        <w:rPr>
          <w:rFonts w:ascii="Arial" w:hAnsi="Arial" w:cs="Arial"/>
          <w:sz w:val="22"/>
          <w:szCs w:val="22"/>
        </w:rPr>
        <w:t>in particular has</w:t>
      </w:r>
      <w:proofErr w:type="gramEnd"/>
      <w:r>
        <w:rPr>
          <w:rFonts w:ascii="Arial" w:hAnsi="Arial" w:cs="Arial"/>
          <w:sz w:val="22"/>
          <w:szCs w:val="22"/>
        </w:rPr>
        <w:t xml:space="preserve"> been associated with profit motivated crimes such as trafficking drugs, laundering money and firearms smuggling. However, </w:t>
      </w:r>
      <w:r w:rsidR="00A9016C">
        <w:rPr>
          <w:rFonts w:ascii="Arial" w:hAnsi="Arial" w:cs="Arial"/>
          <w:sz w:val="22"/>
          <w:szCs w:val="22"/>
        </w:rPr>
        <w:t>research</w:t>
      </w:r>
      <w:r>
        <w:rPr>
          <w:rFonts w:ascii="Arial" w:hAnsi="Arial" w:cs="Arial"/>
          <w:sz w:val="22"/>
          <w:szCs w:val="22"/>
        </w:rPr>
        <w:t xml:space="preserve"> noted that OCGs operate in a more fragmented, networked fashion now than in the past, often engaging in overlapping circles of criminality. This ranging of criminal portfolios has led to them contacting far more vulnerable individuals, often using coercion, manipulation, or debt bondage against them. Public protection is therefore at risk due to the direct harm posed by SOC </w:t>
      </w:r>
      <w:proofErr w:type="gramStart"/>
      <w:r>
        <w:rPr>
          <w:rFonts w:ascii="Arial" w:hAnsi="Arial" w:cs="Arial"/>
          <w:sz w:val="22"/>
          <w:szCs w:val="22"/>
        </w:rPr>
        <w:t>and also</w:t>
      </w:r>
      <w:proofErr w:type="gramEnd"/>
      <w:r>
        <w:rPr>
          <w:rFonts w:ascii="Arial" w:hAnsi="Arial" w:cs="Arial"/>
          <w:sz w:val="22"/>
          <w:szCs w:val="22"/>
        </w:rPr>
        <w:t xml:space="preserve"> how OCGs have the ability to embed themselves into vulnerable individuals, often without immediate detection</w:t>
      </w:r>
      <w:r w:rsidR="00A9016C">
        <w:rPr>
          <w:rFonts w:ascii="Arial" w:hAnsi="Arial" w:cs="Arial"/>
          <w:sz w:val="22"/>
          <w:szCs w:val="22"/>
        </w:rPr>
        <w:t xml:space="preserve"> </w:t>
      </w:r>
      <w:sdt>
        <w:sdtPr>
          <w:rPr>
            <w:rFonts w:ascii="Arial" w:hAnsi="Arial" w:cs="Arial"/>
            <w:sz w:val="22"/>
            <w:szCs w:val="22"/>
          </w:rPr>
          <w:id w:val="-876460178"/>
          <w:citation/>
        </w:sdtPr>
        <w:sdtContent>
          <w:r w:rsidR="00A9016C">
            <w:rPr>
              <w:rFonts w:ascii="Arial" w:hAnsi="Arial" w:cs="Arial"/>
              <w:sz w:val="22"/>
              <w:szCs w:val="22"/>
            </w:rPr>
            <w:fldChar w:fldCharType="begin"/>
          </w:r>
          <w:r w:rsidR="00A9016C">
            <w:rPr>
              <w:rFonts w:ascii="Arial" w:hAnsi="Arial" w:cs="Arial"/>
              <w:sz w:val="22"/>
              <w:szCs w:val="22"/>
            </w:rPr>
            <w:instrText xml:space="preserve"> CITATION Nao19 \l 2057 </w:instrText>
          </w:r>
          <w:r w:rsidR="00A9016C">
            <w:rPr>
              <w:rFonts w:ascii="Arial" w:hAnsi="Arial" w:cs="Arial"/>
              <w:sz w:val="22"/>
              <w:szCs w:val="22"/>
            </w:rPr>
            <w:fldChar w:fldCharType="separate"/>
          </w:r>
          <w:r w:rsidR="00A9016C" w:rsidRPr="00A9016C">
            <w:rPr>
              <w:rFonts w:ascii="Arial" w:hAnsi="Arial" w:cs="Arial"/>
              <w:noProof/>
              <w:sz w:val="22"/>
              <w:szCs w:val="22"/>
            </w:rPr>
            <w:t>(Thompson, 2019)</w:t>
          </w:r>
          <w:r w:rsidR="00A9016C">
            <w:rPr>
              <w:rFonts w:ascii="Arial" w:hAnsi="Arial" w:cs="Arial"/>
              <w:sz w:val="22"/>
              <w:szCs w:val="22"/>
            </w:rPr>
            <w:fldChar w:fldCharType="end"/>
          </w:r>
        </w:sdtContent>
      </w:sdt>
      <w:r>
        <w:rPr>
          <w:rFonts w:ascii="Arial" w:hAnsi="Arial" w:cs="Arial"/>
          <w:sz w:val="22"/>
          <w:szCs w:val="22"/>
        </w:rPr>
        <w:t>.</w:t>
      </w:r>
    </w:p>
    <w:p w14:paraId="28BA6009" w14:textId="77777777" w:rsidR="0056333A" w:rsidRDefault="0056333A" w:rsidP="00175468">
      <w:pPr>
        <w:spacing w:line="257" w:lineRule="auto"/>
        <w:ind w:right="531"/>
        <w:rPr>
          <w:rFonts w:ascii="Arial" w:hAnsi="Arial" w:cs="Arial"/>
          <w:sz w:val="22"/>
          <w:szCs w:val="22"/>
        </w:rPr>
      </w:pPr>
    </w:p>
    <w:p w14:paraId="110305D9" w14:textId="2EE196C9"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Human trafficking and Modern-Day Slavery are both the clearer examples of compromise between SOC and public protection. The National Crime Agency (2023) noted that trafficking for forced labour, sexual exploitation and criminal exploitation is an ongoing threat within the UK, with victims recruited through deception, </w:t>
      </w:r>
      <w:proofErr w:type="gramStart"/>
      <w:r>
        <w:rPr>
          <w:rFonts w:ascii="Arial" w:hAnsi="Arial" w:cs="Arial"/>
          <w:sz w:val="22"/>
          <w:szCs w:val="22"/>
        </w:rPr>
        <w:t>threats</w:t>
      </w:r>
      <w:proofErr w:type="gramEnd"/>
      <w:r>
        <w:rPr>
          <w:rFonts w:ascii="Arial" w:hAnsi="Arial" w:cs="Arial"/>
          <w:sz w:val="22"/>
          <w:szCs w:val="22"/>
        </w:rPr>
        <w:t xml:space="preserve"> and coercion</w:t>
      </w:r>
      <w:r w:rsidR="00A9016C">
        <w:rPr>
          <w:rFonts w:ascii="Arial" w:hAnsi="Arial" w:cs="Arial"/>
          <w:sz w:val="22"/>
          <w:szCs w:val="22"/>
        </w:rPr>
        <w:t xml:space="preserve"> </w:t>
      </w:r>
      <w:sdt>
        <w:sdtPr>
          <w:rPr>
            <w:rFonts w:ascii="Arial" w:hAnsi="Arial" w:cs="Arial"/>
            <w:sz w:val="22"/>
            <w:szCs w:val="22"/>
          </w:rPr>
          <w:id w:val="500082748"/>
          <w:citation/>
        </w:sdtPr>
        <w:sdtContent>
          <w:r w:rsidR="00A9016C">
            <w:rPr>
              <w:rFonts w:ascii="Arial" w:hAnsi="Arial" w:cs="Arial"/>
              <w:sz w:val="22"/>
              <w:szCs w:val="22"/>
            </w:rPr>
            <w:fldChar w:fldCharType="begin"/>
          </w:r>
          <w:r w:rsidR="00A9016C">
            <w:rPr>
              <w:rFonts w:ascii="Arial" w:hAnsi="Arial" w:cs="Arial"/>
              <w:sz w:val="22"/>
              <w:szCs w:val="22"/>
            </w:rPr>
            <w:instrText xml:space="preserve"> CITATION Let24 \l 2057 </w:instrText>
          </w:r>
          <w:r w:rsidR="00A9016C">
            <w:rPr>
              <w:rFonts w:ascii="Arial" w:hAnsi="Arial" w:cs="Arial"/>
              <w:sz w:val="22"/>
              <w:szCs w:val="22"/>
            </w:rPr>
            <w:fldChar w:fldCharType="separate"/>
          </w:r>
          <w:r w:rsidR="00A9016C" w:rsidRPr="00A9016C">
            <w:rPr>
              <w:rFonts w:ascii="Arial" w:hAnsi="Arial" w:cs="Arial"/>
              <w:noProof/>
              <w:sz w:val="22"/>
              <w:szCs w:val="22"/>
            </w:rPr>
            <w:t>(Palumbo, 2024)</w:t>
          </w:r>
          <w:r w:rsidR="00A9016C">
            <w:rPr>
              <w:rFonts w:ascii="Arial" w:hAnsi="Arial" w:cs="Arial"/>
              <w:sz w:val="22"/>
              <w:szCs w:val="22"/>
            </w:rPr>
            <w:fldChar w:fldCharType="end"/>
          </w:r>
        </w:sdtContent>
      </w:sdt>
      <w:r>
        <w:rPr>
          <w:rFonts w:ascii="Arial" w:hAnsi="Arial" w:cs="Arial"/>
          <w:sz w:val="22"/>
          <w:szCs w:val="22"/>
        </w:rPr>
        <w:t xml:space="preserve">. Victims manipulated into working for OCGs are subjected to denied access of support, degrading conditions and deprived of basic needs. SOC groups facilitate the abuse by exploiting weaknesses within immigration systems, labour markets and social support structures. </w:t>
      </w:r>
      <w:sdt>
        <w:sdtPr>
          <w:rPr>
            <w:rFonts w:ascii="Arial" w:hAnsi="Arial" w:cs="Arial"/>
            <w:sz w:val="22"/>
            <w:szCs w:val="22"/>
          </w:rPr>
          <w:id w:val="926623414"/>
          <w:citation/>
        </w:sdtPr>
        <w:sdtContent>
          <w:r w:rsidR="003B013E">
            <w:rPr>
              <w:rFonts w:ascii="Arial" w:hAnsi="Arial" w:cs="Arial"/>
              <w:sz w:val="22"/>
              <w:szCs w:val="22"/>
            </w:rPr>
            <w:fldChar w:fldCharType="begin"/>
          </w:r>
          <w:r w:rsidR="003B013E">
            <w:rPr>
              <w:rFonts w:ascii="Arial" w:hAnsi="Arial" w:cs="Arial"/>
              <w:sz w:val="22"/>
              <w:szCs w:val="22"/>
            </w:rPr>
            <w:instrText xml:space="preserve"> CITATION Som16 \l 2057 </w:instrText>
          </w:r>
          <w:r w:rsidR="003B013E">
            <w:rPr>
              <w:rFonts w:ascii="Arial" w:hAnsi="Arial" w:cs="Arial"/>
              <w:sz w:val="22"/>
              <w:szCs w:val="22"/>
            </w:rPr>
            <w:fldChar w:fldCharType="separate"/>
          </w:r>
          <w:r w:rsidR="003B013E" w:rsidRPr="003B013E">
            <w:rPr>
              <w:rFonts w:ascii="Arial" w:hAnsi="Arial" w:cs="Arial"/>
              <w:noProof/>
              <w:sz w:val="22"/>
              <w:szCs w:val="22"/>
            </w:rPr>
            <w:t>(Varga, 2016)</w:t>
          </w:r>
          <w:r w:rsidR="003B013E">
            <w:rPr>
              <w:rFonts w:ascii="Arial" w:hAnsi="Arial" w:cs="Arial"/>
              <w:sz w:val="22"/>
              <w:szCs w:val="22"/>
            </w:rPr>
            <w:fldChar w:fldCharType="end"/>
          </w:r>
        </w:sdtContent>
      </w:sdt>
      <w:r w:rsidR="003B013E">
        <w:rPr>
          <w:rFonts w:ascii="Arial" w:hAnsi="Arial" w:cs="Arial"/>
          <w:sz w:val="22"/>
          <w:szCs w:val="22"/>
        </w:rPr>
        <w:t xml:space="preserve"> </w:t>
      </w:r>
      <w:r>
        <w:rPr>
          <w:rFonts w:ascii="Arial" w:hAnsi="Arial" w:cs="Arial"/>
          <w:sz w:val="22"/>
          <w:szCs w:val="22"/>
        </w:rPr>
        <w:t>make</w:t>
      </w:r>
      <w:r w:rsidR="003B013E">
        <w:rPr>
          <w:rFonts w:ascii="Arial" w:hAnsi="Arial" w:cs="Arial"/>
          <w:sz w:val="22"/>
          <w:szCs w:val="22"/>
        </w:rPr>
        <w:t>s</w:t>
      </w:r>
      <w:r>
        <w:rPr>
          <w:rFonts w:ascii="Arial" w:hAnsi="Arial" w:cs="Arial"/>
          <w:sz w:val="22"/>
          <w:szCs w:val="22"/>
        </w:rPr>
        <w:t xml:space="preserve"> the argument that commodification of vulnerable individuals is enabled by weak regulatory frameworks allowing exploitations to blossom while going under the radar of the law.</w:t>
      </w:r>
    </w:p>
    <w:p w14:paraId="3C0421BC" w14:textId="77777777" w:rsidR="0056333A" w:rsidRDefault="0056333A" w:rsidP="00175468">
      <w:pPr>
        <w:spacing w:line="257" w:lineRule="auto"/>
        <w:ind w:right="531"/>
        <w:rPr>
          <w:rFonts w:ascii="Arial" w:hAnsi="Arial" w:cs="Arial"/>
          <w:sz w:val="22"/>
          <w:szCs w:val="22"/>
        </w:rPr>
      </w:pPr>
    </w:p>
    <w:p w14:paraId="058F0337" w14:textId="388241C5"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The county lines model provides a view of how SOC compromises public protection, it shows this especially when it comes to children and young people. County lines refers to the practice from drug gangs extending their operations into rural or coastal areas, often using young people or vulnerable individuals to transport their drugs and money. The Children’s Society (2021) explains that children, even from the age of eleven, have been groomed and exploited by gangs. The gangs use tactics </w:t>
      </w:r>
      <w:proofErr w:type="gramStart"/>
      <w:r>
        <w:rPr>
          <w:rFonts w:ascii="Arial" w:hAnsi="Arial" w:cs="Arial"/>
          <w:sz w:val="22"/>
          <w:szCs w:val="22"/>
        </w:rPr>
        <w:t>similar to</w:t>
      </w:r>
      <w:proofErr w:type="gramEnd"/>
      <w:r>
        <w:rPr>
          <w:rFonts w:ascii="Arial" w:hAnsi="Arial" w:cs="Arial"/>
          <w:sz w:val="22"/>
          <w:szCs w:val="22"/>
        </w:rPr>
        <w:t xml:space="preserve"> those used in child sexual exploitation such as offering gifts, building trust and then using blackmail or threatening behaviour to maintain control. This type of exploitation typically happens outside of safeguarding setting such as school or family, making it harder to detect by professionals</w:t>
      </w:r>
      <w:r w:rsidR="003B013E">
        <w:rPr>
          <w:rFonts w:ascii="Arial" w:hAnsi="Arial" w:cs="Arial"/>
          <w:sz w:val="22"/>
          <w:szCs w:val="22"/>
        </w:rPr>
        <w:t xml:space="preserve"> </w:t>
      </w:r>
      <w:sdt>
        <w:sdtPr>
          <w:rPr>
            <w:rFonts w:ascii="Arial" w:hAnsi="Arial" w:cs="Arial"/>
            <w:sz w:val="22"/>
            <w:szCs w:val="22"/>
          </w:rPr>
          <w:id w:val="-1430573083"/>
          <w:citation/>
        </w:sdtPr>
        <w:sdtContent>
          <w:r w:rsidR="003B013E">
            <w:rPr>
              <w:rFonts w:ascii="Arial" w:hAnsi="Arial" w:cs="Arial"/>
              <w:sz w:val="22"/>
              <w:szCs w:val="22"/>
            </w:rPr>
            <w:fldChar w:fldCharType="begin"/>
          </w:r>
          <w:r w:rsidR="003B013E">
            <w:rPr>
              <w:rFonts w:ascii="Arial" w:hAnsi="Arial" w:cs="Arial"/>
              <w:sz w:val="22"/>
              <w:szCs w:val="22"/>
            </w:rPr>
            <w:instrText xml:space="preserve"> CITATION Cor23 \l 2057 </w:instrText>
          </w:r>
          <w:r w:rsidR="003B013E">
            <w:rPr>
              <w:rFonts w:ascii="Arial" w:hAnsi="Arial" w:cs="Arial"/>
              <w:sz w:val="22"/>
              <w:szCs w:val="22"/>
            </w:rPr>
            <w:fldChar w:fldCharType="separate"/>
          </w:r>
          <w:r w:rsidR="003B013E" w:rsidRPr="003B013E">
            <w:rPr>
              <w:rFonts w:ascii="Arial" w:hAnsi="Arial" w:cs="Arial"/>
              <w:noProof/>
              <w:sz w:val="22"/>
              <w:szCs w:val="22"/>
            </w:rPr>
            <w:t>(Dando, et al., 2023)</w:t>
          </w:r>
          <w:r w:rsidR="003B013E">
            <w:rPr>
              <w:rFonts w:ascii="Arial" w:hAnsi="Arial" w:cs="Arial"/>
              <w:sz w:val="22"/>
              <w:szCs w:val="22"/>
            </w:rPr>
            <w:fldChar w:fldCharType="end"/>
          </w:r>
        </w:sdtContent>
      </w:sdt>
      <w:r>
        <w:rPr>
          <w:rFonts w:ascii="Arial" w:hAnsi="Arial" w:cs="Arial"/>
          <w:sz w:val="22"/>
          <w:szCs w:val="22"/>
        </w:rPr>
        <w:t>.</w:t>
      </w:r>
    </w:p>
    <w:p w14:paraId="5A7B0742" w14:textId="77777777" w:rsidR="0056333A" w:rsidRDefault="0056333A" w:rsidP="00175468">
      <w:pPr>
        <w:spacing w:line="257" w:lineRule="auto"/>
        <w:ind w:right="531"/>
        <w:rPr>
          <w:rFonts w:ascii="Arial" w:hAnsi="Arial" w:cs="Arial"/>
          <w:sz w:val="22"/>
          <w:szCs w:val="22"/>
        </w:rPr>
      </w:pPr>
    </w:p>
    <w:p w14:paraId="3CD2443F" w14:textId="5545E79C"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Characteristics which make individuals vulnerable to exploitation by SOC gangs vary. These vulnerability factors can be socioeconomic disadvantage, lack of family support, previous abuse and issues within education and employment, all of which are risk factors. Vulnerability is not a condition, it is impact factors which relate to person, social </w:t>
      </w:r>
      <w:proofErr w:type="gramStart"/>
      <w:r>
        <w:rPr>
          <w:rFonts w:ascii="Arial" w:hAnsi="Arial" w:cs="Arial"/>
          <w:sz w:val="22"/>
          <w:szCs w:val="22"/>
        </w:rPr>
        <w:lastRenderedPageBreak/>
        <w:t>life</w:t>
      </w:r>
      <w:proofErr w:type="gramEnd"/>
      <w:r>
        <w:rPr>
          <w:rFonts w:ascii="Arial" w:hAnsi="Arial" w:cs="Arial"/>
          <w:sz w:val="22"/>
          <w:szCs w:val="22"/>
        </w:rPr>
        <w:t xml:space="preserve"> and environment. Research from </w:t>
      </w:r>
      <w:sdt>
        <w:sdtPr>
          <w:rPr>
            <w:rFonts w:ascii="Arial" w:hAnsi="Arial" w:cs="Arial"/>
            <w:sz w:val="22"/>
            <w:szCs w:val="22"/>
          </w:rPr>
          <w:id w:val="84342831"/>
          <w:citation/>
        </w:sdtPr>
        <w:sdtContent>
          <w:r w:rsidR="003B013E">
            <w:rPr>
              <w:rFonts w:ascii="Arial" w:hAnsi="Arial" w:cs="Arial"/>
              <w:sz w:val="22"/>
              <w:szCs w:val="22"/>
            </w:rPr>
            <w:fldChar w:fldCharType="begin"/>
          </w:r>
          <w:r w:rsidR="003B013E">
            <w:rPr>
              <w:rFonts w:ascii="Arial" w:hAnsi="Arial" w:cs="Arial"/>
              <w:sz w:val="22"/>
              <w:szCs w:val="22"/>
            </w:rPr>
            <w:instrText xml:space="preserve"> CITATION Jen09 \l 2057 </w:instrText>
          </w:r>
          <w:r w:rsidR="003B013E">
            <w:rPr>
              <w:rFonts w:ascii="Arial" w:hAnsi="Arial" w:cs="Arial"/>
              <w:sz w:val="22"/>
              <w:szCs w:val="22"/>
            </w:rPr>
            <w:fldChar w:fldCharType="separate"/>
          </w:r>
          <w:r w:rsidR="003B013E" w:rsidRPr="003B013E">
            <w:rPr>
              <w:rFonts w:ascii="Arial" w:hAnsi="Arial" w:cs="Arial"/>
              <w:noProof/>
              <w:sz w:val="22"/>
              <w:szCs w:val="22"/>
            </w:rPr>
            <w:t>(Pearce, 2009)</w:t>
          </w:r>
          <w:r w:rsidR="003B013E">
            <w:rPr>
              <w:rFonts w:ascii="Arial" w:hAnsi="Arial" w:cs="Arial"/>
              <w:sz w:val="22"/>
              <w:szCs w:val="22"/>
            </w:rPr>
            <w:fldChar w:fldCharType="end"/>
          </w:r>
        </w:sdtContent>
      </w:sdt>
      <w:r w:rsidR="003B013E">
        <w:rPr>
          <w:rFonts w:ascii="Arial" w:hAnsi="Arial" w:cs="Arial"/>
          <w:sz w:val="22"/>
          <w:szCs w:val="22"/>
        </w:rPr>
        <w:t xml:space="preserve"> </w:t>
      </w:r>
      <w:r>
        <w:rPr>
          <w:rFonts w:ascii="Arial" w:hAnsi="Arial" w:cs="Arial"/>
          <w:sz w:val="22"/>
          <w:szCs w:val="22"/>
        </w:rPr>
        <w:t xml:space="preserve">explains that young people who experience ‘social exclusion’ are more likely targets for exploitation networks, specifically more when they lack protective relationships and safe environments. </w:t>
      </w:r>
      <w:proofErr w:type="gramStart"/>
      <w:r>
        <w:rPr>
          <w:rFonts w:ascii="Arial" w:hAnsi="Arial" w:cs="Arial"/>
          <w:sz w:val="22"/>
          <w:szCs w:val="22"/>
        </w:rPr>
        <w:t>Similar to</w:t>
      </w:r>
      <w:proofErr w:type="gramEnd"/>
      <w:r>
        <w:rPr>
          <w:rFonts w:ascii="Arial" w:hAnsi="Arial" w:cs="Arial"/>
          <w:sz w:val="22"/>
          <w:szCs w:val="22"/>
        </w:rPr>
        <w:t xml:space="preserve"> this,</w:t>
      </w:r>
      <w:r w:rsidR="003B013E">
        <w:rPr>
          <w:rFonts w:ascii="Arial" w:hAnsi="Arial" w:cs="Arial"/>
          <w:sz w:val="22"/>
          <w:szCs w:val="22"/>
        </w:rPr>
        <w:t xml:space="preserve"> </w:t>
      </w:r>
      <w:sdt>
        <w:sdtPr>
          <w:rPr>
            <w:rFonts w:ascii="Arial" w:hAnsi="Arial" w:cs="Arial"/>
            <w:sz w:val="22"/>
            <w:szCs w:val="22"/>
          </w:rPr>
          <w:id w:val="487288560"/>
          <w:citation/>
        </w:sdtPr>
        <w:sdtContent>
          <w:r w:rsidR="003B013E">
            <w:rPr>
              <w:rFonts w:ascii="Arial" w:hAnsi="Arial" w:cs="Arial"/>
              <w:sz w:val="22"/>
              <w:szCs w:val="22"/>
            </w:rPr>
            <w:fldChar w:fldCharType="begin"/>
          </w:r>
          <w:r w:rsidR="003B013E">
            <w:rPr>
              <w:rFonts w:ascii="Arial" w:hAnsi="Arial" w:cs="Arial"/>
              <w:sz w:val="22"/>
              <w:szCs w:val="22"/>
            </w:rPr>
            <w:instrText xml:space="preserve"> CITATION Rhi24 \l 2057 </w:instrText>
          </w:r>
          <w:r w:rsidR="003B013E">
            <w:rPr>
              <w:rFonts w:ascii="Arial" w:hAnsi="Arial" w:cs="Arial"/>
              <w:sz w:val="22"/>
              <w:szCs w:val="22"/>
            </w:rPr>
            <w:fldChar w:fldCharType="separate"/>
          </w:r>
          <w:r w:rsidR="003B013E" w:rsidRPr="003B013E">
            <w:rPr>
              <w:rFonts w:ascii="Arial" w:hAnsi="Arial" w:cs="Arial"/>
              <w:noProof/>
              <w:sz w:val="22"/>
              <w:szCs w:val="22"/>
            </w:rPr>
            <w:t>(Barker, et al., 2024)</w:t>
          </w:r>
          <w:r w:rsidR="003B013E">
            <w:rPr>
              <w:rFonts w:ascii="Arial" w:hAnsi="Arial" w:cs="Arial"/>
              <w:sz w:val="22"/>
              <w:szCs w:val="22"/>
            </w:rPr>
            <w:fldChar w:fldCharType="end"/>
          </w:r>
        </w:sdtContent>
      </w:sdt>
      <w:r>
        <w:rPr>
          <w:rFonts w:ascii="Arial" w:hAnsi="Arial" w:cs="Arial"/>
          <w:sz w:val="22"/>
          <w:szCs w:val="22"/>
        </w:rPr>
        <w:t xml:space="preserve"> made the argument that poverty, house insecurity and community disinvestment create conditions where OCGs can operate and offer vulnerable people a false sense of security, sense of belonging and opportunity to be part of their community. </w:t>
      </w:r>
    </w:p>
    <w:p w14:paraId="6990F37C" w14:textId="77777777" w:rsidR="0056333A" w:rsidRDefault="0056333A" w:rsidP="00175468">
      <w:pPr>
        <w:spacing w:line="257" w:lineRule="auto"/>
        <w:ind w:right="531"/>
        <w:rPr>
          <w:rFonts w:ascii="Arial" w:hAnsi="Arial" w:cs="Arial"/>
          <w:sz w:val="22"/>
          <w:szCs w:val="22"/>
        </w:rPr>
      </w:pPr>
    </w:p>
    <w:p w14:paraId="78D9CAA3" w14:textId="6A75CEAD" w:rsidR="0056333A" w:rsidRDefault="0056333A" w:rsidP="00175468">
      <w:pPr>
        <w:spacing w:line="257" w:lineRule="auto"/>
        <w:ind w:right="531"/>
        <w:rPr>
          <w:rFonts w:ascii="Arial" w:hAnsi="Arial" w:cs="Arial"/>
          <w:sz w:val="22"/>
          <w:szCs w:val="22"/>
        </w:rPr>
      </w:pPr>
      <w:r>
        <w:rPr>
          <w:rFonts w:ascii="Arial" w:hAnsi="Arial" w:cs="Arial"/>
          <w:sz w:val="22"/>
          <w:szCs w:val="22"/>
        </w:rPr>
        <w:t>Another factor could be lack of trust within statutory services. Those who have negative experiences with social workers, police or the criminal justice system may be less likely to ask for help if they do find themselves within these situations linked with OCGs. This also makes them easier to manipulate due to being vulnerable. Beckett and Walker (2017) provide research on child exploitation cases in which the young person does not see themselves as victims and are actively resistant to intervention due to their lack of trust and fear of statutory services</w:t>
      </w:r>
      <w:r w:rsidR="003B013E">
        <w:rPr>
          <w:rFonts w:ascii="Arial" w:hAnsi="Arial" w:cs="Arial"/>
          <w:sz w:val="22"/>
          <w:szCs w:val="22"/>
        </w:rPr>
        <w:t xml:space="preserve"> </w:t>
      </w:r>
      <w:sdt>
        <w:sdtPr>
          <w:rPr>
            <w:rFonts w:ascii="Arial" w:hAnsi="Arial" w:cs="Arial"/>
            <w:sz w:val="22"/>
            <w:szCs w:val="22"/>
          </w:rPr>
          <w:id w:val="614565865"/>
          <w:citation/>
        </w:sdtPr>
        <w:sdtContent>
          <w:r w:rsidR="003B013E">
            <w:rPr>
              <w:rFonts w:ascii="Arial" w:hAnsi="Arial" w:cs="Arial"/>
              <w:sz w:val="22"/>
              <w:szCs w:val="22"/>
            </w:rPr>
            <w:fldChar w:fldCharType="begin"/>
          </w:r>
          <w:r w:rsidR="003B013E">
            <w:rPr>
              <w:rFonts w:ascii="Arial" w:hAnsi="Arial" w:cs="Arial"/>
              <w:sz w:val="22"/>
              <w:szCs w:val="22"/>
            </w:rPr>
            <w:instrText xml:space="preserve"> CITATION Hel17 \l 2057 </w:instrText>
          </w:r>
          <w:r w:rsidR="003B013E">
            <w:rPr>
              <w:rFonts w:ascii="Arial" w:hAnsi="Arial" w:cs="Arial"/>
              <w:sz w:val="22"/>
              <w:szCs w:val="22"/>
            </w:rPr>
            <w:fldChar w:fldCharType="separate"/>
          </w:r>
          <w:r w:rsidR="003B013E" w:rsidRPr="003B013E">
            <w:rPr>
              <w:rFonts w:ascii="Arial" w:hAnsi="Arial" w:cs="Arial"/>
              <w:noProof/>
              <w:sz w:val="22"/>
              <w:szCs w:val="22"/>
            </w:rPr>
            <w:t>(Beckett &amp; Walker, 2017)</w:t>
          </w:r>
          <w:r w:rsidR="003B013E">
            <w:rPr>
              <w:rFonts w:ascii="Arial" w:hAnsi="Arial" w:cs="Arial"/>
              <w:sz w:val="22"/>
              <w:szCs w:val="22"/>
            </w:rPr>
            <w:fldChar w:fldCharType="end"/>
          </w:r>
        </w:sdtContent>
      </w:sdt>
      <w:r>
        <w:rPr>
          <w:rFonts w:ascii="Arial" w:hAnsi="Arial" w:cs="Arial"/>
          <w:sz w:val="22"/>
          <w:szCs w:val="22"/>
        </w:rPr>
        <w:t>.</w:t>
      </w:r>
    </w:p>
    <w:p w14:paraId="563FD350" w14:textId="77777777" w:rsidR="0056333A" w:rsidRDefault="0056333A" w:rsidP="00175468">
      <w:pPr>
        <w:spacing w:line="257" w:lineRule="auto"/>
        <w:ind w:right="531"/>
        <w:rPr>
          <w:rFonts w:ascii="Arial" w:hAnsi="Arial" w:cs="Arial"/>
          <w:sz w:val="22"/>
          <w:szCs w:val="22"/>
        </w:rPr>
      </w:pPr>
    </w:p>
    <w:p w14:paraId="699A86E4" w14:textId="4E41B5C1"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Mental health and cognitive impairments are also factors used to determine vulnerability. Those with learning difficulties and/or mental health issues could struggle more to identify risk, place boundaries, and understand the nature of exploitation. OCGs are experienced in identifying such vulnerabilities to use to their advance when manipulating individuals into organised crime. An example of this would be ‘cuckooing’ which is essentially when an OCG or SOC gang targets a vulnerable person, usually living alone, and uses their home as a base for their crimes. </w:t>
      </w:r>
      <w:sdt>
        <w:sdtPr>
          <w:rPr>
            <w:rFonts w:ascii="Arial" w:hAnsi="Arial" w:cs="Arial"/>
            <w:sz w:val="22"/>
            <w:szCs w:val="22"/>
          </w:rPr>
          <w:id w:val="-160233632"/>
          <w:citation/>
        </w:sdtPr>
        <w:sdtContent>
          <w:r w:rsidR="003B013E">
            <w:rPr>
              <w:rFonts w:ascii="Arial" w:hAnsi="Arial" w:cs="Arial"/>
              <w:sz w:val="22"/>
              <w:szCs w:val="22"/>
            </w:rPr>
            <w:fldChar w:fldCharType="begin"/>
          </w:r>
          <w:r w:rsidR="003B013E">
            <w:rPr>
              <w:rFonts w:ascii="Arial" w:hAnsi="Arial" w:cs="Arial"/>
              <w:sz w:val="22"/>
              <w:szCs w:val="22"/>
            </w:rPr>
            <w:instrText xml:space="preserve"> CITATION Ste24 \l 2057 </w:instrText>
          </w:r>
          <w:r w:rsidR="003B013E">
            <w:rPr>
              <w:rFonts w:ascii="Arial" w:hAnsi="Arial" w:cs="Arial"/>
              <w:sz w:val="22"/>
              <w:szCs w:val="22"/>
            </w:rPr>
            <w:fldChar w:fldCharType="separate"/>
          </w:r>
          <w:r w:rsidR="003B013E" w:rsidRPr="003B013E">
            <w:rPr>
              <w:rFonts w:ascii="Arial" w:hAnsi="Arial" w:cs="Arial"/>
              <w:noProof/>
              <w:sz w:val="22"/>
              <w:szCs w:val="22"/>
            </w:rPr>
            <w:t>(Macdonald, et al., 2024)</w:t>
          </w:r>
          <w:r w:rsidR="003B013E">
            <w:rPr>
              <w:rFonts w:ascii="Arial" w:hAnsi="Arial" w:cs="Arial"/>
              <w:sz w:val="22"/>
              <w:szCs w:val="22"/>
            </w:rPr>
            <w:fldChar w:fldCharType="end"/>
          </w:r>
        </w:sdtContent>
      </w:sdt>
      <w:r w:rsidR="003B013E">
        <w:rPr>
          <w:rFonts w:ascii="Arial" w:hAnsi="Arial" w:cs="Arial"/>
          <w:sz w:val="22"/>
          <w:szCs w:val="22"/>
        </w:rPr>
        <w:t xml:space="preserve"> </w:t>
      </w:r>
      <w:r>
        <w:rPr>
          <w:rFonts w:ascii="Arial" w:hAnsi="Arial" w:cs="Arial"/>
          <w:sz w:val="22"/>
          <w:szCs w:val="22"/>
        </w:rPr>
        <w:t xml:space="preserve">found that victims of cuckooing often state they felt trapped, unable to leave or report their situation due to fear of repercussions. </w:t>
      </w:r>
    </w:p>
    <w:p w14:paraId="6835C912" w14:textId="77777777" w:rsidR="0056333A" w:rsidRDefault="0056333A" w:rsidP="00175468">
      <w:pPr>
        <w:spacing w:line="257" w:lineRule="auto"/>
        <w:ind w:right="531"/>
        <w:rPr>
          <w:rFonts w:ascii="Arial" w:hAnsi="Arial" w:cs="Arial"/>
          <w:sz w:val="22"/>
          <w:szCs w:val="22"/>
        </w:rPr>
      </w:pPr>
    </w:p>
    <w:p w14:paraId="726F951F" w14:textId="76E416EF"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Gender also plays a role in vulnerability when it comes to SOC. Women and girls often face involvement with SOC gangs in terms of being trafficked for sexual purposes and are often subject to control through sexual violence or reproductive coercion. As stated by </w:t>
      </w:r>
      <w:sdt>
        <w:sdtPr>
          <w:rPr>
            <w:rFonts w:ascii="Arial" w:hAnsi="Arial" w:cs="Arial"/>
            <w:sz w:val="22"/>
            <w:szCs w:val="22"/>
          </w:rPr>
          <w:id w:val="-685139927"/>
          <w:citation/>
        </w:sdtPr>
        <w:sdtContent>
          <w:r w:rsidR="003B013E">
            <w:rPr>
              <w:rFonts w:ascii="Arial" w:hAnsi="Arial" w:cs="Arial"/>
              <w:sz w:val="22"/>
              <w:szCs w:val="22"/>
            </w:rPr>
            <w:fldChar w:fldCharType="begin"/>
          </w:r>
          <w:r w:rsidR="003B013E">
            <w:rPr>
              <w:rFonts w:ascii="Arial" w:hAnsi="Arial" w:cs="Arial"/>
              <w:sz w:val="22"/>
              <w:szCs w:val="22"/>
            </w:rPr>
            <w:instrText xml:space="preserve"> CITATION Han14 \l 2057 </w:instrText>
          </w:r>
          <w:r w:rsidR="003B013E">
            <w:rPr>
              <w:rFonts w:ascii="Arial" w:hAnsi="Arial" w:cs="Arial"/>
              <w:sz w:val="22"/>
              <w:szCs w:val="22"/>
            </w:rPr>
            <w:fldChar w:fldCharType="separate"/>
          </w:r>
          <w:r w:rsidR="003B013E" w:rsidRPr="003B013E">
            <w:rPr>
              <w:rFonts w:ascii="Arial" w:hAnsi="Arial" w:cs="Arial"/>
              <w:noProof/>
              <w:sz w:val="22"/>
              <w:szCs w:val="22"/>
            </w:rPr>
            <w:t>(Lewis, et al., 2014)</w:t>
          </w:r>
          <w:r w:rsidR="003B013E">
            <w:rPr>
              <w:rFonts w:ascii="Arial" w:hAnsi="Arial" w:cs="Arial"/>
              <w:sz w:val="22"/>
              <w:szCs w:val="22"/>
            </w:rPr>
            <w:fldChar w:fldCharType="end"/>
          </w:r>
        </w:sdtContent>
      </w:sdt>
      <w:r w:rsidR="003B013E">
        <w:rPr>
          <w:rFonts w:ascii="Arial" w:hAnsi="Arial" w:cs="Arial"/>
          <w:sz w:val="22"/>
          <w:szCs w:val="22"/>
        </w:rPr>
        <w:t xml:space="preserve">, </w:t>
      </w:r>
      <w:r>
        <w:rPr>
          <w:rFonts w:ascii="Arial" w:hAnsi="Arial" w:cs="Arial"/>
          <w:sz w:val="22"/>
          <w:szCs w:val="22"/>
        </w:rPr>
        <w:t>gendered power dynamics are central to many exploitative relationships within organised crime, however, they are often overlooked during investigations that focus on criminal enterprise. Efforts when it comes to public protection must be gender-informed and recognise that women and girls may face specific risks and barriers when asking for help.</w:t>
      </w:r>
    </w:p>
    <w:p w14:paraId="3DB8C172" w14:textId="77777777" w:rsidR="0056333A" w:rsidRDefault="0056333A" w:rsidP="00175468">
      <w:pPr>
        <w:spacing w:line="257" w:lineRule="auto"/>
        <w:ind w:right="531"/>
        <w:rPr>
          <w:rFonts w:ascii="Arial" w:hAnsi="Arial" w:cs="Arial"/>
          <w:sz w:val="22"/>
          <w:szCs w:val="22"/>
        </w:rPr>
      </w:pPr>
    </w:p>
    <w:p w14:paraId="73E1FD90" w14:textId="77777777" w:rsidR="0056333A" w:rsidRDefault="0056333A" w:rsidP="00175468">
      <w:pPr>
        <w:spacing w:line="257" w:lineRule="auto"/>
        <w:ind w:right="531"/>
        <w:rPr>
          <w:rFonts w:ascii="Arial" w:hAnsi="Arial" w:cs="Arial"/>
          <w:sz w:val="22"/>
          <w:szCs w:val="22"/>
        </w:rPr>
      </w:pPr>
      <w:r>
        <w:rPr>
          <w:rFonts w:ascii="Arial" w:hAnsi="Arial" w:cs="Arial"/>
          <w:sz w:val="22"/>
          <w:szCs w:val="22"/>
        </w:rPr>
        <w:t>Overall, the relationship between serious and organised crime and public protection involved exploitation, power imbalance and systemic neglect. Vulnerability to SOC gangs and OCGs is not inherent but produced by inequality, marginalisation, and service gaps. Organised crime thrives in areas where individuals do not feel supported, seen or valued. Effective public protection requires not only reactive measure to identify and support victims but also proactive policies that address the broader social vulnerabilities. Without efforts to tackle SOC it will remain in action and under the radar, the cycle of exploitation will continue.</w:t>
      </w:r>
    </w:p>
    <w:p w14:paraId="396BCA9E" w14:textId="75A392BB" w:rsidR="003B013E" w:rsidRDefault="003B013E" w:rsidP="00175468">
      <w:pPr>
        <w:spacing w:line="257" w:lineRule="auto"/>
        <w:ind w:right="531"/>
        <w:rPr>
          <w:rFonts w:ascii="Arial" w:hAnsi="Arial" w:cs="Arial"/>
          <w:sz w:val="22"/>
          <w:szCs w:val="22"/>
        </w:rPr>
      </w:pPr>
    </w:p>
    <w:p w14:paraId="1CF56D66" w14:textId="59BBE2EB" w:rsidR="003B013E" w:rsidRPr="003B013E" w:rsidRDefault="003B013E" w:rsidP="00175468">
      <w:pPr>
        <w:spacing w:line="257" w:lineRule="auto"/>
        <w:ind w:right="531"/>
        <w:rPr>
          <w:rFonts w:ascii="Arial" w:hAnsi="Arial" w:cs="Arial"/>
          <w:b/>
          <w:bCs/>
          <w:sz w:val="22"/>
          <w:szCs w:val="22"/>
          <w:u w:val="single"/>
        </w:rPr>
      </w:pPr>
      <w:r w:rsidRPr="003B013E">
        <w:rPr>
          <w:rFonts w:ascii="Arial" w:hAnsi="Arial" w:cs="Arial"/>
          <w:b/>
          <w:bCs/>
          <w:sz w:val="22"/>
          <w:szCs w:val="22"/>
          <w:u w:val="single"/>
        </w:rPr>
        <w:t>Word Count: 960 words</w:t>
      </w:r>
    </w:p>
    <w:p w14:paraId="2A8958CF" w14:textId="77777777" w:rsidR="0056333A" w:rsidRDefault="0056333A" w:rsidP="00175468"/>
    <w:p w14:paraId="1BFB62CD" w14:textId="77777777" w:rsidR="00A8249B" w:rsidRDefault="00A8249B" w:rsidP="00175468">
      <w:pPr>
        <w:spacing w:line="257" w:lineRule="auto"/>
        <w:ind w:right="531"/>
        <w:rPr>
          <w:rFonts w:ascii="Arial" w:eastAsia="Calibri" w:hAnsi="Arial" w:cs="Arial"/>
          <w:b/>
          <w:bCs/>
          <w:sz w:val="22"/>
          <w:szCs w:val="22"/>
        </w:rPr>
      </w:pPr>
    </w:p>
    <w:p w14:paraId="19201220" w14:textId="77777777" w:rsidR="00A8249B" w:rsidRDefault="00A8249B" w:rsidP="00175468">
      <w:pPr>
        <w:spacing w:line="257" w:lineRule="auto"/>
        <w:ind w:right="531"/>
        <w:rPr>
          <w:rFonts w:ascii="Arial" w:eastAsia="Calibri" w:hAnsi="Arial" w:cs="Arial"/>
          <w:b/>
          <w:bCs/>
          <w:sz w:val="22"/>
          <w:szCs w:val="22"/>
        </w:rPr>
      </w:pPr>
    </w:p>
    <w:p w14:paraId="6061A93C" w14:textId="77777777" w:rsidR="00A8249B" w:rsidRDefault="00A8249B" w:rsidP="00175468">
      <w:pPr>
        <w:spacing w:line="257" w:lineRule="auto"/>
        <w:ind w:right="531"/>
        <w:rPr>
          <w:rFonts w:ascii="Arial" w:eastAsia="Calibri" w:hAnsi="Arial" w:cs="Arial"/>
          <w:b/>
          <w:bCs/>
          <w:sz w:val="22"/>
          <w:szCs w:val="22"/>
        </w:rPr>
      </w:pPr>
    </w:p>
    <w:p w14:paraId="6079A46E" w14:textId="77777777" w:rsidR="003B013E" w:rsidRDefault="003B013E" w:rsidP="00175468">
      <w:pPr>
        <w:spacing w:line="257" w:lineRule="auto"/>
        <w:ind w:right="531"/>
        <w:rPr>
          <w:rFonts w:ascii="Arial" w:eastAsia="Calibri" w:hAnsi="Arial" w:cs="Arial"/>
          <w:b/>
          <w:bCs/>
          <w:sz w:val="22"/>
          <w:szCs w:val="22"/>
        </w:rPr>
      </w:pPr>
    </w:p>
    <w:p w14:paraId="68FEEACD" w14:textId="77777777" w:rsidR="003B013E" w:rsidRDefault="003B013E" w:rsidP="00175468">
      <w:pPr>
        <w:spacing w:line="257" w:lineRule="auto"/>
        <w:ind w:right="531"/>
        <w:rPr>
          <w:rFonts w:ascii="Arial" w:eastAsia="Calibri" w:hAnsi="Arial" w:cs="Arial"/>
          <w:b/>
          <w:bCs/>
          <w:sz w:val="22"/>
          <w:szCs w:val="22"/>
        </w:rPr>
      </w:pPr>
    </w:p>
    <w:p w14:paraId="03B2DEBC" w14:textId="17FD3C4C" w:rsidR="0056333A" w:rsidRPr="00A8249B" w:rsidRDefault="0056333A" w:rsidP="00175468">
      <w:pPr>
        <w:spacing w:line="257" w:lineRule="auto"/>
        <w:ind w:right="531"/>
        <w:rPr>
          <w:rFonts w:ascii="Arial" w:hAnsi="Arial" w:cs="Arial"/>
          <w:sz w:val="22"/>
          <w:szCs w:val="22"/>
          <w:u w:val="single"/>
        </w:rPr>
      </w:pPr>
      <w:r w:rsidRPr="00A8249B">
        <w:rPr>
          <w:rFonts w:ascii="Arial" w:eastAsia="Calibri" w:hAnsi="Arial" w:cs="Arial"/>
          <w:b/>
          <w:bCs/>
          <w:sz w:val="22"/>
          <w:szCs w:val="22"/>
          <w:u w:val="single"/>
        </w:rPr>
        <w:lastRenderedPageBreak/>
        <w:t xml:space="preserve">Essay five: </w:t>
      </w:r>
    </w:p>
    <w:p w14:paraId="001791C4" w14:textId="77777777" w:rsidR="0056333A" w:rsidRPr="00726D91" w:rsidRDefault="0056333A" w:rsidP="00175468">
      <w:pPr>
        <w:spacing w:line="257" w:lineRule="auto"/>
        <w:ind w:right="531"/>
        <w:rPr>
          <w:rFonts w:ascii="Arial" w:eastAsia="Calibri" w:hAnsi="Arial" w:cs="Arial"/>
          <w:b/>
          <w:bCs/>
          <w:sz w:val="22"/>
          <w:szCs w:val="22"/>
        </w:rPr>
      </w:pPr>
      <w:r w:rsidRPr="00726D91">
        <w:rPr>
          <w:rFonts w:ascii="Arial" w:eastAsia="Calibri" w:hAnsi="Arial" w:cs="Arial"/>
          <w:b/>
          <w:bCs/>
          <w:sz w:val="22"/>
          <w:szCs w:val="22"/>
        </w:rPr>
        <w:t>How effective is early intervention an effective means of preventing young people from offending or re-offending?</w:t>
      </w:r>
    </w:p>
    <w:p w14:paraId="5109B68C" w14:textId="77777777" w:rsidR="0056333A" w:rsidRDefault="0056333A" w:rsidP="00175468">
      <w:pPr>
        <w:spacing w:line="257" w:lineRule="auto"/>
        <w:ind w:right="531"/>
        <w:rPr>
          <w:rFonts w:ascii="Arial" w:hAnsi="Arial" w:cs="Arial"/>
          <w:sz w:val="22"/>
          <w:szCs w:val="22"/>
        </w:rPr>
      </w:pPr>
    </w:p>
    <w:p w14:paraId="7CACF2D8" w14:textId="7EB3E120" w:rsidR="0056333A" w:rsidRDefault="0056333A" w:rsidP="00175468">
      <w:pPr>
        <w:spacing w:line="257" w:lineRule="auto"/>
        <w:ind w:right="531"/>
        <w:rPr>
          <w:rFonts w:ascii="Arial" w:hAnsi="Arial" w:cs="Arial"/>
          <w:sz w:val="22"/>
          <w:szCs w:val="22"/>
        </w:rPr>
      </w:pPr>
      <w:r>
        <w:rPr>
          <w:rFonts w:ascii="Arial" w:hAnsi="Arial" w:cs="Arial"/>
          <w:sz w:val="22"/>
          <w:szCs w:val="22"/>
        </w:rPr>
        <w:t>The effectiveness of early intervention in preventing young people from offending or re-offending has been the focus of the youth justice policy within the United Kingdom and internationally. Within developmental criminology and public health approaches towards crime prevention, early intervention seeks to identify risk factors from an early stage and provide support to prevent and deter young people from criminal activity. While the theories surrounding early intervention are very well built, the practical implementation and impact of strategies are subtle, often relying on factors such as quality of delivery, multi-agency collaboration and socio-economic conditions. Furthermore, the academic research suggests that early intervention can be an effective tool when used correctly, although not without limitations</w:t>
      </w:r>
      <w:r w:rsidR="00300D00">
        <w:rPr>
          <w:rFonts w:ascii="Arial" w:hAnsi="Arial" w:cs="Arial"/>
          <w:sz w:val="22"/>
          <w:szCs w:val="22"/>
        </w:rPr>
        <w:t xml:space="preserve"> </w:t>
      </w:r>
      <w:sdt>
        <w:sdtPr>
          <w:rPr>
            <w:rFonts w:ascii="Arial" w:hAnsi="Arial" w:cs="Arial"/>
            <w:sz w:val="22"/>
            <w:szCs w:val="22"/>
          </w:rPr>
          <w:id w:val="1516035176"/>
          <w:citation/>
        </w:sdtPr>
        <w:sdtContent>
          <w:r w:rsidR="00300D00">
            <w:rPr>
              <w:rFonts w:ascii="Arial" w:hAnsi="Arial" w:cs="Arial"/>
              <w:sz w:val="22"/>
              <w:szCs w:val="22"/>
            </w:rPr>
            <w:fldChar w:fldCharType="begin"/>
          </w:r>
          <w:r w:rsidR="00300D00">
            <w:rPr>
              <w:rFonts w:ascii="Arial" w:hAnsi="Arial" w:cs="Arial"/>
              <w:sz w:val="22"/>
              <w:szCs w:val="22"/>
            </w:rPr>
            <w:instrText xml:space="preserve"> CITATION Nee11 \l 2057 </w:instrText>
          </w:r>
          <w:r w:rsidR="00300D00">
            <w:rPr>
              <w:rFonts w:ascii="Arial" w:hAnsi="Arial" w:cs="Arial"/>
              <w:sz w:val="22"/>
              <w:szCs w:val="22"/>
            </w:rPr>
            <w:fldChar w:fldCharType="separate"/>
          </w:r>
          <w:r w:rsidR="00300D00" w:rsidRPr="00300D00">
            <w:rPr>
              <w:rFonts w:ascii="Arial" w:hAnsi="Arial" w:cs="Arial"/>
              <w:noProof/>
              <w:sz w:val="22"/>
              <w:szCs w:val="22"/>
            </w:rPr>
            <w:t>(Nee &amp; Ellis, 2011)</w:t>
          </w:r>
          <w:r w:rsidR="00300D00">
            <w:rPr>
              <w:rFonts w:ascii="Arial" w:hAnsi="Arial" w:cs="Arial"/>
              <w:sz w:val="22"/>
              <w:szCs w:val="22"/>
            </w:rPr>
            <w:fldChar w:fldCharType="end"/>
          </w:r>
        </w:sdtContent>
      </w:sdt>
      <w:r>
        <w:rPr>
          <w:rFonts w:ascii="Arial" w:hAnsi="Arial" w:cs="Arial"/>
          <w:sz w:val="22"/>
          <w:szCs w:val="22"/>
        </w:rPr>
        <w:t xml:space="preserve">. </w:t>
      </w:r>
    </w:p>
    <w:p w14:paraId="11ED4E72" w14:textId="77777777" w:rsidR="0056333A" w:rsidRDefault="0056333A" w:rsidP="00175468">
      <w:pPr>
        <w:spacing w:line="257" w:lineRule="auto"/>
        <w:ind w:right="531"/>
        <w:rPr>
          <w:rFonts w:ascii="Arial" w:hAnsi="Arial" w:cs="Arial"/>
          <w:sz w:val="22"/>
          <w:szCs w:val="22"/>
        </w:rPr>
      </w:pPr>
    </w:p>
    <w:p w14:paraId="57E71632" w14:textId="363F096F" w:rsidR="0056333A" w:rsidRDefault="0056333A" w:rsidP="00175468">
      <w:pPr>
        <w:spacing w:line="257" w:lineRule="auto"/>
        <w:ind w:right="531"/>
        <w:rPr>
          <w:rFonts w:ascii="Arial" w:hAnsi="Arial" w:cs="Arial"/>
          <w:sz w:val="22"/>
          <w:szCs w:val="22"/>
        </w:rPr>
      </w:pPr>
      <w:r>
        <w:rPr>
          <w:rFonts w:ascii="Arial" w:hAnsi="Arial" w:cs="Arial"/>
          <w:sz w:val="22"/>
          <w:szCs w:val="22"/>
        </w:rPr>
        <w:t>The research behind early intervention is based on recognition that offending behaviour within the youth often emerges in multiple risk factors such as family dysfunction, issues in school, peer pressure, poverty, violent or neglect. Farrington within his influential longitudinal studies identified that antisocial behaviour patterns often begin at an early age and can be predicted by factors such as low parental supervision, harsh parenting, and other home factors. If not addresses at an early stage, these risk factors can escalate into offending behaviour and reoffending within adulthood. Therefore, early intervention aims to disrupt this pathway by providing targeted support before antisocial behaviour escalates into committing further crime</w:t>
      </w:r>
      <w:r w:rsidR="002814BF">
        <w:rPr>
          <w:rFonts w:ascii="Arial" w:hAnsi="Arial" w:cs="Arial"/>
          <w:sz w:val="22"/>
          <w:szCs w:val="22"/>
        </w:rPr>
        <w:t xml:space="preserve"> </w:t>
      </w:r>
      <w:sdt>
        <w:sdtPr>
          <w:rPr>
            <w:rFonts w:ascii="Arial" w:hAnsi="Arial" w:cs="Arial"/>
            <w:sz w:val="22"/>
            <w:szCs w:val="22"/>
          </w:rPr>
          <w:id w:val="-1848701681"/>
          <w:citation/>
        </w:sdtPr>
        <w:sdtContent>
          <w:r w:rsidR="002814BF">
            <w:rPr>
              <w:rFonts w:ascii="Arial" w:hAnsi="Arial" w:cs="Arial"/>
              <w:sz w:val="22"/>
              <w:szCs w:val="22"/>
            </w:rPr>
            <w:fldChar w:fldCharType="begin"/>
          </w:r>
          <w:r w:rsidR="002814BF">
            <w:rPr>
              <w:rFonts w:ascii="Arial" w:hAnsi="Arial" w:cs="Arial"/>
              <w:sz w:val="22"/>
              <w:szCs w:val="22"/>
            </w:rPr>
            <w:instrText xml:space="preserve"> CITATION Dav15 \l 2057 </w:instrText>
          </w:r>
          <w:r w:rsidR="002814BF">
            <w:rPr>
              <w:rFonts w:ascii="Arial" w:hAnsi="Arial" w:cs="Arial"/>
              <w:sz w:val="22"/>
              <w:szCs w:val="22"/>
            </w:rPr>
            <w:fldChar w:fldCharType="separate"/>
          </w:r>
          <w:r w:rsidR="002814BF" w:rsidRPr="002814BF">
            <w:rPr>
              <w:rFonts w:ascii="Arial" w:hAnsi="Arial" w:cs="Arial"/>
              <w:noProof/>
              <w:sz w:val="22"/>
              <w:szCs w:val="22"/>
            </w:rPr>
            <w:t>(Farrington, 2015)</w:t>
          </w:r>
          <w:r w:rsidR="002814BF">
            <w:rPr>
              <w:rFonts w:ascii="Arial" w:hAnsi="Arial" w:cs="Arial"/>
              <w:sz w:val="22"/>
              <w:szCs w:val="22"/>
            </w:rPr>
            <w:fldChar w:fldCharType="end"/>
          </w:r>
        </w:sdtContent>
      </w:sdt>
      <w:r>
        <w:rPr>
          <w:rFonts w:ascii="Arial" w:hAnsi="Arial" w:cs="Arial"/>
          <w:sz w:val="22"/>
          <w:szCs w:val="22"/>
        </w:rPr>
        <w:t>.</w:t>
      </w:r>
    </w:p>
    <w:p w14:paraId="574B7180" w14:textId="77777777" w:rsidR="0056333A" w:rsidRDefault="0056333A" w:rsidP="00175468">
      <w:pPr>
        <w:spacing w:line="257" w:lineRule="auto"/>
        <w:ind w:right="531"/>
        <w:rPr>
          <w:rFonts w:ascii="Arial" w:hAnsi="Arial" w:cs="Arial"/>
          <w:sz w:val="22"/>
          <w:szCs w:val="22"/>
        </w:rPr>
      </w:pPr>
    </w:p>
    <w:p w14:paraId="044E2694" w14:textId="20E0F5C3" w:rsidR="0056333A" w:rsidRDefault="0056333A" w:rsidP="00175468">
      <w:pPr>
        <w:spacing w:line="257" w:lineRule="auto"/>
        <w:ind w:right="531"/>
        <w:rPr>
          <w:rFonts w:ascii="Arial" w:hAnsi="Arial" w:cs="Arial"/>
          <w:sz w:val="22"/>
          <w:szCs w:val="22"/>
        </w:rPr>
      </w:pPr>
      <w:r>
        <w:rPr>
          <w:rFonts w:ascii="Arial" w:hAnsi="Arial" w:cs="Arial"/>
          <w:sz w:val="22"/>
          <w:szCs w:val="22"/>
        </w:rPr>
        <w:t>An example from the Nurse-Family Partnership Programme is widely known, it was originally developed in the United States and then found its way to the United Kingdom. This programme involves home visits from trained nurses for first-time mothers from disadvantaged backgrounds, they would visit at the start of the pregnancy and continue through the child’s early years. Research f</w:t>
      </w:r>
      <w:r w:rsidR="00C13438">
        <w:rPr>
          <w:rFonts w:ascii="Arial" w:hAnsi="Arial" w:cs="Arial"/>
          <w:sz w:val="22"/>
          <w:szCs w:val="22"/>
        </w:rPr>
        <w:t xml:space="preserve">rom </w:t>
      </w:r>
      <w:sdt>
        <w:sdtPr>
          <w:rPr>
            <w:rFonts w:ascii="Arial" w:hAnsi="Arial" w:cs="Arial"/>
            <w:sz w:val="22"/>
            <w:szCs w:val="22"/>
          </w:rPr>
          <w:id w:val="219948968"/>
          <w:citation/>
        </w:sdtPr>
        <w:sdtContent>
          <w:r w:rsidR="00C13438">
            <w:rPr>
              <w:rFonts w:ascii="Arial" w:hAnsi="Arial" w:cs="Arial"/>
              <w:sz w:val="22"/>
              <w:szCs w:val="22"/>
            </w:rPr>
            <w:fldChar w:fldCharType="begin"/>
          </w:r>
          <w:r w:rsidR="00C13438">
            <w:rPr>
              <w:rFonts w:ascii="Arial" w:hAnsi="Arial" w:cs="Arial"/>
              <w:sz w:val="22"/>
              <w:szCs w:val="22"/>
            </w:rPr>
            <w:instrText xml:space="preserve"> CITATION Jac101 \l 2057 </w:instrText>
          </w:r>
          <w:r w:rsidR="00C13438">
            <w:rPr>
              <w:rFonts w:ascii="Arial" w:hAnsi="Arial" w:cs="Arial"/>
              <w:sz w:val="22"/>
              <w:szCs w:val="22"/>
            </w:rPr>
            <w:fldChar w:fldCharType="separate"/>
          </w:r>
          <w:r w:rsidR="00C13438" w:rsidRPr="00C13438">
            <w:rPr>
              <w:rFonts w:ascii="Arial" w:hAnsi="Arial" w:cs="Arial"/>
              <w:noProof/>
              <w:sz w:val="22"/>
              <w:szCs w:val="22"/>
            </w:rPr>
            <w:t>(Barnes, 2010)</w:t>
          </w:r>
          <w:r w:rsidR="00C13438">
            <w:rPr>
              <w:rFonts w:ascii="Arial" w:hAnsi="Arial" w:cs="Arial"/>
              <w:sz w:val="22"/>
              <w:szCs w:val="22"/>
            </w:rPr>
            <w:fldChar w:fldCharType="end"/>
          </w:r>
        </w:sdtContent>
      </w:sdt>
      <w:r w:rsidR="00C13438">
        <w:rPr>
          <w:rFonts w:ascii="Arial" w:hAnsi="Arial" w:cs="Arial"/>
          <w:sz w:val="22"/>
          <w:szCs w:val="22"/>
        </w:rPr>
        <w:t xml:space="preserve"> </w:t>
      </w:r>
      <w:r>
        <w:rPr>
          <w:rFonts w:ascii="Arial" w:hAnsi="Arial" w:cs="Arial"/>
          <w:sz w:val="22"/>
          <w:szCs w:val="22"/>
        </w:rPr>
        <w:t>found that children whose mothers participated in this programme had lower rates of criminal behaviour in adolescence compared to those who did not. This evidence supports the view that investing into early parental support can support long-term reductions in youth offending by fostering stable home environments and promoting healthy child development.</w:t>
      </w:r>
    </w:p>
    <w:p w14:paraId="452A9E88" w14:textId="77777777" w:rsidR="0056333A" w:rsidRDefault="0056333A" w:rsidP="00175468">
      <w:pPr>
        <w:spacing w:line="257" w:lineRule="auto"/>
        <w:ind w:right="531"/>
        <w:rPr>
          <w:rFonts w:ascii="Arial" w:hAnsi="Arial" w:cs="Arial"/>
          <w:sz w:val="22"/>
          <w:szCs w:val="22"/>
        </w:rPr>
      </w:pPr>
    </w:p>
    <w:p w14:paraId="0F10AC0A" w14:textId="3B41C4C6" w:rsidR="0056333A" w:rsidRDefault="0056333A" w:rsidP="00175468">
      <w:pPr>
        <w:spacing w:line="257" w:lineRule="auto"/>
        <w:ind w:right="531"/>
        <w:rPr>
          <w:rFonts w:ascii="Arial" w:hAnsi="Arial" w:cs="Arial"/>
          <w:sz w:val="22"/>
          <w:szCs w:val="22"/>
        </w:rPr>
      </w:pPr>
      <w:r>
        <w:rPr>
          <w:rFonts w:ascii="Arial" w:hAnsi="Arial" w:cs="Arial"/>
          <w:sz w:val="22"/>
          <w:szCs w:val="22"/>
        </w:rPr>
        <w:t>Within the United Kingdom, the Youth Justice Board had championed early intervention as a key component of youth crime prevention. Programmes such as Youth Inclusion and Support Panels (YISPs) were introduced to identify children from the age of 8 to 13 who were at risk of re-offending and provide coordinated support through education, social care, and mental health services</w:t>
      </w:r>
      <w:r w:rsidR="00C13438">
        <w:rPr>
          <w:rFonts w:ascii="Arial" w:hAnsi="Arial" w:cs="Arial"/>
          <w:sz w:val="22"/>
          <w:szCs w:val="22"/>
        </w:rPr>
        <w:t xml:space="preserve"> </w:t>
      </w:r>
      <w:sdt>
        <w:sdtPr>
          <w:rPr>
            <w:rFonts w:ascii="Arial" w:hAnsi="Arial" w:cs="Arial"/>
            <w:sz w:val="22"/>
            <w:szCs w:val="22"/>
          </w:rPr>
          <w:id w:val="-2054606581"/>
          <w:citation/>
        </w:sdtPr>
        <w:sdtContent>
          <w:r w:rsidR="00C13438">
            <w:rPr>
              <w:rFonts w:ascii="Arial" w:hAnsi="Arial" w:cs="Arial"/>
              <w:sz w:val="22"/>
              <w:szCs w:val="22"/>
            </w:rPr>
            <w:fldChar w:fldCharType="begin"/>
          </w:r>
          <w:r w:rsidR="00C13438">
            <w:rPr>
              <w:rFonts w:ascii="Arial" w:hAnsi="Arial" w:cs="Arial"/>
              <w:sz w:val="22"/>
              <w:szCs w:val="22"/>
            </w:rPr>
            <w:instrText xml:space="preserve"> CITATION SCa22 \l 2057 </w:instrText>
          </w:r>
          <w:r w:rsidR="00C13438">
            <w:rPr>
              <w:rFonts w:ascii="Arial" w:hAnsi="Arial" w:cs="Arial"/>
              <w:sz w:val="22"/>
              <w:szCs w:val="22"/>
            </w:rPr>
            <w:fldChar w:fldCharType="separate"/>
          </w:r>
          <w:r w:rsidR="00C13438" w:rsidRPr="00C13438">
            <w:rPr>
              <w:rFonts w:ascii="Arial" w:hAnsi="Arial" w:cs="Arial"/>
              <w:noProof/>
              <w:sz w:val="22"/>
              <w:szCs w:val="22"/>
            </w:rPr>
            <w:t>(Case, et al., 2022)</w:t>
          </w:r>
          <w:r w:rsidR="00C13438">
            <w:rPr>
              <w:rFonts w:ascii="Arial" w:hAnsi="Arial" w:cs="Arial"/>
              <w:sz w:val="22"/>
              <w:szCs w:val="22"/>
            </w:rPr>
            <w:fldChar w:fldCharType="end"/>
          </w:r>
        </w:sdtContent>
      </w:sdt>
      <w:r>
        <w:rPr>
          <w:rFonts w:ascii="Arial" w:hAnsi="Arial" w:cs="Arial"/>
          <w:sz w:val="22"/>
          <w:szCs w:val="22"/>
        </w:rPr>
        <w:t xml:space="preserve">. Research by </w:t>
      </w:r>
      <w:sdt>
        <w:sdtPr>
          <w:rPr>
            <w:rFonts w:ascii="Arial" w:hAnsi="Arial" w:cs="Arial"/>
            <w:sz w:val="22"/>
            <w:szCs w:val="22"/>
          </w:rPr>
          <w:id w:val="490763483"/>
          <w:citation/>
        </w:sdtPr>
        <w:sdtContent>
          <w:r w:rsidR="00C13438">
            <w:rPr>
              <w:rFonts w:ascii="Arial" w:hAnsi="Arial" w:cs="Arial"/>
              <w:sz w:val="22"/>
              <w:szCs w:val="22"/>
            </w:rPr>
            <w:fldChar w:fldCharType="begin"/>
          </w:r>
          <w:r w:rsidR="00C13438">
            <w:rPr>
              <w:rFonts w:ascii="Arial" w:hAnsi="Arial" w:cs="Arial"/>
              <w:sz w:val="22"/>
              <w:szCs w:val="22"/>
            </w:rPr>
            <w:instrText xml:space="preserve"> CITATION Wal07 \l 2057 </w:instrText>
          </w:r>
          <w:r w:rsidR="00C13438">
            <w:rPr>
              <w:rFonts w:ascii="Arial" w:hAnsi="Arial" w:cs="Arial"/>
              <w:sz w:val="22"/>
              <w:szCs w:val="22"/>
            </w:rPr>
            <w:fldChar w:fldCharType="separate"/>
          </w:r>
          <w:r w:rsidR="00C13438" w:rsidRPr="00C13438">
            <w:rPr>
              <w:rFonts w:ascii="Arial" w:hAnsi="Arial" w:cs="Arial"/>
              <w:noProof/>
              <w:sz w:val="22"/>
              <w:szCs w:val="22"/>
            </w:rPr>
            <w:t>(Walker, 2007)</w:t>
          </w:r>
          <w:r w:rsidR="00C13438">
            <w:rPr>
              <w:rFonts w:ascii="Arial" w:hAnsi="Arial" w:cs="Arial"/>
              <w:sz w:val="22"/>
              <w:szCs w:val="22"/>
            </w:rPr>
            <w:fldChar w:fldCharType="end"/>
          </w:r>
        </w:sdtContent>
      </w:sdt>
      <w:r w:rsidR="00C13438">
        <w:rPr>
          <w:rFonts w:ascii="Arial" w:hAnsi="Arial" w:cs="Arial"/>
          <w:sz w:val="22"/>
          <w:szCs w:val="22"/>
        </w:rPr>
        <w:t xml:space="preserve"> </w:t>
      </w:r>
      <w:r>
        <w:rPr>
          <w:rFonts w:ascii="Arial" w:hAnsi="Arial" w:cs="Arial"/>
          <w:sz w:val="22"/>
          <w:szCs w:val="22"/>
        </w:rPr>
        <w:t xml:space="preserve">found that YISPs were associated with reductions in offending rate within the participants, particularly when interventions were holistic, voluntary and tailers to the </w:t>
      </w:r>
      <w:r w:rsidR="00C13438">
        <w:rPr>
          <w:rFonts w:ascii="Arial" w:hAnsi="Arial" w:cs="Arial"/>
          <w:sz w:val="22"/>
          <w:szCs w:val="22"/>
        </w:rPr>
        <w:t>individual’s</w:t>
      </w:r>
      <w:r>
        <w:rPr>
          <w:rFonts w:ascii="Arial" w:hAnsi="Arial" w:cs="Arial"/>
          <w:sz w:val="22"/>
          <w:szCs w:val="22"/>
        </w:rPr>
        <w:t xml:space="preserve"> needs.</w:t>
      </w:r>
      <w:r w:rsidR="00C13438">
        <w:rPr>
          <w:rFonts w:ascii="Arial" w:hAnsi="Arial" w:cs="Arial"/>
          <w:sz w:val="22"/>
          <w:szCs w:val="22"/>
        </w:rPr>
        <w:t xml:space="preserve"> </w:t>
      </w:r>
      <w:r>
        <w:rPr>
          <w:rFonts w:ascii="Arial" w:hAnsi="Arial" w:cs="Arial"/>
          <w:sz w:val="22"/>
          <w:szCs w:val="22"/>
        </w:rPr>
        <w:t xml:space="preserve">However, the study also made the warning that some initiatives risked widening the net of criminal justice by drawing young people who might never have offended in the first place and teaching them about the subject, therefore, there was a risk of unnecessary criminalisation. </w:t>
      </w:r>
    </w:p>
    <w:p w14:paraId="0DA4ACF0" w14:textId="77777777" w:rsidR="0056333A" w:rsidRDefault="0056333A" w:rsidP="00175468">
      <w:pPr>
        <w:spacing w:line="257" w:lineRule="auto"/>
        <w:ind w:right="531"/>
        <w:rPr>
          <w:rFonts w:ascii="Arial" w:hAnsi="Arial" w:cs="Arial"/>
          <w:sz w:val="22"/>
          <w:szCs w:val="22"/>
        </w:rPr>
      </w:pPr>
    </w:p>
    <w:p w14:paraId="5553B707" w14:textId="7857F48A" w:rsidR="0056333A" w:rsidRDefault="00C13438" w:rsidP="00175468">
      <w:pPr>
        <w:spacing w:line="257" w:lineRule="auto"/>
        <w:ind w:right="531"/>
        <w:rPr>
          <w:rFonts w:ascii="Arial" w:hAnsi="Arial" w:cs="Arial"/>
          <w:sz w:val="22"/>
          <w:szCs w:val="22"/>
        </w:rPr>
      </w:pPr>
      <w:sdt>
        <w:sdtPr>
          <w:rPr>
            <w:rFonts w:ascii="Arial" w:hAnsi="Arial" w:cs="Arial"/>
            <w:sz w:val="22"/>
            <w:szCs w:val="22"/>
          </w:rPr>
          <w:id w:val="-157238799"/>
          <w:citation/>
        </w:sdtPr>
        <w:sdtContent>
          <w:r>
            <w:rPr>
              <w:rFonts w:ascii="Arial" w:hAnsi="Arial" w:cs="Arial"/>
              <w:sz w:val="22"/>
              <w:szCs w:val="22"/>
            </w:rPr>
            <w:fldChar w:fldCharType="begin"/>
          </w:r>
          <w:r>
            <w:rPr>
              <w:rFonts w:ascii="Arial" w:hAnsi="Arial" w:cs="Arial"/>
              <w:sz w:val="22"/>
              <w:szCs w:val="22"/>
            </w:rPr>
            <w:instrText xml:space="preserve"> CITATION Bar05 \l 2057 </w:instrText>
          </w:r>
          <w:r>
            <w:rPr>
              <w:rFonts w:ascii="Arial" w:hAnsi="Arial" w:cs="Arial"/>
              <w:sz w:val="22"/>
              <w:szCs w:val="22"/>
            </w:rPr>
            <w:fldChar w:fldCharType="separate"/>
          </w:r>
          <w:r w:rsidRPr="00C13438">
            <w:rPr>
              <w:rFonts w:ascii="Arial" w:hAnsi="Arial" w:cs="Arial"/>
              <w:noProof/>
              <w:sz w:val="22"/>
              <w:szCs w:val="22"/>
            </w:rPr>
            <w:t>(Goldson, 2005)</w:t>
          </w:r>
          <w:r>
            <w:rPr>
              <w:rFonts w:ascii="Arial" w:hAnsi="Arial" w:cs="Arial"/>
              <w:sz w:val="22"/>
              <w:szCs w:val="22"/>
            </w:rPr>
            <w:fldChar w:fldCharType="end"/>
          </w:r>
        </w:sdtContent>
      </w:sdt>
      <w:r w:rsidR="0056333A">
        <w:rPr>
          <w:rFonts w:ascii="Arial" w:hAnsi="Arial" w:cs="Arial"/>
          <w:sz w:val="22"/>
          <w:szCs w:val="22"/>
        </w:rPr>
        <w:t xml:space="preserve"> made the argument that while early intervention is often presented as a progressive alternative to punitive approached, when this is put into practice it can </w:t>
      </w:r>
      <w:r w:rsidR="0056333A">
        <w:rPr>
          <w:rFonts w:ascii="Arial" w:hAnsi="Arial" w:cs="Arial"/>
          <w:sz w:val="22"/>
          <w:szCs w:val="22"/>
        </w:rPr>
        <w:lastRenderedPageBreak/>
        <w:t>become a mechanism of surveillance and control that targets those who come from disadvantaged backgrounds. This is more evident within cases where intervention thresholds are lowered, leading to intervention based on risk rather than the actual portrayed behaviour. Therefore, while early intervention can be effective, it must be implemented correctly and sensitively towards issues of proportionality and equity.</w:t>
      </w:r>
    </w:p>
    <w:p w14:paraId="07A17146" w14:textId="77777777" w:rsidR="0056333A" w:rsidRDefault="0056333A" w:rsidP="00175468">
      <w:pPr>
        <w:spacing w:line="257" w:lineRule="auto"/>
        <w:ind w:right="531"/>
        <w:rPr>
          <w:rFonts w:ascii="Arial" w:hAnsi="Arial" w:cs="Arial"/>
          <w:sz w:val="22"/>
          <w:szCs w:val="22"/>
        </w:rPr>
      </w:pPr>
    </w:p>
    <w:p w14:paraId="57832E52" w14:textId="45036AF7" w:rsidR="0056333A" w:rsidRDefault="0056333A" w:rsidP="00175468">
      <w:pPr>
        <w:spacing w:line="257" w:lineRule="auto"/>
        <w:ind w:right="531"/>
        <w:rPr>
          <w:rFonts w:ascii="Arial" w:hAnsi="Arial" w:cs="Arial"/>
          <w:sz w:val="22"/>
          <w:szCs w:val="22"/>
        </w:rPr>
      </w:pPr>
      <w:r>
        <w:rPr>
          <w:rFonts w:ascii="Arial" w:hAnsi="Arial" w:cs="Arial"/>
          <w:sz w:val="22"/>
          <w:szCs w:val="22"/>
        </w:rPr>
        <w:t>Case studies from the youth offending services (YOS) offer further information into the practical challenges and successes of early intervention. In one evaluation of the Surrey Youth Restorative Intervention (YRI) programme, which offers restorative justice as an alternative from formal prosecution for first-time low-level offences, it was found that reoffending rates among those who participated were lower than those who went through formal systems. Participants reported feeling heard and supported, many engaging in educational or community-based activities. This shows how relational approaches can be effective in early interventions, particularly when they empower young people and avoid the effects of formal procedures such as court involvement</w:t>
      </w:r>
      <w:r w:rsidR="00C13438">
        <w:rPr>
          <w:rFonts w:ascii="Arial" w:hAnsi="Arial" w:cs="Arial"/>
          <w:sz w:val="22"/>
          <w:szCs w:val="22"/>
        </w:rPr>
        <w:t xml:space="preserve"> </w:t>
      </w:r>
      <w:sdt>
        <w:sdtPr>
          <w:rPr>
            <w:rFonts w:ascii="Arial" w:hAnsi="Arial" w:cs="Arial"/>
            <w:sz w:val="22"/>
            <w:szCs w:val="22"/>
          </w:rPr>
          <w:id w:val="358100088"/>
          <w:citation/>
        </w:sdtPr>
        <w:sdtContent>
          <w:r w:rsidR="00C13438">
            <w:rPr>
              <w:rFonts w:ascii="Arial" w:hAnsi="Arial" w:cs="Arial"/>
              <w:sz w:val="22"/>
              <w:szCs w:val="22"/>
            </w:rPr>
            <w:fldChar w:fldCharType="begin"/>
          </w:r>
          <w:r w:rsidR="00C13438">
            <w:rPr>
              <w:rFonts w:ascii="Arial" w:hAnsi="Arial" w:cs="Arial"/>
              <w:sz w:val="22"/>
              <w:szCs w:val="22"/>
            </w:rPr>
            <w:instrText xml:space="preserve">CITATION Mea \l 2057 </w:instrText>
          </w:r>
          <w:r w:rsidR="00C13438">
            <w:rPr>
              <w:rFonts w:ascii="Arial" w:hAnsi="Arial" w:cs="Arial"/>
              <w:sz w:val="22"/>
              <w:szCs w:val="22"/>
            </w:rPr>
            <w:fldChar w:fldCharType="separate"/>
          </w:r>
          <w:r w:rsidR="00C13438" w:rsidRPr="00C13438">
            <w:rPr>
              <w:rFonts w:ascii="Arial" w:hAnsi="Arial" w:cs="Arial"/>
              <w:noProof/>
              <w:sz w:val="22"/>
              <w:szCs w:val="22"/>
            </w:rPr>
            <w:t>(Meadows, 2012)</w:t>
          </w:r>
          <w:r w:rsidR="00C13438">
            <w:rPr>
              <w:rFonts w:ascii="Arial" w:hAnsi="Arial" w:cs="Arial"/>
              <w:sz w:val="22"/>
              <w:szCs w:val="22"/>
            </w:rPr>
            <w:fldChar w:fldCharType="end"/>
          </w:r>
        </w:sdtContent>
      </w:sdt>
      <w:r>
        <w:rPr>
          <w:rFonts w:ascii="Arial" w:hAnsi="Arial" w:cs="Arial"/>
          <w:sz w:val="22"/>
          <w:szCs w:val="22"/>
        </w:rPr>
        <w:t>.</w:t>
      </w:r>
    </w:p>
    <w:p w14:paraId="5E94D9DA" w14:textId="77777777" w:rsidR="0056333A" w:rsidRDefault="0056333A" w:rsidP="00175468">
      <w:pPr>
        <w:spacing w:line="257" w:lineRule="auto"/>
        <w:ind w:right="531"/>
        <w:rPr>
          <w:rFonts w:ascii="Arial" w:hAnsi="Arial" w:cs="Arial"/>
          <w:sz w:val="22"/>
          <w:szCs w:val="22"/>
        </w:rPr>
      </w:pPr>
    </w:p>
    <w:p w14:paraId="0F7666C7" w14:textId="276E0A38"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School based interventions have also shown to be effective in preventing offending. Programmes such as the Social and Emotional Aspects of Learning (SEAL) initiative aim to improve emotional literacy, conflict resolution and resilience amount school aged children. </w:t>
      </w:r>
      <w:sdt>
        <w:sdtPr>
          <w:rPr>
            <w:rFonts w:ascii="Arial" w:hAnsi="Arial" w:cs="Arial"/>
            <w:sz w:val="22"/>
            <w:szCs w:val="22"/>
          </w:rPr>
          <w:id w:val="1449196504"/>
          <w:citation/>
        </w:sdtPr>
        <w:sdtContent>
          <w:r w:rsidR="00C13438">
            <w:rPr>
              <w:rFonts w:ascii="Arial" w:hAnsi="Arial" w:cs="Arial"/>
              <w:sz w:val="22"/>
              <w:szCs w:val="22"/>
            </w:rPr>
            <w:fldChar w:fldCharType="begin"/>
          </w:r>
          <w:r w:rsidR="00C13438">
            <w:rPr>
              <w:rFonts w:ascii="Arial" w:hAnsi="Arial" w:cs="Arial"/>
              <w:sz w:val="22"/>
              <w:szCs w:val="22"/>
            </w:rPr>
            <w:instrText xml:space="preserve"> CITATION Jos11 \l 2057 </w:instrText>
          </w:r>
          <w:r w:rsidR="00C13438">
            <w:rPr>
              <w:rFonts w:ascii="Arial" w:hAnsi="Arial" w:cs="Arial"/>
              <w:sz w:val="22"/>
              <w:szCs w:val="22"/>
            </w:rPr>
            <w:fldChar w:fldCharType="separate"/>
          </w:r>
          <w:r w:rsidR="00C13438" w:rsidRPr="00C13438">
            <w:rPr>
              <w:rFonts w:ascii="Arial" w:hAnsi="Arial" w:cs="Arial"/>
              <w:noProof/>
              <w:sz w:val="22"/>
              <w:szCs w:val="22"/>
            </w:rPr>
            <w:t>(Joseph A. Durlak, 2011)</w:t>
          </w:r>
          <w:r w:rsidR="00C13438">
            <w:rPr>
              <w:rFonts w:ascii="Arial" w:hAnsi="Arial" w:cs="Arial"/>
              <w:sz w:val="22"/>
              <w:szCs w:val="22"/>
            </w:rPr>
            <w:fldChar w:fldCharType="end"/>
          </w:r>
        </w:sdtContent>
      </w:sdt>
      <w:r>
        <w:rPr>
          <w:rFonts w:ascii="Arial" w:hAnsi="Arial" w:cs="Arial"/>
          <w:sz w:val="22"/>
          <w:szCs w:val="22"/>
        </w:rPr>
        <w:t xml:space="preserve"> within the analysis of school based social and emotional learning programmes, found that such interventions led to significant improvement in behaviours, academic </w:t>
      </w:r>
      <w:proofErr w:type="gramStart"/>
      <w:r>
        <w:rPr>
          <w:rFonts w:ascii="Arial" w:hAnsi="Arial" w:cs="Arial"/>
          <w:sz w:val="22"/>
          <w:szCs w:val="22"/>
        </w:rPr>
        <w:t>performance</w:t>
      </w:r>
      <w:proofErr w:type="gramEnd"/>
      <w:r>
        <w:rPr>
          <w:rFonts w:ascii="Arial" w:hAnsi="Arial" w:cs="Arial"/>
          <w:sz w:val="22"/>
          <w:szCs w:val="22"/>
        </w:rPr>
        <w:t xml:space="preserve"> and reductions in issues. These outcomes are relevant given the correlation between school exclusion and youth offending. The Timpson Review highlighted that excluded students are more likely to enter the youth justice system, reinforcing the need for inclusive, </w:t>
      </w:r>
      <w:proofErr w:type="gramStart"/>
      <w:r>
        <w:rPr>
          <w:rFonts w:ascii="Arial" w:hAnsi="Arial" w:cs="Arial"/>
          <w:sz w:val="22"/>
          <w:szCs w:val="22"/>
        </w:rPr>
        <w:t>supportive</w:t>
      </w:r>
      <w:proofErr w:type="gramEnd"/>
      <w:r>
        <w:rPr>
          <w:rFonts w:ascii="Arial" w:hAnsi="Arial" w:cs="Arial"/>
          <w:sz w:val="22"/>
          <w:szCs w:val="22"/>
        </w:rPr>
        <w:t xml:space="preserve"> and educational environments to support early intervention</w:t>
      </w:r>
      <w:r w:rsidR="00C13438">
        <w:rPr>
          <w:rFonts w:ascii="Arial" w:hAnsi="Arial" w:cs="Arial"/>
          <w:sz w:val="22"/>
          <w:szCs w:val="22"/>
        </w:rPr>
        <w:t xml:space="preserve"> </w:t>
      </w:r>
      <w:sdt>
        <w:sdtPr>
          <w:rPr>
            <w:rFonts w:ascii="Arial" w:hAnsi="Arial" w:cs="Arial"/>
            <w:sz w:val="22"/>
            <w:szCs w:val="22"/>
          </w:rPr>
          <w:id w:val="1855297208"/>
          <w:citation/>
        </w:sdtPr>
        <w:sdtContent>
          <w:r w:rsidR="00C13438">
            <w:rPr>
              <w:rFonts w:ascii="Arial" w:hAnsi="Arial" w:cs="Arial"/>
              <w:sz w:val="22"/>
              <w:szCs w:val="22"/>
            </w:rPr>
            <w:fldChar w:fldCharType="begin"/>
          </w:r>
          <w:r w:rsidR="00C13438">
            <w:rPr>
              <w:rFonts w:ascii="Arial" w:hAnsi="Arial" w:cs="Arial"/>
              <w:sz w:val="22"/>
              <w:szCs w:val="22"/>
            </w:rPr>
            <w:instrText xml:space="preserve"> CITATION JOC16 \l 2057 </w:instrText>
          </w:r>
          <w:r w:rsidR="00C13438">
            <w:rPr>
              <w:rFonts w:ascii="Arial" w:hAnsi="Arial" w:cs="Arial"/>
              <w:sz w:val="22"/>
              <w:szCs w:val="22"/>
            </w:rPr>
            <w:fldChar w:fldCharType="separate"/>
          </w:r>
          <w:r w:rsidR="00C13438" w:rsidRPr="00C13438">
            <w:rPr>
              <w:rFonts w:ascii="Arial" w:hAnsi="Arial" w:cs="Arial"/>
              <w:noProof/>
              <w:sz w:val="22"/>
              <w:szCs w:val="22"/>
            </w:rPr>
            <w:t>(O'Carroll, 2016)</w:t>
          </w:r>
          <w:r w:rsidR="00C13438">
            <w:rPr>
              <w:rFonts w:ascii="Arial" w:hAnsi="Arial" w:cs="Arial"/>
              <w:sz w:val="22"/>
              <w:szCs w:val="22"/>
            </w:rPr>
            <w:fldChar w:fldCharType="end"/>
          </w:r>
        </w:sdtContent>
      </w:sdt>
      <w:r>
        <w:rPr>
          <w:rFonts w:ascii="Arial" w:hAnsi="Arial" w:cs="Arial"/>
          <w:sz w:val="22"/>
          <w:szCs w:val="22"/>
        </w:rPr>
        <w:t>.</w:t>
      </w:r>
    </w:p>
    <w:p w14:paraId="4C5186F5" w14:textId="77777777" w:rsidR="0056333A" w:rsidRDefault="0056333A" w:rsidP="00175468">
      <w:pPr>
        <w:spacing w:line="257" w:lineRule="auto"/>
        <w:ind w:right="531"/>
        <w:rPr>
          <w:rFonts w:ascii="Arial" w:hAnsi="Arial" w:cs="Arial"/>
          <w:sz w:val="22"/>
          <w:szCs w:val="22"/>
        </w:rPr>
      </w:pPr>
    </w:p>
    <w:p w14:paraId="6EB3345A" w14:textId="2568FD0C" w:rsidR="0056333A" w:rsidRDefault="0056333A" w:rsidP="00175468">
      <w:pPr>
        <w:spacing w:line="257" w:lineRule="auto"/>
        <w:ind w:right="531"/>
        <w:rPr>
          <w:rFonts w:ascii="Arial" w:hAnsi="Arial" w:cs="Arial"/>
          <w:sz w:val="22"/>
          <w:szCs w:val="22"/>
        </w:rPr>
      </w:pPr>
      <w:r w:rsidRPr="00484391">
        <w:rPr>
          <w:rFonts w:ascii="Arial" w:hAnsi="Arial" w:cs="Arial"/>
          <w:sz w:val="22"/>
          <w:szCs w:val="22"/>
        </w:rPr>
        <w:t>Despite the wealth of evidence supporting early intervention, there remains a tension between short-term costs and long-term gains. Effective early intervention requires sustained investment in social services, education, mental health, and youth work, yet public sector austerity in the UK has eroded much of the infrastructure required for timely support. Studies by the Early Intervention Foundation (2020) have found that many local authorities now lack the capacity to provide preventative services, instead focusing resources on crisis management</w:t>
      </w:r>
      <w:r w:rsidR="00C13438">
        <w:rPr>
          <w:rFonts w:ascii="Arial" w:hAnsi="Arial" w:cs="Arial"/>
          <w:sz w:val="22"/>
          <w:szCs w:val="22"/>
        </w:rPr>
        <w:t xml:space="preserve"> </w:t>
      </w:r>
      <w:sdt>
        <w:sdtPr>
          <w:rPr>
            <w:rFonts w:ascii="Arial" w:hAnsi="Arial" w:cs="Arial"/>
            <w:sz w:val="22"/>
            <w:szCs w:val="22"/>
          </w:rPr>
          <w:id w:val="-114521883"/>
          <w:citation/>
        </w:sdtPr>
        <w:sdtContent>
          <w:r w:rsidR="00C13438">
            <w:rPr>
              <w:rFonts w:ascii="Arial" w:hAnsi="Arial" w:cs="Arial"/>
              <w:sz w:val="22"/>
              <w:szCs w:val="22"/>
            </w:rPr>
            <w:fldChar w:fldCharType="begin"/>
          </w:r>
          <w:r w:rsidR="00C13438">
            <w:rPr>
              <w:rFonts w:ascii="Arial" w:hAnsi="Arial" w:cs="Arial"/>
              <w:sz w:val="22"/>
              <w:szCs w:val="22"/>
            </w:rPr>
            <w:instrText xml:space="preserve"> CITATION Ali20 \l 2057 </w:instrText>
          </w:r>
          <w:r w:rsidR="00C13438">
            <w:rPr>
              <w:rFonts w:ascii="Arial" w:hAnsi="Arial" w:cs="Arial"/>
              <w:sz w:val="22"/>
              <w:szCs w:val="22"/>
            </w:rPr>
            <w:fldChar w:fldCharType="separate"/>
          </w:r>
          <w:r w:rsidR="00C13438" w:rsidRPr="00C13438">
            <w:rPr>
              <w:rFonts w:ascii="Arial" w:hAnsi="Arial" w:cs="Arial"/>
              <w:noProof/>
              <w:sz w:val="22"/>
              <w:szCs w:val="22"/>
            </w:rPr>
            <w:t>(Body, 2020)</w:t>
          </w:r>
          <w:r w:rsidR="00C13438">
            <w:rPr>
              <w:rFonts w:ascii="Arial" w:hAnsi="Arial" w:cs="Arial"/>
              <w:sz w:val="22"/>
              <w:szCs w:val="22"/>
            </w:rPr>
            <w:fldChar w:fldCharType="end"/>
          </w:r>
        </w:sdtContent>
      </w:sdt>
      <w:r w:rsidRPr="00484391">
        <w:rPr>
          <w:rFonts w:ascii="Arial" w:hAnsi="Arial" w:cs="Arial"/>
          <w:sz w:val="22"/>
          <w:szCs w:val="22"/>
        </w:rPr>
        <w:t>.</w:t>
      </w:r>
    </w:p>
    <w:p w14:paraId="6BEC483E" w14:textId="77777777" w:rsidR="0056333A" w:rsidRDefault="0056333A" w:rsidP="00175468">
      <w:pPr>
        <w:spacing w:line="257" w:lineRule="auto"/>
        <w:ind w:right="531"/>
        <w:rPr>
          <w:rFonts w:ascii="Arial" w:hAnsi="Arial" w:cs="Arial"/>
          <w:sz w:val="22"/>
          <w:szCs w:val="22"/>
        </w:rPr>
      </w:pPr>
    </w:p>
    <w:p w14:paraId="629C73C6" w14:textId="77777777" w:rsidR="0056333A" w:rsidRDefault="0056333A" w:rsidP="00175468">
      <w:pPr>
        <w:spacing w:line="257" w:lineRule="auto"/>
        <w:ind w:right="531"/>
        <w:rPr>
          <w:rFonts w:ascii="Arial" w:hAnsi="Arial" w:cs="Arial"/>
          <w:sz w:val="22"/>
          <w:szCs w:val="22"/>
        </w:rPr>
      </w:pPr>
      <w:r>
        <w:rPr>
          <w:rFonts w:ascii="Arial" w:hAnsi="Arial" w:cs="Arial"/>
          <w:sz w:val="22"/>
          <w:szCs w:val="22"/>
        </w:rPr>
        <w:t xml:space="preserve">Overall, early intervention can be a highly effective strategy for preventing young people from offending or re-offending, provided it is delivered in the correct way and is proportionate, inclusive, and evidence based. The best outcomes are when interventions are multi-agency, voluntary and holistic while addressing the social determinants of crime such as poverty, </w:t>
      </w:r>
      <w:proofErr w:type="gramStart"/>
      <w:r>
        <w:rPr>
          <w:rFonts w:ascii="Arial" w:hAnsi="Arial" w:cs="Arial"/>
          <w:sz w:val="22"/>
          <w:szCs w:val="22"/>
        </w:rPr>
        <w:t>exclusion</w:t>
      </w:r>
      <w:proofErr w:type="gramEnd"/>
      <w:r>
        <w:rPr>
          <w:rFonts w:ascii="Arial" w:hAnsi="Arial" w:cs="Arial"/>
          <w:sz w:val="22"/>
          <w:szCs w:val="22"/>
        </w:rPr>
        <w:t xml:space="preserve"> and traumas. However, the success of early intervention also depends on adequate funding, professional </w:t>
      </w:r>
      <w:proofErr w:type="gramStart"/>
      <w:r>
        <w:rPr>
          <w:rFonts w:ascii="Arial" w:hAnsi="Arial" w:cs="Arial"/>
          <w:sz w:val="22"/>
          <w:szCs w:val="22"/>
        </w:rPr>
        <w:t>training</w:t>
      </w:r>
      <w:proofErr w:type="gramEnd"/>
      <w:r>
        <w:rPr>
          <w:rFonts w:ascii="Arial" w:hAnsi="Arial" w:cs="Arial"/>
          <w:sz w:val="22"/>
          <w:szCs w:val="22"/>
        </w:rPr>
        <w:t xml:space="preserve"> and ongoing commitment to safeguard against unintended harms of surveillance or stigmatisation. When </w:t>
      </w:r>
      <w:proofErr w:type="gramStart"/>
      <w:r>
        <w:rPr>
          <w:rFonts w:ascii="Arial" w:hAnsi="Arial" w:cs="Arial"/>
          <w:sz w:val="22"/>
          <w:szCs w:val="22"/>
        </w:rPr>
        <w:t>all of</w:t>
      </w:r>
      <w:proofErr w:type="gramEnd"/>
      <w:r>
        <w:rPr>
          <w:rFonts w:ascii="Arial" w:hAnsi="Arial" w:cs="Arial"/>
          <w:sz w:val="22"/>
          <w:szCs w:val="22"/>
        </w:rPr>
        <w:t xml:space="preserve"> these conditions are met, early intervention offers a promising path towards reducing youth crime and promoting positive development.</w:t>
      </w:r>
    </w:p>
    <w:p w14:paraId="2491AD52" w14:textId="77777777" w:rsidR="0056333A" w:rsidRDefault="0056333A" w:rsidP="00175468"/>
    <w:p w14:paraId="3CB35DB5" w14:textId="1EA481D5" w:rsidR="00C13438" w:rsidRDefault="00C13438" w:rsidP="00175468">
      <w:pPr>
        <w:rPr>
          <w:b/>
          <w:bCs/>
          <w:u w:val="single"/>
        </w:rPr>
      </w:pPr>
      <w:r w:rsidRPr="00C13438">
        <w:rPr>
          <w:b/>
          <w:bCs/>
          <w:u w:val="single"/>
        </w:rPr>
        <w:t xml:space="preserve">Word Count: 960 </w:t>
      </w:r>
      <w:r>
        <w:rPr>
          <w:b/>
          <w:bCs/>
          <w:u w:val="single"/>
        </w:rPr>
        <w:t>words</w:t>
      </w:r>
    </w:p>
    <w:p w14:paraId="5EBA32C1" w14:textId="77777777" w:rsidR="00ED187A" w:rsidRDefault="00ED187A" w:rsidP="00175468">
      <w:pPr>
        <w:rPr>
          <w:b/>
          <w:bCs/>
          <w:u w:val="single"/>
        </w:rPr>
      </w:pPr>
    </w:p>
    <w:p w14:paraId="5207B1B1" w14:textId="77777777" w:rsidR="00ED187A" w:rsidRDefault="00ED187A" w:rsidP="00175468">
      <w:pPr>
        <w:rPr>
          <w:b/>
          <w:bCs/>
          <w:u w:val="single"/>
        </w:rPr>
      </w:pPr>
    </w:p>
    <w:p w14:paraId="753A510A" w14:textId="77777777" w:rsidR="00ED187A" w:rsidRDefault="00ED187A" w:rsidP="00175468">
      <w:pPr>
        <w:rPr>
          <w:b/>
          <w:bCs/>
          <w:u w:val="single"/>
        </w:rPr>
      </w:pPr>
    </w:p>
    <w:p w14:paraId="1E3D9B5A" w14:textId="77777777" w:rsidR="00ED187A" w:rsidRDefault="00ED187A" w:rsidP="00175468">
      <w:pPr>
        <w:rPr>
          <w:b/>
          <w:bCs/>
          <w:u w:val="single"/>
        </w:rPr>
      </w:pPr>
    </w:p>
    <w:sdt>
      <w:sdtPr>
        <w:id w:val="-409771613"/>
        <w:docPartObj>
          <w:docPartGallery w:val="Bibliographies"/>
          <w:docPartUnique/>
        </w:docPartObj>
      </w:sdtPr>
      <w:sdtEndPr>
        <w:rPr>
          <w:rFonts w:asciiTheme="minorHAnsi" w:eastAsiaTheme="minorHAnsi" w:hAnsiTheme="minorHAnsi" w:cstheme="minorBidi"/>
          <w:b w:val="0"/>
          <w:bCs w:val="0"/>
          <w:color w:val="auto"/>
          <w:kern w:val="2"/>
          <w:sz w:val="24"/>
          <w:szCs w:val="24"/>
          <w:lang w:val="en-GB" w:bidi="ar-SA"/>
          <w14:ligatures w14:val="standardContextual"/>
        </w:rPr>
      </w:sdtEndPr>
      <w:sdtContent>
        <w:p w14:paraId="33B16CBD" w14:textId="63F2C707" w:rsidR="00ED187A" w:rsidRDefault="00ED187A">
          <w:pPr>
            <w:pStyle w:val="Heading1"/>
          </w:pPr>
          <w:r>
            <w:t>Bibliography</w:t>
          </w:r>
        </w:p>
        <w:sdt>
          <w:sdtPr>
            <w:id w:val="111145805"/>
            <w:bibliography/>
          </w:sdtPr>
          <w:sdtContent>
            <w:p w14:paraId="3439B91A" w14:textId="77777777" w:rsidR="00ED187A" w:rsidRDefault="00ED187A" w:rsidP="00ED187A">
              <w:pPr>
                <w:pStyle w:val="Bibliography"/>
                <w:spacing w:line="480" w:lineRule="auto"/>
                <w:rPr>
                  <w:noProof/>
                  <w:kern w:val="0"/>
                  <w:lang w:val="en-US"/>
                  <w14:ligatures w14:val="none"/>
                </w:rPr>
              </w:pPr>
              <w:r>
                <w:fldChar w:fldCharType="begin"/>
              </w:r>
              <w:r>
                <w:instrText xml:space="preserve"> BIBLIOGRAPHY </w:instrText>
              </w:r>
              <w:r>
                <w:fldChar w:fldCharType="separate"/>
              </w:r>
              <w:r>
                <w:rPr>
                  <w:noProof/>
                  <w:lang w:val="en-US"/>
                </w:rPr>
                <w:t xml:space="preserve">Afful, I., 2017. The impact of values, bias, culture and leadership on BME under-representation in the police service. </w:t>
              </w:r>
              <w:r>
                <w:rPr>
                  <w:i/>
                  <w:iCs/>
                  <w:noProof/>
                  <w:lang w:val="en-US"/>
                </w:rPr>
                <w:t xml:space="preserve">International Journal of Emergency Services, </w:t>
              </w:r>
              <w:r>
                <w:rPr>
                  <w:noProof/>
                  <w:lang w:val="en-US"/>
                </w:rPr>
                <w:t>7(1), pp. 32-59.</w:t>
              </w:r>
            </w:p>
            <w:p w14:paraId="257EEC0B" w14:textId="77777777" w:rsidR="00ED187A" w:rsidRDefault="00ED187A" w:rsidP="00ED187A">
              <w:pPr>
                <w:pStyle w:val="Bibliography"/>
                <w:spacing w:line="480" w:lineRule="auto"/>
                <w:rPr>
                  <w:noProof/>
                  <w:lang w:val="en-US"/>
                </w:rPr>
              </w:pPr>
              <w:r>
                <w:rPr>
                  <w:noProof/>
                  <w:lang w:val="en-US"/>
                </w:rPr>
                <w:t xml:space="preserve">Almond, P., Horton, R. &amp; James, G., 2022. Mental health and wellbeing at work in the UK: current legal approaches. </w:t>
              </w:r>
              <w:r>
                <w:rPr>
                  <w:i/>
                  <w:iCs/>
                  <w:noProof/>
                  <w:lang w:val="en-US"/>
                </w:rPr>
                <w:t>Legal Studies.</w:t>
              </w:r>
            </w:p>
            <w:p w14:paraId="1132346C" w14:textId="77777777" w:rsidR="00ED187A" w:rsidRDefault="00ED187A" w:rsidP="00ED187A">
              <w:pPr>
                <w:pStyle w:val="Bibliography"/>
                <w:spacing w:line="480" w:lineRule="auto"/>
                <w:rPr>
                  <w:noProof/>
                  <w:lang w:val="en-US"/>
                </w:rPr>
              </w:pPr>
              <w:r>
                <w:rPr>
                  <w:noProof/>
                  <w:lang w:val="en-US"/>
                </w:rPr>
                <w:t xml:space="preserve">Anderson, G., Nota, P., Metz, G. &amp; Anderson, J., 2019. The Impact of Acute Stress Physiology on Skilled Motor Performance: Implications for Policing. </w:t>
              </w:r>
              <w:r>
                <w:rPr>
                  <w:i/>
                  <w:iCs/>
                  <w:noProof/>
                  <w:lang w:val="en-US"/>
                </w:rPr>
                <w:t xml:space="preserve">De-escalating Threat: The Psychophysiology of Police Decision Making, </w:t>
              </w:r>
              <w:r>
                <w:rPr>
                  <w:noProof/>
                  <w:lang w:val="en-US"/>
                </w:rPr>
                <w:t>Volume 10.</w:t>
              </w:r>
            </w:p>
            <w:p w14:paraId="4E11BF37" w14:textId="77777777" w:rsidR="00ED187A" w:rsidRDefault="00ED187A" w:rsidP="00ED187A">
              <w:pPr>
                <w:pStyle w:val="Bibliography"/>
                <w:spacing w:line="480" w:lineRule="auto"/>
                <w:rPr>
                  <w:noProof/>
                  <w:lang w:val="en-US"/>
                </w:rPr>
              </w:pPr>
              <w:r>
                <w:rPr>
                  <w:noProof/>
                  <w:lang w:val="en-US"/>
                </w:rPr>
                <w:t xml:space="preserve">Barker, R., Bonell, C. &amp; Melendez-Torres, 2024. Hard to reach? Methodological challenges researching vulnerable, gang-involved, young people. </w:t>
              </w:r>
              <w:r>
                <w:rPr>
                  <w:i/>
                  <w:iCs/>
                  <w:noProof/>
                  <w:lang w:val="en-US"/>
                </w:rPr>
                <w:t xml:space="preserve">Health Expectations, </w:t>
              </w:r>
              <w:r>
                <w:rPr>
                  <w:noProof/>
                  <w:lang w:val="en-US"/>
                </w:rPr>
                <w:t>27(3).</w:t>
              </w:r>
            </w:p>
            <w:p w14:paraId="19E192B9" w14:textId="77777777" w:rsidR="00ED187A" w:rsidRDefault="00ED187A" w:rsidP="00ED187A">
              <w:pPr>
                <w:pStyle w:val="Bibliography"/>
                <w:spacing w:line="480" w:lineRule="auto"/>
                <w:rPr>
                  <w:noProof/>
                  <w:lang w:val="en-US"/>
                </w:rPr>
              </w:pPr>
              <w:r>
                <w:rPr>
                  <w:noProof/>
                  <w:lang w:val="en-US"/>
                </w:rPr>
                <w:t xml:space="preserve">Barnes, I. &amp; Eagle, T., 2007. The Role of Community Engagement in Neighbourhood Policing. </w:t>
              </w:r>
              <w:r>
                <w:rPr>
                  <w:i/>
                  <w:iCs/>
                  <w:noProof/>
                  <w:lang w:val="en-US"/>
                </w:rPr>
                <w:t xml:space="preserve">Policing: A Journal of Policy and Practice, </w:t>
              </w:r>
              <w:r>
                <w:rPr>
                  <w:noProof/>
                  <w:lang w:val="en-US"/>
                </w:rPr>
                <w:t>1(2), pp. 161-172.</w:t>
              </w:r>
            </w:p>
            <w:p w14:paraId="7DC692B4" w14:textId="77777777" w:rsidR="00ED187A" w:rsidRDefault="00ED187A" w:rsidP="00ED187A">
              <w:pPr>
                <w:pStyle w:val="Bibliography"/>
                <w:spacing w:line="480" w:lineRule="auto"/>
                <w:rPr>
                  <w:noProof/>
                  <w:lang w:val="en-US"/>
                </w:rPr>
              </w:pPr>
              <w:r>
                <w:rPr>
                  <w:noProof/>
                  <w:lang w:val="en-US"/>
                </w:rPr>
                <w:t xml:space="preserve">Barnes, J., 2010. From evidence‐base to practice: implementation of the Nurse Family Partnership programme in England. </w:t>
              </w:r>
              <w:r>
                <w:rPr>
                  <w:i/>
                  <w:iCs/>
                  <w:noProof/>
                  <w:lang w:val="en-US"/>
                </w:rPr>
                <w:t>Journal of Children's Services.</w:t>
              </w:r>
            </w:p>
            <w:p w14:paraId="45F6F8E1" w14:textId="77777777" w:rsidR="00ED187A" w:rsidRDefault="00ED187A" w:rsidP="00ED187A">
              <w:pPr>
                <w:pStyle w:val="Bibliography"/>
                <w:spacing w:line="480" w:lineRule="auto"/>
                <w:rPr>
                  <w:noProof/>
                  <w:lang w:val="en-US"/>
                </w:rPr>
              </w:pPr>
              <w:r>
                <w:rPr>
                  <w:noProof/>
                  <w:lang w:val="en-US"/>
                </w:rPr>
                <w:t xml:space="preserve">Basu, A. K., 2024. Race, policing and me: Inclusive leadership in the twenty-first century for the 25th anniversary of Macpherson Report and the Stephen Lawrence Inquiry. </w:t>
              </w:r>
              <w:r>
                <w:rPr>
                  <w:i/>
                  <w:iCs/>
                  <w:noProof/>
                  <w:lang w:val="en-US"/>
                </w:rPr>
                <w:t xml:space="preserve">International Journal of Police Science and Management , </w:t>
              </w:r>
              <w:r>
                <w:rPr>
                  <w:noProof/>
                  <w:lang w:val="en-US"/>
                </w:rPr>
                <w:t>26(4).</w:t>
              </w:r>
            </w:p>
            <w:p w14:paraId="2EB6A263" w14:textId="77777777" w:rsidR="00ED187A" w:rsidRDefault="00ED187A" w:rsidP="00ED187A">
              <w:pPr>
                <w:pStyle w:val="Bibliography"/>
                <w:spacing w:line="480" w:lineRule="auto"/>
                <w:rPr>
                  <w:noProof/>
                  <w:lang w:val="en-US"/>
                </w:rPr>
              </w:pPr>
              <w:r>
                <w:rPr>
                  <w:noProof/>
                  <w:lang w:val="en-US"/>
                </w:rPr>
                <w:t xml:space="preserve">Beckett, H. &amp; Walker, J., 2017. Child sexual exploitation : definition &amp; guide for professionals: extended text. </w:t>
              </w:r>
              <w:r>
                <w:rPr>
                  <w:i/>
                  <w:iCs/>
                  <w:noProof/>
                  <w:lang w:val="en-US"/>
                </w:rPr>
                <w:t>University of Bedforshire .</w:t>
              </w:r>
            </w:p>
            <w:p w14:paraId="2F8070DB" w14:textId="77777777" w:rsidR="00ED187A" w:rsidRDefault="00ED187A" w:rsidP="00ED187A">
              <w:pPr>
                <w:pStyle w:val="Bibliography"/>
                <w:spacing w:line="480" w:lineRule="auto"/>
                <w:rPr>
                  <w:noProof/>
                  <w:lang w:val="en-US"/>
                </w:rPr>
              </w:pPr>
              <w:r>
                <w:rPr>
                  <w:noProof/>
                  <w:lang w:val="en-US"/>
                </w:rPr>
                <w:t xml:space="preserve">Body, A., 2020. </w:t>
              </w:r>
              <w:r>
                <w:rPr>
                  <w:i/>
                  <w:iCs/>
                  <w:noProof/>
                  <w:lang w:val="en-US"/>
                </w:rPr>
                <w:t xml:space="preserve">Children’s Charities in Crisis: Early Intervention and the State. </w:t>
              </w:r>
              <w:r>
                <w:rPr>
                  <w:noProof/>
                  <w:lang w:val="en-US"/>
                </w:rPr>
                <w:t>s.l.:University of Bristol - Policy Press.</w:t>
              </w:r>
            </w:p>
            <w:p w14:paraId="6D764092" w14:textId="77777777" w:rsidR="00ED187A" w:rsidRDefault="00ED187A" w:rsidP="00ED187A">
              <w:pPr>
                <w:pStyle w:val="Bibliography"/>
                <w:spacing w:line="480" w:lineRule="auto"/>
                <w:rPr>
                  <w:noProof/>
                  <w:lang w:val="en-US"/>
                </w:rPr>
              </w:pPr>
              <w:r>
                <w:rPr>
                  <w:noProof/>
                  <w:lang w:val="en-US"/>
                </w:rPr>
                <w:t xml:space="preserve">Bowling, B., 2017. The Rise and Fall of Suspicionless Searches. </w:t>
              </w:r>
              <w:r>
                <w:rPr>
                  <w:i/>
                  <w:iCs/>
                  <w:noProof/>
                  <w:lang w:val="en-US"/>
                </w:rPr>
                <w:t xml:space="preserve">King's Law Journal, </w:t>
              </w:r>
              <w:r>
                <w:rPr>
                  <w:noProof/>
                  <w:lang w:val="en-US"/>
                </w:rPr>
                <w:t>28(1), pp. 62-88.</w:t>
              </w:r>
            </w:p>
            <w:p w14:paraId="6C981806" w14:textId="77777777" w:rsidR="00ED187A" w:rsidRDefault="00ED187A" w:rsidP="00ED187A">
              <w:pPr>
                <w:pStyle w:val="Bibliography"/>
                <w:spacing w:line="480" w:lineRule="auto"/>
                <w:rPr>
                  <w:noProof/>
                  <w:lang w:val="en-US"/>
                </w:rPr>
              </w:pPr>
              <w:r>
                <w:rPr>
                  <w:noProof/>
                  <w:lang w:val="en-US"/>
                </w:rPr>
                <w:lastRenderedPageBreak/>
                <w:t xml:space="preserve">Bradford, B., 2020. </w:t>
              </w:r>
              <w:r>
                <w:rPr>
                  <w:i/>
                  <w:iCs/>
                  <w:noProof/>
                  <w:lang w:val="en-US"/>
                </w:rPr>
                <w:t xml:space="preserve">Making an Impact on Policing and Crime. </w:t>
              </w:r>
              <w:r>
                <w:rPr>
                  <w:noProof/>
                  <w:lang w:val="en-US"/>
                </w:rPr>
                <w:t>1st ed. s.l.:Routledge.</w:t>
              </w:r>
            </w:p>
            <w:p w14:paraId="21DE891B" w14:textId="77777777" w:rsidR="00ED187A" w:rsidRDefault="00ED187A" w:rsidP="00ED187A">
              <w:pPr>
                <w:pStyle w:val="Bibliography"/>
                <w:spacing w:line="480" w:lineRule="auto"/>
                <w:rPr>
                  <w:noProof/>
                  <w:lang w:val="en-US"/>
                </w:rPr>
              </w:pPr>
              <w:r>
                <w:rPr>
                  <w:noProof/>
                  <w:lang w:val="en-US"/>
                </w:rPr>
                <w:t xml:space="preserve">Braga, A., Brunson, R. &amp; Drakulich, K., 2019. Race, Place, and Effective Policing. </w:t>
              </w:r>
              <w:r>
                <w:rPr>
                  <w:i/>
                  <w:iCs/>
                  <w:noProof/>
                  <w:lang w:val="en-US"/>
                </w:rPr>
                <w:t xml:space="preserve">Annual Review of Sociology, </w:t>
              </w:r>
              <w:r>
                <w:rPr>
                  <w:noProof/>
                  <w:lang w:val="en-US"/>
                </w:rPr>
                <w:t>Volume 45, pp. 535-555.</w:t>
              </w:r>
            </w:p>
            <w:p w14:paraId="713E8C13" w14:textId="77777777" w:rsidR="00ED187A" w:rsidRDefault="00ED187A" w:rsidP="00ED187A">
              <w:pPr>
                <w:pStyle w:val="Bibliography"/>
                <w:spacing w:line="480" w:lineRule="auto"/>
                <w:rPr>
                  <w:noProof/>
                  <w:lang w:val="en-US"/>
                </w:rPr>
              </w:pPr>
              <w:r>
                <w:rPr>
                  <w:noProof/>
                  <w:lang w:val="en-US"/>
                </w:rPr>
                <w:t xml:space="preserve">Case, S. et al., 2022. </w:t>
              </w:r>
              <w:r>
                <w:rPr>
                  <w:i/>
                  <w:iCs/>
                  <w:noProof/>
                  <w:lang w:val="en-US"/>
                </w:rPr>
                <w:t>Understanding preventative intervention in youth justice: Identifying and analysing programme theories..</w:t>
              </w:r>
            </w:p>
            <w:p w14:paraId="0790A8BF" w14:textId="77777777" w:rsidR="00ED187A" w:rsidRDefault="00ED187A" w:rsidP="00ED187A">
              <w:pPr>
                <w:pStyle w:val="Bibliography"/>
                <w:spacing w:line="480" w:lineRule="auto"/>
                <w:rPr>
                  <w:noProof/>
                  <w:lang w:val="en-US"/>
                </w:rPr>
              </w:pPr>
              <w:r>
                <w:rPr>
                  <w:noProof/>
                  <w:lang w:val="en-US"/>
                </w:rPr>
                <w:t xml:space="preserve">Chan, S., 2013. Exploring the Barriers to Retention and Progression of Female Police Officers. </w:t>
              </w:r>
              <w:r>
                <w:rPr>
                  <w:i/>
                  <w:iCs/>
                  <w:noProof/>
                  <w:lang w:val="en-US"/>
                </w:rPr>
                <w:t>Negotiating Gender and Police Culture .</w:t>
              </w:r>
            </w:p>
            <w:p w14:paraId="53A653D1" w14:textId="77777777" w:rsidR="00ED187A" w:rsidRDefault="00ED187A" w:rsidP="00ED187A">
              <w:pPr>
                <w:pStyle w:val="Bibliography"/>
                <w:spacing w:line="480" w:lineRule="auto"/>
                <w:rPr>
                  <w:noProof/>
                  <w:lang w:val="en-US"/>
                </w:rPr>
              </w:pPr>
              <w:r>
                <w:rPr>
                  <w:noProof/>
                  <w:lang w:val="en-US"/>
                </w:rPr>
                <w:t xml:space="preserve">CollegeofPolicing, 2015. </w:t>
              </w:r>
              <w:r>
                <w:rPr>
                  <w:i/>
                  <w:iCs/>
                  <w:noProof/>
                  <w:lang w:val="en-US"/>
                </w:rPr>
                <w:t xml:space="preserve">College of Policing analysis: Estimating demand on the police service. </w:t>
              </w:r>
              <w:r>
                <w:rPr>
                  <w:noProof/>
                  <w:lang w:val="en-US"/>
                </w:rPr>
                <w:t xml:space="preserve">[Online] </w:t>
              </w:r>
              <w:r>
                <w:rPr>
                  <w:noProof/>
                  <w:lang w:val="en-US"/>
                </w:rPr>
                <w:br/>
                <w:t xml:space="preserve">Available at: </w:t>
              </w:r>
              <w:r>
                <w:rPr>
                  <w:noProof/>
                  <w:u w:val="single"/>
                  <w:lang w:val="en-US"/>
                </w:rPr>
                <w:t>https://assets.college.police.uk/s3fs-public/2021-03/demand-on-policing-report.pdf</w:t>
              </w:r>
              <w:r>
                <w:rPr>
                  <w:noProof/>
                  <w:lang w:val="en-US"/>
                </w:rPr>
                <w:br/>
                <w:t>[Accessed 5 May 2025].</w:t>
              </w:r>
            </w:p>
            <w:p w14:paraId="2EEA6E1D" w14:textId="77777777" w:rsidR="00ED187A" w:rsidRDefault="00ED187A" w:rsidP="00ED187A">
              <w:pPr>
                <w:pStyle w:val="Bibliography"/>
                <w:spacing w:line="480" w:lineRule="auto"/>
                <w:rPr>
                  <w:noProof/>
                  <w:lang w:val="en-US"/>
                </w:rPr>
              </w:pPr>
              <w:r>
                <w:rPr>
                  <w:noProof/>
                  <w:lang w:val="en-US"/>
                </w:rPr>
                <w:t xml:space="preserve">CollegeofPolicing, 2021. </w:t>
              </w:r>
              <w:r>
                <w:rPr>
                  <w:i/>
                  <w:iCs/>
                  <w:noProof/>
                  <w:lang w:val="en-US"/>
                </w:rPr>
                <w:t xml:space="preserve">Body-worn Cameras. </w:t>
              </w:r>
              <w:r>
                <w:rPr>
                  <w:noProof/>
                  <w:lang w:val="en-US"/>
                </w:rPr>
                <w:t xml:space="preserve">[Online] </w:t>
              </w:r>
              <w:r>
                <w:rPr>
                  <w:noProof/>
                  <w:lang w:val="en-US"/>
                </w:rPr>
                <w:br/>
                <w:t xml:space="preserve">Available at: </w:t>
              </w:r>
              <w:r>
                <w:rPr>
                  <w:noProof/>
                  <w:u w:val="single"/>
                  <w:lang w:val="en-US"/>
                </w:rPr>
                <w:t>https://www.college.police.uk/research/crime-reduction-toolkit/body-worn-cameras</w:t>
              </w:r>
              <w:r>
                <w:rPr>
                  <w:noProof/>
                  <w:lang w:val="en-US"/>
                </w:rPr>
                <w:br/>
                <w:t>[Accessed 1 May 2025].</w:t>
              </w:r>
            </w:p>
            <w:p w14:paraId="728F2BAB" w14:textId="77777777" w:rsidR="00ED187A" w:rsidRDefault="00ED187A" w:rsidP="00ED187A">
              <w:pPr>
                <w:pStyle w:val="Bibliography"/>
                <w:spacing w:line="480" w:lineRule="auto"/>
                <w:rPr>
                  <w:noProof/>
                  <w:lang w:val="en-US"/>
                </w:rPr>
              </w:pPr>
              <w:r>
                <w:rPr>
                  <w:noProof/>
                  <w:lang w:val="en-US"/>
                </w:rPr>
                <w:t xml:space="preserve">Dando, C., Ormerod, T. &amp; Atkinson-Sheppard, S., 2023. Parental experiences of the impact of grooming and criminal exploitation of children for county lines drug trafficking. </w:t>
              </w:r>
              <w:r>
                <w:rPr>
                  <w:i/>
                  <w:iCs/>
                  <w:noProof/>
                  <w:lang w:val="en-US"/>
                </w:rPr>
                <w:t xml:space="preserve">Journal of Public Health, </w:t>
              </w:r>
              <w:r>
                <w:rPr>
                  <w:noProof/>
                  <w:lang w:val="en-US"/>
                </w:rPr>
                <w:t>45(2), pp. 346-354.</w:t>
              </w:r>
            </w:p>
            <w:p w14:paraId="798B36DA" w14:textId="77777777" w:rsidR="00ED187A" w:rsidRDefault="00ED187A" w:rsidP="00ED187A">
              <w:pPr>
                <w:pStyle w:val="Bibliography"/>
                <w:spacing w:line="480" w:lineRule="auto"/>
                <w:rPr>
                  <w:noProof/>
                  <w:lang w:val="en-US"/>
                </w:rPr>
              </w:pPr>
              <w:r>
                <w:rPr>
                  <w:noProof/>
                  <w:lang w:val="en-US"/>
                </w:rPr>
                <w:t xml:space="preserve">Duff, K. &amp; Kemp, T., 2024. Strip-searching as abjectification: Racism and sexual violence in British policing. </w:t>
              </w:r>
              <w:r>
                <w:rPr>
                  <w:i/>
                  <w:iCs/>
                  <w:noProof/>
                  <w:lang w:val="en-US"/>
                </w:rPr>
                <w:t xml:space="preserve">Theoretical Criminology, </w:t>
              </w:r>
              <w:r>
                <w:rPr>
                  <w:noProof/>
                  <w:lang w:val="en-US"/>
                </w:rPr>
                <w:t>29(1).</w:t>
              </w:r>
            </w:p>
            <w:p w14:paraId="6CC45370" w14:textId="77777777" w:rsidR="00ED187A" w:rsidRDefault="00ED187A" w:rsidP="00ED187A">
              <w:pPr>
                <w:pStyle w:val="Bibliography"/>
                <w:spacing w:line="480" w:lineRule="auto"/>
                <w:rPr>
                  <w:noProof/>
                  <w:lang w:val="en-US"/>
                </w:rPr>
              </w:pPr>
              <w:r>
                <w:rPr>
                  <w:noProof/>
                  <w:lang w:val="en-US"/>
                </w:rPr>
                <w:t xml:space="preserve">Ellison, K., 2004. </w:t>
              </w:r>
              <w:r>
                <w:rPr>
                  <w:i/>
                  <w:iCs/>
                  <w:noProof/>
                  <w:lang w:val="en-US"/>
                </w:rPr>
                <w:t xml:space="preserve">Stress and the Police Officer. </w:t>
              </w:r>
              <w:r>
                <w:rPr>
                  <w:noProof/>
                  <w:lang w:val="en-US"/>
                </w:rPr>
                <w:t>s.l.:s.n.</w:t>
              </w:r>
            </w:p>
            <w:p w14:paraId="42C1CE79" w14:textId="77777777" w:rsidR="00ED187A" w:rsidRDefault="00ED187A" w:rsidP="00ED187A">
              <w:pPr>
                <w:pStyle w:val="Bibliography"/>
                <w:spacing w:line="480" w:lineRule="auto"/>
                <w:rPr>
                  <w:noProof/>
                  <w:lang w:val="en-US"/>
                </w:rPr>
              </w:pPr>
              <w:r>
                <w:rPr>
                  <w:noProof/>
                  <w:lang w:val="en-US"/>
                </w:rPr>
                <w:t xml:space="preserve">Farrington, D., 2015. Prospective longitudinal research on the development of offending. </w:t>
              </w:r>
              <w:r>
                <w:rPr>
                  <w:i/>
                  <w:iCs/>
                  <w:noProof/>
                  <w:lang w:val="en-US"/>
                </w:rPr>
                <w:t xml:space="preserve">Journal of Criminology, </w:t>
              </w:r>
              <w:r>
                <w:rPr>
                  <w:noProof/>
                  <w:lang w:val="en-US"/>
                </w:rPr>
                <w:t>48(3).</w:t>
              </w:r>
            </w:p>
            <w:p w14:paraId="201AC942" w14:textId="77777777" w:rsidR="00ED187A" w:rsidRDefault="00ED187A" w:rsidP="00ED187A">
              <w:pPr>
                <w:pStyle w:val="Bibliography"/>
                <w:spacing w:line="480" w:lineRule="auto"/>
                <w:rPr>
                  <w:noProof/>
                  <w:lang w:val="en-US"/>
                </w:rPr>
              </w:pPr>
              <w:r>
                <w:rPr>
                  <w:noProof/>
                  <w:lang w:val="en-US"/>
                </w:rPr>
                <w:lastRenderedPageBreak/>
                <w:t xml:space="preserve">Foley, J. &amp; Masset, K., 2020. The ‘cost’ of caring in policing: From burnout to PTSD in police officers in England and Wales. </w:t>
              </w:r>
              <w:r>
                <w:rPr>
                  <w:i/>
                  <w:iCs/>
                  <w:noProof/>
                  <w:lang w:val="en-US"/>
                </w:rPr>
                <w:t xml:space="preserve">The Police Journal: Theory, Practice and Principles , </w:t>
              </w:r>
              <w:r>
                <w:rPr>
                  <w:noProof/>
                  <w:lang w:val="en-US"/>
                </w:rPr>
                <w:t>94(3).</w:t>
              </w:r>
            </w:p>
            <w:p w14:paraId="3EA79F86" w14:textId="77777777" w:rsidR="00ED187A" w:rsidRDefault="00ED187A" w:rsidP="00ED187A">
              <w:pPr>
                <w:pStyle w:val="Bibliography"/>
                <w:spacing w:line="480" w:lineRule="auto"/>
                <w:rPr>
                  <w:noProof/>
                  <w:lang w:val="en-US"/>
                </w:rPr>
              </w:pPr>
              <w:r>
                <w:rPr>
                  <w:noProof/>
                  <w:lang w:val="en-US"/>
                </w:rPr>
                <w:t xml:space="preserve">Gill, P., 2013. </w:t>
              </w:r>
              <w:r>
                <w:rPr>
                  <w:i/>
                  <w:iCs/>
                  <w:noProof/>
                  <w:lang w:val="en-US"/>
                </w:rPr>
                <w:t xml:space="preserve">Organised Crime. </w:t>
              </w:r>
              <w:r>
                <w:rPr>
                  <w:noProof/>
                  <w:lang w:val="en-US"/>
                </w:rPr>
                <w:t>s.l.:Rourledge.</w:t>
              </w:r>
            </w:p>
            <w:p w14:paraId="3F9FBA83" w14:textId="77777777" w:rsidR="00ED187A" w:rsidRDefault="00ED187A" w:rsidP="00ED187A">
              <w:pPr>
                <w:pStyle w:val="Bibliography"/>
                <w:spacing w:line="480" w:lineRule="auto"/>
                <w:rPr>
                  <w:noProof/>
                  <w:lang w:val="en-US"/>
                </w:rPr>
              </w:pPr>
              <w:r>
                <w:rPr>
                  <w:noProof/>
                  <w:lang w:val="en-US"/>
                </w:rPr>
                <w:t xml:space="preserve">Goldson, B., 2005. Child Imprisonment: A Case for Abolition. </w:t>
              </w:r>
              <w:r>
                <w:rPr>
                  <w:i/>
                  <w:iCs/>
                  <w:noProof/>
                  <w:lang w:val="en-US"/>
                </w:rPr>
                <w:t xml:space="preserve">Youth Justice , </w:t>
              </w:r>
              <w:r>
                <w:rPr>
                  <w:noProof/>
                  <w:lang w:val="en-US"/>
                </w:rPr>
                <w:t>5(2).</w:t>
              </w:r>
            </w:p>
            <w:p w14:paraId="6DC2FD77" w14:textId="77777777" w:rsidR="00ED187A" w:rsidRDefault="00ED187A" w:rsidP="00ED187A">
              <w:pPr>
                <w:pStyle w:val="Bibliography"/>
                <w:spacing w:line="480" w:lineRule="auto"/>
                <w:rPr>
                  <w:noProof/>
                  <w:lang w:val="en-US"/>
                </w:rPr>
              </w:pPr>
              <w:r>
                <w:rPr>
                  <w:noProof/>
                  <w:lang w:val="en-US"/>
                </w:rPr>
                <w:t xml:space="preserve">Goode, J. &amp; Lumsden, K., 2016. The McDonaldisation of police–academic partnerships: organisational and cultural barriers encountered in moving from research on police to research with police. </w:t>
              </w:r>
              <w:r>
                <w:rPr>
                  <w:i/>
                  <w:iCs/>
                  <w:noProof/>
                  <w:lang w:val="en-US"/>
                </w:rPr>
                <w:t xml:space="preserve">Policing and Society, </w:t>
              </w:r>
              <w:r>
                <w:rPr>
                  <w:noProof/>
                  <w:lang w:val="en-US"/>
                </w:rPr>
                <w:t>28(1), pp. 75-89.</w:t>
              </w:r>
            </w:p>
            <w:p w14:paraId="6C82C22D" w14:textId="77777777" w:rsidR="00ED187A" w:rsidRDefault="00ED187A" w:rsidP="00ED187A">
              <w:pPr>
                <w:pStyle w:val="Bibliography"/>
                <w:spacing w:line="480" w:lineRule="auto"/>
                <w:rPr>
                  <w:noProof/>
                  <w:lang w:val="en-US"/>
                </w:rPr>
              </w:pPr>
              <w:r>
                <w:rPr>
                  <w:noProof/>
                  <w:lang w:val="en-US"/>
                </w:rPr>
                <w:t xml:space="preserve">Holdaway, S., 1997. Constructing and Sustaining 'Race' within the Police Workforce. </w:t>
              </w:r>
              <w:r>
                <w:rPr>
                  <w:i/>
                  <w:iCs/>
                  <w:noProof/>
                  <w:lang w:val="en-US"/>
                </w:rPr>
                <w:t xml:space="preserve">The British Journal of Socilolgy , </w:t>
              </w:r>
              <w:r>
                <w:rPr>
                  <w:noProof/>
                  <w:lang w:val="en-US"/>
                </w:rPr>
                <w:t>48(1), pp. 19-34.</w:t>
              </w:r>
            </w:p>
            <w:p w14:paraId="6F60339A" w14:textId="77777777" w:rsidR="00ED187A" w:rsidRDefault="00ED187A" w:rsidP="00ED187A">
              <w:pPr>
                <w:pStyle w:val="Bibliography"/>
                <w:spacing w:line="480" w:lineRule="auto"/>
                <w:rPr>
                  <w:noProof/>
                  <w:lang w:val="en-US"/>
                </w:rPr>
              </w:pPr>
              <w:r>
                <w:rPr>
                  <w:noProof/>
                  <w:lang w:val="en-US"/>
                </w:rPr>
                <w:t xml:space="preserve">Jetelina, K., Molsberry, R. &amp; Gonzalez, J., 2020. Prevalence of Mental Illness and Mental Health Care Use Among Police Officers. </w:t>
              </w:r>
              <w:r>
                <w:rPr>
                  <w:i/>
                  <w:iCs/>
                  <w:noProof/>
                  <w:lang w:val="en-US"/>
                </w:rPr>
                <w:t>JAMA NETWORK OPEN.</w:t>
              </w:r>
            </w:p>
            <w:p w14:paraId="58A89381" w14:textId="77777777" w:rsidR="00ED187A" w:rsidRDefault="00ED187A" w:rsidP="00ED187A">
              <w:pPr>
                <w:pStyle w:val="Bibliography"/>
                <w:spacing w:line="480" w:lineRule="auto"/>
                <w:rPr>
                  <w:noProof/>
                  <w:lang w:val="en-US"/>
                </w:rPr>
              </w:pPr>
              <w:r>
                <w:rPr>
                  <w:noProof/>
                  <w:lang w:val="en-US"/>
                </w:rPr>
                <w:t xml:space="preserve">Joseph A. Durlak, R. P. W. A. B. D. R. D. T. K. B. S., 2011. The Impact of Enhancing Students’ Social and Emotional Learning: A Meta-Analysis of School-Based Universal Interventions. </w:t>
              </w:r>
              <w:r>
                <w:rPr>
                  <w:i/>
                  <w:iCs/>
                  <w:noProof/>
                  <w:lang w:val="en-US"/>
                </w:rPr>
                <w:t xml:space="preserve">Child Development, </w:t>
              </w:r>
              <w:r>
                <w:rPr>
                  <w:noProof/>
                  <w:lang w:val="en-US"/>
                </w:rPr>
                <w:t>82(1), pp. 405-432.</w:t>
              </w:r>
            </w:p>
            <w:p w14:paraId="562F9FBE" w14:textId="77777777" w:rsidR="00ED187A" w:rsidRDefault="00ED187A" w:rsidP="00ED187A">
              <w:pPr>
                <w:pStyle w:val="Bibliography"/>
                <w:spacing w:line="480" w:lineRule="auto"/>
                <w:rPr>
                  <w:noProof/>
                  <w:lang w:val="en-US"/>
                </w:rPr>
              </w:pPr>
              <w:r>
                <w:rPr>
                  <w:noProof/>
                  <w:lang w:val="en-US"/>
                </w:rPr>
                <w:t xml:space="preserve">Joudmonth, J. &amp; Randall, R., 2016. Working hours and common mental disorders in English police officers. </w:t>
              </w:r>
              <w:r>
                <w:rPr>
                  <w:i/>
                  <w:iCs/>
                  <w:noProof/>
                  <w:lang w:val="en-US"/>
                </w:rPr>
                <w:t xml:space="preserve">Occupational Medicine, </w:t>
              </w:r>
              <w:r>
                <w:rPr>
                  <w:noProof/>
                  <w:lang w:val="en-US"/>
                </w:rPr>
                <w:t>66(9), pp. 713-718.</w:t>
              </w:r>
            </w:p>
            <w:p w14:paraId="7C101ABB" w14:textId="77777777" w:rsidR="00ED187A" w:rsidRDefault="00ED187A" w:rsidP="00ED187A">
              <w:pPr>
                <w:pStyle w:val="Bibliography"/>
                <w:spacing w:line="480" w:lineRule="auto"/>
                <w:rPr>
                  <w:noProof/>
                  <w:lang w:val="en-US"/>
                </w:rPr>
              </w:pPr>
              <w:r>
                <w:rPr>
                  <w:noProof/>
                  <w:lang w:val="en-US"/>
                </w:rPr>
                <w:t xml:space="preserve">Koch, B., 2010. The Psychological Impact on Police Officers of Being First Responders to Completed Suicides. </w:t>
              </w:r>
              <w:r>
                <w:rPr>
                  <w:i/>
                  <w:iCs/>
                  <w:noProof/>
                  <w:lang w:val="en-US"/>
                </w:rPr>
                <w:t xml:space="preserve">Journal of Police and Criminal Psychology , </w:t>
              </w:r>
              <w:r>
                <w:rPr>
                  <w:noProof/>
                  <w:lang w:val="en-US"/>
                </w:rPr>
                <w:t>Volume 25, pp. 90-98.</w:t>
              </w:r>
            </w:p>
            <w:p w14:paraId="10DE688E" w14:textId="77777777" w:rsidR="00ED187A" w:rsidRDefault="00ED187A" w:rsidP="00ED187A">
              <w:pPr>
                <w:pStyle w:val="Bibliography"/>
                <w:spacing w:line="480" w:lineRule="auto"/>
                <w:rPr>
                  <w:noProof/>
                  <w:lang w:val="en-US"/>
                </w:rPr>
              </w:pPr>
              <w:r>
                <w:rPr>
                  <w:noProof/>
                  <w:lang w:val="en-US"/>
                </w:rPr>
                <w:t xml:space="preserve">Lammy, D., 2017. The Lammy Review: An independent review into the treatment of, and outcomes for, Black, Asian and Minority Ethnic individuals in the Criminal Justice System. </w:t>
              </w:r>
              <w:r>
                <w:rPr>
                  <w:i/>
                  <w:iCs/>
                  <w:noProof/>
                  <w:lang w:val="en-US"/>
                </w:rPr>
                <w:t>The Lammy Review .</w:t>
              </w:r>
            </w:p>
            <w:p w14:paraId="3F5DC35D" w14:textId="77777777" w:rsidR="00ED187A" w:rsidRDefault="00ED187A" w:rsidP="00ED187A">
              <w:pPr>
                <w:pStyle w:val="Bibliography"/>
                <w:spacing w:line="480" w:lineRule="auto"/>
                <w:rPr>
                  <w:noProof/>
                  <w:lang w:val="en-US"/>
                </w:rPr>
              </w:pPr>
              <w:r>
                <w:rPr>
                  <w:noProof/>
                  <w:lang w:val="en-US"/>
                </w:rPr>
                <w:t xml:space="preserve">Lewis, H., Dwyer, P., Hodkinson, S. &amp; Waite, L., 2014. </w:t>
              </w:r>
              <w:r>
                <w:rPr>
                  <w:i/>
                  <w:iCs/>
                  <w:noProof/>
                  <w:lang w:val="en-US"/>
                </w:rPr>
                <w:t xml:space="preserve">Forced labour, exploitation and asylum. </w:t>
              </w:r>
              <w:r>
                <w:rPr>
                  <w:noProof/>
                  <w:lang w:val="en-US"/>
                </w:rPr>
                <w:t>Bristol: s.n.</w:t>
              </w:r>
            </w:p>
            <w:p w14:paraId="0B1C8DF8" w14:textId="77777777" w:rsidR="00ED187A" w:rsidRDefault="00ED187A" w:rsidP="00ED187A">
              <w:pPr>
                <w:pStyle w:val="Bibliography"/>
                <w:spacing w:line="480" w:lineRule="auto"/>
                <w:rPr>
                  <w:noProof/>
                  <w:lang w:val="en-US"/>
                </w:rPr>
              </w:pPr>
              <w:r>
                <w:rPr>
                  <w:noProof/>
                  <w:lang w:val="en-US"/>
                </w:rPr>
                <w:t xml:space="preserve">Loftus, B., 2009. </w:t>
              </w:r>
              <w:r>
                <w:rPr>
                  <w:i/>
                  <w:iCs/>
                  <w:noProof/>
                  <w:lang w:val="en-US"/>
                </w:rPr>
                <w:t xml:space="preserve">Police Culture in a Changing World. </w:t>
              </w:r>
              <w:r>
                <w:rPr>
                  <w:noProof/>
                  <w:lang w:val="en-US"/>
                </w:rPr>
                <w:t>Oxford: Oxford University Press.</w:t>
              </w:r>
            </w:p>
            <w:p w14:paraId="617F2BFF" w14:textId="77777777" w:rsidR="00ED187A" w:rsidRDefault="00ED187A" w:rsidP="00ED187A">
              <w:pPr>
                <w:pStyle w:val="Bibliography"/>
                <w:spacing w:line="480" w:lineRule="auto"/>
                <w:rPr>
                  <w:noProof/>
                  <w:lang w:val="en-US"/>
                </w:rPr>
              </w:pPr>
              <w:r>
                <w:rPr>
                  <w:noProof/>
                  <w:lang w:val="en-US"/>
                </w:rPr>
                <w:lastRenderedPageBreak/>
                <w:t xml:space="preserve">Macdonald, S., Donovan, C., Clayton, J. &amp; Husband, M., 2024. Becoming cuckooed: conceptualising the relationship between disability, home takeovers and criminal exploitation. </w:t>
              </w:r>
              <w:r>
                <w:rPr>
                  <w:i/>
                  <w:iCs/>
                  <w:noProof/>
                  <w:lang w:val="en-US"/>
                </w:rPr>
                <w:t xml:space="preserve">Disability and Society, </w:t>
              </w:r>
              <w:r>
                <w:rPr>
                  <w:noProof/>
                  <w:lang w:val="en-US"/>
                </w:rPr>
                <w:t>39(2).</w:t>
              </w:r>
            </w:p>
            <w:p w14:paraId="66C7CBB9" w14:textId="77777777" w:rsidR="00ED187A" w:rsidRDefault="00ED187A" w:rsidP="00ED187A">
              <w:pPr>
                <w:pStyle w:val="Bibliography"/>
                <w:spacing w:line="480" w:lineRule="auto"/>
                <w:rPr>
                  <w:noProof/>
                  <w:lang w:val="en-US"/>
                </w:rPr>
              </w:pPr>
              <w:r>
                <w:rPr>
                  <w:noProof/>
                  <w:lang w:val="en-US"/>
                </w:rPr>
                <w:t xml:space="preserve">Manning, P., 2010. </w:t>
              </w:r>
              <w:r>
                <w:rPr>
                  <w:i/>
                  <w:iCs/>
                  <w:noProof/>
                  <w:lang w:val="en-US"/>
                </w:rPr>
                <w:t xml:space="preserve">Democratic Policing in a Changing World. </w:t>
              </w:r>
              <w:r>
                <w:rPr>
                  <w:noProof/>
                  <w:lang w:val="en-US"/>
                </w:rPr>
                <w:t>1st ed. s.l.:s.n.</w:t>
              </w:r>
            </w:p>
            <w:p w14:paraId="19DF5C3D" w14:textId="77777777" w:rsidR="00ED187A" w:rsidRDefault="00ED187A" w:rsidP="00ED187A">
              <w:pPr>
                <w:pStyle w:val="Bibliography"/>
                <w:spacing w:line="480" w:lineRule="auto"/>
                <w:rPr>
                  <w:noProof/>
                  <w:lang w:val="en-US"/>
                </w:rPr>
              </w:pPr>
              <w:r>
                <w:rPr>
                  <w:noProof/>
                  <w:lang w:val="en-US"/>
                </w:rPr>
                <w:t xml:space="preserve">Mazerolle, L., Bennett, S., Sargeant, J. D. E. &amp; Manning, M., 2013. Legitimacy in Policing: A Systematic Review. </w:t>
              </w:r>
              <w:r>
                <w:rPr>
                  <w:i/>
                  <w:iCs/>
                  <w:noProof/>
                  <w:lang w:val="en-US"/>
                </w:rPr>
                <w:t xml:space="preserve">Campbell Systematic Reviews, </w:t>
              </w:r>
              <w:r>
                <w:rPr>
                  <w:noProof/>
                  <w:lang w:val="en-US"/>
                </w:rPr>
                <w:t>9(1), p. 147.</w:t>
              </w:r>
            </w:p>
            <w:p w14:paraId="28E25672" w14:textId="77777777" w:rsidR="00ED187A" w:rsidRDefault="00ED187A" w:rsidP="00ED187A">
              <w:pPr>
                <w:pStyle w:val="Bibliography"/>
                <w:spacing w:line="480" w:lineRule="auto"/>
                <w:rPr>
                  <w:noProof/>
                  <w:lang w:val="en-US"/>
                </w:rPr>
              </w:pPr>
              <w:r>
                <w:rPr>
                  <w:noProof/>
                  <w:lang w:val="en-US"/>
                </w:rPr>
                <w:t xml:space="preserve">McDaniel, J. &amp; Malik, N., 2022. Managing Allegations Concerning Black and Asian Police Officers, Cultural Competence and Reflective Practice under the Police (Conduct) Regulations 2020. </w:t>
              </w:r>
              <w:r>
                <w:rPr>
                  <w:i/>
                  <w:iCs/>
                  <w:noProof/>
                  <w:lang w:val="en-US"/>
                </w:rPr>
                <w:t xml:space="preserve">The Modern Law Review, </w:t>
              </w:r>
              <w:r>
                <w:rPr>
                  <w:noProof/>
                  <w:lang w:val="en-US"/>
                </w:rPr>
                <w:t>86(2), pp. 498-517.</w:t>
              </w:r>
            </w:p>
            <w:p w14:paraId="0E1B156E" w14:textId="77777777" w:rsidR="00ED187A" w:rsidRDefault="00ED187A" w:rsidP="00ED187A">
              <w:pPr>
                <w:pStyle w:val="Bibliography"/>
                <w:spacing w:line="480" w:lineRule="auto"/>
                <w:rPr>
                  <w:noProof/>
                  <w:lang w:val="en-US"/>
                </w:rPr>
              </w:pPr>
              <w:r>
                <w:rPr>
                  <w:noProof/>
                  <w:lang w:val="en-US"/>
                </w:rPr>
                <w:t xml:space="preserve">Meadows, L. A. K. E. D. a. S. P., 2012. Evaluation of the South Yorkshire restorative justice programme.. </w:t>
              </w:r>
              <w:r>
                <w:rPr>
                  <w:i/>
                  <w:iCs/>
                  <w:noProof/>
                  <w:lang w:val="en-US"/>
                </w:rPr>
                <w:t>Sheffield: Sheffield Hallam University..</w:t>
              </w:r>
            </w:p>
            <w:p w14:paraId="4011D169" w14:textId="77777777" w:rsidR="00ED187A" w:rsidRDefault="00ED187A" w:rsidP="00ED187A">
              <w:pPr>
                <w:pStyle w:val="Bibliography"/>
                <w:spacing w:line="480" w:lineRule="auto"/>
                <w:rPr>
                  <w:noProof/>
                  <w:lang w:val="en-US"/>
                </w:rPr>
              </w:pPr>
              <w:r>
                <w:rPr>
                  <w:noProof/>
                  <w:lang w:val="en-US"/>
                </w:rPr>
                <w:t xml:space="preserve">Miller, H., 2021. Police Occupational Culture and Bullying. </w:t>
              </w:r>
              <w:r>
                <w:rPr>
                  <w:i/>
                  <w:iCs/>
                  <w:noProof/>
                  <w:lang w:val="en-US"/>
                </w:rPr>
                <w:t xml:space="preserve">Special Topics and Particular Occupations, Professions and Sectors, </w:t>
              </w:r>
              <w:r>
                <w:rPr>
                  <w:noProof/>
                  <w:lang w:val="en-US"/>
                </w:rPr>
                <w:t>pp. 387-413.</w:t>
              </w:r>
            </w:p>
            <w:p w14:paraId="069B88AF" w14:textId="77777777" w:rsidR="00ED187A" w:rsidRDefault="00ED187A" w:rsidP="00ED187A">
              <w:pPr>
                <w:pStyle w:val="Bibliography"/>
                <w:spacing w:line="480" w:lineRule="auto"/>
                <w:rPr>
                  <w:noProof/>
                  <w:lang w:val="en-US"/>
                </w:rPr>
              </w:pPr>
              <w:r>
                <w:rPr>
                  <w:noProof/>
                  <w:lang w:val="en-US"/>
                </w:rPr>
                <w:t xml:space="preserve">Moller, A., 2022. Mobilizing Knowledge in Frontline Work: A Conceptual Framework and Empirical Exploration. </w:t>
              </w:r>
              <w:r>
                <w:rPr>
                  <w:i/>
                  <w:iCs/>
                  <w:noProof/>
                  <w:lang w:val="en-US"/>
                </w:rPr>
                <w:t xml:space="preserve">Perspectives on Public Management and Governance , </w:t>
              </w:r>
              <w:r>
                <w:rPr>
                  <w:noProof/>
                  <w:lang w:val="en-US"/>
                </w:rPr>
                <w:t>5(1), pp. 50-62.</w:t>
              </w:r>
            </w:p>
            <w:p w14:paraId="17D74565" w14:textId="77777777" w:rsidR="00ED187A" w:rsidRDefault="00ED187A" w:rsidP="00ED187A">
              <w:pPr>
                <w:pStyle w:val="Bibliography"/>
                <w:spacing w:line="480" w:lineRule="auto"/>
                <w:rPr>
                  <w:noProof/>
                  <w:lang w:val="en-US"/>
                </w:rPr>
              </w:pPr>
              <w:r>
                <w:rPr>
                  <w:noProof/>
                  <w:lang w:val="en-US"/>
                </w:rPr>
                <w:t xml:space="preserve">Morant, N. &amp; Edwards, E., 2010. Police responses to diversity: A social representational study of rural British policing in a changing representational context. </w:t>
              </w:r>
              <w:r>
                <w:rPr>
                  <w:i/>
                  <w:iCs/>
                  <w:noProof/>
                  <w:lang w:val="en-US"/>
                </w:rPr>
                <w:t xml:space="preserve">Journal of Community and Applied Social Psychology, </w:t>
              </w:r>
              <w:r>
                <w:rPr>
                  <w:noProof/>
                  <w:lang w:val="en-US"/>
                </w:rPr>
                <w:t>21(4), pp. 281-296.</w:t>
              </w:r>
            </w:p>
            <w:p w14:paraId="388DE06D" w14:textId="77777777" w:rsidR="00ED187A" w:rsidRDefault="00ED187A" w:rsidP="00ED187A">
              <w:pPr>
                <w:pStyle w:val="Bibliography"/>
                <w:spacing w:line="480" w:lineRule="auto"/>
                <w:rPr>
                  <w:noProof/>
                  <w:lang w:val="en-US"/>
                </w:rPr>
              </w:pPr>
              <w:r>
                <w:rPr>
                  <w:noProof/>
                  <w:lang w:val="en-US"/>
                </w:rPr>
                <w:t xml:space="preserve">Nee, C. &amp; Ellis, T., 2011. Treating offending children: What works?. </w:t>
              </w:r>
              <w:r>
                <w:rPr>
                  <w:i/>
                  <w:iCs/>
                  <w:noProof/>
                  <w:lang w:val="en-US"/>
                </w:rPr>
                <w:t xml:space="preserve">Legal and Criminological Psychology, </w:t>
              </w:r>
              <w:r>
                <w:rPr>
                  <w:noProof/>
                  <w:lang w:val="en-US"/>
                </w:rPr>
                <w:t>10(1), pp. 133-148.</w:t>
              </w:r>
            </w:p>
            <w:p w14:paraId="35E779EF" w14:textId="77777777" w:rsidR="00ED187A" w:rsidRDefault="00ED187A" w:rsidP="00ED187A">
              <w:pPr>
                <w:pStyle w:val="Bibliography"/>
                <w:spacing w:line="480" w:lineRule="auto"/>
                <w:rPr>
                  <w:noProof/>
                  <w:lang w:val="en-US"/>
                </w:rPr>
              </w:pPr>
              <w:r>
                <w:rPr>
                  <w:noProof/>
                  <w:lang w:val="en-US"/>
                </w:rPr>
                <w:t xml:space="preserve">O'Carroll, J., 2016. dentifying barriers and facilitators for educational inclusion for young people who offend (Doctoral dissertation, UCL (University College London)). </w:t>
              </w:r>
            </w:p>
            <w:p w14:paraId="0C3D927B" w14:textId="77777777" w:rsidR="00ED187A" w:rsidRDefault="00ED187A" w:rsidP="00ED187A">
              <w:pPr>
                <w:pStyle w:val="Bibliography"/>
                <w:spacing w:line="480" w:lineRule="auto"/>
                <w:rPr>
                  <w:noProof/>
                  <w:lang w:val="en-US"/>
                </w:rPr>
              </w:pPr>
              <w:r>
                <w:rPr>
                  <w:noProof/>
                  <w:lang w:val="en-US"/>
                </w:rPr>
                <w:lastRenderedPageBreak/>
                <w:t xml:space="preserve">Palumbo, L., 2024. The UK Approach to Addressing Exploitation and (Not) Protecting Exploited Migrant Workers. </w:t>
              </w:r>
              <w:r>
                <w:rPr>
                  <w:i/>
                  <w:iCs/>
                  <w:noProof/>
                  <w:lang w:val="en-US"/>
                </w:rPr>
                <w:t xml:space="preserve">Taking Vulnerabilities to Labour Exploitation Seriously, </w:t>
              </w:r>
              <w:r>
                <w:rPr>
                  <w:noProof/>
                  <w:lang w:val="en-US"/>
                </w:rPr>
                <w:t>pp. 265-291.</w:t>
              </w:r>
            </w:p>
            <w:p w14:paraId="31292531" w14:textId="77777777" w:rsidR="00ED187A" w:rsidRDefault="00ED187A" w:rsidP="00ED187A">
              <w:pPr>
                <w:pStyle w:val="Bibliography"/>
                <w:spacing w:line="480" w:lineRule="auto"/>
                <w:rPr>
                  <w:noProof/>
                  <w:lang w:val="en-US"/>
                </w:rPr>
              </w:pPr>
              <w:r>
                <w:rPr>
                  <w:noProof/>
                  <w:lang w:val="en-US"/>
                </w:rPr>
                <w:t xml:space="preserve">Pearce, J., 2009. Seven: Beyond child protection: young people, social exclusion and sexual exploitation. </w:t>
              </w:r>
              <w:r>
                <w:rPr>
                  <w:i/>
                  <w:iCs/>
                  <w:noProof/>
                  <w:lang w:val="en-US"/>
                </w:rPr>
                <w:t xml:space="preserve">Bristol University Press, </w:t>
              </w:r>
              <w:r>
                <w:rPr>
                  <w:noProof/>
                  <w:lang w:val="en-US"/>
                </w:rPr>
                <w:t>pp. 121-136.</w:t>
              </w:r>
            </w:p>
            <w:p w14:paraId="12849E99" w14:textId="77777777" w:rsidR="00ED187A" w:rsidRDefault="00ED187A" w:rsidP="00ED187A">
              <w:pPr>
                <w:pStyle w:val="Bibliography"/>
                <w:spacing w:line="480" w:lineRule="auto"/>
                <w:rPr>
                  <w:noProof/>
                  <w:lang w:val="en-US"/>
                </w:rPr>
              </w:pPr>
              <w:r>
                <w:rPr>
                  <w:noProof/>
                  <w:lang w:val="en-US"/>
                </w:rPr>
                <w:t xml:space="preserve">Purba, A. &amp; Demou, E., 2019. The relationship between organisational stressors and mental wellbeing within police officers: a systematic review. </w:t>
              </w:r>
              <w:r>
                <w:rPr>
                  <w:i/>
                  <w:iCs/>
                  <w:noProof/>
                  <w:lang w:val="en-US"/>
                </w:rPr>
                <w:t xml:space="preserve">BMC Public Health, </w:t>
              </w:r>
              <w:r>
                <w:rPr>
                  <w:noProof/>
                  <w:lang w:val="en-US"/>
                </w:rPr>
                <w:t>Volume 19.</w:t>
              </w:r>
            </w:p>
            <w:p w14:paraId="04C5063D" w14:textId="77777777" w:rsidR="00ED187A" w:rsidRDefault="00ED187A" w:rsidP="00ED187A">
              <w:pPr>
                <w:pStyle w:val="Bibliography"/>
                <w:spacing w:line="480" w:lineRule="auto"/>
                <w:rPr>
                  <w:noProof/>
                  <w:lang w:val="en-US"/>
                </w:rPr>
              </w:pPr>
              <w:r>
                <w:rPr>
                  <w:noProof/>
                  <w:lang w:val="en-US"/>
                </w:rPr>
                <w:t xml:space="preserve">Stevelink, S., 2020. Probable PTSD, depression and anxiety in 40,299 UK police officers and staff: Prevalence, risk factors and associations with blood pressure. </w:t>
              </w:r>
              <w:r>
                <w:rPr>
                  <w:i/>
                  <w:iCs/>
                  <w:noProof/>
                  <w:lang w:val="en-US"/>
                </w:rPr>
                <w:t xml:space="preserve">PLOS, </w:t>
              </w:r>
              <w:r>
                <w:rPr>
                  <w:noProof/>
                  <w:lang w:val="en-US"/>
                </w:rPr>
                <w:t>15(11).</w:t>
              </w:r>
            </w:p>
            <w:p w14:paraId="158CFD8C" w14:textId="77777777" w:rsidR="00ED187A" w:rsidRDefault="00ED187A" w:rsidP="00ED187A">
              <w:pPr>
                <w:pStyle w:val="Bibliography"/>
                <w:spacing w:line="480" w:lineRule="auto"/>
                <w:rPr>
                  <w:noProof/>
                  <w:lang w:val="en-US"/>
                </w:rPr>
              </w:pPr>
              <w:r>
                <w:rPr>
                  <w:noProof/>
                  <w:lang w:val="en-US"/>
                </w:rPr>
                <w:t xml:space="preserve">Stubbs, G., 2023. “Whenever big changes come, big talks don't” – An examination of the police experience of recruitment and promotion positive action processes. </w:t>
              </w:r>
              <w:r>
                <w:rPr>
                  <w:i/>
                  <w:iCs/>
                  <w:noProof/>
                  <w:lang w:val="en-US"/>
                </w:rPr>
                <w:t xml:space="preserve">International Journal of Law, Crime and Justice, </w:t>
              </w:r>
              <w:r>
                <w:rPr>
                  <w:noProof/>
                  <w:lang w:val="en-US"/>
                </w:rPr>
                <w:t>Volume 74.</w:t>
              </w:r>
            </w:p>
            <w:p w14:paraId="5CE79DDA" w14:textId="77777777" w:rsidR="00ED187A" w:rsidRDefault="00ED187A" w:rsidP="00ED187A">
              <w:pPr>
                <w:pStyle w:val="Bibliography"/>
                <w:spacing w:line="480" w:lineRule="auto"/>
                <w:rPr>
                  <w:noProof/>
                  <w:lang w:val="en-US"/>
                </w:rPr>
              </w:pPr>
              <w:r>
                <w:rPr>
                  <w:noProof/>
                  <w:lang w:val="en-US"/>
                </w:rPr>
                <w:t xml:space="preserve">Thompson, N., 2019. ‘It’s a No-Win Scenario, either the Police or the Gang Will Get You’: Young People and Organised Crime – Vulnerable or Criminal?. </w:t>
              </w:r>
              <w:r>
                <w:rPr>
                  <w:i/>
                  <w:iCs/>
                  <w:noProof/>
                  <w:lang w:val="en-US"/>
                </w:rPr>
                <w:t xml:space="preserve">Youth Justice , </w:t>
              </w:r>
              <w:r>
                <w:rPr>
                  <w:noProof/>
                  <w:lang w:val="en-US"/>
                </w:rPr>
                <w:t>19(2).</w:t>
              </w:r>
            </w:p>
            <w:p w14:paraId="3C9FA4AA" w14:textId="77777777" w:rsidR="00ED187A" w:rsidRDefault="00ED187A" w:rsidP="00ED187A">
              <w:pPr>
                <w:pStyle w:val="Bibliography"/>
                <w:spacing w:line="480" w:lineRule="auto"/>
                <w:rPr>
                  <w:noProof/>
                  <w:lang w:val="en-US"/>
                </w:rPr>
              </w:pPr>
              <w:r>
                <w:rPr>
                  <w:noProof/>
                  <w:lang w:val="en-US"/>
                </w:rPr>
                <w:t xml:space="preserve">Tuttle, B., Blumberg, D. &amp; Papazoglou, K., 2019. Critical Challenges to Police Officer Wellness. </w:t>
              </w:r>
              <w:r>
                <w:rPr>
                  <w:i/>
                  <w:iCs/>
                  <w:noProof/>
                  <w:lang w:val="en-US"/>
                </w:rPr>
                <w:t>Criminology and Criminal Justice.</w:t>
              </w:r>
            </w:p>
            <w:p w14:paraId="537CD9E2" w14:textId="77777777" w:rsidR="00ED187A" w:rsidRDefault="00ED187A" w:rsidP="00ED187A">
              <w:pPr>
                <w:pStyle w:val="Bibliography"/>
                <w:spacing w:line="480" w:lineRule="auto"/>
                <w:rPr>
                  <w:noProof/>
                  <w:lang w:val="en-US"/>
                </w:rPr>
              </w:pPr>
              <w:r>
                <w:rPr>
                  <w:noProof/>
                  <w:lang w:val="en-US"/>
                </w:rPr>
                <w:t xml:space="preserve">Varga, S., 2016. Exploitation, Vulnerability, and Market-Driven Governance. </w:t>
              </w:r>
              <w:r>
                <w:rPr>
                  <w:i/>
                  <w:iCs/>
                  <w:noProof/>
                  <w:lang w:val="en-US"/>
                </w:rPr>
                <w:t xml:space="preserve">Journal of Social Philosophy, </w:t>
              </w:r>
              <w:r>
                <w:rPr>
                  <w:noProof/>
                  <w:lang w:val="en-US"/>
                </w:rPr>
                <w:t>47(1), pp. 90-113.</w:t>
              </w:r>
            </w:p>
            <w:p w14:paraId="77BFA1EB" w14:textId="77777777" w:rsidR="00ED187A" w:rsidRDefault="00ED187A" w:rsidP="00ED187A">
              <w:pPr>
                <w:pStyle w:val="Bibliography"/>
                <w:spacing w:line="480" w:lineRule="auto"/>
                <w:rPr>
                  <w:noProof/>
                  <w:lang w:val="en-US"/>
                </w:rPr>
              </w:pPr>
              <w:r>
                <w:rPr>
                  <w:noProof/>
                  <w:lang w:val="en-US"/>
                </w:rPr>
                <w:t xml:space="preserve">Vila, B., 2006. Impact of long work hours on police officers and the communities they serve. </w:t>
              </w:r>
              <w:r>
                <w:rPr>
                  <w:i/>
                  <w:iCs/>
                  <w:noProof/>
                  <w:lang w:val="en-US"/>
                </w:rPr>
                <w:t xml:space="preserve">American Journal of Industrial Medicine, </w:t>
              </w:r>
              <w:r>
                <w:rPr>
                  <w:noProof/>
                  <w:lang w:val="en-US"/>
                </w:rPr>
                <w:t>49(11), pp. 972-980.</w:t>
              </w:r>
            </w:p>
            <w:p w14:paraId="0DB3A704" w14:textId="77777777" w:rsidR="00ED187A" w:rsidRDefault="00ED187A" w:rsidP="00ED187A">
              <w:pPr>
                <w:pStyle w:val="Bibliography"/>
                <w:spacing w:line="480" w:lineRule="auto"/>
                <w:rPr>
                  <w:noProof/>
                  <w:lang w:val="en-US"/>
                </w:rPr>
              </w:pPr>
              <w:r>
                <w:rPr>
                  <w:noProof/>
                  <w:lang w:val="en-US"/>
                </w:rPr>
                <w:t xml:space="preserve">Walker, J. T. C. L. K. R. S. C. M. P. S. a. W. C., 2007. </w:t>
              </w:r>
              <w:r>
                <w:rPr>
                  <w:i/>
                  <w:iCs/>
                  <w:noProof/>
                  <w:lang w:val="en-US"/>
                </w:rPr>
                <w:t>Youth Inclusion and Support Panels: Preventing crime and antisocial behaviour.</w:t>
              </w:r>
            </w:p>
            <w:p w14:paraId="401AF47C" w14:textId="77777777" w:rsidR="00ED187A" w:rsidRDefault="00ED187A" w:rsidP="00ED187A">
              <w:pPr>
                <w:pStyle w:val="Bibliography"/>
                <w:spacing w:line="480" w:lineRule="auto"/>
                <w:rPr>
                  <w:noProof/>
                  <w:lang w:val="en-US"/>
                </w:rPr>
              </w:pPr>
              <w:r>
                <w:rPr>
                  <w:noProof/>
                  <w:lang w:val="en-US"/>
                </w:rPr>
                <w:t xml:space="preserve">Wilson, J., Grammich, C., Cherry, T. &amp; Gibson, A., 2023. Police Retention: A Systematic Review of the Research. </w:t>
              </w:r>
              <w:r>
                <w:rPr>
                  <w:i/>
                  <w:iCs/>
                  <w:noProof/>
                  <w:lang w:val="en-US"/>
                </w:rPr>
                <w:t xml:space="preserve">A Journal of Policy and Practice, </w:t>
              </w:r>
              <w:r>
                <w:rPr>
                  <w:noProof/>
                  <w:lang w:val="en-US"/>
                </w:rPr>
                <w:t>Volume 18.</w:t>
              </w:r>
            </w:p>
            <w:p w14:paraId="38A56B1F" w14:textId="11D999ED" w:rsidR="00ED187A" w:rsidRDefault="00ED187A" w:rsidP="00ED187A">
              <w:pPr>
                <w:spacing w:line="480" w:lineRule="auto"/>
              </w:pPr>
              <w:r>
                <w:rPr>
                  <w:b/>
                  <w:bCs/>
                  <w:noProof/>
                </w:rPr>
                <w:lastRenderedPageBreak/>
                <w:fldChar w:fldCharType="end"/>
              </w:r>
            </w:p>
          </w:sdtContent>
        </w:sdt>
      </w:sdtContent>
    </w:sdt>
    <w:p w14:paraId="39BA7C29" w14:textId="77777777" w:rsidR="00ED187A" w:rsidRPr="00C13438" w:rsidRDefault="00ED187A" w:rsidP="00175468">
      <w:pPr>
        <w:rPr>
          <w:b/>
          <w:bCs/>
          <w:u w:val="single"/>
        </w:rPr>
      </w:pPr>
    </w:p>
    <w:sectPr w:rsidR="00ED187A" w:rsidRPr="00C134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14902937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3BB"/>
    <w:rsid w:val="00175468"/>
    <w:rsid w:val="002343BB"/>
    <w:rsid w:val="002814BF"/>
    <w:rsid w:val="00300D00"/>
    <w:rsid w:val="003B013E"/>
    <w:rsid w:val="004640A9"/>
    <w:rsid w:val="0056333A"/>
    <w:rsid w:val="00726D91"/>
    <w:rsid w:val="00842FE9"/>
    <w:rsid w:val="00857F3A"/>
    <w:rsid w:val="008A1EB7"/>
    <w:rsid w:val="00963CBD"/>
    <w:rsid w:val="00A8249B"/>
    <w:rsid w:val="00A9016C"/>
    <w:rsid w:val="00B963BA"/>
    <w:rsid w:val="00C13438"/>
    <w:rsid w:val="00CA13E7"/>
    <w:rsid w:val="00ED187A"/>
    <w:rsid w:val="00F05F4C"/>
    <w:rsid w:val="00FF25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ADA5F"/>
  <w15:chartTrackingRefBased/>
  <w15:docId w15:val="{FDA65534-D3C2-D244-AADA-13AC409C82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187A"/>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333A"/>
    <w:pPr>
      <w:ind w:left="720"/>
      <w:contextualSpacing/>
    </w:pPr>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ED187A"/>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ED18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8055">
      <w:bodyDiv w:val="1"/>
      <w:marLeft w:val="0"/>
      <w:marRight w:val="0"/>
      <w:marTop w:val="0"/>
      <w:marBottom w:val="0"/>
      <w:divBdr>
        <w:top w:val="none" w:sz="0" w:space="0" w:color="auto"/>
        <w:left w:val="none" w:sz="0" w:space="0" w:color="auto"/>
        <w:bottom w:val="none" w:sz="0" w:space="0" w:color="auto"/>
        <w:right w:val="none" w:sz="0" w:space="0" w:color="auto"/>
      </w:divBdr>
    </w:div>
    <w:div w:id="94640641">
      <w:bodyDiv w:val="1"/>
      <w:marLeft w:val="0"/>
      <w:marRight w:val="0"/>
      <w:marTop w:val="0"/>
      <w:marBottom w:val="0"/>
      <w:divBdr>
        <w:top w:val="none" w:sz="0" w:space="0" w:color="auto"/>
        <w:left w:val="none" w:sz="0" w:space="0" w:color="auto"/>
        <w:bottom w:val="none" w:sz="0" w:space="0" w:color="auto"/>
        <w:right w:val="none" w:sz="0" w:space="0" w:color="auto"/>
      </w:divBdr>
    </w:div>
    <w:div w:id="114714937">
      <w:bodyDiv w:val="1"/>
      <w:marLeft w:val="0"/>
      <w:marRight w:val="0"/>
      <w:marTop w:val="0"/>
      <w:marBottom w:val="0"/>
      <w:divBdr>
        <w:top w:val="none" w:sz="0" w:space="0" w:color="auto"/>
        <w:left w:val="none" w:sz="0" w:space="0" w:color="auto"/>
        <w:bottom w:val="none" w:sz="0" w:space="0" w:color="auto"/>
        <w:right w:val="none" w:sz="0" w:space="0" w:color="auto"/>
      </w:divBdr>
    </w:div>
    <w:div w:id="140587618">
      <w:bodyDiv w:val="1"/>
      <w:marLeft w:val="0"/>
      <w:marRight w:val="0"/>
      <w:marTop w:val="0"/>
      <w:marBottom w:val="0"/>
      <w:divBdr>
        <w:top w:val="none" w:sz="0" w:space="0" w:color="auto"/>
        <w:left w:val="none" w:sz="0" w:space="0" w:color="auto"/>
        <w:bottom w:val="none" w:sz="0" w:space="0" w:color="auto"/>
        <w:right w:val="none" w:sz="0" w:space="0" w:color="auto"/>
      </w:divBdr>
    </w:div>
    <w:div w:id="179897484">
      <w:bodyDiv w:val="1"/>
      <w:marLeft w:val="0"/>
      <w:marRight w:val="0"/>
      <w:marTop w:val="0"/>
      <w:marBottom w:val="0"/>
      <w:divBdr>
        <w:top w:val="none" w:sz="0" w:space="0" w:color="auto"/>
        <w:left w:val="none" w:sz="0" w:space="0" w:color="auto"/>
        <w:bottom w:val="none" w:sz="0" w:space="0" w:color="auto"/>
        <w:right w:val="none" w:sz="0" w:space="0" w:color="auto"/>
      </w:divBdr>
    </w:div>
    <w:div w:id="235407930">
      <w:bodyDiv w:val="1"/>
      <w:marLeft w:val="0"/>
      <w:marRight w:val="0"/>
      <w:marTop w:val="0"/>
      <w:marBottom w:val="0"/>
      <w:divBdr>
        <w:top w:val="none" w:sz="0" w:space="0" w:color="auto"/>
        <w:left w:val="none" w:sz="0" w:space="0" w:color="auto"/>
        <w:bottom w:val="none" w:sz="0" w:space="0" w:color="auto"/>
        <w:right w:val="none" w:sz="0" w:space="0" w:color="auto"/>
      </w:divBdr>
    </w:div>
    <w:div w:id="257450613">
      <w:bodyDiv w:val="1"/>
      <w:marLeft w:val="0"/>
      <w:marRight w:val="0"/>
      <w:marTop w:val="0"/>
      <w:marBottom w:val="0"/>
      <w:divBdr>
        <w:top w:val="none" w:sz="0" w:space="0" w:color="auto"/>
        <w:left w:val="none" w:sz="0" w:space="0" w:color="auto"/>
        <w:bottom w:val="none" w:sz="0" w:space="0" w:color="auto"/>
        <w:right w:val="none" w:sz="0" w:space="0" w:color="auto"/>
      </w:divBdr>
    </w:div>
    <w:div w:id="277303333">
      <w:bodyDiv w:val="1"/>
      <w:marLeft w:val="0"/>
      <w:marRight w:val="0"/>
      <w:marTop w:val="0"/>
      <w:marBottom w:val="0"/>
      <w:divBdr>
        <w:top w:val="none" w:sz="0" w:space="0" w:color="auto"/>
        <w:left w:val="none" w:sz="0" w:space="0" w:color="auto"/>
        <w:bottom w:val="none" w:sz="0" w:space="0" w:color="auto"/>
        <w:right w:val="none" w:sz="0" w:space="0" w:color="auto"/>
      </w:divBdr>
    </w:div>
    <w:div w:id="289438640">
      <w:bodyDiv w:val="1"/>
      <w:marLeft w:val="0"/>
      <w:marRight w:val="0"/>
      <w:marTop w:val="0"/>
      <w:marBottom w:val="0"/>
      <w:divBdr>
        <w:top w:val="none" w:sz="0" w:space="0" w:color="auto"/>
        <w:left w:val="none" w:sz="0" w:space="0" w:color="auto"/>
        <w:bottom w:val="none" w:sz="0" w:space="0" w:color="auto"/>
        <w:right w:val="none" w:sz="0" w:space="0" w:color="auto"/>
      </w:divBdr>
    </w:div>
    <w:div w:id="325282394">
      <w:bodyDiv w:val="1"/>
      <w:marLeft w:val="0"/>
      <w:marRight w:val="0"/>
      <w:marTop w:val="0"/>
      <w:marBottom w:val="0"/>
      <w:divBdr>
        <w:top w:val="none" w:sz="0" w:space="0" w:color="auto"/>
        <w:left w:val="none" w:sz="0" w:space="0" w:color="auto"/>
        <w:bottom w:val="none" w:sz="0" w:space="0" w:color="auto"/>
        <w:right w:val="none" w:sz="0" w:space="0" w:color="auto"/>
      </w:divBdr>
    </w:div>
    <w:div w:id="344282154">
      <w:bodyDiv w:val="1"/>
      <w:marLeft w:val="0"/>
      <w:marRight w:val="0"/>
      <w:marTop w:val="0"/>
      <w:marBottom w:val="0"/>
      <w:divBdr>
        <w:top w:val="none" w:sz="0" w:space="0" w:color="auto"/>
        <w:left w:val="none" w:sz="0" w:space="0" w:color="auto"/>
        <w:bottom w:val="none" w:sz="0" w:space="0" w:color="auto"/>
        <w:right w:val="none" w:sz="0" w:space="0" w:color="auto"/>
      </w:divBdr>
    </w:div>
    <w:div w:id="380908326">
      <w:bodyDiv w:val="1"/>
      <w:marLeft w:val="0"/>
      <w:marRight w:val="0"/>
      <w:marTop w:val="0"/>
      <w:marBottom w:val="0"/>
      <w:divBdr>
        <w:top w:val="none" w:sz="0" w:space="0" w:color="auto"/>
        <w:left w:val="none" w:sz="0" w:space="0" w:color="auto"/>
        <w:bottom w:val="none" w:sz="0" w:space="0" w:color="auto"/>
        <w:right w:val="none" w:sz="0" w:space="0" w:color="auto"/>
      </w:divBdr>
    </w:div>
    <w:div w:id="388068229">
      <w:bodyDiv w:val="1"/>
      <w:marLeft w:val="0"/>
      <w:marRight w:val="0"/>
      <w:marTop w:val="0"/>
      <w:marBottom w:val="0"/>
      <w:divBdr>
        <w:top w:val="none" w:sz="0" w:space="0" w:color="auto"/>
        <w:left w:val="none" w:sz="0" w:space="0" w:color="auto"/>
        <w:bottom w:val="none" w:sz="0" w:space="0" w:color="auto"/>
        <w:right w:val="none" w:sz="0" w:space="0" w:color="auto"/>
      </w:divBdr>
    </w:div>
    <w:div w:id="446315283">
      <w:bodyDiv w:val="1"/>
      <w:marLeft w:val="0"/>
      <w:marRight w:val="0"/>
      <w:marTop w:val="0"/>
      <w:marBottom w:val="0"/>
      <w:divBdr>
        <w:top w:val="none" w:sz="0" w:space="0" w:color="auto"/>
        <w:left w:val="none" w:sz="0" w:space="0" w:color="auto"/>
        <w:bottom w:val="none" w:sz="0" w:space="0" w:color="auto"/>
        <w:right w:val="none" w:sz="0" w:space="0" w:color="auto"/>
      </w:divBdr>
    </w:div>
    <w:div w:id="537546745">
      <w:bodyDiv w:val="1"/>
      <w:marLeft w:val="0"/>
      <w:marRight w:val="0"/>
      <w:marTop w:val="0"/>
      <w:marBottom w:val="0"/>
      <w:divBdr>
        <w:top w:val="none" w:sz="0" w:space="0" w:color="auto"/>
        <w:left w:val="none" w:sz="0" w:space="0" w:color="auto"/>
        <w:bottom w:val="none" w:sz="0" w:space="0" w:color="auto"/>
        <w:right w:val="none" w:sz="0" w:space="0" w:color="auto"/>
      </w:divBdr>
    </w:div>
    <w:div w:id="594364799">
      <w:bodyDiv w:val="1"/>
      <w:marLeft w:val="0"/>
      <w:marRight w:val="0"/>
      <w:marTop w:val="0"/>
      <w:marBottom w:val="0"/>
      <w:divBdr>
        <w:top w:val="none" w:sz="0" w:space="0" w:color="auto"/>
        <w:left w:val="none" w:sz="0" w:space="0" w:color="auto"/>
        <w:bottom w:val="none" w:sz="0" w:space="0" w:color="auto"/>
        <w:right w:val="none" w:sz="0" w:space="0" w:color="auto"/>
      </w:divBdr>
    </w:div>
    <w:div w:id="615601402">
      <w:bodyDiv w:val="1"/>
      <w:marLeft w:val="0"/>
      <w:marRight w:val="0"/>
      <w:marTop w:val="0"/>
      <w:marBottom w:val="0"/>
      <w:divBdr>
        <w:top w:val="none" w:sz="0" w:space="0" w:color="auto"/>
        <w:left w:val="none" w:sz="0" w:space="0" w:color="auto"/>
        <w:bottom w:val="none" w:sz="0" w:space="0" w:color="auto"/>
        <w:right w:val="none" w:sz="0" w:space="0" w:color="auto"/>
      </w:divBdr>
    </w:div>
    <w:div w:id="681931739">
      <w:bodyDiv w:val="1"/>
      <w:marLeft w:val="0"/>
      <w:marRight w:val="0"/>
      <w:marTop w:val="0"/>
      <w:marBottom w:val="0"/>
      <w:divBdr>
        <w:top w:val="none" w:sz="0" w:space="0" w:color="auto"/>
        <w:left w:val="none" w:sz="0" w:space="0" w:color="auto"/>
        <w:bottom w:val="none" w:sz="0" w:space="0" w:color="auto"/>
        <w:right w:val="none" w:sz="0" w:space="0" w:color="auto"/>
      </w:divBdr>
    </w:div>
    <w:div w:id="699205966">
      <w:bodyDiv w:val="1"/>
      <w:marLeft w:val="0"/>
      <w:marRight w:val="0"/>
      <w:marTop w:val="0"/>
      <w:marBottom w:val="0"/>
      <w:divBdr>
        <w:top w:val="none" w:sz="0" w:space="0" w:color="auto"/>
        <w:left w:val="none" w:sz="0" w:space="0" w:color="auto"/>
        <w:bottom w:val="none" w:sz="0" w:space="0" w:color="auto"/>
        <w:right w:val="none" w:sz="0" w:space="0" w:color="auto"/>
      </w:divBdr>
    </w:div>
    <w:div w:id="786972893">
      <w:bodyDiv w:val="1"/>
      <w:marLeft w:val="0"/>
      <w:marRight w:val="0"/>
      <w:marTop w:val="0"/>
      <w:marBottom w:val="0"/>
      <w:divBdr>
        <w:top w:val="none" w:sz="0" w:space="0" w:color="auto"/>
        <w:left w:val="none" w:sz="0" w:space="0" w:color="auto"/>
        <w:bottom w:val="none" w:sz="0" w:space="0" w:color="auto"/>
        <w:right w:val="none" w:sz="0" w:space="0" w:color="auto"/>
      </w:divBdr>
    </w:div>
    <w:div w:id="802625195">
      <w:bodyDiv w:val="1"/>
      <w:marLeft w:val="0"/>
      <w:marRight w:val="0"/>
      <w:marTop w:val="0"/>
      <w:marBottom w:val="0"/>
      <w:divBdr>
        <w:top w:val="none" w:sz="0" w:space="0" w:color="auto"/>
        <w:left w:val="none" w:sz="0" w:space="0" w:color="auto"/>
        <w:bottom w:val="none" w:sz="0" w:space="0" w:color="auto"/>
        <w:right w:val="none" w:sz="0" w:space="0" w:color="auto"/>
      </w:divBdr>
    </w:div>
    <w:div w:id="819884733">
      <w:bodyDiv w:val="1"/>
      <w:marLeft w:val="0"/>
      <w:marRight w:val="0"/>
      <w:marTop w:val="0"/>
      <w:marBottom w:val="0"/>
      <w:divBdr>
        <w:top w:val="none" w:sz="0" w:space="0" w:color="auto"/>
        <w:left w:val="none" w:sz="0" w:space="0" w:color="auto"/>
        <w:bottom w:val="none" w:sz="0" w:space="0" w:color="auto"/>
        <w:right w:val="none" w:sz="0" w:space="0" w:color="auto"/>
      </w:divBdr>
    </w:div>
    <w:div w:id="849216920">
      <w:bodyDiv w:val="1"/>
      <w:marLeft w:val="0"/>
      <w:marRight w:val="0"/>
      <w:marTop w:val="0"/>
      <w:marBottom w:val="0"/>
      <w:divBdr>
        <w:top w:val="none" w:sz="0" w:space="0" w:color="auto"/>
        <w:left w:val="none" w:sz="0" w:space="0" w:color="auto"/>
        <w:bottom w:val="none" w:sz="0" w:space="0" w:color="auto"/>
        <w:right w:val="none" w:sz="0" w:space="0" w:color="auto"/>
      </w:divBdr>
    </w:div>
    <w:div w:id="939029605">
      <w:bodyDiv w:val="1"/>
      <w:marLeft w:val="0"/>
      <w:marRight w:val="0"/>
      <w:marTop w:val="0"/>
      <w:marBottom w:val="0"/>
      <w:divBdr>
        <w:top w:val="none" w:sz="0" w:space="0" w:color="auto"/>
        <w:left w:val="none" w:sz="0" w:space="0" w:color="auto"/>
        <w:bottom w:val="none" w:sz="0" w:space="0" w:color="auto"/>
        <w:right w:val="none" w:sz="0" w:space="0" w:color="auto"/>
      </w:divBdr>
    </w:div>
    <w:div w:id="948661493">
      <w:bodyDiv w:val="1"/>
      <w:marLeft w:val="0"/>
      <w:marRight w:val="0"/>
      <w:marTop w:val="0"/>
      <w:marBottom w:val="0"/>
      <w:divBdr>
        <w:top w:val="none" w:sz="0" w:space="0" w:color="auto"/>
        <w:left w:val="none" w:sz="0" w:space="0" w:color="auto"/>
        <w:bottom w:val="none" w:sz="0" w:space="0" w:color="auto"/>
        <w:right w:val="none" w:sz="0" w:space="0" w:color="auto"/>
      </w:divBdr>
    </w:div>
    <w:div w:id="1001128778">
      <w:bodyDiv w:val="1"/>
      <w:marLeft w:val="0"/>
      <w:marRight w:val="0"/>
      <w:marTop w:val="0"/>
      <w:marBottom w:val="0"/>
      <w:divBdr>
        <w:top w:val="none" w:sz="0" w:space="0" w:color="auto"/>
        <w:left w:val="none" w:sz="0" w:space="0" w:color="auto"/>
        <w:bottom w:val="none" w:sz="0" w:space="0" w:color="auto"/>
        <w:right w:val="none" w:sz="0" w:space="0" w:color="auto"/>
      </w:divBdr>
    </w:div>
    <w:div w:id="1046569779">
      <w:bodyDiv w:val="1"/>
      <w:marLeft w:val="0"/>
      <w:marRight w:val="0"/>
      <w:marTop w:val="0"/>
      <w:marBottom w:val="0"/>
      <w:divBdr>
        <w:top w:val="none" w:sz="0" w:space="0" w:color="auto"/>
        <w:left w:val="none" w:sz="0" w:space="0" w:color="auto"/>
        <w:bottom w:val="none" w:sz="0" w:space="0" w:color="auto"/>
        <w:right w:val="none" w:sz="0" w:space="0" w:color="auto"/>
      </w:divBdr>
    </w:div>
    <w:div w:id="1073357928">
      <w:bodyDiv w:val="1"/>
      <w:marLeft w:val="0"/>
      <w:marRight w:val="0"/>
      <w:marTop w:val="0"/>
      <w:marBottom w:val="0"/>
      <w:divBdr>
        <w:top w:val="none" w:sz="0" w:space="0" w:color="auto"/>
        <w:left w:val="none" w:sz="0" w:space="0" w:color="auto"/>
        <w:bottom w:val="none" w:sz="0" w:space="0" w:color="auto"/>
        <w:right w:val="none" w:sz="0" w:space="0" w:color="auto"/>
      </w:divBdr>
    </w:div>
    <w:div w:id="1102412538">
      <w:bodyDiv w:val="1"/>
      <w:marLeft w:val="0"/>
      <w:marRight w:val="0"/>
      <w:marTop w:val="0"/>
      <w:marBottom w:val="0"/>
      <w:divBdr>
        <w:top w:val="none" w:sz="0" w:space="0" w:color="auto"/>
        <w:left w:val="none" w:sz="0" w:space="0" w:color="auto"/>
        <w:bottom w:val="none" w:sz="0" w:space="0" w:color="auto"/>
        <w:right w:val="none" w:sz="0" w:space="0" w:color="auto"/>
      </w:divBdr>
    </w:div>
    <w:div w:id="1117679879">
      <w:bodyDiv w:val="1"/>
      <w:marLeft w:val="0"/>
      <w:marRight w:val="0"/>
      <w:marTop w:val="0"/>
      <w:marBottom w:val="0"/>
      <w:divBdr>
        <w:top w:val="none" w:sz="0" w:space="0" w:color="auto"/>
        <w:left w:val="none" w:sz="0" w:space="0" w:color="auto"/>
        <w:bottom w:val="none" w:sz="0" w:space="0" w:color="auto"/>
        <w:right w:val="none" w:sz="0" w:space="0" w:color="auto"/>
      </w:divBdr>
    </w:div>
    <w:div w:id="1121001819">
      <w:bodyDiv w:val="1"/>
      <w:marLeft w:val="0"/>
      <w:marRight w:val="0"/>
      <w:marTop w:val="0"/>
      <w:marBottom w:val="0"/>
      <w:divBdr>
        <w:top w:val="none" w:sz="0" w:space="0" w:color="auto"/>
        <w:left w:val="none" w:sz="0" w:space="0" w:color="auto"/>
        <w:bottom w:val="none" w:sz="0" w:space="0" w:color="auto"/>
        <w:right w:val="none" w:sz="0" w:space="0" w:color="auto"/>
      </w:divBdr>
    </w:div>
    <w:div w:id="1126314155">
      <w:bodyDiv w:val="1"/>
      <w:marLeft w:val="0"/>
      <w:marRight w:val="0"/>
      <w:marTop w:val="0"/>
      <w:marBottom w:val="0"/>
      <w:divBdr>
        <w:top w:val="none" w:sz="0" w:space="0" w:color="auto"/>
        <w:left w:val="none" w:sz="0" w:space="0" w:color="auto"/>
        <w:bottom w:val="none" w:sz="0" w:space="0" w:color="auto"/>
        <w:right w:val="none" w:sz="0" w:space="0" w:color="auto"/>
      </w:divBdr>
    </w:div>
    <w:div w:id="1171290834">
      <w:bodyDiv w:val="1"/>
      <w:marLeft w:val="0"/>
      <w:marRight w:val="0"/>
      <w:marTop w:val="0"/>
      <w:marBottom w:val="0"/>
      <w:divBdr>
        <w:top w:val="none" w:sz="0" w:space="0" w:color="auto"/>
        <w:left w:val="none" w:sz="0" w:space="0" w:color="auto"/>
        <w:bottom w:val="none" w:sz="0" w:space="0" w:color="auto"/>
        <w:right w:val="none" w:sz="0" w:space="0" w:color="auto"/>
      </w:divBdr>
    </w:div>
    <w:div w:id="1173256066">
      <w:bodyDiv w:val="1"/>
      <w:marLeft w:val="0"/>
      <w:marRight w:val="0"/>
      <w:marTop w:val="0"/>
      <w:marBottom w:val="0"/>
      <w:divBdr>
        <w:top w:val="none" w:sz="0" w:space="0" w:color="auto"/>
        <w:left w:val="none" w:sz="0" w:space="0" w:color="auto"/>
        <w:bottom w:val="none" w:sz="0" w:space="0" w:color="auto"/>
        <w:right w:val="none" w:sz="0" w:space="0" w:color="auto"/>
      </w:divBdr>
    </w:div>
    <w:div w:id="1183325163">
      <w:bodyDiv w:val="1"/>
      <w:marLeft w:val="0"/>
      <w:marRight w:val="0"/>
      <w:marTop w:val="0"/>
      <w:marBottom w:val="0"/>
      <w:divBdr>
        <w:top w:val="none" w:sz="0" w:space="0" w:color="auto"/>
        <w:left w:val="none" w:sz="0" w:space="0" w:color="auto"/>
        <w:bottom w:val="none" w:sz="0" w:space="0" w:color="auto"/>
        <w:right w:val="none" w:sz="0" w:space="0" w:color="auto"/>
      </w:divBdr>
    </w:div>
    <w:div w:id="1225409044">
      <w:bodyDiv w:val="1"/>
      <w:marLeft w:val="0"/>
      <w:marRight w:val="0"/>
      <w:marTop w:val="0"/>
      <w:marBottom w:val="0"/>
      <w:divBdr>
        <w:top w:val="none" w:sz="0" w:space="0" w:color="auto"/>
        <w:left w:val="none" w:sz="0" w:space="0" w:color="auto"/>
        <w:bottom w:val="none" w:sz="0" w:space="0" w:color="auto"/>
        <w:right w:val="none" w:sz="0" w:space="0" w:color="auto"/>
      </w:divBdr>
    </w:div>
    <w:div w:id="1257206801">
      <w:bodyDiv w:val="1"/>
      <w:marLeft w:val="0"/>
      <w:marRight w:val="0"/>
      <w:marTop w:val="0"/>
      <w:marBottom w:val="0"/>
      <w:divBdr>
        <w:top w:val="none" w:sz="0" w:space="0" w:color="auto"/>
        <w:left w:val="none" w:sz="0" w:space="0" w:color="auto"/>
        <w:bottom w:val="none" w:sz="0" w:space="0" w:color="auto"/>
        <w:right w:val="none" w:sz="0" w:space="0" w:color="auto"/>
      </w:divBdr>
    </w:div>
    <w:div w:id="1261059602">
      <w:bodyDiv w:val="1"/>
      <w:marLeft w:val="0"/>
      <w:marRight w:val="0"/>
      <w:marTop w:val="0"/>
      <w:marBottom w:val="0"/>
      <w:divBdr>
        <w:top w:val="none" w:sz="0" w:space="0" w:color="auto"/>
        <w:left w:val="none" w:sz="0" w:space="0" w:color="auto"/>
        <w:bottom w:val="none" w:sz="0" w:space="0" w:color="auto"/>
        <w:right w:val="none" w:sz="0" w:space="0" w:color="auto"/>
      </w:divBdr>
    </w:div>
    <w:div w:id="1295405957">
      <w:bodyDiv w:val="1"/>
      <w:marLeft w:val="0"/>
      <w:marRight w:val="0"/>
      <w:marTop w:val="0"/>
      <w:marBottom w:val="0"/>
      <w:divBdr>
        <w:top w:val="none" w:sz="0" w:space="0" w:color="auto"/>
        <w:left w:val="none" w:sz="0" w:space="0" w:color="auto"/>
        <w:bottom w:val="none" w:sz="0" w:space="0" w:color="auto"/>
        <w:right w:val="none" w:sz="0" w:space="0" w:color="auto"/>
      </w:divBdr>
    </w:div>
    <w:div w:id="1378238276">
      <w:bodyDiv w:val="1"/>
      <w:marLeft w:val="0"/>
      <w:marRight w:val="0"/>
      <w:marTop w:val="0"/>
      <w:marBottom w:val="0"/>
      <w:divBdr>
        <w:top w:val="none" w:sz="0" w:space="0" w:color="auto"/>
        <w:left w:val="none" w:sz="0" w:space="0" w:color="auto"/>
        <w:bottom w:val="none" w:sz="0" w:space="0" w:color="auto"/>
        <w:right w:val="none" w:sz="0" w:space="0" w:color="auto"/>
      </w:divBdr>
    </w:div>
    <w:div w:id="1392850985">
      <w:bodyDiv w:val="1"/>
      <w:marLeft w:val="0"/>
      <w:marRight w:val="0"/>
      <w:marTop w:val="0"/>
      <w:marBottom w:val="0"/>
      <w:divBdr>
        <w:top w:val="none" w:sz="0" w:space="0" w:color="auto"/>
        <w:left w:val="none" w:sz="0" w:space="0" w:color="auto"/>
        <w:bottom w:val="none" w:sz="0" w:space="0" w:color="auto"/>
        <w:right w:val="none" w:sz="0" w:space="0" w:color="auto"/>
      </w:divBdr>
    </w:div>
    <w:div w:id="1441490097">
      <w:bodyDiv w:val="1"/>
      <w:marLeft w:val="0"/>
      <w:marRight w:val="0"/>
      <w:marTop w:val="0"/>
      <w:marBottom w:val="0"/>
      <w:divBdr>
        <w:top w:val="none" w:sz="0" w:space="0" w:color="auto"/>
        <w:left w:val="none" w:sz="0" w:space="0" w:color="auto"/>
        <w:bottom w:val="none" w:sz="0" w:space="0" w:color="auto"/>
        <w:right w:val="none" w:sz="0" w:space="0" w:color="auto"/>
      </w:divBdr>
    </w:div>
    <w:div w:id="1577324120">
      <w:bodyDiv w:val="1"/>
      <w:marLeft w:val="0"/>
      <w:marRight w:val="0"/>
      <w:marTop w:val="0"/>
      <w:marBottom w:val="0"/>
      <w:divBdr>
        <w:top w:val="none" w:sz="0" w:space="0" w:color="auto"/>
        <w:left w:val="none" w:sz="0" w:space="0" w:color="auto"/>
        <w:bottom w:val="none" w:sz="0" w:space="0" w:color="auto"/>
        <w:right w:val="none" w:sz="0" w:space="0" w:color="auto"/>
      </w:divBdr>
    </w:div>
    <w:div w:id="1578631414">
      <w:bodyDiv w:val="1"/>
      <w:marLeft w:val="0"/>
      <w:marRight w:val="0"/>
      <w:marTop w:val="0"/>
      <w:marBottom w:val="0"/>
      <w:divBdr>
        <w:top w:val="none" w:sz="0" w:space="0" w:color="auto"/>
        <w:left w:val="none" w:sz="0" w:space="0" w:color="auto"/>
        <w:bottom w:val="none" w:sz="0" w:space="0" w:color="auto"/>
        <w:right w:val="none" w:sz="0" w:space="0" w:color="auto"/>
      </w:divBdr>
    </w:div>
    <w:div w:id="1612198841">
      <w:bodyDiv w:val="1"/>
      <w:marLeft w:val="0"/>
      <w:marRight w:val="0"/>
      <w:marTop w:val="0"/>
      <w:marBottom w:val="0"/>
      <w:divBdr>
        <w:top w:val="none" w:sz="0" w:space="0" w:color="auto"/>
        <w:left w:val="none" w:sz="0" w:space="0" w:color="auto"/>
        <w:bottom w:val="none" w:sz="0" w:space="0" w:color="auto"/>
        <w:right w:val="none" w:sz="0" w:space="0" w:color="auto"/>
      </w:divBdr>
    </w:div>
    <w:div w:id="1691489560">
      <w:bodyDiv w:val="1"/>
      <w:marLeft w:val="0"/>
      <w:marRight w:val="0"/>
      <w:marTop w:val="0"/>
      <w:marBottom w:val="0"/>
      <w:divBdr>
        <w:top w:val="none" w:sz="0" w:space="0" w:color="auto"/>
        <w:left w:val="none" w:sz="0" w:space="0" w:color="auto"/>
        <w:bottom w:val="none" w:sz="0" w:space="0" w:color="auto"/>
        <w:right w:val="none" w:sz="0" w:space="0" w:color="auto"/>
      </w:divBdr>
    </w:div>
    <w:div w:id="1744178777">
      <w:bodyDiv w:val="1"/>
      <w:marLeft w:val="0"/>
      <w:marRight w:val="0"/>
      <w:marTop w:val="0"/>
      <w:marBottom w:val="0"/>
      <w:divBdr>
        <w:top w:val="none" w:sz="0" w:space="0" w:color="auto"/>
        <w:left w:val="none" w:sz="0" w:space="0" w:color="auto"/>
        <w:bottom w:val="none" w:sz="0" w:space="0" w:color="auto"/>
        <w:right w:val="none" w:sz="0" w:space="0" w:color="auto"/>
      </w:divBdr>
    </w:div>
    <w:div w:id="1752696078">
      <w:bodyDiv w:val="1"/>
      <w:marLeft w:val="0"/>
      <w:marRight w:val="0"/>
      <w:marTop w:val="0"/>
      <w:marBottom w:val="0"/>
      <w:divBdr>
        <w:top w:val="none" w:sz="0" w:space="0" w:color="auto"/>
        <w:left w:val="none" w:sz="0" w:space="0" w:color="auto"/>
        <w:bottom w:val="none" w:sz="0" w:space="0" w:color="auto"/>
        <w:right w:val="none" w:sz="0" w:space="0" w:color="auto"/>
      </w:divBdr>
    </w:div>
    <w:div w:id="1760709672">
      <w:bodyDiv w:val="1"/>
      <w:marLeft w:val="0"/>
      <w:marRight w:val="0"/>
      <w:marTop w:val="0"/>
      <w:marBottom w:val="0"/>
      <w:divBdr>
        <w:top w:val="none" w:sz="0" w:space="0" w:color="auto"/>
        <w:left w:val="none" w:sz="0" w:space="0" w:color="auto"/>
        <w:bottom w:val="none" w:sz="0" w:space="0" w:color="auto"/>
        <w:right w:val="none" w:sz="0" w:space="0" w:color="auto"/>
      </w:divBdr>
    </w:div>
    <w:div w:id="1767261641">
      <w:bodyDiv w:val="1"/>
      <w:marLeft w:val="0"/>
      <w:marRight w:val="0"/>
      <w:marTop w:val="0"/>
      <w:marBottom w:val="0"/>
      <w:divBdr>
        <w:top w:val="none" w:sz="0" w:space="0" w:color="auto"/>
        <w:left w:val="none" w:sz="0" w:space="0" w:color="auto"/>
        <w:bottom w:val="none" w:sz="0" w:space="0" w:color="auto"/>
        <w:right w:val="none" w:sz="0" w:space="0" w:color="auto"/>
      </w:divBdr>
    </w:div>
    <w:div w:id="1839081357">
      <w:bodyDiv w:val="1"/>
      <w:marLeft w:val="0"/>
      <w:marRight w:val="0"/>
      <w:marTop w:val="0"/>
      <w:marBottom w:val="0"/>
      <w:divBdr>
        <w:top w:val="none" w:sz="0" w:space="0" w:color="auto"/>
        <w:left w:val="none" w:sz="0" w:space="0" w:color="auto"/>
        <w:bottom w:val="none" w:sz="0" w:space="0" w:color="auto"/>
        <w:right w:val="none" w:sz="0" w:space="0" w:color="auto"/>
      </w:divBdr>
    </w:div>
    <w:div w:id="1852837095">
      <w:bodyDiv w:val="1"/>
      <w:marLeft w:val="0"/>
      <w:marRight w:val="0"/>
      <w:marTop w:val="0"/>
      <w:marBottom w:val="0"/>
      <w:divBdr>
        <w:top w:val="none" w:sz="0" w:space="0" w:color="auto"/>
        <w:left w:val="none" w:sz="0" w:space="0" w:color="auto"/>
        <w:bottom w:val="none" w:sz="0" w:space="0" w:color="auto"/>
        <w:right w:val="none" w:sz="0" w:space="0" w:color="auto"/>
      </w:divBdr>
    </w:div>
    <w:div w:id="1898199572">
      <w:bodyDiv w:val="1"/>
      <w:marLeft w:val="0"/>
      <w:marRight w:val="0"/>
      <w:marTop w:val="0"/>
      <w:marBottom w:val="0"/>
      <w:divBdr>
        <w:top w:val="none" w:sz="0" w:space="0" w:color="auto"/>
        <w:left w:val="none" w:sz="0" w:space="0" w:color="auto"/>
        <w:bottom w:val="none" w:sz="0" w:space="0" w:color="auto"/>
        <w:right w:val="none" w:sz="0" w:space="0" w:color="auto"/>
      </w:divBdr>
    </w:div>
    <w:div w:id="1905139330">
      <w:bodyDiv w:val="1"/>
      <w:marLeft w:val="0"/>
      <w:marRight w:val="0"/>
      <w:marTop w:val="0"/>
      <w:marBottom w:val="0"/>
      <w:divBdr>
        <w:top w:val="none" w:sz="0" w:space="0" w:color="auto"/>
        <w:left w:val="none" w:sz="0" w:space="0" w:color="auto"/>
        <w:bottom w:val="none" w:sz="0" w:space="0" w:color="auto"/>
        <w:right w:val="none" w:sz="0" w:space="0" w:color="auto"/>
      </w:divBdr>
    </w:div>
    <w:div w:id="1924293238">
      <w:bodyDiv w:val="1"/>
      <w:marLeft w:val="0"/>
      <w:marRight w:val="0"/>
      <w:marTop w:val="0"/>
      <w:marBottom w:val="0"/>
      <w:divBdr>
        <w:top w:val="none" w:sz="0" w:space="0" w:color="auto"/>
        <w:left w:val="none" w:sz="0" w:space="0" w:color="auto"/>
        <w:bottom w:val="none" w:sz="0" w:space="0" w:color="auto"/>
        <w:right w:val="none" w:sz="0" w:space="0" w:color="auto"/>
      </w:divBdr>
    </w:div>
    <w:div w:id="1948272009">
      <w:bodyDiv w:val="1"/>
      <w:marLeft w:val="0"/>
      <w:marRight w:val="0"/>
      <w:marTop w:val="0"/>
      <w:marBottom w:val="0"/>
      <w:divBdr>
        <w:top w:val="none" w:sz="0" w:space="0" w:color="auto"/>
        <w:left w:val="none" w:sz="0" w:space="0" w:color="auto"/>
        <w:bottom w:val="none" w:sz="0" w:space="0" w:color="auto"/>
        <w:right w:val="none" w:sz="0" w:space="0" w:color="auto"/>
      </w:divBdr>
    </w:div>
    <w:div w:id="2029284326">
      <w:bodyDiv w:val="1"/>
      <w:marLeft w:val="0"/>
      <w:marRight w:val="0"/>
      <w:marTop w:val="0"/>
      <w:marBottom w:val="0"/>
      <w:divBdr>
        <w:top w:val="none" w:sz="0" w:space="0" w:color="auto"/>
        <w:left w:val="none" w:sz="0" w:space="0" w:color="auto"/>
        <w:bottom w:val="none" w:sz="0" w:space="0" w:color="auto"/>
        <w:right w:val="none" w:sz="0" w:space="0" w:color="auto"/>
      </w:divBdr>
    </w:div>
    <w:div w:id="2033873248">
      <w:bodyDiv w:val="1"/>
      <w:marLeft w:val="0"/>
      <w:marRight w:val="0"/>
      <w:marTop w:val="0"/>
      <w:marBottom w:val="0"/>
      <w:divBdr>
        <w:top w:val="none" w:sz="0" w:space="0" w:color="auto"/>
        <w:left w:val="none" w:sz="0" w:space="0" w:color="auto"/>
        <w:bottom w:val="none" w:sz="0" w:space="0" w:color="auto"/>
        <w:right w:val="none" w:sz="0" w:space="0" w:color="auto"/>
      </w:divBdr>
    </w:div>
    <w:div w:id="2042054369">
      <w:bodyDiv w:val="1"/>
      <w:marLeft w:val="0"/>
      <w:marRight w:val="0"/>
      <w:marTop w:val="0"/>
      <w:marBottom w:val="0"/>
      <w:divBdr>
        <w:top w:val="none" w:sz="0" w:space="0" w:color="auto"/>
        <w:left w:val="none" w:sz="0" w:space="0" w:color="auto"/>
        <w:bottom w:val="none" w:sz="0" w:space="0" w:color="auto"/>
        <w:right w:val="none" w:sz="0" w:space="0" w:color="auto"/>
      </w:divBdr>
    </w:div>
    <w:div w:id="2044986114">
      <w:bodyDiv w:val="1"/>
      <w:marLeft w:val="0"/>
      <w:marRight w:val="0"/>
      <w:marTop w:val="0"/>
      <w:marBottom w:val="0"/>
      <w:divBdr>
        <w:top w:val="none" w:sz="0" w:space="0" w:color="auto"/>
        <w:left w:val="none" w:sz="0" w:space="0" w:color="auto"/>
        <w:bottom w:val="none" w:sz="0" w:space="0" w:color="auto"/>
        <w:right w:val="none" w:sz="0" w:space="0" w:color="auto"/>
      </w:divBdr>
    </w:div>
    <w:div w:id="2076081656">
      <w:bodyDiv w:val="1"/>
      <w:marLeft w:val="0"/>
      <w:marRight w:val="0"/>
      <w:marTop w:val="0"/>
      <w:marBottom w:val="0"/>
      <w:divBdr>
        <w:top w:val="none" w:sz="0" w:space="0" w:color="auto"/>
        <w:left w:val="none" w:sz="0" w:space="0" w:color="auto"/>
        <w:bottom w:val="none" w:sz="0" w:space="0" w:color="auto"/>
        <w:right w:val="none" w:sz="0" w:space="0" w:color="auto"/>
      </w:divBdr>
    </w:div>
    <w:div w:id="2108040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Bet</b:Tag>
    <b:SourceType>Book</b:SourceType>
    <b:Guid>{F0C8E067-DF1C-2343-8051-17BA76362DBD}</b:Guid>
    <b:Title>Police Culture in a Changing World</b:Title>
    <b:Author>
      <b:Author>
        <b:NameList>
          <b:Person>
            <b:Last>Loftus</b:Last>
            <b:First>Bethan</b:First>
          </b:Person>
        </b:NameList>
      </b:Author>
    </b:Author>
    <b:City>Oxford</b:City>
    <b:Publisher>Oxford University Press</b:Publisher>
    <b:Year>2009</b:Year>
    <b:RefOrder>1</b:RefOrder>
  </b:Source>
  <b:Source>
    <b:Tag>Nic10</b:Tag>
    <b:SourceType>JournalArticle</b:SourceType>
    <b:Guid>{3B158ED7-D74F-404F-BF8E-41F7871A3FE6}</b:Guid>
    <b:Title>Police responses to diversity: A social representational study of rural British policing in a changing representational context</b:Title>
    <b:Year>2010</b:Year>
    <b:Author>
      <b:Author>
        <b:NameList>
          <b:Person>
            <b:Last>Morant</b:Last>
            <b:First>Nicola</b:First>
          </b:Person>
          <b:Person>
            <b:Last>Edwards</b:Last>
            <b:First>Elizabeth</b:First>
          </b:Person>
        </b:NameList>
      </b:Author>
    </b:Author>
    <b:JournalName>Journal of Community and Applied Social Psychology</b:JournalName>
    <b:Volume>21</b:Volume>
    <b:Issue>4</b:Issue>
    <b:Pages>281-296</b:Pages>
    <b:RefOrder>2</b:RefOrder>
  </b:Source>
  <b:Source>
    <b:Tag>Ani24</b:Tag>
    <b:SourceType>JournalArticle</b:SourceType>
    <b:Guid>{2DCFDDEA-F135-274A-ABB5-65148DB040AF}</b:Guid>
    <b:Author>
      <b:Author>
        <b:NameList>
          <b:Person>
            <b:Last>Basu</b:Last>
            <b:First>Anil</b:First>
            <b:Middle>Kanti</b:Middle>
          </b:Person>
        </b:NameList>
      </b:Author>
    </b:Author>
    <b:Title>Race, policing and me: Inclusive leadership in the twenty-first century for the 25th anniversary of Macpherson Report and the Stephen Lawrence Inquiry</b:Title>
    <b:JournalName>International Journal of Police Science and Management </b:JournalName>
    <b:Year>2024</b:Year>
    <b:Volume>26</b:Volume>
    <b:Issue>4</b:Issue>
    <b:RefOrder>3</b:RefOrder>
  </b:Source>
  <b:Source>
    <b:Tag>Ire17</b:Tag>
    <b:SourceType>JournalArticle</b:SourceType>
    <b:Guid>{01B5D441-3FA7-DC42-A1CE-ED72A8E64F3F}</b:Guid>
    <b:Author>
      <b:Author>
        <b:NameList>
          <b:Person>
            <b:Last>Afful</b:Last>
            <b:First>Irene</b:First>
          </b:Person>
        </b:NameList>
      </b:Author>
    </b:Author>
    <b:Title>The impact of values, bias, culture and leadership on BME under-representation in the police service</b:Title>
    <b:JournalName>International Journal of Emergency Services</b:JournalName>
    <b:Year>2017</b:Year>
    <b:Volume>7</b:Volume>
    <b:Issue>1</b:Issue>
    <b:Pages>32-59</b:Pages>
    <b:RefOrder>4</b:RefOrder>
  </b:Source>
  <b:Source>
    <b:Tag>Gar23</b:Tag>
    <b:SourceType>JournalArticle</b:SourceType>
    <b:Guid>{5EF98341-C45B-8944-BD2D-6961EBBFAD30}</b:Guid>
    <b:Author>
      <b:Author>
        <b:NameList>
          <b:Person>
            <b:Last>Stubbs</b:Last>
            <b:First>Gareth</b:First>
          </b:Person>
        </b:NameList>
      </b:Author>
    </b:Author>
    <b:Title>“Whenever big changes come, big talks don't” – An examination of the police experience of recruitment and promotion positive action processes</b:Title>
    <b:JournalName>International Journal of Law, Crime and Justice</b:JournalName>
    <b:Year>2023</b:Year>
    <b:Volume>74</b:Volume>
    <b:RefOrder>5</b:RefOrder>
  </b:Source>
  <b:Source>
    <b:Tag>Jac16</b:Tag>
    <b:SourceType>JournalArticle</b:SourceType>
    <b:Guid>{32949789-E589-5849-BB24-95584D185542}</b:Guid>
    <b:Author>
      <b:Author>
        <b:NameList>
          <b:Person>
            <b:Last>Goode</b:Last>
            <b:First>Jackie</b:First>
          </b:Person>
          <b:Person>
            <b:Last>Lumsden</b:Last>
            <b:First>Karen</b:First>
          </b:Person>
        </b:NameList>
      </b:Author>
    </b:Author>
    <b:Title>The McDonaldisation of police–academic partnerships: organisational and cultural barriers encountered in moving from research on police to research with police</b:Title>
    <b:JournalName>Policing and Society</b:JournalName>
    <b:Year>2016</b:Year>
    <b:Volume>28</b:Volume>
    <b:Issue>1</b:Issue>
    <b:Pages>75-89</b:Pages>
    <b:RefOrder>6</b:RefOrder>
  </b:Source>
  <b:Source>
    <b:Tag>Ian071</b:Tag>
    <b:SourceType>JournalArticle</b:SourceType>
    <b:Guid>{4BC2BB5E-DDE5-1440-9ECC-3823E721C108}</b:Guid>
    <b:Author>
      <b:Author>
        <b:NameList>
          <b:Person>
            <b:Last>Barnes</b:Last>
            <b:First>Ian</b:First>
          </b:Person>
          <b:Person>
            <b:Last>Eagle</b:Last>
            <b:First>Tania</b:First>
          </b:Person>
        </b:NameList>
      </b:Author>
    </b:Author>
    <b:Title>The Role of Community Engagement in Neighbourhood Policing</b:Title>
    <b:JournalName>Policing: A Journal of Policy and Practice</b:JournalName>
    <b:Year>2007</b:Year>
    <b:Volume>1</b:Volume>
    <b:Issue>2</b:Issue>
    <b:Pages>161-172</b:Pages>
    <b:RefOrder>7</b:RefOrder>
  </b:Source>
  <b:Source>
    <b:Tag>Kos24</b:Tag>
    <b:SourceType>JournalArticle</b:SourceType>
    <b:Guid>{FF3B92BB-20AD-7B42-A27A-CE38EB201504}</b:Guid>
    <b:Author>
      <b:Author>
        <b:NameList>
          <b:Person>
            <b:Last>Duff</b:Last>
            <b:First>Koshka</b:First>
          </b:Person>
          <b:Person>
            <b:Last>Kemp</b:Last>
            <b:First>Tom</b:First>
          </b:Person>
        </b:NameList>
      </b:Author>
    </b:Author>
    <b:Title>Strip-searching as abjectification: Racism and sexual violence in British policing</b:Title>
    <b:JournalName>Theoretical Criminology</b:JournalName>
    <b:Year>2024</b:Year>
    <b:Volume>29</b:Volume>
    <b:Issue>1</b:Issue>
    <b:RefOrder>8</b:RefOrder>
  </b:Source>
  <b:Source>
    <b:Tag>Ben17</b:Tag>
    <b:SourceType>JournalArticle</b:SourceType>
    <b:Guid>{1FD687BF-01A0-C44E-AFCF-C75FFB513518}</b:Guid>
    <b:Author>
      <b:Author>
        <b:NameList>
          <b:Person>
            <b:Last>Bowling</b:Last>
            <b:First>Ben</b:First>
          </b:Person>
        </b:NameList>
      </b:Author>
    </b:Author>
    <b:Title>The Rise and Fall of Suspicionless Searches</b:Title>
    <b:JournalName>King's Law Journal</b:JournalName>
    <b:Year>2017</b:Year>
    <b:Volume>28</b:Volume>
    <b:Issue>1</b:Issue>
    <b:Pages>62-88</b:Pages>
    <b:RefOrder>9</b:RefOrder>
  </b:Source>
  <b:Source>
    <b:Tag>Lor13</b:Tag>
    <b:SourceType>JournalArticle</b:SourceType>
    <b:Guid>{93B95660-10D0-3A4E-8051-07AE9B718087}</b:Guid>
    <b:Author>
      <b:Author>
        <b:NameList>
          <b:Person>
            <b:Last>Mazerolle</b:Last>
            <b:First>Lorraine</b:First>
          </b:Person>
          <b:Person>
            <b:Last>Bennett</b:Last>
            <b:First>Sarah</b:First>
          </b:Person>
          <b:Person>
            <b:Last>Sargeant</b:Last>
            <b:First>Jacqueline</b:First>
            <b:Middle>Davis' Elise</b:Middle>
          </b:Person>
          <b:Person>
            <b:Last>Manning</b:Last>
            <b:First>Matthew</b:First>
          </b:Person>
        </b:NameList>
      </b:Author>
    </b:Author>
    <b:Title>Legitimacy in Policing: A Systematic Review</b:Title>
    <b:JournalName>Campbell Systematic Reviews</b:JournalName>
    <b:Year>2013</b:Year>
    <b:Volume>9</b:Volume>
    <b:Issue>1</b:Issue>
    <b:Pages>147</b:Pages>
    <b:RefOrder>10</b:RefOrder>
  </b:Source>
  <b:Source>
    <b:Tag>Sha13</b:Tag>
    <b:SourceType>JournalArticle</b:SourceType>
    <b:Guid>{D9E20B1C-5C8F-1749-BFD0-A71A0187FA97}</b:Guid>
    <b:Author>
      <b:Author>
        <b:NameList>
          <b:Person>
            <b:Last>Chan</b:Last>
            <b:First>Shannon</b:First>
          </b:Person>
        </b:NameList>
      </b:Author>
    </b:Author>
    <b:Title>Exploring the Barriers to Retention and Progression of Female Police Officers</b:Title>
    <b:JournalName>Negotiating Gender and Police Culture </b:JournalName>
    <b:Year>2013</b:Year>
    <b:RefOrder>11</b:RefOrder>
  </b:Source>
  <b:Source>
    <b:Tag>Hil21</b:Tag>
    <b:SourceType>JournalArticle</b:SourceType>
    <b:Guid>{AB3EC975-5A30-C641-AC78-B478867F9DB6}</b:Guid>
    <b:Author>
      <b:Author>
        <b:NameList>
          <b:Person>
            <b:Last>Miller</b:Last>
            <b:First>Hilary</b:First>
          </b:Person>
        </b:NameList>
      </b:Author>
    </b:Author>
    <b:Title>Police Occupational Culture and Bullying</b:Title>
    <b:JournalName>Special Topics and Particular Occupations, Professions and Sectors</b:JournalName>
    <b:Year>2021</b:Year>
    <b:Pages>387-413</b:Pages>
    <b:RefOrder>12</b:RefOrder>
  </b:Source>
  <b:Source>
    <b:Tag>Joh22</b:Tag>
    <b:SourceType>JournalArticle</b:SourceType>
    <b:Guid>{37C6CB69-E727-8D4A-97F7-165AA8B40EDF}</b:Guid>
    <b:Author>
      <b:Author>
        <b:NameList>
          <b:Person>
            <b:Last>McDaniel</b:Last>
            <b:First>John</b:First>
          </b:Person>
          <b:Person>
            <b:Last>Malik</b:Last>
            <b:First>Nadeem</b:First>
          </b:Person>
        </b:NameList>
      </b:Author>
    </b:Author>
    <b:Title>Managing Allegations Concerning Black and Asian Police Officers, Cultural Competence and Reflective Practice under the Police (Conduct) Regulations 2020</b:Title>
    <b:JournalName>The Modern Law Review</b:JournalName>
    <b:Year>2022</b:Year>
    <b:Volume>86</b:Volume>
    <b:Issue>2</b:Issue>
    <b:Pages>498-517</b:Pages>
    <b:RefOrder>13</b:RefOrder>
  </b:Source>
  <b:Source>
    <b:Tag>Sim97</b:Tag>
    <b:SourceType>JournalArticle</b:SourceType>
    <b:Guid>{B0EF8584-24F2-4744-8F1A-23728A8F00B7}</b:Guid>
    <b:Author>
      <b:Author>
        <b:NameList>
          <b:Person>
            <b:Last>Holdaway</b:Last>
            <b:First>Simon</b:First>
          </b:Person>
        </b:NameList>
      </b:Author>
    </b:Author>
    <b:Title>Constructing and Sustaining 'Race' within the Police Workforce</b:Title>
    <b:JournalName>The British Journal of Socilolgy </b:JournalName>
    <b:Year>1997</b:Year>
    <b:Volume>48</b:Volume>
    <b:Issue>1</b:Issue>
    <b:Pages>19-34</b:Pages>
    <b:RefOrder>14</b:RefOrder>
  </b:Source>
  <b:Source>
    <b:Tag>Ben20</b:Tag>
    <b:SourceType>Book</b:SourceType>
    <b:Guid>{B7B9E616-1D0B-1848-894D-F390CC6FFA27}</b:Guid>
    <b:Title>Making an Impact on Policing and Crime</b:Title>
    <b:Year>2020</b:Year>
    <b:Author>
      <b:Author>
        <b:NameList>
          <b:Person>
            <b:Last>Bradford</b:Last>
            <b:First>Ben</b:First>
          </b:Person>
        </b:NameList>
      </b:Author>
    </b:Author>
    <b:Publisher>Routledge</b:Publisher>
    <b:Edition>1st</b:Edition>
    <b:RefOrder>15</b:RefOrder>
  </b:Source>
  <b:Source>
    <b:Tag>Dav17</b:Tag>
    <b:SourceType>JournalArticle</b:SourceType>
    <b:Guid>{966E178C-4F61-A043-995D-A20D9DF53829}</b:Guid>
    <b:Title>The Lammy Review: An independent review into the treatment of, and outcomes for, Black, Asian and Minority Ethnic individuals in the Criminal Justice System</b:Title>
    <b:Year>2017</b:Year>
    <b:Author>
      <b:Author>
        <b:NameList>
          <b:Person>
            <b:Last>Lammy</b:Last>
            <b:First>David</b:First>
          </b:Person>
        </b:NameList>
      </b:Author>
    </b:Author>
    <b:JournalName>The Lammy Review </b:JournalName>
    <b:RefOrder>16</b:RefOrder>
  </b:Source>
  <b:Source>
    <b:Tag>Ant19</b:Tag>
    <b:SourceType>JournalArticle</b:SourceType>
    <b:Guid>{F31FF528-74DB-BD49-8900-79973362ABB6}</b:Guid>
    <b:Author>
      <b:Author>
        <b:NameList>
          <b:Person>
            <b:Last>Braga</b:Last>
            <b:First>Anthony</b:First>
          </b:Person>
          <b:Person>
            <b:Last>Brunson</b:Last>
            <b:First>Rod</b:First>
          </b:Person>
          <b:Person>
            <b:Last>Drakulich</b:Last>
            <b:First>Kevin</b:First>
          </b:Person>
        </b:NameList>
      </b:Author>
    </b:Author>
    <b:Title>Race, Place, and Effective Policing</b:Title>
    <b:JournalName>Annual Review of Sociology</b:JournalName>
    <b:Year>2019</b:Year>
    <b:Volume>45</b:Volume>
    <b:Pages>535-555</b:Pages>
    <b:RefOrder>17</b:RefOrder>
  </b:Source>
  <b:Source>
    <b:Tag>Pet10</b:Tag>
    <b:SourceType>Book</b:SourceType>
    <b:Guid>{4CD3D3E2-A590-214F-9B1A-D1A91C7E173F}</b:Guid>
    <b:Title>Democratic Policing in a Changing World</b:Title>
    <b:Year>2010</b:Year>
    <b:Author>
      <b:Author>
        <b:NameList>
          <b:Person>
            <b:Last>Manning</b:Last>
            <b:First>Peter</b:First>
          </b:Person>
        </b:NameList>
      </b:Author>
    </b:Author>
    <b:Edition>1st</b:Edition>
    <b:RefOrder>18</b:RefOrder>
  </b:Source>
  <b:Source>
    <b:Tag>Col21</b:Tag>
    <b:SourceType>InternetSite</b:SourceType>
    <b:Guid>{190B2086-AD67-0849-A404-AD5E3F436738}</b:Guid>
    <b:Title>Body-worn Cameras</b:Title>
    <b:Year>2021</b:Year>
    <b:Author>
      <b:Author>
        <b:NameList>
          <b:Person>
            <b:Last>CollegeofPolicing</b:Last>
          </b:Person>
        </b:NameList>
      </b:Author>
    </b:Author>
    <b:URL>https://www.college.police.uk/research/crime-reduction-toolkit/body-worn-cameras</b:URL>
    <b:YearAccessed>2025</b:YearAccessed>
    <b:MonthAccessed>May</b:MonthAccessed>
    <b:DayAccessed>1</b:DayAccessed>
    <b:RefOrder>19</b:RefOrder>
  </b:Source>
  <b:Source>
    <b:Tag>Mol22</b:Tag>
    <b:SourceType>JournalArticle</b:SourceType>
    <b:Guid>{158470C1-4345-8B4D-8ADE-85CAC8200526}</b:Guid>
    <b:Author>
      <b:Author>
        <b:NameList>
          <b:Person>
            <b:Last>Moller</b:Last>
            <b:First>Anne</b:First>
          </b:Person>
        </b:NameList>
      </b:Author>
    </b:Author>
    <b:Title>Mobilizing Knowledge in Frontline Work: A Conceptual Framework and Empirical Exploration</b:Title>
    <b:Year>2022</b:Year>
    <b:JournalName>Perspectives on Public Management and Governance </b:JournalName>
    <b:Volume>5</b:Volume>
    <b:Issue>1</b:Issue>
    <b:Pages>50-62</b:Pages>
    <b:RefOrder>20</b:RefOrder>
  </b:Source>
  <b:Source>
    <b:Tag>Jer23</b:Tag>
    <b:SourceType>JournalArticle</b:SourceType>
    <b:Guid>{035A8428-E7FD-874C-967F-091FB0F494C1}</b:Guid>
    <b:Author>
      <b:Author>
        <b:NameList>
          <b:Person>
            <b:Last>Wilson</b:Last>
            <b:First>Jeremy</b:First>
          </b:Person>
          <b:Person>
            <b:Last>Grammich</b:Last>
            <b:First>Clifford</b:First>
          </b:Person>
          <b:Person>
            <b:Last>Cherry</b:Last>
            <b:First>Terry</b:First>
          </b:Person>
          <b:Person>
            <b:Last>Gibson</b:Last>
            <b:First>Anthony</b:First>
          </b:Person>
        </b:NameList>
      </b:Author>
    </b:Author>
    <b:Title>Police Retention: A Systematic Review of the Research</b:Title>
    <b:JournalName>A Journal of Policy and Practice</b:JournalName>
    <b:Year>2023</b:Year>
    <b:Volume>18</b:Volume>
    <b:RefOrder>21</b:RefOrder>
  </b:Source>
  <b:Source>
    <b:Tag>Kat20</b:Tag>
    <b:SourceType>JournalArticle</b:SourceType>
    <b:Guid>{26020C88-2354-C34E-8234-253447485AEE}</b:Guid>
    <b:Author>
      <b:Author>
        <b:NameList>
          <b:Person>
            <b:Last>Jetelina</b:Last>
            <b:First>Katelyn</b:First>
          </b:Person>
          <b:Person>
            <b:Last>Molsberry</b:Last>
            <b:First>Rebecca</b:First>
          </b:Person>
          <b:Person>
            <b:Last>Gonzalez</b:Last>
            <b:First>Jennifer</b:First>
          </b:Person>
        </b:NameList>
      </b:Author>
    </b:Author>
    <b:Title>Prevalence of Mental Illness and Mental Health Care Use Among Police Officers</b:Title>
    <b:JournalName>JAMA NETWORK OPEN</b:JournalName>
    <b:Year>2020</b:Year>
    <b:RefOrder>22</b:RefOrder>
  </b:Source>
  <b:Source>
    <b:Tag>Kat04</b:Tag>
    <b:SourceType>Book</b:SourceType>
    <b:Guid>{50BC3D40-B34A-5E4A-A756-839A99D7D0A4}</b:Guid>
    <b:Title>Stress and the Police Officer</b:Title>
    <b:Year>2004</b:Year>
    <b:Author>
      <b:Author>
        <b:NameList>
          <b:Person>
            <b:Last>Ellison</b:Last>
            <b:First>Katherine</b:First>
          </b:Person>
        </b:NameList>
      </b:Author>
    </b:Author>
    <b:RefOrder>23</b:RefOrder>
  </b:Source>
  <b:Source>
    <b:Tag>Amr19</b:Tag>
    <b:SourceType>JournalArticle</b:SourceType>
    <b:Guid>{2124205E-F66E-3240-838B-881FAC1E6156}</b:Guid>
    <b:Title>The relationship between organisational stressors and mental wellbeing within police officers: a systematic review</b:Title>
    <b:Year>2019</b:Year>
    <b:Author>
      <b:Author>
        <b:NameList>
          <b:Person>
            <b:Last>Purba</b:Last>
            <b:First>Amrit</b:First>
          </b:Person>
          <b:Person>
            <b:Last>Demou</b:Last>
            <b:First>Evangelia</b:First>
          </b:Person>
        </b:NameList>
      </b:Author>
    </b:Author>
    <b:JournalName>BMC Public Health</b:JournalName>
    <b:Volume>19</b:Volume>
    <b:RefOrder>24</b:RefOrder>
  </b:Source>
  <b:Source>
    <b:Tag>JJo16</b:Tag>
    <b:SourceType>JournalArticle</b:SourceType>
    <b:Guid>{D68D8044-AE2D-8749-9260-1B9581121986}</b:Guid>
    <b:Author>
      <b:Author>
        <b:NameList>
          <b:Person>
            <b:Last>Joudmonth</b:Last>
            <b:First>J</b:First>
          </b:Person>
          <b:Person>
            <b:Last>Randall</b:Last>
            <b:First>R</b:First>
          </b:Person>
        </b:NameList>
      </b:Author>
    </b:Author>
    <b:Title>Working hours and common mental disorders in English police officers</b:Title>
    <b:JournalName>Occupational Medicine</b:JournalName>
    <b:Year>2016</b:Year>
    <b:Volume>66</b:Volume>
    <b:Issue>9</b:Issue>
    <b:Pages>713-718</b:Pages>
    <b:RefOrder>25</b:RefOrder>
  </b:Source>
  <b:Source>
    <b:Tag>Bar10</b:Tag>
    <b:SourceType>JournalArticle</b:SourceType>
    <b:Guid>{69865694-B25D-9A40-98A5-50EAADEE25F5}</b:Guid>
    <b:Author>
      <b:Author>
        <b:NameList>
          <b:Person>
            <b:Last>Koch</b:Last>
            <b:First>Barry</b:First>
          </b:Person>
        </b:NameList>
      </b:Author>
    </b:Author>
    <b:Title>The Psychological Impact on Police Officers of Being First Responders to Completed Suicides</b:Title>
    <b:JournalName>Journal of Police and Criminal Psychology </b:JournalName>
    <b:Year>2010</b:Year>
    <b:Volume>25</b:Volume>
    <b:Pages>90-98</b:Pages>
    <b:RefOrder>26</b:RefOrder>
  </b:Source>
  <b:Source>
    <b:Tag>Jim20</b:Tag>
    <b:SourceType>JournalArticle</b:SourceType>
    <b:Guid>{AD8291E9-8501-FB46-B00E-21AEFD648FDB}</b:Guid>
    <b:Author>
      <b:Author>
        <b:NameList>
          <b:Person>
            <b:Last>Foley</b:Last>
            <b:First>Jim</b:First>
          </b:Person>
          <b:Person>
            <b:Last>Masset</b:Last>
            <b:First>Kristina</b:First>
          </b:Person>
        </b:NameList>
      </b:Author>
    </b:Author>
    <b:Title>The ‘cost’ of caring in policing: From burnout to PTSD in police officers in England and Wales</b:Title>
    <b:JournalName>The Police Journal: Theory, Practice and Principles </b:JournalName>
    <b:Year>2020</b:Year>
    <b:Volume>94</b:Volume>
    <b:Issue>3</b:Issue>
    <b:RefOrder>27</b:RefOrder>
  </b:Source>
  <b:Source>
    <b:Tag>GAn19</b:Tag>
    <b:SourceType>JournalArticle</b:SourceType>
    <b:Guid>{2FF72DEC-8655-E04B-B10A-32416C85ADB8}</b:Guid>
    <b:Author>
      <b:Author>
        <b:NameList>
          <b:Person>
            <b:Last>Anderson</b:Last>
            <b:First>G</b:First>
          </b:Person>
          <b:Person>
            <b:Last>Nota</b:Last>
            <b:First>P</b:First>
          </b:Person>
          <b:Person>
            <b:Last>Metz</b:Last>
            <b:First>G</b:First>
          </b:Person>
          <b:Person>
            <b:Last>Anderson</b:Last>
            <b:First>J</b:First>
          </b:Person>
        </b:NameList>
      </b:Author>
    </b:Author>
    <b:Title>The Impact of Acute Stress Physiology on Skilled Motor Performance: Implications for Policing</b:Title>
    <b:JournalName>De-escalating Threat: The Psychophysiology of Police Decision Making</b:JournalName>
    <b:Year>2019</b:Year>
    <b:Volume>10</b:Volume>
    <b:RefOrder>29</b:RefOrder>
  </b:Source>
  <b:Source>
    <b:Tag>Bro19</b:Tag>
    <b:SourceType>JournalArticle</b:SourceType>
    <b:Guid>{00E8AD7C-BE7D-CC45-9153-DF4CFDECB067}</b:Guid>
    <b:Author>
      <b:Author>
        <b:NameList>
          <b:Person>
            <b:Last>Tuttle</b:Last>
            <b:First>Brooke</b:First>
          </b:Person>
          <b:Person>
            <b:Last>Blumberg</b:Last>
            <b:First>Daniel</b:First>
          </b:Person>
          <b:Person>
            <b:Last>Papazoglou</b:Last>
            <b:First>Konstantinos</b:First>
          </b:Person>
        </b:NameList>
      </b:Author>
    </b:Author>
    <b:Title>Critical Challenges to Police Officer Wellness</b:Title>
    <b:JournalName>Criminology and Criminal Justice</b:JournalName>
    <b:Year>2019</b:Year>
    <b:RefOrder>28</b:RefOrder>
  </b:Source>
  <b:Source>
    <b:Tag>Pau22</b:Tag>
    <b:SourceType>JournalArticle</b:SourceType>
    <b:Guid>{558D57A7-5213-8E46-A3BC-193993868E1E}</b:Guid>
    <b:Author>
      <b:Author>
        <b:NameList>
          <b:Person>
            <b:Last>Almond</b:Last>
            <b:First>Paul</b:First>
          </b:Person>
          <b:Person>
            <b:Last>Horton</b:Last>
            <b:First>Rachel</b:First>
          </b:Person>
          <b:Person>
            <b:Last>James</b:Last>
            <b:First>Grace</b:First>
          </b:Person>
        </b:NameList>
      </b:Author>
    </b:Author>
    <b:Title>Mental health and wellbeing at work in the UK: current legal approaches</b:Title>
    <b:JournalName>Legal Studies</b:JournalName>
    <b:Year>2022</b:Year>
    <b:RefOrder>30</b:RefOrder>
  </b:Source>
  <b:Source>
    <b:Tag>Col15</b:Tag>
    <b:SourceType>InternetSite</b:SourceType>
    <b:Guid>{FD645322-CD47-5D40-ABEF-D511A644C295}</b:Guid>
    <b:Title>College of Policing analysis: Estimating demand on the police service</b:Title>
    <b:Year>2015</b:Year>
    <b:Author>
      <b:Author>
        <b:NameList>
          <b:Person>
            <b:Last>CollegeofPolicing</b:Last>
          </b:Person>
        </b:NameList>
      </b:Author>
    </b:Author>
    <b:URL>https://assets.college.police.uk/s3fs-public/2021-03/demand-on-policing-report.pdf</b:URL>
    <b:YearAccessed>2025</b:YearAccessed>
    <b:MonthAccessed>May</b:MonthAccessed>
    <b:DayAccessed>5</b:DayAccessed>
    <b:RefOrder>31</b:RefOrder>
  </b:Source>
  <b:Source>
    <b:Tag>Ste201</b:Tag>
    <b:SourceType>JournalArticle</b:SourceType>
    <b:Guid>{9350E7E0-3172-4041-BB5B-1AD391EB911D}</b:Guid>
    <b:Author>
      <b:Author>
        <b:NameList>
          <b:Person>
            <b:Last>Stevelink</b:Last>
            <b:First>Sharon</b:First>
          </b:Person>
        </b:NameList>
      </b:Author>
    </b:Author>
    <b:Title>Probable PTSD, depression and anxiety in 40,299 UK police officers and staff: Prevalence, risk factors and associations with blood pressure</b:Title>
    <b:Year>2020</b:Year>
    <b:JournalName>PLOS</b:JournalName>
    <b:Volume>15</b:Volume>
    <b:Issue>11</b:Issue>
    <b:RefOrder>32</b:RefOrder>
  </b:Source>
  <b:Source>
    <b:Tag>Bry06</b:Tag>
    <b:SourceType>JournalArticle</b:SourceType>
    <b:Guid>{D3AAA0DB-7C47-4E46-869B-A7F401ADE795}</b:Guid>
    <b:Author>
      <b:Author>
        <b:NameList>
          <b:Person>
            <b:Last>Vila</b:Last>
            <b:First>Bryan</b:First>
          </b:Person>
        </b:NameList>
      </b:Author>
    </b:Author>
    <b:Title>Impact of long work hours on police officers and the communities they serve</b:Title>
    <b:JournalName>American Journal of Industrial Medicine</b:JournalName>
    <b:Year>2006</b:Year>
    <b:Volume>49</b:Volume>
    <b:Issue>11</b:Issue>
    <b:Pages>972-980</b:Pages>
    <b:RefOrder>33</b:RefOrder>
  </b:Source>
  <b:Source>
    <b:Tag>Pet13</b:Tag>
    <b:SourceType>Book</b:SourceType>
    <b:Guid>{647E9A55-1392-E14B-BDC1-4D44FC76847D}</b:Guid>
    <b:Title>Organised Crime</b:Title>
    <b:Year>2013</b:Year>
    <b:Author>
      <b:Author>
        <b:NameList>
          <b:Person>
            <b:Last>Gill</b:Last>
            <b:First>Peter</b:First>
          </b:Person>
        </b:NameList>
      </b:Author>
    </b:Author>
    <b:Publisher>Rourledge</b:Publisher>
    <b:RefOrder>34</b:RefOrder>
  </b:Source>
  <b:Source>
    <b:Tag>Nao19</b:Tag>
    <b:SourceType>JournalArticle</b:SourceType>
    <b:Guid>{02891A0C-9A0F-A744-95EE-80165E6F4516}</b:Guid>
    <b:Title>‘It’s a No-Win Scenario, either the Police or the Gang Will Get You’: Young People and Organised Crime – Vulnerable or Criminal?</b:Title>
    <b:Year>2019</b:Year>
    <b:Author>
      <b:Author>
        <b:NameList>
          <b:Person>
            <b:Last>Thompson</b:Last>
            <b:First>Naomi</b:First>
          </b:Person>
        </b:NameList>
      </b:Author>
    </b:Author>
    <b:JournalName>Youth Justice </b:JournalName>
    <b:Volume>19</b:Volume>
    <b:Issue>2</b:Issue>
    <b:RefOrder>35</b:RefOrder>
  </b:Source>
  <b:Source>
    <b:Tag>Let24</b:Tag>
    <b:SourceType>JournalArticle</b:SourceType>
    <b:Guid>{DEBE76CF-C6EC-E641-9FFF-013470564AFD}</b:Guid>
    <b:Author>
      <b:Author>
        <b:NameList>
          <b:Person>
            <b:Last>Palumbo</b:Last>
            <b:First>Letizia</b:First>
          </b:Person>
        </b:NameList>
      </b:Author>
    </b:Author>
    <b:Title>The UK Approach to Addressing Exploitation and (Not) Protecting Exploited Migrant Workers</b:Title>
    <b:JournalName>Taking Vulnerabilities to Labour Exploitation Seriously</b:JournalName>
    <b:Year>2024</b:Year>
    <b:Pages>265-291</b:Pages>
    <b:RefOrder>36</b:RefOrder>
  </b:Source>
  <b:Source>
    <b:Tag>Som16</b:Tag>
    <b:SourceType>JournalArticle</b:SourceType>
    <b:Guid>{097C5831-812B-6141-9A25-93DD42CA3F5C}</b:Guid>
    <b:Author>
      <b:Author>
        <b:NameList>
          <b:Person>
            <b:Last>Varga</b:Last>
            <b:First>Somogy</b:First>
          </b:Person>
        </b:NameList>
      </b:Author>
    </b:Author>
    <b:Title>Exploitation, Vulnerability, and Market-Driven Governance</b:Title>
    <b:JournalName>Journal of Social Philosophy</b:JournalName>
    <b:Year>2016</b:Year>
    <b:Volume>47</b:Volume>
    <b:Issue>1</b:Issue>
    <b:Pages>90-113</b:Pages>
    <b:RefOrder>37</b:RefOrder>
  </b:Source>
  <b:Source>
    <b:Tag>Cor23</b:Tag>
    <b:SourceType>JournalArticle</b:SourceType>
    <b:Guid>{440733D7-7F09-BC46-827A-8C889FDC5AA7}</b:Guid>
    <b:Author>
      <b:Author>
        <b:NameList>
          <b:Person>
            <b:Last>Dando</b:Last>
            <b:First>Coral</b:First>
          </b:Person>
          <b:Person>
            <b:Last>Ormerod</b:Last>
            <b:First>Thomas</b:First>
          </b:Person>
          <b:Person>
            <b:Last>Atkinson-Sheppard</b:Last>
            <b:First>Sally</b:First>
          </b:Person>
        </b:NameList>
      </b:Author>
    </b:Author>
    <b:Title>Parental experiences of the impact of grooming and criminal exploitation of children for county lines drug trafficking</b:Title>
    <b:JournalName>Journal of Public Health</b:JournalName>
    <b:Year>2023</b:Year>
    <b:Volume>45</b:Volume>
    <b:Issue>2</b:Issue>
    <b:Pages>346-354</b:Pages>
    <b:RefOrder>38</b:RefOrder>
  </b:Source>
  <b:Source>
    <b:Tag>Jen09</b:Tag>
    <b:SourceType>JournalArticle</b:SourceType>
    <b:Guid>{26C9FE32-55AD-D541-85A6-05EC93AEFC88}</b:Guid>
    <b:Author>
      <b:Author>
        <b:NameList>
          <b:Person>
            <b:Last>Pearce</b:Last>
            <b:First>Jenny</b:First>
          </b:Person>
        </b:NameList>
      </b:Author>
    </b:Author>
    <b:Title>Seven: Beyond child protection: young people, social exclusion and sexual exploitation</b:Title>
    <b:JournalName>Bristol University Press</b:JournalName>
    <b:Year>2009</b:Year>
    <b:Pages>121-136</b:Pages>
    <b:RefOrder>39</b:RefOrder>
  </b:Source>
  <b:Source>
    <b:Tag>Rhi24</b:Tag>
    <b:SourceType>JournalArticle</b:SourceType>
    <b:Guid>{C99368AA-0A1D-1243-9C43-C728A262E3FB}</b:Guid>
    <b:Author>
      <b:Author>
        <b:NameList>
          <b:Person>
            <b:Last>Barker</b:Last>
            <b:First>Rhiannon</b:First>
          </b:Person>
          <b:Person>
            <b:Last>Bonell</b:Last>
            <b:First>Chris</b:First>
          </b:Person>
          <b:Person>
            <b:Last>Melendez-Torres</b:Last>
          </b:Person>
        </b:NameList>
      </b:Author>
    </b:Author>
    <b:Title>Hard to reach? Methodological challenges researching vulnerable, gang-involved, young people</b:Title>
    <b:JournalName>Health Expectations</b:JournalName>
    <b:Year>2024</b:Year>
    <b:Volume>27</b:Volume>
    <b:Issue>3</b:Issue>
    <b:RefOrder>40</b:RefOrder>
  </b:Source>
  <b:Source>
    <b:Tag>Hel17</b:Tag>
    <b:SourceType>JournalArticle</b:SourceType>
    <b:Guid>{700386CE-35C2-0444-8EDC-D7929C2A1EF4}</b:Guid>
    <b:Author>
      <b:Author>
        <b:NameList>
          <b:Person>
            <b:Last>Beckett</b:Last>
            <b:First>Helen</b:First>
          </b:Person>
          <b:Person>
            <b:Last>Walker</b:Last>
            <b:First>Joanne</b:First>
          </b:Person>
        </b:NameList>
      </b:Author>
    </b:Author>
    <b:Title>Child sexual exploitation : definition &amp; guide for professionals: extended text</b:Title>
    <b:JournalName>University of Bedforshire </b:JournalName>
    <b:Year>2017</b:Year>
    <b:RefOrder>41</b:RefOrder>
  </b:Source>
  <b:Source>
    <b:Tag>Ste24</b:Tag>
    <b:SourceType>JournalArticle</b:SourceType>
    <b:Guid>{E7D891B6-B675-A740-AFCA-9E080A8B0604}</b:Guid>
    <b:Author>
      <b:Author>
        <b:NameList>
          <b:Person>
            <b:Last>Macdonald</b:Last>
            <b:First>Stephen</b:First>
          </b:Person>
          <b:Person>
            <b:Last>Donovan</b:Last>
            <b:First>Catherine</b:First>
          </b:Person>
          <b:Person>
            <b:Last>Clayton</b:Last>
            <b:First>John</b:First>
          </b:Person>
          <b:Person>
            <b:Last>Husband</b:Last>
            <b:First>Marc</b:First>
          </b:Person>
        </b:NameList>
      </b:Author>
    </b:Author>
    <b:Title>Becoming cuckooed: conceptualising the relationship between disability, home takeovers and criminal exploitation</b:Title>
    <b:JournalName>Disability and Society</b:JournalName>
    <b:Year>2024</b:Year>
    <b:Volume>39</b:Volume>
    <b:Issue>2</b:Issue>
    <b:RefOrder>42</b:RefOrder>
  </b:Source>
  <b:Source>
    <b:Tag>Han14</b:Tag>
    <b:SourceType>Book</b:SourceType>
    <b:Guid>{FE3F5D54-F86A-9A4D-9ECF-D0DC9239C6D0}</b:Guid>
    <b:Title>Forced labour, exploitation and asylum</b:Title>
    <b:Year>2014</b:Year>
    <b:Author>
      <b:Author>
        <b:NameList>
          <b:Person>
            <b:Last>Lewis</b:Last>
            <b:First>Hannah</b:First>
          </b:Person>
          <b:Person>
            <b:Last>Dwyer</b:Last>
            <b:First>Peter</b:First>
          </b:Person>
          <b:Person>
            <b:Last>Hodkinson</b:Last>
            <b:First>Stuart</b:First>
          </b:Person>
          <b:Person>
            <b:Last>Waite</b:Last>
            <b:First>Louise</b:First>
          </b:Person>
        </b:NameList>
      </b:Author>
    </b:Author>
    <b:City>Bristol</b:City>
    <b:RefOrder>43</b:RefOrder>
  </b:Source>
  <b:Source>
    <b:Tag>Nee11</b:Tag>
    <b:SourceType>JournalArticle</b:SourceType>
    <b:Guid>{6ED73B65-FE76-D646-B393-7463712CE101}</b:Guid>
    <b:Author>
      <b:Author>
        <b:NameList>
          <b:Person>
            <b:Last>Nee</b:Last>
            <b:First>Claire</b:First>
          </b:Person>
          <b:Person>
            <b:Last>Ellis</b:Last>
            <b:First>Tom</b:First>
          </b:Person>
        </b:NameList>
      </b:Author>
    </b:Author>
    <b:Title>Treating offending children: What works?</b:Title>
    <b:Year>2011</b:Year>
    <b:JournalName>Legal and Criminological Psychology</b:JournalName>
    <b:Volume>10</b:Volume>
    <b:Issue>1</b:Issue>
    <b:Pages>133-148</b:Pages>
    <b:RefOrder>44</b:RefOrder>
  </b:Source>
  <b:Source>
    <b:Tag>Dav15</b:Tag>
    <b:SourceType>JournalArticle</b:SourceType>
    <b:Guid>{ACF1EEFA-4B95-BB4B-882A-C8B5F07A6264}</b:Guid>
    <b:Author>
      <b:Author>
        <b:NameList>
          <b:Person>
            <b:Last>Farrington</b:Last>
            <b:First>David</b:First>
          </b:Person>
        </b:NameList>
      </b:Author>
    </b:Author>
    <b:Title>Prospective longitudinal research on the development of offending</b:Title>
    <b:JournalName>Journal of Criminology</b:JournalName>
    <b:Year>2015</b:Year>
    <b:Volume>48</b:Volume>
    <b:Issue>3</b:Issue>
    <b:RefOrder>45</b:RefOrder>
  </b:Source>
  <b:Source>
    <b:Tag>Jac101</b:Tag>
    <b:SourceType>JournalArticle</b:SourceType>
    <b:Guid>{2A975436-A8B8-4140-A19A-ADD14BC5AAAD}</b:Guid>
    <b:Author>
      <b:Author>
        <b:NameList>
          <b:Person>
            <b:Last>Barnes</b:Last>
            <b:First>Jacqueline</b:First>
          </b:Person>
        </b:NameList>
      </b:Author>
    </b:Author>
    <b:Title>From evidence‐base to practice: implementation of the Nurse Family Partnership programme in England</b:Title>
    <b:JournalName>Journal of Children's Services</b:JournalName>
    <b:Year>2010</b:Year>
    <b:RefOrder>46</b:RefOrder>
  </b:Source>
  <b:Source>
    <b:Tag>SCa22</b:Tag>
    <b:SourceType>JournalArticle</b:SourceType>
    <b:Guid>{861BECF9-1F97-8845-9C23-C2F9C402E0C4}</b:Guid>
    <b:Author>
      <b:Author>
        <b:NameList>
          <b:Person>
            <b:Last>Case</b:Last>
            <b:First>S</b:First>
          </b:Person>
          <b:Person>
            <b:Last>Sutton</b:Last>
            <b:First>C</b:First>
          </b:Person>
          <b:Person>
            <b:Last>Monaghan</b:Last>
            <b:First>M</b:First>
          </b:Person>
          <b:Person>
            <b:Last>Greenhalgh</b:Last>
            <b:First>J</b:First>
          </b:Person>
          <b:Person>
            <b:Last>Wright</b:Last>
            <b:First>J</b:First>
          </b:Person>
        </b:NameList>
      </b:Author>
    </b:Author>
    <b:JournalName>Understanding preventative intervention in youth justice: Identifying and analysing programme theories.</b:JournalName>
    <b:Year>2022</b:Year>
    <b:RefOrder>47</b:RefOrder>
  </b:Source>
  <b:Source>
    <b:Tag>Wal07</b:Tag>
    <b:SourceType>JournalArticle</b:SourceType>
    <b:Guid>{A3D40FC9-FB00-4D44-B81B-11555C1FAE99}</b:Guid>
    <b:Author>
      <b:Author>
        <b:NameList>
          <b:Person>
            <b:Last>Walker</b:Last>
            <b:First>J.,</b:First>
            <b:Middle>Thompson, C., Laing, K., Raybould, S., Coombes, M., Procter, S. and Wren, C</b:Middle>
          </b:Person>
        </b:NameList>
      </b:Author>
    </b:Author>
    <b:JournalName>Youth Inclusion and Support Panels: Preventing crime and antisocial behaviour</b:JournalName>
    <b:Year>2007</b:Year>
    <b:RefOrder>48</b:RefOrder>
  </b:Source>
  <b:Source>
    <b:Tag>Bar05</b:Tag>
    <b:SourceType>JournalArticle</b:SourceType>
    <b:Guid>{3C7D9297-B25B-C541-82C5-6FA30B15C74E}</b:Guid>
    <b:Author>
      <b:Author>
        <b:NameList>
          <b:Person>
            <b:Last>Goldson</b:Last>
            <b:First>Barry</b:First>
          </b:Person>
        </b:NameList>
      </b:Author>
    </b:Author>
    <b:Title>Child Imprisonment: A Case for Abolition</b:Title>
    <b:JournalName>Youth Justice </b:JournalName>
    <b:Year>2005</b:Year>
    <b:Volume>5</b:Volume>
    <b:Issue>2</b:Issue>
    <b:RefOrder>49</b:RefOrder>
  </b:Source>
  <b:Source>
    <b:Tag>Mea</b:Tag>
    <b:SourceType>JournalArticle</b:SourceType>
    <b:Guid>{5012A44A-E9B3-EE4B-A085-1483BE8EC030}</b:Guid>
    <b:Author>
      <b:Author>
        <b:NameList>
          <b:Person>
            <b:Last>Meadows</b:Last>
            <b:First>L.,</b:First>
            <b:Middle>Albertson, K., Ellingworth, D. and Senior, P.,</b:Middle>
          </b:Person>
        </b:NameList>
      </b:Author>
    </b:Author>
    <b:Title>Evaluation of the South Yorkshire restorative justice programme.</b:Title>
    <b:JournalName>Sheffield: Sheffield Hallam University.</b:JournalName>
    <b:Year>2012</b:Year>
    <b:RefOrder>50</b:RefOrder>
  </b:Source>
  <b:Source>
    <b:Tag>Jos11</b:Tag>
    <b:SourceType>JournalArticle</b:SourceType>
    <b:Guid>{E5EFDF17-2A2F-994B-A4DA-184A71998D9B}</b:Guid>
    <b:Author>
      <b:Author>
        <b:NameList>
          <b:Person>
            <b:Last>Joseph A. Durlak</b:Last>
            <b:First>Roger</b:First>
            <b:Middle>P. Weissberg, Allison B. Dymnicki, Rebecca D. Taylor, Kriston B. Schellinger</b:Middle>
          </b:Person>
        </b:NameList>
      </b:Author>
    </b:Author>
    <b:Title>The Impact of Enhancing Students’ Social and Emotional Learning: A Meta-Analysis of School-Based Universal Interventions</b:Title>
    <b:JournalName>Child Development</b:JournalName>
    <b:Year>2011</b:Year>
    <b:Volume>82</b:Volume>
    <b:Issue>1</b:Issue>
    <b:Pages>405-432</b:Pages>
    <b:RefOrder>51</b:RefOrder>
  </b:Source>
  <b:Source>
    <b:Tag>JOC16</b:Tag>
    <b:SourceType>JournalArticle</b:SourceType>
    <b:Guid>{B7811E7E-2AB1-464C-85AE-264C4F93EE1D}</b:Guid>
    <b:Author>
      <b:Author>
        <b:NameList>
          <b:Person>
            <b:Last>O'Carroll</b:Last>
            <b:First>J</b:First>
          </b:Person>
        </b:NameList>
      </b:Author>
    </b:Author>
    <b:Title>dentifying barriers and facilitators for educational inclusion for young people who offend (Doctoral dissertation, UCL (University College London))</b:Title>
    <b:Year>2016</b:Year>
    <b:RefOrder>52</b:RefOrder>
  </b:Source>
  <b:Source>
    <b:Tag>Ali20</b:Tag>
    <b:SourceType>Book</b:SourceType>
    <b:Guid>{72CB5C38-7DF8-D44E-9B81-B87EC62B862E}</b:Guid>
    <b:Title>Children’s Charities in Crisis: Early Intervention and the State</b:Title>
    <b:Year>2020</b:Year>
    <b:Author>
      <b:Author>
        <b:NameList>
          <b:Person>
            <b:Last>Body</b:Last>
            <b:First>Alison</b:First>
          </b:Person>
        </b:NameList>
      </b:Author>
    </b:Author>
    <b:Publisher>University of Bristol - Policy Press</b:Publisher>
    <b:RefOrder>53</b:RefOrder>
  </b:Source>
</b:Sources>
</file>

<file path=customXml/itemProps1.xml><?xml version="1.0" encoding="utf-8"?>
<ds:datastoreItem xmlns:ds="http://schemas.openxmlformats.org/officeDocument/2006/customXml" ds:itemID="{EBB3F79B-B8A9-1843-84E4-E9967479BE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16</Pages>
  <Words>5749</Words>
  <Characters>32772</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Aitken</dc:creator>
  <cp:keywords/>
  <dc:description/>
  <cp:lastModifiedBy>Chelsea Aitken</cp:lastModifiedBy>
  <cp:revision>22</cp:revision>
  <dcterms:created xsi:type="dcterms:W3CDTF">2025-05-10T17:08:00Z</dcterms:created>
  <dcterms:modified xsi:type="dcterms:W3CDTF">2025-05-11T15:32:00Z</dcterms:modified>
</cp:coreProperties>
</file>