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ACE433D" w14:textId="6C9EF0B9" w:rsidR="001855F4" w:rsidRDefault="00EF0270">
      <w:pPr>
        <w:rPr>
          <w:sz w:val="48"/>
          <w:szCs w:val="48"/>
          <w:lang w:val="hu-HU"/>
        </w:rPr>
      </w:pPr>
      <w:r>
        <w:rPr>
          <w:sz w:val="48"/>
          <w:szCs w:val="48"/>
          <w:lang w:val="hu-HU"/>
        </w:rPr>
        <w:t>Renata Balogh</w:t>
      </w:r>
    </w:p>
    <w:p w14:paraId="30C8FBD0" w14:textId="10F0CAE7" w:rsidR="00EF0270" w:rsidRDefault="00EF0270">
      <w:pPr>
        <w:rPr>
          <w:sz w:val="48"/>
          <w:szCs w:val="48"/>
          <w:lang w:val="hu-HU"/>
        </w:rPr>
      </w:pPr>
      <w:r>
        <w:rPr>
          <w:sz w:val="48"/>
          <w:szCs w:val="48"/>
          <w:lang w:val="hu-HU"/>
        </w:rPr>
        <w:t xml:space="preserve">Student </w:t>
      </w:r>
      <w:proofErr w:type="spellStart"/>
      <w:r>
        <w:rPr>
          <w:sz w:val="48"/>
          <w:szCs w:val="48"/>
          <w:lang w:val="hu-HU"/>
        </w:rPr>
        <w:t>numbe</w:t>
      </w:r>
      <w:r w:rsidR="00D07FAC">
        <w:rPr>
          <w:sz w:val="48"/>
          <w:szCs w:val="48"/>
          <w:lang w:val="hu-HU"/>
        </w:rPr>
        <w:t>r</w:t>
      </w:r>
      <w:proofErr w:type="spellEnd"/>
      <w:r w:rsidR="00D07FAC">
        <w:rPr>
          <w:sz w:val="48"/>
          <w:szCs w:val="48"/>
          <w:lang w:val="hu-HU"/>
        </w:rPr>
        <w:t xml:space="preserve"> :</w:t>
      </w:r>
      <w:r w:rsidR="009B0DEB">
        <w:rPr>
          <w:sz w:val="48"/>
          <w:szCs w:val="48"/>
          <w:lang w:val="hu-HU"/>
        </w:rPr>
        <w:t xml:space="preserve"> 2407673</w:t>
      </w:r>
    </w:p>
    <w:p w14:paraId="24728A2E" w14:textId="00B770E7" w:rsidR="00366331" w:rsidRPr="00366331" w:rsidRDefault="009B0DEB">
      <w:pPr>
        <w:pStyle w:val="p1"/>
      </w:pPr>
      <w:proofErr w:type="spellStart"/>
      <w:r>
        <w:rPr>
          <w:sz w:val="48"/>
          <w:szCs w:val="48"/>
          <w:lang w:val="hu-HU"/>
        </w:rPr>
        <w:t>Moodle</w:t>
      </w:r>
      <w:proofErr w:type="spellEnd"/>
      <w:r>
        <w:rPr>
          <w:sz w:val="48"/>
          <w:szCs w:val="48"/>
          <w:lang w:val="hu-HU"/>
        </w:rPr>
        <w:t xml:space="preserve"> </w:t>
      </w:r>
      <w:proofErr w:type="spellStart"/>
      <w:r w:rsidR="00273917">
        <w:rPr>
          <w:sz w:val="48"/>
          <w:szCs w:val="48"/>
          <w:lang w:val="hu-HU"/>
        </w:rPr>
        <w:t>code</w:t>
      </w:r>
      <w:proofErr w:type="spellEnd"/>
      <w:r w:rsidR="00366331">
        <w:rPr>
          <w:sz w:val="48"/>
          <w:szCs w:val="48"/>
          <w:lang w:val="hu-HU"/>
        </w:rPr>
        <w:t>:</w:t>
      </w:r>
      <w:r w:rsidR="00366331" w:rsidRPr="00366331">
        <w:t xml:space="preserve"> (BMHP5021_BIRM)</w:t>
      </w:r>
    </w:p>
    <w:p w14:paraId="33B9DE36" w14:textId="592BCF2A" w:rsidR="00302531" w:rsidRPr="00302531" w:rsidRDefault="00302531">
      <w:pPr>
        <w:pStyle w:val="p1"/>
      </w:pPr>
    </w:p>
    <w:p w14:paraId="4C0C9E23" w14:textId="0160667F" w:rsidR="009B0DEB" w:rsidRPr="00EF0270" w:rsidRDefault="00366331">
      <w:pPr>
        <w:rPr>
          <w:sz w:val="48"/>
          <w:szCs w:val="48"/>
          <w:lang w:val="hu-HU"/>
        </w:rPr>
      </w:pPr>
      <w:r>
        <w:rPr>
          <w:sz w:val="48"/>
          <w:szCs w:val="48"/>
          <w:lang w:val="hu-HU"/>
        </w:rPr>
        <w:t xml:space="preserve"> </w:t>
      </w:r>
    </w:p>
    <w:p w14:paraId="05288DFA" w14:textId="77777777" w:rsidR="00D13DC7" w:rsidRDefault="00D13DC7">
      <w:pPr>
        <w:rPr>
          <w:lang w:val="hu-HU"/>
        </w:rPr>
      </w:pPr>
    </w:p>
    <w:p w14:paraId="1CDC5F09" w14:textId="77777777" w:rsidR="00D13DC7" w:rsidRDefault="00D13DC7">
      <w:pPr>
        <w:rPr>
          <w:lang w:val="hu-HU"/>
        </w:rPr>
      </w:pPr>
    </w:p>
    <w:p w14:paraId="4476FE8E" w14:textId="77777777" w:rsidR="00D13DC7" w:rsidRDefault="00D13DC7">
      <w:pPr>
        <w:rPr>
          <w:lang w:val="hu-HU"/>
        </w:rPr>
      </w:pPr>
    </w:p>
    <w:p w14:paraId="236B1D23" w14:textId="77777777" w:rsidR="00D13DC7" w:rsidRDefault="00D13DC7">
      <w:pPr>
        <w:rPr>
          <w:lang w:val="hu-HU"/>
        </w:rPr>
      </w:pPr>
    </w:p>
    <w:p w14:paraId="211917B3" w14:textId="77777777" w:rsidR="00D13DC7" w:rsidRDefault="00D13DC7">
      <w:pPr>
        <w:rPr>
          <w:lang w:val="hu-HU"/>
        </w:rPr>
      </w:pPr>
    </w:p>
    <w:p w14:paraId="4B69ABD8" w14:textId="77777777" w:rsidR="00D13DC7" w:rsidRPr="00D13DC7" w:rsidRDefault="00D13DC7" w:rsidP="00D13DC7">
      <w:pPr>
        <w:spacing w:before="100" w:beforeAutospacing="1" w:after="100" w:afterAutospacing="1" w:line="240" w:lineRule="auto"/>
        <w:outlineLvl w:val="0"/>
        <w:rPr>
          <w:rFonts w:ascii="Times New Roman" w:eastAsia="Times New Roman" w:hAnsi="Times New Roman" w:cs="Times New Roman"/>
          <w:b/>
          <w:bCs/>
          <w:kern w:val="36"/>
          <w:sz w:val="48"/>
          <w:szCs w:val="48"/>
          <w14:ligatures w14:val="none"/>
        </w:rPr>
      </w:pPr>
      <w:r w:rsidRPr="00D13DC7">
        <w:rPr>
          <w:rFonts w:ascii="Times New Roman" w:eastAsia="Times New Roman" w:hAnsi="Times New Roman" w:cs="Times New Roman"/>
          <w:b/>
          <w:bCs/>
          <w:kern w:val="36"/>
          <w:sz w:val="48"/>
          <w:szCs w:val="48"/>
          <w14:ligatures w14:val="none"/>
        </w:rPr>
        <w:t>An examination and analysis of how the ‘Early Help’ system is signposted to UK families by local authority websites</w:t>
      </w:r>
    </w:p>
    <w:p w14:paraId="2FF26492" w14:textId="77777777" w:rsidR="00D13DC7" w:rsidRPr="00D13DC7" w:rsidRDefault="00D13DC7" w:rsidP="00D13DC7">
      <w:pPr>
        <w:spacing w:after="0" w:line="240" w:lineRule="auto"/>
        <w:rPr>
          <w:rFonts w:ascii="Times New Roman" w:hAnsi="Times New Roman" w:cs="Times New Roman"/>
          <w:kern w:val="0"/>
          <w14:ligatures w14:val="none"/>
        </w:rPr>
      </w:pPr>
      <w:r w:rsidRPr="00D13DC7">
        <w:rPr>
          <w:rFonts w:ascii="Times New Roman" w:eastAsia="Times New Roman" w:hAnsi="Times New Roman" w:cs="Times New Roman"/>
          <w:noProof/>
          <w:kern w:val="0"/>
          <w14:ligatures w14:val="none"/>
        </w:rPr>
        <mc:AlternateContent>
          <mc:Choice Requires="wps">
            <w:drawing>
              <wp:inline distT="0" distB="0" distL="0" distR="0" wp14:anchorId="26056080" wp14:editId="3753E172">
                <wp:extent cx="5731510" cy="1270"/>
                <wp:effectExtent l="0" t="31750" r="0" b="36830"/>
                <wp:docPr id="321133294" name="Rectangle 8"/>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rrowheads="1"/>
                      </wps:cNvSpPr>
                      <wps:spPr bwMode="auto">
                        <a:xfrm>
                          <a:off x="0" y="0"/>
                          <a:ext cx="41614725" cy="1270"/>
                        </a:xfrm>
                        <a:prstGeom prst="rect">
                          <a:avLst/>
                        </a:prstGeom>
                        <a:noFill/>
                        <a:ln w="9525">
                          <a:gradFill rotWithShape="0">
                            <a:gsLst>
                              <a:gs pos="0">
                                <a:srgbClr val="A0A0A0"/>
                              </a:gs>
                              <a:gs pos="100000">
                                <a:srgbClr val="E3E3E3"/>
                              </a:gs>
                            </a:gsLst>
                            <a:lin ang="5400000"/>
                          </a:gradFill>
                          <a:miter lim="800000"/>
                          <a:headEnd/>
                          <a:tailEnd/>
                        </a:ln>
                      </wps:spPr>
                      <wps:bodyPr rot="0" vert="horz" wrap="square" lIns="91440" tIns="45720" rIns="91440" bIns="45720" anchor="t" anchorCtr="0" upright="1">
                        <a:noAutofit/>
                      </wps:bodyPr>
                    </wps:wsp>
                  </a:graphicData>
                </a:graphic>
              </wp:inline>
            </w:drawing>
          </mc:Choice>
          <mc:Fallback>
            <w:pict>
              <v:rect w14:anchorId="1D80ECBA" id="Rectangle 8" o:spid="_x0000_s1026" style="width:451.3pt;height:.1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" filled="f">
                <w10:anchorlock/>
              </v:rect>
            </w:pict>
          </mc:Fallback>
        </mc:AlternateContent>
      </w:r>
    </w:p>
    <w:p w14:paraId="5330A38C" w14:textId="78E808D7" w:rsidR="00D13DC7" w:rsidRPr="002037FA" w:rsidRDefault="00D13DC7" w:rsidP="002037FA">
      <w:pPr>
        <w:spacing w:before="100" w:beforeAutospacing="1" w:after="100" w:afterAutospacing="1" w:line="240" w:lineRule="auto"/>
        <w:outlineLvl w:val="1"/>
        <w:rPr>
          <w:rFonts w:ascii="Times New Roman" w:hAnsi="Times New Roman" w:cs="Times New Roman"/>
          <w:b/>
          <w:bCs/>
          <w:kern w:val="0"/>
          <w:sz w:val="36"/>
          <w:szCs w:val="36"/>
          <w14:ligatures w14:val="none"/>
        </w:rPr>
      </w:pPr>
      <w:r w:rsidRPr="00D13DC7">
        <w:rPr>
          <w:rFonts w:ascii="Times New Roman" w:eastAsia="Times New Roman" w:hAnsi="Times New Roman" w:cs="Times New Roman"/>
          <w:b/>
          <w:bCs/>
          <w:kern w:val="0"/>
          <w:sz w:val="36"/>
          <w:szCs w:val="36"/>
          <w14:ligatures w14:val="none"/>
        </w:rPr>
        <w:t>Introduction</w:t>
      </w:r>
    </w:p>
    <w:p w14:paraId="54E352F8" w14:textId="3F4C9B21" w:rsidR="00D13DC7" w:rsidRPr="00D13DC7" w:rsidRDefault="00D13DC7" w:rsidP="00D13DC7">
      <w:pPr>
        <w:spacing w:before="100" w:beforeAutospacing="1" w:after="100" w:afterAutospacing="1" w:line="240" w:lineRule="auto"/>
        <w:rPr>
          <w:rFonts w:ascii="Times New Roman" w:hAnsi="Times New Roman" w:cs="Times New Roman"/>
          <w:kern w:val="0"/>
          <w14:ligatures w14:val="none"/>
        </w:rPr>
      </w:pPr>
      <w:r w:rsidRPr="00D13DC7">
        <w:rPr>
          <w:rFonts w:ascii="Times New Roman" w:hAnsi="Times New Roman" w:cs="Times New Roman"/>
          <w:kern w:val="0"/>
          <w14:ligatures w14:val="none"/>
        </w:rPr>
        <w:t>Early Help is a key component of children’s services in England, designed to provide timely and preventative support to children, young people and families before problems escalate into more serious safeguarding concerns. The underlying principle of Early Help is that early intervention leads to improved outcomes, both for individuals and for wider society. By addressing issues at an early stage, it is possible to reduce the need for statutory intervention and minimise long-term social and economic costs.</w:t>
      </w:r>
    </w:p>
    <w:p w14:paraId="12E6E393" w14:textId="794AA298" w:rsidR="00D13DC7" w:rsidRPr="00D13DC7" w:rsidRDefault="00D13DC7" w:rsidP="00D13DC7">
      <w:pPr>
        <w:spacing w:before="100" w:beforeAutospacing="1" w:after="100" w:afterAutospacing="1" w:line="240" w:lineRule="auto"/>
        <w:rPr>
          <w:rFonts w:ascii="Times New Roman" w:hAnsi="Times New Roman" w:cs="Times New Roman"/>
          <w:kern w:val="0"/>
          <w14:ligatures w14:val="none"/>
        </w:rPr>
      </w:pPr>
      <w:r w:rsidRPr="00D13DC7">
        <w:rPr>
          <w:rFonts w:ascii="Times New Roman" w:hAnsi="Times New Roman" w:cs="Times New Roman"/>
          <w:kern w:val="0"/>
          <w14:ligatures w14:val="none"/>
        </w:rPr>
        <w:t>The importance of Early Help is clearly outlined in Working Together to Safeguard Children 2023, which emphasises that all professionals working with children have a responsibility to identify needs early and provide appropriate support (Department for Education, 2023). In addition, the Early Help System Guide highlights that effective Early Help systems must be accessible, coordinated and focused on outcomes (Department for Education, 2020).</w:t>
      </w:r>
    </w:p>
    <w:p w14:paraId="48F0EEC8" w14:textId="4F0B2300" w:rsidR="00D13DC7" w:rsidRPr="00D13DC7" w:rsidRDefault="00D13DC7" w:rsidP="00D13DC7">
      <w:pPr>
        <w:spacing w:before="100" w:beforeAutospacing="1" w:after="100" w:afterAutospacing="1" w:line="240" w:lineRule="auto"/>
        <w:rPr>
          <w:rFonts w:ascii="Times New Roman" w:hAnsi="Times New Roman" w:cs="Times New Roman"/>
          <w:kern w:val="0"/>
          <w14:ligatures w14:val="none"/>
        </w:rPr>
      </w:pPr>
      <w:r w:rsidRPr="00D13DC7">
        <w:rPr>
          <w:rFonts w:ascii="Times New Roman" w:hAnsi="Times New Roman" w:cs="Times New Roman"/>
          <w:kern w:val="0"/>
          <w14:ligatures w14:val="none"/>
        </w:rPr>
        <w:t xml:space="preserve">Local authority websites play a significant role in ensuring that families are able to access Early Help services. In many cases, these websites act as the first point of contact for parents and carers seeking support. Therefore, the way in which information is presented online is critical. If websites are difficult to navigate, use complex language or fail to clearly explain </w:t>
      </w:r>
      <w:r w:rsidRPr="00D13DC7">
        <w:rPr>
          <w:rFonts w:ascii="Times New Roman" w:hAnsi="Times New Roman" w:cs="Times New Roman"/>
          <w:kern w:val="0"/>
          <w14:ligatures w14:val="none"/>
        </w:rPr>
        <w:lastRenderedPageBreak/>
        <w:t>available services, families may struggle to access support, which could result in worsening problems.</w:t>
      </w:r>
    </w:p>
    <w:p w14:paraId="5E053B15" w14:textId="77777777" w:rsidR="00D13DC7" w:rsidRPr="00D13DC7" w:rsidRDefault="00D13DC7" w:rsidP="00D13DC7">
      <w:pPr>
        <w:spacing w:before="100" w:beforeAutospacing="1" w:after="100" w:afterAutospacing="1" w:line="240" w:lineRule="auto"/>
        <w:rPr>
          <w:rFonts w:ascii="Times New Roman" w:hAnsi="Times New Roman" w:cs="Times New Roman"/>
          <w:kern w:val="0"/>
          <w14:ligatures w14:val="none"/>
        </w:rPr>
      </w:pPr>
      <w:r w:rsidRPr="00D13DC7">
        <w:rPr>
          <w:rFonts w:ascii="Times New Roman" w:hAnsi="Times New Roman" w:cs="Times New Roman"/>
          <w:kern w:val="0"/>
          <w14:ligatures w14:val="none"/>
        </w:rPr>
        <w:t>This report examines how Early Help is signposted on the websites of Staffordshire County Council, Leeds City Council and Southwark Council. The report evaluates the clarity, accessibility and effectiveness of each website, compares their strengths and weaknesses, and assesses how well they align with national policy guidance.</w:t>
      </w:r>
    </w:p>
    <w:p w14:paraId="09B878F6" w14:textId="77777777" w:rsidR="00D13DC7" w:rsidRPr="00D13DC7" w:rsidRDefault="00D13DC7" w:rsidP="00D13DC7">
      <w:pPr>
        <w:spacing w:after="0" w:line="240" w:lineRule="auto"/>
        <w:rPr>
          <w:rFonts w:ascii="Times New Roman" w:eastAsia="Times New Roman" w:hAnsi="Times New Roman" w:cs="Times New Roman"/>
          <w:kern w:val="0"/>
          <w14:ligatures w14:val="none"/>
        </w:rPr>
      </w:pPr>
      <w:r w:rsidRPr="00D13DC7">
        <w:rPr>
          <w:rFonts w:ascii="Times New Roman" w:eastAsia="Times New Roman" w:hAnsi="Times New Roman" w:cs="Times New Roman"/>
          <w:noProof/>
          <w:kern w:val="0"/>
          <w14:ligatures w14:val="none"/>
        </w:rPr>
        <mc:AlternateContent>
          <mc:Choice Requires="wps">
            <w:drawing>
              <wp:inline distT="0" distB="0" distL="0" distR="0" wp14:anchorId="27FCAF2D" wp14:editId="23D9263E">
                <wp:extent cx="5731510" cy="1270"/>
                <wp:effectExtent l="0" t="31750" r="0" b="36830"/>
                <wp:docPr id="1526551165" name="Rectangle 7"/>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rrowheads="1"/>
                      </wps:cNvSpPr>
                      <wps:spPr bwMode="auto">
                        <a:xfrm>
                          <a:off x="0" y="0"/>
                          <a:ext cx="41614725" cy="1270"/>
                        </a:xfrm>
                        <a:prstGeom prst="rect">
                          <a:avLst/>
                        </a:prstGeom>
                        <a:noFill/>
                        <a:ln w="9525">
                          <a:gradFill rotWithShape="0">
                            <a:gsLst>
                              <a:gs pos="0">
                                <a:srgbClr val="A0A0A0"/>
                              </a:gs>
                              <a:gs pos="100000">
                                <a:srgbClr val="E3E3E3"/>
                              </a:gs>
                            </a:gsLst>
                            <a:lin ang="5400000"/>
                          </a:gradFill>
                          <a:miter lim="800000"/>
                          <a:headEnd/>
                          <a:tailEnd/>
                        </a:ln>
                      </wps:spPr>
                      <wps:bodyPr rot="0" vert="horz" wrap="square" lIns="91440" tIns="45720" rIns="91440" bIns="45720" anchor="t" anchorCtr="0" upright="1">
                        <a:noAutofit/>
                      </wps:bodyPr>
                    </wps:wsp>
                  </a:graphicData>
                </a:graphic>
              </wp:inline>
            </w:drawing>
          </mc:Choice>
          <mc:Fallback>
            <w:pict>
              <v:rect w14:anchorId="68588B8D" id="Rectangle 7" o:spid="_x0000_s1026" style="width:451.3pt;height:.1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" filled="f">
                <w10:anchorlock/>
              </v:rect>
            </w:pict>
          </mc:Fallback>
        </mc:AlternateContent>
      </w:r>
    </w:p>
    <w:p w14:paraId="333BC9C9" w14:textId="663D0C3B" w:rsidR="00D13DC7" w:rsidRPr="002037FA" w:rsidRDefault="00D13DC7" w:rsidP="002037FA">
      <w:pPr>
        <w:spacing w:before="100" w:beforeAutospacing="1" w:after="100" w:afterAutospacing="1" w:line="240" w:lineRule="auto"/>
        <w:outlineLvl w:val="1"/>
        <w:rPr>
          <w:rFonts w:ascii="Times New Roman" w:hAnsi="Times New Roman" w:cs="Times New Roman"/>
          <w:b/>
          <w:bCs/>
          <w:kern w:val="0"/>
          <w:sz w:val="36"/>
          <w:szCs w:val="36"/>
          <w14:ligatures w14:val="none"/>
        </w:rPr>
      </w:pPr>
      <w:r w:rsidRPr="00D13DC7">
        <w:rPr>
          <w:rFonts w:ascii="Times New Roman" w:eastAsia="Times New Roman" w:hAnsi="Times New Roman" w:cs="Times New Roman"/>
          <w:b/>
          <w:bCs/>
          <w:kern w:val="0"/>
          <w:sz w:val="36"/>
          <w:szCs w:val="36"/>
          <w14:ligatures w14:val="none"/>
        </w:rPr>
        <w:t>Explanation of the Early Help System</w:t>
      </w:r>
    </w:p>
    <w:p w14:paraId="2F4E8E54" w14:textId="71B9213D" w:rsidR="00D13DC7" w:rsidRPr="00D13DC7" w:rsidRDefault="00D13DC7" w:rsidP="00D13DC7">
      <w:pPr>
        <w:spacing w:before="100" w:beforeAutospacing="1" w:after="100" w:afterAutospacing="1" w:line="240" w:lineRule="auto"/>
        <w:rPr>
          <w:rFonts w:ascii="Times New Roman" w:hAnsi="Times New Roman" w:cs="Times New Roman"/>
          <w:kern w:val="0"/>
          <w14:ligatures w14:val="none"/>
        </w:rPr>
      </w:pPr>
      <w:r w:rsidRPr="00D13DC7">
        <w:rPr>
          <w:rFonts w:ascii="Times New Roman" w:hAnsi="Times New Roman" w:cs="Times New Roman"/>
          <w:kern w:val="0"/>
          <w14:ligatures w14:val="none"/>
        </w:rPr>
        <w:t>Early Help refers to support provided to children, young people and families as soon as difficulties begin to emerge. It is a preventative approach that aims to address problems before they escalate into more serious safeguarding concerns or require statutory intervention. Early Help is not a single service but a coordinated system of support involving multiple agencies.</w:t>
      </w:r>
    </w:p>
    <w:p w14:paraId="4C486796" w14:textId="6C897E24" w:rsidR="00D13DC7" w:rsidRPr="00D13DC7" w:rsidRDefault="00D13DC7" w:rsidP="00D13DC7">
      <w:pPr>
        <w:spacing w:before="100" w:beforeAutospacing="1" w:after="100" w:afterAutospacing="1" w:line="240" w:lineRule="auto"/>
        <w:rPr>
          <w:rFonts w:ascii="Times New Roman" w:hAnsi="Times New Roman" w:cs="Times New Roman"/>
          <w:kern w:val="0"/>
          <w14:ligatures w14:val="none"/>
        </w:rPr>
      </w:pPr>
      <w:r w:rsidRPr="00D13DC7">
        <w:rPr>
          <w:rFonts w:ascii="Times New Roman" w:hAnsi="Times New Roman" w:cs="Times New Roman"/>
          <w:kern w:val="0"/>
          <w14:ligatures w14:val="none"/>
        </w:rPr>
        <w:t>According to the Early Help System Guide, Early Help should be voluntary, meaning that families choose to engage with services. It should also be strengths-based, focusing on the abilities and resources of families rather than solely on their difficulties. Furthermore, Early Help should be outcome-focused, ensuring that interventions lead to measurable improvements in the lives of children and families (Department for Education, 2020).</w:t>
      </w:r>
    </w:p>
    <w:p w14:paraId="6AC60975" w14:textId="59960D4F" w:rsidR="00D13DC7" w:rsidRPr="00D13DC7" w:rsidRDefault="00D13DC7" w:rsidP="00D13DC7">
      <w:pPr>
        <w:spacing w:before="100" w:beforeAutospacing="1" w:after="100" w:afterAutospacing="1" w:line="240" w:lineRule="auto"/>
        <w:rPr>
          <w:rFonts w:ascii="Times New Roman" w:hAnsi="Times New Roman" w:cs="Times New Roman"/>
          <w:kern w:val="0"/>
          <w14:ligatures w14:val="none"/>
        </w:rPr>
      </w:pPr>
      <w:r w:rsidRPr="00D13DC7">
        <w:rPr>
          <w:rFonts w:ascii="Times New Roman" w:hAnsi="Times New Roman" w:cs="Times New Roman"/>
          <w:kern w:val="0"/>
          <w14:ligatures w14:val="none"/>
        </w:rPr>
        <w:t>Early Help services can include a wide range of support, such as parenting programmes, mental health support, youth services, educational support and financial advice. These services are designed to address the underlying causes of problems rather than simply responding to symptoms.</w:t>
      </w:r>
    </w:p>
    <w:p w14:paraId="3CC57F31" w14:textId="2E1E4050" w:rsidR="00D13DC7" w:rsidRPr="00D13DC7" w:rsidRDefault="00D13DC7" w:rsidP="00D13DC7">
      <w:pPr>
        <w:spacing w:before="100" w:beforeAutospacing="1" w:after="100" w:afterAutospacing="1" w:line="240" w:lineRule="auto"/>
        <w:rPr>
          <w:rFonts w:ascii="Times New Roman" w:hAnsi="Times New Roman" w:cs="Times New Roman"/>
          <w:kern w:val="0"/>
          <w14:ligatures w14:val="none"/>
        </w:rPr>
      </w:pPr>
      <w:r w:rsidRPr="00D13DC7">
        <w:rPr>
          <w:rFonts w:ascii="Times New Roman" w:hAnsi="Times New Roman" w:cs="Times New Roman"/>
          <w:kern w:val="0"/>
          <w14:ligatures w14:val="none"/>
        </w:rPr>
        <w:t>A key element of Early Help is the Early Help Assessment (EHA), which allows professionals to identify needs and develop a coordinated plan of support. This ensures that services are tailored to the specific needs of each family.</w:t>
      </w:r>
    </w:p>
    <w:p w14:paraId="7FAD6259" w14:textId="77777777" w:rsidR="00D13DC7" w:rsidRPr="00D13DC7" w:rsidRDefault="00D13DC7" w:rsidP="00D13DC7">
      <w:pPr>
        <w:spacing w:before="100" w:beforeAutospacing="1" w:after="100" w:afterAutospacing="1" w:line="240" w:lineRule="auto"/>
        <w:rPr>
          <w:rFonts w:ascii="Times New Roman" w:hAnsi="Times New Roman" w:cs="Times New Roman"/>
          <w:kern w:val="0"/>
          <w14:ligatures w14:val="none"/>
        </w:rPr>
      </w:pPr>
      <w:r w:rsidRPr="00D13DC7">
        <w:rPr>
          <w:rFonts w:ascii="Times New Roman" w:hAnsi="Times New Roman" w:cs="Times New Roman"/>
          <w:kern w:val="0"/>
          <w14:ligatures w14:val="none"/>
        </w:rPr>
        <w:t>The Working Together to Safeguard Children 2023 highlights that Early Help plays an important role in safeguarding children. By identifying risks early and providing appropriate support, professionals can prevent harm and improve outcomes (Department for Education, 2023).</w:t>
      </w:r>
    </w:p>
    <w:p w14:paraId="39A2F196" w14:textId="77777777" w:rsidR="00D13DC7" w:rsidRPr="00D13DC7" w:rsidRDefault="00D13DC7" w:rsidP="00D13DC7">
      <w:pPr>
        <w:spacing w:after="0" w:line="240" w:lineRule="auto"/>
        <w:rPr>
          <w:rFonts w:ascii="Times New Roman" w:eastAsia="Times New Roman" w:hAnsi="Times New Roman" w:cs="Times New Roman"/>
          <w:kern w:val="0"/>
          <w14:ligatures w14:val="none"/>
        </w:rPr>
      </w:pPr>
      <w:r w:rsidRPr="00D13DC7">
        <w:rPr>
          <w:rFonts w:ascii="Times New Roman" w:eastAsia="Times New Roman" w:hAnsi="Times New Roman" w:cs="Times New Roman"/>
          <w:noProof/>
          <w:kern w:val="0"/>
          <w14:ligatures w14:val="none"/>
        </w:rPr>
        <mc:AlternateContent>
          <mc:Choice Requires="wps">
            <w:drawing>
              <wp:inline distT="0" distB="0" distL="0" distR="0" wp14:anchorId="5C9CEAA5" wp14:editId="0AE298C8">
                <wp:extent cx="5731510" cy="1270"/>
                <wp:effectExtent l="0" t="31750" r="0" b="36830"/>
                <wp:docPr id="626829667" name="Rectangle 6"/>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rrowheads="1"/>
                      </wps:cNvSpPr>
                      <wps:spPr bwMode="auto">
                        <a:xfrm>
                          <a:off x="0" y="0"/>
                          <a:ext cx="41614725" cy="1270"/>
                        </a:xfrm>
                        <a:prstGeom prst="rect">
                          <a:avLst/>
                        </a:prstGeom>
                        <a:noFill/>
                        <a:ln w="9525">
                          <a:gradFill rotWithShape="0">
                            <a:gsLst>
                              <a:gs pos="0">
                                <a:srgbClr val="A0A0A0"/>
                              </a:gs>
                              <a:gs pos="100000">
                                <a:srgbClr val="E3E3E3"/>
                              </a:gs>
                            </a:gsLst>
                            <a:lin ang="5400000"/>
                          </a:gradFill>
                          <a:miter lim="800000"/>
                          <a:headEnd/>
                          <a:tailEnd/>
                        </a:ln>
                      </wps:spPr>
                      <wps:bodyPr rot="0" vert="horz" wrap="square" lIns="91440" tIns="45720" rIns="91440" bIns="45720" anchor="t" anchorCtr="0" upright="1">
                        <a:noAutofit/>
                      </wps:bodyPr>
                    </wps:wsp>
                  </a:graphicData>
                </a:graphic>
              </wp:inline>
            </w:drawing>
          </mc:Choice>
          <mc:Fallback>
            <w:pict>
              <v:rect w14:anchorId="33D277CF" id="Rectangle 6" o:spid="_x0000_s1026" style="width:451.3pt;height:.1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" filled="f">
                <w10:anchorlock/>
              </v:rect>
            </w:pict>
          </mc:Fallback>
        </mc:AlternateContent>
      </w:r>
    </w:p>
    <w:p w14:paraId="4AD9E4EA" w14:textId="7459A510" w:rsidR="00D13DC7" w:rsidRPr="00717012" w:rsidRDefault="00D13DC7" w:rsidP="00717012">
      <w:pPr>
        <w:spacing w:before="100" w:beforeAutospacing="1" w:after="100" w:afterAutospacing="1" w:line="240" w:lineRule="auto"/>
        <w:outlineLvl w:val="1"/>
        <w:rPr>
          <w:rFonts w:ascii="Times New Roman" w:hAnsi="Times New Roman" w:cs="Times New Roman"/>
          <w:b/>
          <w:bCs/>
          <w:kern w:val="0"/>
          <w:sz w:val="36"/>
          <w:szCs w:val="36"/>
          <w14:ligatures w14:val="none"/>
        </w:rPr>
      </w:pPr>
      <w:r w:rsidRPr="00D13DC7">
        <w:rPr>
          <w:rFonts w:ascii="Times New Roman" w:eastAsia="Times New Roman" w:hAnsi="Times New Roman" w:cs="Times New Roman"/>
          <w:b/>
          <w:bCs/>
          <w:kern w:val="0"/>
          <w:sz w:val="36"/>
          <w:szCs w:val="36"/>
          <w14:ligatures w14:val="none"/>
        </w:rPr>
        <w:t>Explanation of Multi-Agency Working</w:t>
      </w:r>
      <w:r w:rsidR="002037FA">
        <w:rPr>
          <w:rFonts w:ascii="Times New Roman" w:hAnsi="Times New Roman" w:cs="Times New Roman"/>
          <w:b/>
          <w:bCs/>
          <w:kern w:val="0"/>
          <w:sz w:val="36"/>
          <w:szCs w:val="36"/>
          <w14:ligatures w14:val="none"/>
        </w:rPr>
        <w:t xml:space="preserve">.  </w:t>
      </w:r>
      <w:r w:rsidRPr="00D13DC7">
        <w:rPr>
          <w:rFonts w:ascii="Times New Roman" w:hAnsi="Times New Roman" w:cs="Times New Roman"/>
          <w:kern w:val="0"/>
          <w14:ligatures w14:val="none"/>
        </w:rPr>
        <w:t>Multi-agency working is a central feature of Early Help. It involves collaboration between professionals from different sectors, including social care, education, health, housing and the voluntary sector. This approach ensures that families receive comprehensive support that addresses all aspects of their needs.</w:t>
      </w:r>
    </w:p>
    <w:p w14:paraId="56E19AB1" w14:textId="1D748879" w:rsidR="00D13DC7" w:rsidRPr="00D13DC7" w:rsidRDefault="00D13DC7" w:rsidP="00D13DC7">
      <w:pPr>
        <w:spacing w:before="100" w:beforeAutospacing="1" w:after="100" w:afterAutospacing="1" w:line="240" w:lineRule="auto"/>
        <w:rPr>
          <w:rFonts w:ascii="Times New Roman" w:hAnsi="Times New Roman" w:cs="Times New Roman"/>
          <w:kern w:val="0"/>
          <w14:ligatures w14:val="none"/>
        </w:rPr>
      </w:pPr>
      <w:r w:rsidRPr="00D13DC7">
        <w:rPr>
          <w:rFonts w:ascii="Times New Roman" w:hAnsi="Times New Roman" w:cs="Times New Roman"/>
          <w:kern w:val="0"/>
          <w14:ligatures w14:val="none"/>
        </w:rPr>
        <w:t xml:space="preserve">Effective multi-agency working requires clear communication, information sharing and coordination between services. According to Working Together to Safeguard Children 2023, </w:t>
      </w:r>
      <w:r w:rsidRPr="00D13DC7">
        <w:rPr>
          <w:rFonts w:ascii="Times New Roman" w:hAnsi="Times New Roman" w:cs="Times New Roman"/>
          <w:kern w:val="0"/>
          <w14:ligatures w14:val="none"/>
        </w:rPr>
        <w:lastRenderedPageBreak/>
        <w:t>professionals must work together to safeguard and promote the welfare of children (Department for Education, 2023).</w:t>
      </w:r>
    </w:p>
    <w:p w14:paraId="7F3CE0AC" w14:textId="4AC5B318" w:rsidR="00D13DC7" w:rsidRPr="00D13DC7" w:rsidRDefault="00D13DC7" w:rsidP="00D13DC7">
      <w:pPr>
        <w:spacing w:before="100" w:beforeAutospacing="1" w:after="100" w:afterAutospacing="1" w:line="240" w:lineRule="auto"/>
        <w:rPr>
          <w:rFonts w:ascii="Times New Roman" w:hAnsi="Times New Roman" w:cs="Times New Roman"/>
          <w:kern w:val="0"/>
          <w14:ligatures w14:val="none"/>
        </w:rPr>
      </w:pPr>
      <w:r w:rsidRPr="00D13DC7">
        <w:rPr>
          <w:rFonts w:ascii="Times New Roman" w:hAnsi="Times New Roman" w:cs="Times New Roman"/>
          <w:kern w:val="0"/>
          <w14:ligatures w14:val="none"/>
        </w:rPr>
        <w:t>A lead professional is often appointed to coordinate support and act as a single point of contact for the family. This helps to ensure consistency and reduces confusion.</w:t>
      </w:r>
    </w:p>
    <w:p w14:paraId="5D843406" w14:textId="77777777" w:rsidR="00D13DC7" w:rsidRPr="00D13DC7" w:rsidRDefault="00D13DC7" w:rsidP="00D13DC7">
      <w:pPr>
        <w:spacing w:before="100" w:beforeAutospacing="1" w:after="100" w:afterAutospacing="1" w:line="240" w:lineRule="auto"/>
        <w:rPr>
          <w:rFonts w:ascii="Times New Roman" w:hAnsi="Times New Roman" w:cs="Times New Roman"/>
          <w:kern w:val="0"/>
          <w14:ligatures w14:val="none"/>
        </w:rPr>
      </w:pPr>
      <w:r w:rsidRPr="00D13DC7">
        <w:rPr>
          <w:rFonts w:ascii="Times New Roman" w:hAnsi="Times New Roman" w:cs="Times New Roman"/>
          <w:kern w:val="0"/>
          <w14:ligatures w14:val="none"/>
        </w:rPr>
        <w:t>However, multi-agency working can present challenges. These may include communication difficulties, differences in professional perspectives and barriers to information sharing. Despite these challenges, effective collaboration is essential for successful Early Help.</w:t>
      </w:r>
    </w:p>
    <w:p w14:paraId="33CCA8AA" w14:textId="77777777" w:rsidR="00D13DC7" w:rsidRPr="00D13DC7" w:rsidRDefault="00D13DC7" w:rsidP="00D13DC7">
      <w:pPr>
        <w:spacing w:after="0" w:line="240" w:lineRule="auto"/>
        <w:rPr>
          <w:rFonts w:ascii="Times New Roman" w:eastAsia="Times New Roman" w:hAnsi="Times New Roman" w:cs="Times New Roman"/>
          <w:kern w:val="0"/>
          <w14:ligatures w14:val="none"/>
        </w:rPr>
      </w:pPr>
      <w:r w:rsidRPr="00D13DC7">
        <w:rPr>
          <w:rFonts w:ascii="Times New Roman" w:eastAsia="Times New Roman" w:hAnsi="Times New Roman" w:cs="Times New Roman"/>
          <w:noProof/>
          <w:kern w:val="0"/>
          <w14:ligatures w14:val="none"/>
        </w:rPr>
        <mc:AlternateContent>
          <mc:Choice Requires="wps">
            <w:drawing>
              <wp:inline distT="0" distB="0" distL="0" distR="0" wp14:anchorId="320BE628" wp14:editId="0D895A89">
                <wp:extent cx="5731510" cy="1270"/>
                <wp:effectExtent l="0" t="31750" r="0" b="36830"/>
                <wp:docPr id="1125232366" name="Rectangle 5"/>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rrowheads="1"/>
                      </wps:cNvSpPr>
                      <wps:spPr bwMode="auto">
                        <a:xfrm>
                          <a:off x="0" y="0"/>
                          <a:ext cx="41614725" cy="1270"/>
                        </a:xfrm>
                        <a:prstGeom prst="rect">
                          <a:avLst/>
                        </a:prstGeom>
                        <a:noFill/>
                        <a:ln w="9525">
                          <a:gradFill rotWithShape="0">
                            <a:gsLst>
                              <a:gs pos="0">
                                <a:srgbClr val="A0A0A0"/>
                              </a:gs>
                              <a:gs pos="100000">
                                <a:srgbClr val="E3E3E3"/>
                              </a:gs>
                            </a:gsLst>
                            <a:lin ang="5400000"/>
                          </a:gradFill>
                          <a:miter lim="800000"/>
                          <a:headEnd/>
                          <a:tailEnd/>
                        </a:ln>
                      </wps:spPr>
                      <wps:bodyPr rot="0" vert="horz" wrap="square" lIns="91440" tIns="45720" rIns="91440" bIns="45720" anchor="t" anchorCtr="0" upright="1">
                        <a:noAutofit/>
                      </wps:bodyPr>
                    </wps:wsp>
                  </a:graphicData>
                </a:graphic>
              </wp:inline>
            </w:drawing>
          </mc:Choice>
          <mc:Fallback>
            <w:pict>
              <v:rect w14:anchorId="6107DA03" id="Rectangle 5" o:spid="_x0000_s1026" style="width:451.3pt;height:.1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" filled="f">
                <w10:anchorlock/>
              </v:rect>
            </w:pict>
          </mc:Fallback>
        </mc:AlternateContent>
      </w:r>
    </w:p>
    <w:p w14:paraId="4461AB05" w14:textId="1535B499" w:rsidR="00D13DC7" w:rsidRPr="00717012" w:rsidRDefault="00D13DC7" w:rsidP="00717012">
      <w:pPr>
        <w:spacing w:before="100" w:beforeAutospacing="1" w:after="100" w:afterAutospacing="1" w:line="240" w:lineRule="auto"/>
        <w:outlineLvl w:val="1"/>
        <w:rPr>
          <w:rFonts w:ascii="Times New Roman" w:hAnsi="Times New Roman" w:cs="Times New Roman"/>
          <w:b/>
          <w:bCs/>
          <w:kern w:val="0"/>
          <w:sz w:val="36"/>
          <w:szCs w:val="36"/>
          <w14:ligatures w14:val="none"/>
        </w:rPr>
      </w:pPr>
      <w:r w:rsidRPr="00D13DC7">
        <w:rPr>
          <w:rFonts w:ascii="Times New Roman" w:eastAsia="Times New Roman" w:hAnsi="Times New Roman" w:cs="Times New Roman"/>
          <w:b/>
          <w:bCs/>
          <w:kern w:val="0"/>
          <w:sz w:val="36"/>
          <w:szCs w:val="36"/>
          <w14:ligatures w14:val="none"/>
        </w:rPr>
        <w:t>Evaluation of Staffordshire County Council Website</w:t>
      </w:r>
    </w:p>
    <w:p w14:paraId="567862A8" w14:textId="2A8A42E9" w:rsidR="00D13DC7" w:rsidRPr="00D13DC7" w:rsidRDefault="00D13DC7" w:rsidP="00D13DC7">
      <w:pPr>
        <w:spacing w:before="100" w:beforeAutospacing="1" w:after="100" w:afterAutospacing="1" w:line="240" w:lineRule="auto"/>
        <w:rPr>
          <w:rFonts w:ascii="Times New Roman" w:hAnsi="Times New Roman" w:cs="Times New Roman"/>
          <w:kern w:val="0"/>
          <w14:ligatures w14:val="none"/>
        </w:rPr>
      </w:pPr>
      <w:r w:rsidRPr="00D13DC7">
        <w:rPr>
          <w:rFonts w:ascii="Times New Roman" w:hAnsi="Times New Roman" w:cs="Times New Roman"/>
          <w:kern w:val="0"/>
          <w14:ligatures w14:val="none"/>
        </w:rPr>
        <w:t>The Staffordshire County Council website provides a detailed overview of Early Help services. It includes information about what Early Help is, who it is for and how families can access support</w:t>
      </w:r>
    </w:p>
    <w:p w14:paraId="01B5862F" w14:textId="3A8F0BE0" w:rsidR="00D13DC7" w:rsidRPr="00D13DC7" w:rsidRDefault="00D13DC7" w:rsidP="00D13DC7">
      <w:pPr>
        <w:spacing w:before="100" w:beforeAutospacing="1" w:after="100" w:afterAutospacing="1" w:line="240" w:lineRule="auto"/>
        <w:rPr>
          <w:rFonts w:ascii="Times New Roman" w:hAnsi="Times New Roman" w:cs="Times New Roman"/>
          <w:kern w:val="0"/>
          <w14:ligatures w14:val="none"/>
        </w:rPr>
      </w:pPr>
      <w:r w:rsidRPr="00D13DC7">
        <w:rPr>
          <w:rFonts w:ascii="Times New Roman" w:hAnsi="Times New Roman" w:cs="Times New Roman"/>
          <w:kern w:val="0"/>
          <w14:ligatures w14:val="none"/>
        </w:rPr>
        <w:t>One strength of the website is its structured layout, which helps users navigate the information. The inclusion of referral pathways and contact details also supports accessibility.</w:t>
      </w:r>
    </w:p>
    <w:p w14:paraId="2BE977F1" w14:textId="30D98B18" w:rsidR="00D13DC7" w:rsidRPr="00D13DC7" w:rsidRDefault="00D13DC7" w:rsidP="00D13DC7">
      <w:pPr>
        <w:spacing w:before="100" w:beforeAutospacing="1" w:after="100" w:afterAutospacing="1" w:line="240" w:lineRule="auto"/>
        <w:rPr>
          <w:rFonts w:ascii="Times New Roman" w:hAnsi="Times New Roman" w:cs="Times New Roman"/>
          <w:kern w:val="0"/>
          <w14:ligatures w14:val="none"/>
        </w:rPr>
      </w:pPr>
      <w:r w:rsidRPr="00D13DC7">
        <w:rPr>
          <w:rFonts w:ascii="Times New Roman" w:hAnsi="Times New Roman" w:cs="Times New Roman"/>
          <w:kern w:val="0"/>
          <w14:ligatures w14:val="none"/>
        </w:rPr>
        <w:t>However, the website appears to be partially aimed at professionals, which may reduce its accessibility for families. The use of formal language and technical terminology may make it difficult for some users to understand</w:t>
      </w:r>
    </w:p>
    <w:p w14:paraId="5D40D6F7" w14:textId="77777777" w:rsidR="00D13DC7" w:rsidRPr="00D13DC7" w:rsidRDefault="00D13DC7" w:rsidP="00D13DC7">
      <w:pPr>
        <w:spacing w:before="100" w:beforeAutospacing="1" w:after="100" w:afterAutospacing="1" w:line="240" w:lineRule="auto"/>
        <w:rPr>
          <w:rFonts w:ascii="Times New Roman" w:hAnsi="Times New Roman" w:cs="Times New Roman"/>
          <w:kern w:val="0"/>
          <w14:ligatures w14:val="none"/>
        </w:rPr>
      </w:pPr>
      <w:r w:rsidRPr="00D13DC7">
        <w:rPr>
          <w:rFonts w:ascii="Times New Roman" w:hAnsi="Times New Roman" w:cs="Times New Roman"/>
          <w:kern w:val="0"/>
          <w14:ligatures w14:val="none"/>
        </w:rPr>
        <w:t>In addition, navigation can be complex, with information spread across multiple pages. This may create barriers for users who are unfamiliar with local authority systems.</w:t>
      </w:r>
    </w:p>
    <w:p w14:paraId="1B839979" w14:textId="77777777" w:rsidR="00D13DC7" w:rsidRPr="00D13DC7" w:rsidRDefault="00D13DC7" w:rsidP="00D13DC7">
      <w:pPr>
        <w:spacing w:after="0" w:line="240" w:lineRule="auto"/>
        <w:rPr>
          <w:rFonts w:ascii="Times New Roman" w:eastAsia="Times New Roman" w:hAnsi="Times New Roman" w:cs="Times New Roman"/>
          <w:kern w:val="0"/>
          <w14:ligatures w14:val="none"/>
        </w:rPr>
      </w:pPr>
      <w:r w:rsidRPr="00D13DC7">
        <w:rPr>
          <w:rFonts w:ascii="Times New Roman" w:eastAsia="Times New Roman" w:hAnsi="Times New Roman" w:cs="Times New Roman"/>
          <w:noProof/>
          <w:kern w:val="0"/>
          <w14:ligatures w14:val="none"/>
        </w:rPr>
        <mc:AlternateContent>
          <mc:Choice Requires="wps">
            <w:drawing>
              <wp:inline distT="0" distB="0" distL="0" distR="0" wp14:anchorId="6962F09D" wp14:editId="13B5B5BE">
                <wp:extent cx="5731510" cy="1270"/>
                <wp:effectExtent l="0" t="31750" r="0" b="36830"/>
                <wp:docPr id="463401642" name="Rectangle 4"/>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rrowheads="1"/>
                      </wps:cNvSpPr>
                      <wps:spPr bwMode="auto">
                        <a:xfrm>
                          <a:off x="0" y="0"/>
                          <a:ext cx="41614725" cy="1270"/>
                        </a:xfrm>
                        <a:prstGeom prst="rect">
                          <a:avLst/>
                        </a:prstGeom>
                        <a:noFill/>
                        <a:ln w="9525">
                          <a:gradFill rotWithShape="0">
                            <a:gsLst>
                              <a:gs pos="0">
                                <a:srgbClr val="A0A0A0"/>
                              </a:gs>
                              <a:gs pos="100000">
                                <a:srgbClr val="E3E3E3"/>
                              </a:gs>
                            </a:gsLst>
                            <a:lin ang="5400000"/>
                          </a:gradFill>
                          <a:miter lim="800000"/>
                          <a:headEnd/>
                          <a:tailEnd/>
                        </a:ln>
                      </wps:spPr>
                      <wps:bodyPr rot="0" vert="horz" wrap="square" lIns="91440" tIns="45720" rIns="91440" bIns="45720" anchor="t" anchorCtr="0" upright="1">
                        <a:noAutofit/>
                      </wps:bodyPr>
                    </wps:wsp>
                  </a:graphicData>
                </a:graphic>
              </wp:inline>
            </w:drawing>
          </mc:Choice>
          <mc:Fallback>
            <w:pict>
              <v:rect w14:anchorId="4EFA11EF" id="Rectangle 4" o:spid="_x0000_s1026" style="width:451.3pt;height:.1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" filled="f">
                <w10:anchorlock/>
              </v:rect>
            </w:pict>
          </mc:Fallback>
        </mc:AlternateContent>
      </w:r>
    </w:p>
    <w:p w14:paraId="7EA8D52D" w14:textId="130BE7BB" w:rsidR="00D13DC7" w:rsidRPr="00717012" w:rsidRDefault="00D13DC7" w:rsidP="00717012">
      <w:pPr>
        <w:spacing w:before="100" w:beforeAutospacing="1" w:after="100" w:afterAutospacing="1" w:line="240" w:lineRule="auto"/>
        <w:outlineLvl w:val="1"/>
        <w:rPr>
          <w:rFonts w:ascii="Times New Roman" w:hAnsi="Times New Roman" w:cs="Times New Roman"/>
          <w:b/>
          <w:bCs/>
          <w:kern w:val="0"/>
          <w:sz w:val="36"/>
          <w:szCs w:val="36"/>
          <w14:ligatures w14:val="none"/>
        </w:rPr>
      </w:pPr>
      <w:r w:rsidRPr="00D13DC7">
        <w:rPr>
          <w:rFonts w:ascii="Times New Roman" w:eastAsia="Times New Roman" w:hAnsi="Times New Roman" w:cs="Times New Roman"/>
          <w:b/>
          <w:bCs/>
          <w:kern w:val="0"/>
          <w:sz w:val="36"/>
          <w:szCs w:val="36"/>
          <w14:ligatures w14:val="none"/>
        </w:rPr>
        <w:t>Evaluation of Leeds City Council Website</w:t>
      </w:r>
      <w:r w:rsidR="00717012">
        <w:rPr>
          <w:rFonts w:ascii="Times New Roman" w:hAnsi="Times New Roman" w:cs="Times New Roman"/>
          <w:b/>
          <w:bCs/>
          <w:kern w:val="0"/>
          <w:sz w:val="36"/>
          <w:szCs w:val="36"/>
          <w14:ligatures w14:val="none"/>
        </w:rPr>
        <w:t xml:space="preserve">  </w:t>
      </w:r>
      <w:r w:rsidRPr="00D13DC7">
        <w:rPr>
          <w:rFonts w:ascii="Times New Roman" w:hAnsi="Times New Roman" w:cs="Times New Roman"/>
          <w:kern w:val="0"/>
          <w14:ligatures w14:val="none"/>
        </w:rPr>
        <w:t>The Leeds City Council website is highly accessible and user-friendly. It uses simple language, clear headings and logical navigation, making it easy for families to find and understand information.</w:t>
      </w:r>
      <w:r w:rsidR="00717012">
        <w:rPr>
          <w:rFonts w:ascii="Times New Roman" w:hAnsi="Times New Roman" w:cs="Times New Roman"/>
          <w:b/>
          <w:bCs/>
          <w:kern w:val="0"/>
          <w:sz w:val="36"/>
          <w:szCs w:val="36"/>
          <w14:ligatures w14:val="none"/>
        </w:rPr>
        <w:t xml:space="preserve"> </w:t>
      </w:r>
      <w:r w:rsidRPr="00D13DC7">
        <w:rPr>
          <w:rFonts w:ascii="Times New Roman" w:hAnsi="Times New Roman" w:cs="Times New Roman"/>
          <w:kern w:val="0"/>
          <w14:ligatures w14:val="none"/>
        </w:rPr>
        <w:t>One of the key strengths of the website is its focus on user experience. It provides practical examples of support and clearly explains how families can access services. This makes Early Help more understandable and relatable.</w:t>
      </w:r>
    </w:p>
    <w:p w14:paraId="2E071489" w14:textId="77777777" w:rsidR="00D13DC7" w:rsidRPr="00D13DC7" w:rsidRDefault="00D13DC7" w:rsidP="00D13DC7">
      <w:pPr>
        <w:spacing w:before="100" w:beforeAutospacing="1" w:after="100" w:afterAutospacing="1" w:line="240" w:lineRule="auto"/>
        <w:rPr>
          <w:rFonts w:ascii="Times New Roman" w:hAnsi="Times New Roman" w:cs="Times New Roman"/>
          <w:kern w:val="0"/>
          <w14:ligatures w14:val="none"/>
        </w:rPr>
      </w:pPr>
      <w:r w:rsidRPr="00D13DC7">
        <w:rPr>
          <w:rFonts w:ascii="Times New Roman" w:hAnsi="Times New Roman" w:cs="Times New Roman"/>
          <w:kern w:val="0"/>
          <w14:ligatures w14:val="none"/>
        </w:rPr>
        <w:t>The website also reflects strong multi-agency working, with links to various services and organisations. Multiple access routes, including online forms and contact details, make it easier for families to engage with support.</w:t>
      </w:r>
    </w:p>
    <w:p w14:paraId="60ABA8E7" w14:textId="77777777" w:rsidR="00D13DC7" w:rsidRPr="00D13DC7" w:rsidRDefault="00D13DC7" w:rsidP="00D13DC7">
      <w:pPr>
        <w:spacing w:after="0" w:line="240" w:lineRule="auto"/>
        <w:rPr>
          <w:rFonts w:ascii="Times New Roman" w:eastAsia="Times New Roman" w:hAnsi="Times New Roman" w:cs="Times New Roman"/>
          <w:kern w:val="0"/>
          <w14:ligatures w14:val="none"/>
        </w:rPr>
      </w:pPr>
      <w:r w:rsidRPr="00D13DC7">
        <w:rPr>
          <w:rFonts w:ascii="Times New Roman" w:eastAsia="Times New Roman" w:hAnsi="Times New Roman" w:cs="Times New Roman"/>
          <w:noProof/>
          <w:kern w:val="0"/>
          <w14:ligatures w14:val="none"/>
        </w:rPr>
        <mc:AlternateContent>
          <mc:Choice Requires="wps">
            <w:drawing>
              <wp:inline distT="0" distB="0" distL="0" distR="0" wp14:anchorId="3D09F36B" wp14:editId="41CC2EF5">
                <wp:extent cx="5731510" cy="1270"/>
                <wp:effectExtent l="0" t="31750" r="0" b="36830"/>
                <wp:docPr id="474852349" name="Rectangle 3"/>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rrowheads="1"/>
                      </wps:cNvSpPr>
                      <wps:spPr bwMode="auto">
                        <a:xfrm>
                          <a:off x="0" y="0"/>
                          <a:ext cx="41614725" cy="1270"/>
                        </a:xfrm>
                        <a:prstGeom prst="rect">
                          <a:avLst/>
                        </a:prstGeom>
                        <a:noFill/>
                        <a:ln w="9525">
                          <a:gradFill rotWithShape="0">
                            <a:gsLst>
                              <a:gs pos="0">
                                <a:srgbClr val="A0A0A0"/>
                              </a:gs>
                              <a:gs pos="100000">
                                <a:srgbClr val="E3E3E3"/>
                              </a:gs>
                            </a:gsLst>
                            <a:lin ang="5400000"/>
                          </a:gradFill>
                          <a:miter lim="800000"/>
                          <a:headEnd/>
                          <a:tailEnd/>
                        </a:ln>
                      </wps:spPr>
                      <wps:bodyPr rot="0" vert="horz" wrap="square" lIns="91440" tIns="45720" rIns="91440" bIns="45720" anchor="t" anchorCtr="0" upright="1">
                        <a:noAutofit/>
                      </wps:bodyPr>
                    </wps:wsp>
                  </a:graphicData>
                </a:graphic>
              </wp:inline>
            </w:drawing>
          </mc:Choice>
          <mc:Fallback>
            <w:pict>
              <v:rect w14:anchorId="782FCD6A" id="Rectangle 3" o:spid="_x0000_s1026" style="width:451.3pt;height:.1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" filled="f">
                <w10:anchorlock/>
              </v:rect>
            </w:pict>
          </mc:Fallback>
        </mc:AlternateContent>
      </w:r>
    </w:p>
    <w:p w14:paraId="055BF38D" w14:textId="5796D7D7" w:rsidR="00D13DC7" w:rsidRPr="00BE3F7C" w:rsidRDefault="00D13DC7" w:rsidP="00BE3F7C">
      <w:pPr>
        <w:spacing w:before="100" w:beforeAutospacing="1" w:after="100" w:afterAutospacing="1" w:line="240" w:lineRule="auto"/>
        <w:outlineLvl w:val="1"/>
        <w:rPr>
          <w:rFonts w:ascii="Times New Roman" w:hAnsi="Times New Roman" w:cs="Times New Roman"/>
          <w:b/>
          <w:bCs/>
          <w:kern w:val="0"/>
          <w:sz w:val="36"/>
          <w:szCs w:val="36"/>
          <w14:ligatures w14:val="none"/>
        </w:rPr>
      </w:pPr>
      <w:r w:rsidRPr="00D13DC7">
        <w:rPr>
          <w:rFonts w:ascii="Times New Roman" w:eastAsia="Times New Roman" w:hAnsi="Times New Roman" w:cs="Times New Roman"/>
          <w:b/>
          <w:bCs/>
          <w:kern w:val="0"/>
          <w:sz w:val="36"/>
          <w:szCs w:val="36"/>
          <w14:ligatures w14:val="none"/>
        </w:rPr>
        <w:t>Evaluation of Southwark Council Website</w:t>
      </w:r>
    </w:p>
    <w:p w14:paraId="613D4B4B" w14:textId="1A44AC68" w:rsidR="00D13DC7" w:rsidRPr="00D13DC7" w:rsidRDefault="00D13DC7" w:rsidP="00D13DC7">
      <w:pPr>
        <w:spacing w:before="100" w:beforeAutospacing="1" w:after="100" w:afterAutospacing="1" w:line="240" w:lineRule="auto"/>
        <w:rPr>
          <w:rFonts w:ascii="Times New Roman" w:hAnsi="Times New Roman" w:cs="Times New Roman"/>
          <w:kern w:val="0"/>
          <w14:ligatures w14:val="none"/>
        </w:rPr>
      </w:pPr>
      <w:r w:rsidRPr="00D13DC7">
        <w:rPr>
          <w:rFonts w:ascii="Times New Roman" w:hAnsi="Times New Roman" w:cs="Times New Roman"/>
          <w:kern w:val="0"/>
          <w14:ligatures w14:val="none"/>
        </w:rPr>
        <w:lastRenderedPageBreak/>
        <w:t>The Southwark Council website provides comprehensive and detailed information about Early Help services. It clearly outlines processes and reflects strong alignment with national policy.</w:t>
      </w:r>
    </w:p>
    <w:p w14:paraId="14C1FB47" w14:textId="3B3FD113" w:rsidR="00D13DC7" w:rsidRPr="00D13DC7" w:rsidRDefault="00D13DC7" w:rsidP="00D13DC7">
      <w:pPr>
        <w:spacing w:before="100" w:beforeAutospacing="1" w:after="100" w:afterAutospacing="1" w:line="240" w:lineRule="auto"/>
        <w:rPr>
          <w:rFonts w:ascii="Times New Roman" w:hAnsi="Times New Roman" w:cs="Times New Roman"/>
          <w:kern w:val="0"/>
          <w14:ligatures w14:val="none"/>
        </w:rPr>
      </w:pPr>
      <w:r w:rsidRPr="00D13DC7">
        <w:rPr>
          <w:rFonts w:ascii="Times New Roman" w:hAnsi="Times New Roman" w:cs="Times New Roman"/>
          <w:kern w:val="0"/>
          <w14:ligatures w14:val="none"/>
        </w:rPr>
        <w:t>However, the level of detail may reduce accessibility for some users. The use of complex language and large amounts of text may be overwhelming, particularly for families with lower literacy levels.</w:t>
      </w:r>
    </w:p>
    <w:p w14:paraId="70D19FD1" w14:textId="77777777" w:rsidR="00D13DC7" w:rsidRPr="00D13DC7" w:rsidRDefault="00D13DC7" w:rsidP="00D13DC7">
      <w:pPr>
        <w:spacing w:before="100" w:beforeAutospacing="1" w:after="100" w:afterAutospacing="1" w:line="240" w:lineRule="auto"/>
        <w:rPr>
          <w:rFonts w:ascii="Times New Roman" w:hAnsi="Times New Roman" w:cs="Times New Roman"/>
          <w:kern w:val="0"/>
          <w14:ligatures w14:val="none"/>
        </w:rPr>
      </w:pPr>
      <w:r w:rsidRPr="00D13DC7">
        <w:rPr>
          <w:rFonts w:ascii="Times New Roman" w:hAnsi="Times New Roman" w:cs="Times New Roman"/>
          <w:kern w:val="0"/>
          <w14:ligatures w14:val="none"/>
        </w:rPr>
        <w:t>Despite this, the website demonstrates a strong commitment to safeguarding and early intervention.</w:t>
      </w:r>
    </w:p>
    <w:p w14:paraId="34ED0AA4" w14:textId="77777777" w:rsidR="00D13DC7" w:rsidRPr="00D13DC7" w:rsidRDefault="00D13DC7" w:rsidP="00D13DC7">
      <w:pPr>
        <w:spacing w:after="0" w:line="240" w:lineRule="auto"/>
        <w:rPr>
          <w:rFonts w:ascii="Times New Roman" w:eastAsia="Times New Roman" w:hAnsi="Times New Roman" w:cs="Times New Roman"/>
          <w:kern w:val="0"/>
          <w14:ligatures w14:val="none"/>
        </w:rPr>
      </w:pPr>
      <w:r w:rsidRPr="00D13DC7">
        <w:rPr>
          <w:rFonts w:ascii="Times New Roman" w:eastAsia="Times New Roman" w:hAnsi="Times New Roman" w:cs="Times New Roman"/>
          <w:noProof/>
          <w:kern w:val="0"/>
          <w14:ligatures w14:val="none"/>
        </w:rPr>
        <mc:AlternateContent>
          <mc:Choice Requires="wps">
            <w:drawing>
              <wp:inline distT="0" distB="0" distL="0" distR="0" wp14:anchorId="513233BC" wp14:editId="0DF79F1F">
                <wp:extent cx="5731510" cy="1270"/>
                <wp:effectExtent l="0" t="31750" r="0" b="36830"/>
                <wp:docPr id="180500253" name="Rectangle 2"/>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rrowheads="1"/>
                      </wps:cNvSpPr>
                      <wps:spPr bwMode="auto">
                        <a:xfrm>
                          <a:off x="0" y="0"/>
                          <a:ext cx="41614725" cy="1270"/>
                        </a:xfrm>
                        <a:prstGeom prst="rect">
                          <a:avLst/>
                        </a:prstGeom>
                        <a:noFill/>
                        <a:ln w="9525">
                          <a:gradFill rotWithShape="0">
                            <a:gsLst>
                              <a:gs pos="0">
                                <a:srgbClr val="A0A0A0"/>
                              </a:gs>
                              <a:gs pos="100000">
                                <a:srgbClr val="E3E3E3"/>
                              </a:gs>
                            </a:gsLst>
                            <a:lin ang="5400000"/>
                          </a:gradFill>
                          <a:miter lim="800000"/>
                          <a:headEnd/>
                          <a:tailEnd/>
                        </a:ln>
                      </wps:spPr>
                      <wps:bodyPr rot="0" vert="horz" wrap="square" lIns="91440" tIns="45720" rIns="91440" bIns="45720" anchor="t" anchorCtr="0" upright="1">
                        <a:noAutofit/>
                      </wps:bodyPr>
                    </wps:wsp>
                  </a:graphicData>
                </a:graphic>
              </wp:inline>
            </w:drawing>
          </mc:Choice>
          <mc:Fallback>
            <w:pict>
              <v:rect w14:anchorId="111AC824" id="Rectangle 2" o:spid="_x0000_s1026" style="width:451.3pt;height:.1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" filled="f">
                <w10:anchorlock/>
              </v:rect>
            </w:pict>
          </mc:Fallback>
        </mc:AlternateContent>
      </w:r>
    </w:p>
    <w:p w14:paraId="69595E2E" w14:textId="3DF85A48" w:rsidR="00D13DC7" w:rsidRPr="00846F02" w:rsidRDefault="00D13DC7" w:rsidP="00846F02">
      <w:pPr>
        <w:spacing w:before="100" w:beforeAutospacing="1" w:after="100" w:afterAutospacing="1" w:line="240" w:lineRule="auto"/>
        <w:outlineLvl w:val="1"/>
        <w:rPr>
          <w:rFonts w:ascii="Times New Roman" w:hAnsi="Times New Roman" w:cs="Times New Roman"/>
          <w:b/>
          <w:bCs/>
          <w:kern w:val="0"/>
          <w:sz w:val="36"/>
          <w:szCs w:val="36"/>
          <w14:ligatures w14:val="none"/>
        </w:rPr>
      </w:pPr>
      <w:r w:rsidRPr="00D13DC7">
        <w:rPr>
          <w:rFonts w:ascii="Times New Roman" w:eastAsia="Times New Roman" w:hAnsi="Times New Roman" w:cs="Times New Roman"/>
          <w:b/>
          <w:bCs/>
          <w:kern w:val="0"/>
          <w:sz w:val="36"/>
          <w:szCs w:val="36"/>
          <w14:ligatures w14:val="none"/>
        </w:rPr>
        <w:t>Critical Analysis: Barriers, Inequality and Digital Access</w:t>
      </w:r>
      <w:r w:rsidR="00846F02">
        <w:rPr>
          <w:rFonts w:ascii="Times New Roman" w:hAnsi="Times New Roman" w:cs="Times New Roman"/>
          <w:b/>
          <w:bCs/>
          <w:kern w:val="0"/>
          <w:sz w:val="36"/>
          <w:szCs w:val="36"/>
          <w14:ligatures w14:val="none"/>
        </w:rPr>
        <w:t xml:space="preserve"> </w:t>
      </w:r>
      <w:r w:rsidRPr="00D13DC7">
        <w:rPr>
          <w:rFonts w:ascii="Times New Roman" w:hAnsi="Times New Roman" w:cs="Times New Roman"/>
          <w:kern w:val="0"/>
          <w14:ligatures w14:val="none"/>
        </w:rPr>
        <w:t>While local authority websites play an important role in signposting Early Help, it is important to recognise that not all families have equal access to digital resources. The digital divide refers to inequalities in access to technology, internet connectivity and digital skills.</w:t>
      </w:r>
    </w:p>
    <w:p w14:paraId="375715C0" w14:textId="28664885" w:rsidR="00D13DC7" w:rsidRPr="00D13DC7" w:rsidRDefault="00D13DC7" w:rsidP="00D13DC7">
      <w:pPr>
        <w:spacing w:before="100" w:beforeAutospacing="1" w:after="100" w:afterAutospacing="1" w:line="240" w:lineRule="auto"/>
        <w:rPr>
          <w:rFonts w:ascii="Times New Roman" w:hAnsi="Times New Roman" w:cs="Times New Roman"/>
          <w:kern w:val="0"/>
          <w14:ligatures w14:val="none"/>
        </w:rPr>
      </w:pPr>
      <w:r w:rsidRPr="00D13DC7">
        <w:rPr>
          <w:rFonts w:ascii="Times New Roman" w:hAnsi="Times New Roman" w:cs="Times New Roman"/>
          <w:kern w:val="0"/>
          <w14:ligatures w14:val="none"/>
        </w:rPr>
        <w:t>Families experiencing poverty or social exclusion may have limited access to the internet or rely on mobile devices, which can make navigating complex websites more difficult. According to the Early Help System Guide, Early Help systems should be inclusive, yet reliance on digital platforms may unintentionally exclude vulnerable groups (Department for Education, 2020).</w:t>
      </w:r>
    </w:p>
    <w:p w14:paraId="10B3E769" w14:textId="224E141C" w:rsidR="00D13DC7" w:rsidRPr="00D13DC7" w:rsidRDefault="00D13DC7" w:rsidP="00D13DC7">
      <w:pPr>
        <w:spacing w:before="100" w:beforeAutospacing="1" w:after="100" w:afterAutospacing="1" w:line="240" w:lineRule="auto"/>
        <w:rPr>
          <w:rFonts w:ascii="Times New Roman" w:hAnsi="Times New Roman" w:cs="Times New Roman"/>
          <w:kern w:val="0"/>
          <w14:ligatures w14:val="none"/>
        </w:rPr>
      </w:pPr>
      <w:r w:rsidRPr="00D13DC7">
        <w:rPr>
          <w:rFonts w:ascii="Times New Roman" w:hAnsi="Times New Roman" w:cs="Times New Roman"/>
          <w:kern w:val="0"/>
          <w14:ligatures w14:val="none"/>
        </w:rPr>
        <w:t>Language barriers and literacy levels also affect accessibility. Websites that use technical language may be difficult to understand, particularly for families whose first language is not English.</w:t>
      </w:r>
    </w:p>
    <w:p w14:paraId="734E67FC" w14:textId="12D8CD71" w:rsidR="00D13DC7" w:rsidRPr="00D13DC7" w:rsidRDefault="00D13DC7" w:rsidP="00D13DC7">
      <w:pPr>
        <w:spacing w:before="100" w:beforeAutospacing="1" w:after="100" w:afterAutospacing="1" w:line="240" w:lineRule="auto"/>
        <w:rPr>
          <w:rFonts w:ascii="Times New Roman" w:hAnsi="Times New Roman" w:cs="Times New Roman"/>
          <w:kern w:val="0"/>
          <w14:ligatures w14:val="none"/>
        </w:rPr>
      </w:pPr>
      <w:r w:rsidRPr="00D13DC7">
        <w:rPr>
          <w:rFonts w:ascii="Times New Roman" w:hAnsi="Times New Roman" w:cs="Times New Roman"/>
          <w:kern w:val="0"/>
          <w14:ligatures w14:val="none"/>
        </w:rPr>
        <w:t>Trust is another important factor. Some families may be hesitant to engage with services due to fear of social services involvement. Therefore, it is essential that websites present Early Help as supportive and voluntary.</w:t>
      </w:r>
    </w:p>
    <w:p w14:paraId="47A51ED4" w14:textId="4B979FC3" w:rsidR="00D13DC7" w:rsidRPr="00D13DC7" w:rsidRDefault="00D13DC7" w:rsidP="00D13DC7">
      <w:pPr>
        <w:spacing w:before="100" w:beforeAutospacing="1" w:after="100" w:afterAutospacing="1" w:line="240" w:lineRule="auto"/>
        <w:rPr>
          <w:rFonts w:ascii="Times New Roman" w:hAnsi="Times New Roman" w:cs="Times New Roman"/>
          <w:kern w:val="0"/>
          <w14:ligatures w14:val="none"/>
        </w:rPr>
      </w:pPr>
      <w:r w:rsidRPr="00D13DC7">
        <w:rPr>
          <w:rFonts w:ascii="Times New Roman" w:hAnsi="Times New Roman" w:cs="Times New Roman"/>
          <w:kern w:val="0"/>
          <w14:ligatures w14:val="none"/>
        </w:rPr>
        <w:t>Cultural factors may also influence how families engage with services. Providing information in multiple languages and working with community organisations can help improve accessibility.</w:t>
      </w:r>
    </w:p>
    <w:p w14:paraId="4C43C723" w14:textId="73C444FD" w:rsidR="00E650E9" w:rsidRDefault="00D13DC7" w:rsidP="00D13DC7">
      <w:pPr>
        <w:spacing w:before="100" w:beforeAutospacing="1" w:after="100" w:afterAutospacing="1" w:line="240" w:lineRule="auto"/>
        <w:rPr>
          <w:rFonts w:ascii="Times New Roman" w:hAnsi="Times New Roman" w:cs="Times New Roman"/>
          <w:kern w:val="0"/>
          <w14:ligatures w14:val="none"/>
        </w:rPr>
      </w:pPr>
      <w:r w:rsidRPr="00D13DC7">
        <w:rPr>
          <w:rFonts w:ascii="Times New Roman" w:hAnsi="Times New Roman" w:cs="Times New Roman"/>
          <w:kern w:val="0"/>
          <w14:ligatures w14:val="none"/>
        </w:rPr>
        <w:t>Furthermore, relying solely on websites assumes that families have the confidence and ability to seek help independently. In practice, some families may require proactive support from schools, health services or community organisations.</w:t>
      </w:r>
    </w:p>
    <w:p w14:paraId="08E85BEC" w14:textId="2F72461B" w:rsidR="00B271E5" w:rsidRPr="003C42B7" w:rsidRDefault="00B271E5" w:rsidP="003C42B7">
      <w:pPr>
        <w:spacing w:before="100" w:beforeAutospacing="1" w:after="100" w:afterAutospacing="1" w:line="240" w:lineRule="auto"/>
        <w:outlineLvl w:val="1"/>
        <w:rPr>
          <w:rFonts w:ascii="Times New Roman" w:eastAsia="Times New Roman" w:hAnsi="Times New Roman" w:cs="Times New Roman"/>
          <w:b/>
          <w:bCs/>
          <w:kern w:val="0"/>
          <w:sz w:val="36"/>
          <w:szCs w:val="36"/>
          <w14:ligatures w14:val="none"/>
        </w:rPr>
      </w:pPr>
      <w:r w:rsidRPr="00B271E5">
        <w:rPr>
          <w:rFonts w:ascii="Times New Roman" w:eastAsia="Times New Roman" w:hAnsi="Times New Roman" w:cs="Times New Roman"/>
          <w:b/>
          <w:bCs/>
          <w:kern w:val="0"/>
          <w:sz w:val="36"/>
          <w:szCs w:val="36"/>
          <w14:ligatures w14:val="none"/>
        </w:rPr>
        <w:t>Further Critical Evaluation of Early Help Signposting and Policy Implementation</w:t>
      </w:r>
    </w:p>
    <w:p w14:paraId="0ED49097" w14:textId="257C5FC1" w:rsidR="00B271E5" w:rsidRPr="00B271E5" w:rsidRDefault="00B271E5" w:rsidP="00B271E5">
      <w:pPr>
        <w:spacing w:before="100" w:beforeAutospacing="1" w:after="100" w:afterAutospacing="1" w:line="240" w:lineRule="auto"/>
        <w:rPr>
          <w:rFonts w:ascii="Times New Roman" w:hAnsi="Times New Roman" w:cs="Times New Roman"/>
          <w:kern w:val="0"/>
          <w14:ligatures w14:val="none"/>
        </w:rPr>
      </w:pPr>
      <w:r w:rsidRPr="00B271E5">
        <w:rPr>
          <w:rFonts w:ascii="Times New Roman" w:hAnsi="Times New Roman" w:cs="Times New Roman"/>
          <w:kern w:val="0"/>
          <w14:ligatures w14:val="none"/>
        </w:rPr>
        <w:t xml:space="preserve">In addition to issues of accessibility and digital exclusion, it is important to critically evaluate how effectively local authority websites translate national Early Help policy into practical and meaningful information for families. While national frameworks such as </w:t>
      </w:r>
      <w:hyperlink r:id="rId4" w:history="1">
        <w:r w:rsidRPr="00B271E5">
          <w:rPr>
            <w:rFonts w:ascii="Times New Roman" w:hAnsi="Times New Roman" w:cs="Times New Roman"/>
            <w:color w:val="0000FF"/>
            <w:kern w:val="0"/>
            <w:u w:val="single"/>
            <w14:ligatures w14:val="none"/>
          </w:rPr>
          <w:t>Working Together to Safeguard Children 2023</w:t>
        </w:r>
      </w:hyperlink>
      <w:r w:rsidRPr="00B271E5">
        <w:rPr>
          <w:rFonts w:ascii="Times New Roman" w:hAnsi="Times New Roman" w:cs="Times New Roman"/>
          <w:kern w:val="0"/>
          <w14:ligatures w14:val="none"/>
        </w:rPr>
        <w:t xml:space="preserve"> provide clear expectations, the implementation at local level can vary significantly.</w:t>
      </w:r>
    </w:p>
    <w:p w14:paraId="3B50E362" w14:textId="71780C4A" w:rsidR="00B271E5" w:rsidRPr="00B271E5" w:rsidRDefault="00B271E5" w:rsidP="00B271E5">
      <w:pPr>
        <w:spacing w:before="100" w:beforeAutospacing="1" w:after="100" w:afterAutospacing="1" w:line="240" w:lineRule="auto"/>
        <w:rPr>
          <w:rFonts w:ascii="Times New Roman" w:hAnsi="Times New Roman" w:cs="Times New Roman"/>
          <w:kern w:val="0"/>
          <w14:ligatures w14:val="none"/>
        </w:rPr>
      </w:pPr>
      <w:r w:rsidRPr="00B271E5">
        <w:rPr>
          <w:rFonts w:ascii="Times New Roman" w:hAnsi="Times New Roman" w:cs="Times New Roman"/>
          <w:kern w:val="0"/>
          <w14:ligatures w14:val="none"/>
        </w:rPr>
        <w:lastRenderedPageBreak/>
        <w:t xml:space="preserve">One key issue is the gap between policy and practice. Although policies emphasise early intervention, prevention and family-centred approaches, local authority websites do not always clearly demonstrate how these principles are applied in practice. For example, while all three websites examined provide definitions of Early Help, the extent to which they explain what this means for families in real-life situations differs. The </w:t>
      </w:r>
      <w:hyperlink r:id="rId5" w:history="1">
        <w:r w:rsidRPr="00B271E5">
          <w:rPr>
            <w:rFonts w:ascii="Times New Roman" w:hAnsi="Times New Roman" w:cs="Times New Roman"/>
            <w:color w:val="0000FF"/>
            <w:kern w:val="0"/>
            <w:u w:val="single"/>
            <w14:ligatures w14:val="none"/>
          </w:rPr>
          <w:t>Leeds City Council</w:t>
        </w:r>
      </w:hyperlink>
      <w:r w:rsidRPr="00B271E5">
        <w:rPr>
          <w:rFonts w:ascii="Times New Roman" w:hAnsi="Times New Roman" w:cs="Times New Roman"/>
          <w:kern w:val="0"/>
          <w14:ligatures w14:val="none"/>
        </w:rPr>
        <w:t xml:space="preserve"> website is more effective in this regard, as it provides clearer examples and practical guidance, whereas other websites rely more heavily on descriptive or policy-based language.</w:t>
      </w:r>
    </w:p>
    <w:p w14:paraId="32205A21" w14:textId="3BB031EC" w:rsidR="00B271E5" w:rsidRPr="00B271E5" w:rsidRDefault="00B271E5" w:rsidP="00B271E5">
      <w:pPr>
        <w:spacing w:before="100" w:beforeAutospacing="1" w:after="100" w:afterAutospacing="1" w:line="240" w:lineRule="auto"/>
        <w:rPr>
          <w:rFonts w:ascii="Times New Roman" w:hAnsi="Times New Roman" w:cs="Times New Roman"/>
          <w:kern w:val="0"/>
          <w14:ligatures w14:val="none"/>
        </w:rPr>
      </w:pPr>
      <w:r w:rsidRPr="00B271E5">
        <w:rPr>
          <w:rFonts w:ascii="Times New Roman" w:hAnsi="Times New Roman" w:cs="Times New Roman"/>
          <w:kern w:val="0"/>
          <w14:ligatures w14:val="none"/>
        </w:rPr>
        <w:t>Another important issue is consistency. There is no standardised format for presenting Early Help information across local authorities, which can lead to confusion for families who move between areas or access information from different sources. This lack of consistency may also create inequalities in access to information, as some families may benefit from clearer and more accessible websites than others.</w:t>
      </w:r>
    </w:p>
    <w:p w14:paraId="75CC8025" w14:textId="178DF301" w:rsidR="00B271E5" w:rsidRPr="00B271E5" w:rsidRDefault="00B271E5" w:rsidP="00B271E5">
      <w:pPr>
        <w:spacing w:before="100" w:beforeAutospacing="1" w:after="100" w:afterAutospacing="1" w:line="240" w:lineRule="auto"/>
        <w:rPr>
          <w:rFonts w:ascii="Times New Roman" w:hAnsi="Times New Roman" w:cs="Times New Roman"/>
          <w:kern w:val="0"/>
          <w14:ligatures w14:val="none"/>
        </w:rPr>
      </w:pPr>
      <w:r w:rsidRPr="00B271E5">
        <w:rPr>
          <w:rFonts w:ascii="Times New Roman" w:hAnsi="Times New Roman" w:cs="Times New Roman"/>
          <w:kern w:val="0"/>
          <w14:ligatures w14:val="none"/>
        </w:rPr>
        <w:t xml:space="preserve">Furthermore, the effectiveness of signposting is closely linked to how well websites guide users towards taking action. Providing information alone is not sufficient; websites must also encourage engagement and clearly explain the next steps. This includes providing simple referral processes, clear contact details and reassurance about the nature of support. In this respect, the </w:t>
      </w:r>
      <w:hyperlink r:id="rId6" w:history="1">
        <w:r w:rsidRPr="00B271E5">
          <w:rPr>
            <w:rFonts w:ascii="Times New Roman" w:hAnsi="Times New Roman" w:cs="Times New Roman"/>
            <w:color w:val="0000FF"/>
            <w:kern w:val="0"/>
            <w:u w:val="single"/>
            <w14:ligatures w14:val="none"/>
          </w:rPr>
          <w:t>Leeds City Council</w:t>
        </w:r>
      </w:hyperlink>
      <w:r w:rsidRPr="00B271E5">
        <w:rPr>
          <w:rFonts w:ascii="Times New Roman" w:hAnsi="Times New Roman" w:cs="Times New Roman"/>
          <w:kern w:val="0"/>
          <w14:ligatures w14:val="none"/>
        </w:rPr>
        <w:t xml:space="preserve"> website again demonstrates stronger practice, as it offers multiple ways for families to access support.</w:t>
      </w:r>
    </w:p>
    <w:p w14:paraId="19EDFCFF" w14:textId="77777777" w:rsidR="00846F02" w:rsidRDefault="00B271E5" w:rsidP="006C788E">
      <w:pPr>
        <w:spacing w:before="100" w:beforeAutospacing="1" w:after="100" w:afterAutospacing="1" w:line="240" w:lineRule="auto"/>
        <w:rPr>
          <w:rFonts w:ascii="Times New Roman" w:eastAsia="Times New Roman" w:hAnsi="Times New Roman" w:cs="Times New Roman"/>
          <w:b/>
          <w:bCs/>
          <w:kern w:val="0"/>
          <w:sz w:val="36"/>
          <w:szCs w:val="36"/>
          <w14:ligatures w14:val="none"/>
        </w:rPr>
      </w:pPr>
      <w:r w:rsidRPr="00B271E5">
        <w:rPr>
          <w:rFonts w:ascii="Times New Roman" w:hAnsi="Times New Roman" w:cs="Times New Roman"/>
          <w:kern w:val="0"/>
          <w14:ligatures w14:val="none"/>
        </w:rPr>
        <w:t xml:space="preserve">Another area for critical consideration is the balance between professional and family-focused content. Some local authority websites appear to prioritise professional audiences, which may limit their usefulness for families. For example, the </w:t>
      </w:r>
      <w:hyperlink r:id="rId7" w:history="1">
        <w:r w:rsidRPr="00B271E5">
          <w:rPr>
            <w:rFonts w:ascii="Times New Roman" w:hAnsi="Times New Roman" w:cs="Times New Roman"/>
            <w:color w:val="0000FF"/>
            <w:kern w:val="0"/>
            <w:u w:val="single"/>
            <w14:ligatures w14:val="none"/>
          </w:rPr>
          <w:t>Staffordshire County Council</w:t>
        </w:r>
      </w:hyperlink>
      <w:r w:rsidRPr="00B271E5">
        <w:rPr>
          <w:rFonts w:ascii="Times New Roman" w:hAnsi="Times New Roman" w:cs="Times New Roman"/>
          <w:kern w:val="0"/>
          <w14:ligatures w14:val="none"/>
        </w:rPr>
        <w:t xml:space="preserve"> website includes detailed information that may be more relevant to practitioners than to parents. This highlights the need for websites to clearly distinguish between information intended for professionals and that intended for families.In addition, the language used on websites can significantly influence engagement. Technical terminology, while appropriate for professionals, may act as a barrier for families. Therefore, it is essential that websites use clear, simple and inclusive language. This aligns with the principles outlined in the </w:t>
      </w:r>
      <w:hyperlink r:id="rId8" w:history="1">
        <w:r w:rsidRPr="00B271E5">
          <w:rPr>
            <w:rFonts w:ascii="Times New Roman" w:hAnsi="Times New Roman" w:cs="Times New Roman"/>
            <w:color w:val="0000FF"/>
            <w:kern w:val="0"/>
            <w:u w:val="single"/>
            <w14:ligatures w14:val="none"/>
          </w:rPr>
          <w:t>Early Help System Guide</w:t>
        </w:r>
      </w:hyperlink>
      <w:r w:rsidRPr="00B271E5">
        <w:rPr>
          <w:rFonts w:ascii="Times New Roman" w:hAnsi="Times New Roman" w:cs="Times New Roman"/>
          <w:kern w:val="0"/>
          <w14:ligatures w14:val="none"/>
        </w:rPr>
        <w:t>, which emphasises the importance of accessibility and user-centred design.</w:t>
      </w:r>
      <w:r w:rsidR="006C788E" w:rsidRPr="006C788E">
        <w:rPr>
          <w:rFonts w:ascii="Times New Roman" w:eastAsia="Times New Roman" w:hAnsi="Times New Roman" w:cs="Times New Roman"/>
          <w:b/>
          <w:bCs/>
          <w:kern w:val="0"/>
          <w:sz w:val="36"/>
          <w:szCs w:val="36"/>
          <w14:ligatures w14:val="none"/>
        </w:rPr>
        <w:t xml:space="preserve"> </w:t>
      </w:r>
    </w:p>
    <w:p w14:paraId="1D855403" w14:textId="7BAC3EB1" w:rsidR="006C788E" w:rsidRPr="006C788E" w:rsidRDefault="006C788E" w:rsidP="006C788E">
      <w:pPr>
        <w:spacing w:before="100" w:beforeAutospacing="1" w:after="100" w:afterAutospacing="1" w:line="240" w:lineRule="auto"/>
        <w:rPr>
          <w:rFonts w:ascii="Times New Roman" w:hAnsi="Times New Roman" w:cs="Times New Roman"/>
          <w:kern w:val="0"/>
          <w14:ligatures w14:val="none"/>
        </w:rPr>
      </w:pPr>
      <w:r w:rsidRPr="006C788E">
        <w:rPr>
          <w:rFonts w:ascii="Times New Roman" w:eastAsia="Times New Roman" w:hAnsi="Times New Roman" w:cs="Times New Roman"/>
          <w:b/>
          <w:bCs/>
          <w:kern w:val="0"/>
          <w:sz w:val="36"/>
          <w:szCs w:val="36"/>
          <w14:ligatures w14:val="none"/>
        </w:rPr>
        <w:t>Additional Consideration: The Role of Professional Guidance and Offline Support</w:t>
      </w:r>
      <w:r w:rsidRPr="006C788E">
        <w:rPr>
          <w:rFonts w:ascii="Times New Roman" w:hAnsi="Times New Roman" w:cs="Times New Roman"/>
          <w:kern w:val="0"/>
          <w14:ligatures w14:val="none"/>
        </w:rPr>
        <w:t>Another important aspect to consider is the role of professionals in supporting families to access Early Help services beyond what is available on local authority websites. While online information is useful, many families do not independently seek support through digital platforms. Instead, they rely on trusted professionals such as teachers, health visitors or general practitioners to guide them towards appropriate services.</w:t>
      </w:r>
    </w:p>
    <w:p w14:paraId="2B3A8E9C" w14:textId="2E213BE7" w:rsidR="006C788E" w:rsidRPr="006C788E" w:rsidRDefault="006C788E" w:rsidP="006C788E">
      <w:pPr>
        <w:spacing w:before="100" w:beforeAutospacing="1" w:after="100" w:afterAutospacing="1" w:line="240" w:lineRule="auto"/>
        <w:rPr>
          <w:rFonts w:ascii="Times New Roman" w:hAnsi="Times New Roman" w:cs="Times New Roman"/>
          <w:kern w:val="0"/>
          <w14:ligatures w14:val="none"/>
        </w:rPr>
      </w:pPr>
      <w:r w:rsidRPr="006C788E">
        <w:rPr>
          <w:rFonts w:ascii="Times New Roman" w:hAnsi="Times New Roman" w:cs="Times New Roman"/>
          <w:kern w:val="0"/>
          <w14:ligatures w14:val="none"/>
        </w:rPr>
        <w:t>This highlights a limitation of relying heavily on websites for signposting. Even the most accessible and well-designed website may not reach families who are less confident in seeking help or who are unaware of available support. Therefore, effective Early Help systems should combine digital information with proactive professional involvement. For example, schools and health services can play a key role in identifying needs early and directing families to relevant services.</w:t>
      </w:r>
    </w:p>
    <w:p w14:paraId="71203806" w14:textId="7BF2D6A4" w:rsidR="006C788E" w:rsidRPr="006C788E" w:rsidRDefault="006C788E" w:rsidP="006C788E">
      <w:pPr>
        <w:spacing w:before="100" w:beforeAutospacing="1" w:after="100" w:afterAutospacing="1" w:line="240" w:lineRule="auto"/>
        <w:rPr>
          <w:rFonts w:ascii="Times New Roman" w:hAnsi="Times New Roman" w:cs="Times New Roman"/>
          <w:kern w:val="0"/>
          <w14:ligatures w14:val="none"/>
        </w:rPr>
      </w:pPr>
      <w:r w:rsidRPr="006C788E">
        <w:rPr>
          <w:rFonts w:ascii="Times New Roman" w:hAnsi="Times New Roman" w:cs="Times New Roman"/>
          <w:kern w:val="0"/>
          <w14:ligatures w14:val="none"/>
        </w:rPr>
        <w:lastRenderedPageBreak/>
        <w:t>In addition, face-to-face communication can help to build trust, which is essential for engagement. Families may feel more comfortable discussing their needs with a professional rather than navigating a website alone. This is particularly important for vulnerable families who may feel anxious or unsure about seeking support.</w:t>
      </w:r>
    </w:p>
    <w:p w14:paraId="7C123756" w14:textId="77777777" w:rsidR="006C788E" w:rsidRPr="006C788E" w:rsidRDefault="006C788E" w:rsidP="006C788E">
      <w:pPr>
        <w:spacing w:before="100" w:beforeAutospacing="1" w:after="100" w:afterAutospacing="1" w:line="240" w:lineRule="auto"/>
        <w:rPr>
          <w:rFonts w:ascii="Times New Roman" w:hAnsi="Times New Roman" w:cs="Times New Roman"/>
          <w:kern w:val="0"/>
          <w14:ligatures w14:val="none"/>
        </w:rPr>
      </w:pPr>
      <w:r w:rsidRPr="006C788E">
        <w:rPr>
          <w:rFonts w:ascii="Times New Roman" w:hAnsi="Times New Roman" w:cs="Times New Roman"/>
          <w:kern w:val="0"/>
          <w14:ligatures w14:val="none"/>
        </w:rPr>
        <w:t>Overall, while local authority websites are an important tool for signposting Early Help, they should be seen as part of a wider system that includes professional guidance and community-based support.</w:t>
      </w:r>
    </w:p>
    <w:p w14:paraId="07E2282C" w14:textId="5A0F7D4E" w:rsidR="00E650E9" w:rsidRPr="00D13DC7" w:rsidRDefault="00B271E5" w:rsidP="00D13DC7">
      <w:pPr>
        <w:spacing w:before="100" w:beforeAutospacing="1" w:after="100" w:afterAutospacing="1" w:line="240" w:lineRule="auto"/>
        <w:rPr>
          <w:rFonts w:ascii="Times New Roman" w:hAnsi="Times New Roman" w:cs="Times New Roman"/>
          <w:kern w:val="0"/>
          <w14:ligatures w14:val="none"/>
        </w:rPr>
      </w:pPr>
      <w:r w:rsidRPr="00B271E5">
        <w:rPr>
          <w:rFonts w:ascii="Times New Roman" w:hAnsi="Times New Roman" w:cs="Times New Roman"/>
          <w:kern w:val="0"/>
          <w14:ligatures w14:val="none"/>
        </w:rPr>
        <w:t>Finally, it is important to consider the broader implications of effective Early Help signposting. When families are able to access support early, this can lead to improved outcomes in areas such as education, health and wellbeing. It can also reduce the demand for more intensive services, resulting in cost savings for local authorities and wider public services. However, if signposting is ineffective, families may not receive the support they need, which can lead to escalation of problems and increased pressure on statutory services.</w:t>
      </w:r>
    </w:p>
    <w:p w14:paraId="21209413" w14:textId="77777777" w:rsidR="00D13DC7" w:rsidRPr="00D13DC7" w:rsidRDefault="00D13DC7" w:rsidP="00D13DC7">
      <w:pPr>
        <w:spacing w:after="0" w:line="240" w:lineRule="auto"/>
        <w:rPr>
          <w:rFonts w:ascii="Times New Roman" w:eastAsia="Times New Roman" w:hAnsi="Times New Roman" w:cs="Times New Roman"/>
          <w:kern w:val="0"/>
          <w14:ligatures w14:val="none"/>
        </w:rPr>
      </w:pPr>
      <w:r w:rsidRPr="00D13DC7">
        <w:rPr>
          <w:rFonts w:ascii="Times New Roman" w:eastAsia="Times New Roman" w:hAnsi="Times New Roman" w:cs="Times New Roman"/>
          <w:noProof/>
          <w:kern w:val="0"/>
          <w14:ligatures w14:val="none"/>
        </w:rPr>
        <mc:AlternateContent>
          <mc:Choice Requires="wps">
            <w:drawing>
              <wp:inline distT="0" distB="0" distL="0" distR="0" wp14:anchorId="6FA02A59" wp14:editId="6E857A1C">
                <wp:extent cx="5731510" cy="1270"/>
                <wp:effectExtent l="0" t="33655" r="0" b="38735"/>
                <wp:docPr id="1716333444" name="Rectangle 1"/>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rrowheads="1"/>
                      </wps:cNvSpPr>
                      <wps:spPr bwMode="auto">
                        <a:xfrm>
                          <a:off x="0" y="0"/>
                          <a:ext cx="41614725" cy="1270"/>
                        </a:xfrm>
                        <a:prstGeom prst="rect">
                          <a:avLst/>
                        </a:prstGeom>
                        <a:noFill/>
                        <a:ln w="9525">
                          <a:gradFill rotWithShape="0">
                            <a:gsLst>
                              <a:gs pos="0">
                                <a:srgbClr val="A0A0A0"/>
                              </a:gs>
                              <a:gs pos="100000">
                                <a:srgbClr val="E3E3E3"/>
                              </a:gs>
                            </a:gsLst>
                            <a:lin ang="5400000"/>
                          </a:gradFill>
                          <a:miter lim="800000"/>
                          <a:headEnd/>
                          <a:tailEnd/>
                        </a:ln>
                      </wps:spPr>
                      <wps:bodyPr rot="0" vert="horz" wrap="square" lIns="91440" tIns="45720" rIns="91440" bIns="45720" anchor="t" anchorCtr="0" upright="1">
                        <a:noAutofit/>
                      </wps:bodyPr>
                    </wps:wsp>
                  </a:graphicData>
                </a:graphic>
              </wp:inline>
            </w:drawing>
          </mc:Choice>
          <mc:Fallback>
            <w:pict>
              <v:rect w14:anchorId="1A223112" id="Rectangle 1" o:spid="_x0000_s1026" style="width:451.3pt;height:.1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" filled="f">
                <w10:anchorlock/>
              </v:rect>
            </w:pict>
          </mc:Fallback>
        </mc:AlternateContent>
      </w:r>
    </w:p>
    <w:p w14:paraId="3A0E0EA9" w14:textId="1F46FBCB" w:rsidR="00D13DC7" w:rsidRPr="00846F02" w:rsidRDefault="00D13DC7" w:rsidP="00846F02">
      <w:pPr>
        <w:spacing w:before="100" w:beforeAutospacing="1" w:after="100" w:afterAutospacing="1" w:line="240" w:lineRule="auto"/>
        <w:outlineLvl w:val="1"/>
        <w:rPr>
          <w:rFonts w:ascii="Times New Roman" w:hAnsi="Times New Roman" w:cs="Times New Roman"/>
          <w:b/>
          <w:bCs/>
          <w:kern w:val="0"/>
          <w:sz w:val="36"/>
          <w:szCs w:val="36"/>
          <w14:ligatures w14:val="none"/>
        </w:rPr>
      </w:pPr>
      <w:r w:rsidRPr="00D13DC7">
        <w:rPr>
          <w:rFonts w:ascii="Times New Roman" w:eastAsia="Times New Roman" w:hAnsi="Times New Roman" w:cs="Times New Roman"/>
          <w:b/>
          <w:bCs/>
          <w:kern w:val="0"/>
          <w:sz w:val="36"/>
          <w:szCs w:val="36"/>
          <w14:ligatures w14:val="none"/>
        </w:rPr>
        <w:t>Conclusion</w:t>
      </w:r>
    </w:p>
    <w:p w14:paraId="0A9C5F7D" w14:textId="01366827" w:rsidR="00D13DC7" w:rsidRPr="00D13DC7" w:rsidRDefault="00D13DC7" w:rsidP="00D13DC7">
      <w:pPr>
        <w:spacing w:before="100" w:beforeAutospacing="1" w:after="100" w:afterAutospacing="1" w:line="240" w:lineRule="auto"/>
        <w:rPr>
          <w:rFonts w:ascii="Times New Roman" w:hAnsi="Times New Roman" w:cs="Times New Roman"/>
          <w:kern w:val="0"/>
          <w14:ligatures w14:val="none"/>
        </w:rPr>
      </w:pPr>
      <w:r w:rsidRPr="00D13DC7">
        <w:rPr>
          <w:rFonts w:ascii="Times New Roman" w:hAnsi="Times New Roman" w:cs="Times New Roman"/>
          <w:kern w:val="0"/>
          <w14:ligatures w14:val="none"/>
        </w:rPr>
        <w:t>In conclusion, Early Help is a vital part of the UK children’s services system, aiming to provide early and preventative support to families. Local authority websites play a crucial role in ensuring that families can access support.</w:t>
      </w:r>
    </w:p>
    <w:p w14:paraId="48EB56B9" w14:textId="1F4645A2" w:rsidR="00D13DC7" w:rsidRPr="00D13DC7" w:rsidRDefault="00D13DC7" w:rsidP="00D13DC7">
      <w:pPr>
        <w:spacing w:before="100" w:beforeAutospacing="1" w:after="100" w:afterAutospacing="1" w:line="240" w:lineRule="auto"/>
        <w:rPr>
          <w:rFonts w:ascii="Times New Roman" w:hAnsi="Times New Roman" w:cs="Times New Roman"/>
          <w:kern w:val="0"/>
          <w14:ligatures w14:val="none"/>
        </w:rPr>
      </w:pPr>
      <w:r w:rsidRPr="00D13DC7">
        <w:rPr>
          <w:rFonts w:ascii="Times New Roman" w:hAnsi="Times New Roman" w:cs="Times New Roman"/>
          <w:kern w:val="0"/>
          <w14:ligatures w14:val="none"/>
        </w:rPr>
        <w:t>Among the three local authorities examined, Leeds City Council provides the most accessible and user-friendly website. Staffordshire provides comprehensive information but could improve accessibility, while Southwark offers detailed information but may be less accessible.</w:t>
      </w:r>
    </w:p>
    <w:p w14:paraId="278F6F98" w14:textId="073C3E29" w:rsidR="000E2468" w:rsidRDefault="00D13DC7" w:rsidP="00846F02">
      <w:pPr>
        <w:spacing w:before="100" w:beforeAutospacing="1" w:after="100" w:afterAutospacing="1" w:line="240" w:lineRule="auto"/>
        <w:rPr>
          <w:rFonts w:ascii="Times New Roman" w:hAnsi="Times New Roman" w:cs="Times New Roman"/>
          <w:kern w:val="0"/>
          <w14:ligatures w14:val="none"/>
        </w:rPr>
      </w:pPr>
      <w:r w:rsidRPr="00D13DC7">
        <w:rPr>
          <w:rFonts w:ascii="Times New Roman" w:hAnsi="Times New Roman" w:cs="Times New Roman"/>
          <w:kern w:val="0"/>
          <w14:ligatures w14:val="none"/>
        </w:rPr>
        <w:t>Improving accessibility, simplifying language and addressing digital inequality are essential for ensuring that Early Help services are effective and inclusive.</w:t>
      </w:r>
    </w:p>
    <w:p w14:paraId="06856C9A" w14:textId="10F7A331" w:rsidR="000E2468" w:rsidRPr="00294695" w:rsidRDefault="000E2468" w:rsidP="00294695">
      <w:pPr>
        <w:spacing w:before="100" w:beforeAutospacing="1" w:after="100" w:afterAutospacing="1" w:line="240" w:lineRule="auto"/>
        <w:outlineLvl w:val="0"/>
        <w:rPr>
          <w:rFonts w:ascii="Times New Roman" w:eastAsia="Times New Roman" w:hAnsi="Times New Roman" w:cs="Times New Roman"/>
          <w:b/>
          <w:bCs/>
          <w:kern w:val="36"/>
          <w:sz w:val="48"/>
          <w:szCs w:val="48"/>
          <w14:ligatures w14:val="none"/>
        </w:rPr>
      </w:pPr>
      <w:r w:rsidRPr="000E2468">
        <w:rPr>
          <w:rFonts w:ascii="Times New Roman" w:eastAsia="Times New Roman" w:hAnsi="Times New Roman" w:cs="Times New Roman"/>
          <w:b/>
          <w:bCs/>
          <w:kern w:val="36"/>
          <w:sz w:val="48"/>
          <w:szCs w:val="48"/>
          <w14:ligatures w14:val="none"/>
        </w:rPr>
        <w:t>Reference List</w:t>
      </w:r>
    </w:p>
    <w:p w14:paraId="47A40A04" w14:textId="77777777" w:rsidR="000E2468" w:rsidRPr="000E2468" w:rsidRDefault="000E2468" w:rsidP="000E2468">
      <w:pPr>
        <w:spacing w:before="100" w:beforeAutospacing="1" w:after="100" w:afterAutospacing="1" w:line="240" w:lineRule="auto"/>
        <w:rPr>
          <w:rFonts w:ascii="Times New Roman" w:hAnsi="Times New Roman" w:cs="Times New Roman"/>
          <w:kern w:val="0"/>
          <w14:ligatures w14:val="none"/>
        </w:rPr>
      </w:pPr>
      <w:r w:rsidRPr="000E2468">
        <w:rPr>
          <w:rFonts w:ascii="Times New Roman" w:hAnsi="Times New Roman" w:cs="Times New Roman"/>
          <w:kern w:val="0"/>
          <w14:ligatures w14:val="none"/>
        </w:rPr>
        <w:t>Department for Education (2023) Working together to safeguard children 2023: statutory guidance. London: Department for Education. Available at: https://www.gov.uk/government/publications/working-together-to-safeguard-children–2 (Accessed: 28 March 2026).</w:t>
      </w:r>
    </w:p>
    <w:p w14:paraId="7B210C86" w14:textId="77777777" w:rsidR="000E2468" w:rsidRPr="00E37A01" w:rsidRDefault="000E2468" w:rsidP="000E2468">
      <w:pPr>
        <w:spacing w:before="100" w:beforeAutospacing="1" w:after="100" w:afterAutospacing="1" w:line="240" w:lineRule="auto"/>
        <w:rPr>
          <w:rFonts w:ascii="Times New Roman" w:hAnsi="Times New Roman" w:cs="Times New Roman"/>
          <w:kern w:val="0"/>
          <w:lang w:val="hu-HU"/>
          <w14:ligatures w14:val="none"/>
        </w:rPr>
      </w:pPr>
    </w:p>
    <w:p w14:paraId="3DEA5F0D" w14:textId="77777777" w:rsidR="000E2468" w:rsidRPr="000E2468" w:rsidRDefault="000E2468" w:rsidP="000E2468">
      <w:pPr>
        <w:spacing w:before="100" w:beforeAutospacing="1" w:after="100" w:afterAutospacing="1" w:line="240" w:lineRule="auto"/>
        <w:rPr>
          <w:rFonts w:ascii="Times New Roman" w:hAnsi="Times New Roman" w:cs="Times New Roman"/>
          <w:kern w:val="0"/>
          <w14:ligatures w14:val="none"/>
        </w:rPr>
      </w:pPr>
      <w:r w:rsidRPr="000E2468">
        <w:rPr>
          <w:rFonts w:ascii="Times New Roman" w:hAnsi="Times New Roman" w:cs="Times New Roman"/>
          <w:kern w:val="0"/>
          <w14:ligatures w14:val="none"/>
        </w:rPr>
        <w:t>Department for Education (2020) Early help system guide. London: Department for Education. Available at: https://www.gov.uk/government/publications/supporting-families-early-help-system-guide (Accessed: 28 March 2026).</w:t>
      </w:r>
    </w:p>
    <w:p w14:paraId="634D3EA0" w14:textId="77777777" w:rsidR="000E2468" w:rsidRPr="000E2468" w:rsidRDefault="000E2468" w:rsidP="000E2468">
      <w:pPr>
        <w:spacing w:before="100" w:beforeAutospacing="1" w:after="100" w:afterAutospacing="1" w:line="240" w:lineRule="auto"/>
        <w:rPr>
          <w:rFonts w:ascii="Times New Roman" w:hAnsi="Times New Roman" w:cs="Times New Roman"/>
          <w:kern w:val="0"/>
          <w14:ligatures w14:val="none"/>
        </w:rPr>
      </w:pPr>
    </w:p>
    <w:p w14:paraId="25687637" w14:textId="77777777" w:rsidR="000E2468" w:rsidRPr="000E2468" w:rsidRDefault="000E2468" w:rsidP="000E2468">
      <w:pPr>
        <w:spacing w:before="100" w:beforeAutospacing="1" w:after="100" w:afterAutospacing="1" w:line="240" w:lineRule="auto"/>
        <w:rPr>
          <w:rFonts w:ascii="Times New Roman" w:hAnsi="Times New Roman" w:cs="Times New Roman"/>
          <w:kern w:val="0"/>
          <w14:ligatures w14:val="none"/>
        </w:rPr>
      </w:pPr>
      <w:r w:rsidRPr="000E2468">
        <w:rPr>
          <w:rFonts w:ascii="Times New Roman" w:hAnsi="Times New Roman" w:cs="Times New Roman"/>
          <w:kern w:val="0"/>
          <w14:ligatures w14:val="none"/>
        </w:rPr>
        <w:t>Allen, G. (2011) Early Intervention: The Next Steps. London: HM Government.</w:t>
      </w:r>
    </w:p>
    <w:p w14:paraId="338BD9A6" w14:textId="77777777" w:rsidR="000E2468" w:rsidRPr="000E2468" w:rsidRDefault="000E2468" w:rsidP="000E2468">
      <w:pPr>
        <w:spacing w:before="100" w:beforeAutospacing="1" w:after="100" w:afterAutospacing="1" w:line="240" w:lineRule="auto"/>
        <w:rPr>
          <w:rFonts w:ascii="Times New Roman" w:hAnsi="Times New Roman" w:cs="Times New Roman"/>
          <w:kern w:val="0"/>
          <w14:ligatures w14:val="none"/>
        </w:rPr>
      </w:pPr>
    </w:p>
    <w:p w14:paraId="17297B97" w14:textId="77777777" w:rsidR="000E2468" w:rsidRPr="000E2468" w:rsidRDefault="000E2468" w:rsidP="000E2468">
      <w:pPr>
        <w:spacing w:before="100" w:beforeAutospacing="1" w:after="100" w:afterAutospacing="1" w:line="240" w:lineRule="auto"/>
        <w:rPr>
          <w:rFonts w:ascii="Times New Roman" w:hAnsi="Times New Roman" w:cs="Times New Roman"/>
          <w:kern w:val="0"/>
          <w14:ligatures w14:val="none"/>
        </w:rPr>
      </w:pPr>
      <w:r w:rsidRPr="000E2468">
        <w:rPr>
          <w:rFonts w:ascii="Times New Roman" w:hAnsi="Times New Roman" w:cs="Times New Roman"/>
          <w:kern w:val="0"/>
          <w14:ligatures w14:val="none"/>
        </w:rPr>
        <w:t>Munro, E. (2011) The Munro Review of Child Protection: Final Report. London: Department for Education.</w:t>
      </w:r>
    </w:p>
    <w:p w14:paraId="2D7711DE" w14:textId="77777777" w:rsidR="000E2468" w:rsidRPr="000E2468" w:rsidRDefault="000E2468" w:rsidP="000E2468">
      <w:pPr>
        <w:spacing w:before="100" w:beforeAutospacing="1" w:after="100" w:afterAutospacing="1" w:line="240" w:lineRule="auto"/>
        <w:rPr>
          <w:rFonts w:ascii="Times New Roman" w:hAnsi="Times New Roman" w:cs="Times New Roman"/>
          <w:kern w:val="0"/>
          <w14:ligatures w14:val="none"/>
        </w:rPr>
      </w:pPr>
    </w:p>
    <w:p w14:paraId="4BF54C76" w14:textId="77777777" w:rsidR="000E2468" w:rsidRPr="000E2468" w:rsidRDefault="000E2468" w:rsidP="000E2468">
      <w:pPr>
        <w:spacing w:before="100" w:beforeAutospacing="1" w:after="100" w:afterAutospacing="1" w:line="240" w:lineRule="auto"/>
        <w:rPr>
          <w:rFonts w:ascii="Times New Roman" w:hAnsi="Times New Roman" w:cs="Times New Roman"/>
          <w:kern w:val="0"/>
          <w14:ligatures w14:val="none"/>
        </w:rPr>
      </w:pPr>
      <w:r w:rsidRPr="000E2468">
        <w:rPr>
          <w:rFonts w:ascii="Times New Roman" w:hAnsi="Times New Roman" w:cs="Times New Roman"/>
          <w:kern w:val="0"/>
          <w14:ligatures w14:val="none"/>
        </w:rPr>
        <w:t>Featherstone, B., White, S. and Morris, K. (2014) Re-imagining Child Protection: Towards humane social work with families. Bristol: Policy Press.</w:t>
      </w:r>
    </w:p>
    <w:p w14:paraId="1C832A67" w14:textId="77777777" w:rsidR="000E2468" w:rsidRPr="000E2468" w:rsidRDefault="000E2468" w:rsidP="000E2468">
      <w:pPr>
        <w:spacing w:before="100" w:beforeAutospacing="1" w:after="100" w:afterAutospacing="1" w:line="240" w:lineRule="auto"/>
        <w:rPr>
          <w:rFonts w:ascii="Times New Roman" w:hAnsi="Times New Roman" w:cs="Times New Roman"/>
          <w:kern w:val="0"/>
          <w14:ligatures w14:val="none"/>
        </w:rPr>
      </w:pPr>
    </w:p>
    <w:p w14:paraId="6EFE7B98" w14:textId="77777777" w:rsidR="000E2468" w:rsidRPr="000E2468" w:rsidRDefault="000E2468" w:rsidP="000E2468">
      <w:pPr>
        <w:spacing w:before="100" w:beforeAutospacing="1" w:after="100" w:afterAutospacing="1" w:line="240" w:lineRule="auto"/>
        <w:rPr>
          <w:rFonts w:ascii="Times New Roman" w:hAnsi="Times New Roman" w:cs="Times New Roman"/>
          <w:kern w:val="0"/>
          <w14:ligatures w14:val="none"/>
        </w:rPr>
      </w:pPr>
      <w:hyperlink r:id="rId9" w:history="1">
        <w:r w:rsidRPr="000E2468">
          <w:rPr>
            <w:rFonts w:ascii="Times New Roman" w:hAnsi="Times New Roman" w:cs="Times New Roman"/>
            <w:color w:val="0000FF"/>
            <w:kern w:val="0"/>
            <w:u w:val="single"/>
            <w14:ligatures w14:val="none"/>
          </w:rPr>
          <w:t>Leeds City Council</w:t>
        </w:r>
      </w:hyperlink>
      <w:r w:rsidRPr="000E2468">
        <w:rPr>
          <w:rFonts w:ascii="Times New Roman" w:hAnsi="Times New Roman" w:cs="Times New Roman"/>
          <w:kern w:val="0"/>
          <w14:ligatures w14:val="none"/>
        </w:rPr>
        <w:t xml:space="preserve"> (2024) Early help for families. Available at: https://www.leeds.gov.uk (Accessed: 28 March 2026).</w:t>
      </w:r>
    </w:p>
    <w:p w14:paraId="33D86FAE" w14:textId="77777777" w:rsidR="000E2468" w:rsidRPr="000E2468" w:rsidRDefault="000E2468" w:rsidP="000E2468">
      <w:pPr>
        <w:spacing w:before="100" w:beforeAutospacing="1" w:after="100" w:afterAutospacing="1" w:line="240" w:lineRule="auto"/>
        <w:rPr>
          <w:rFonts w:ascii="Times New Roman" w:hAnsi="Times New Roman" w:cs="Times New Roman"/>
          <w:kern w:val="0"/>
          <w14:ligatures w14:val="none"/>
        </w:rPr>
      </w:pPr>
    </w:p>
    <w:p w14:paraId="11412AA0" w14:textId="77777777" w:rsidR="000E2468" w:rsidRPr="000E2468" w:rsidRDefault="000E2468" w:rsidP="000E2468">
      <w:pPr>
        <w:spacing w:before="100" w:beforeAutospacing="1" w:after="100" w:afterAutospacing="1" w:line="240" w:lineRule="auto"/>
        <w:rPr>
          <w:rFonts w:ascii="Times New Roman" w:hAnsi="Times New Roman" w:cs="Times New Roman"/>
          <w:kern w:val="0"/>
          <w14:ligatures w14:val="none"/>
        </w:rPr>
      </w:pPr>
      <w:hyperlink r:id="rId10" w:history="1">
        <w:r w:rsidRPr="000E2468">
          <w:rPr>
            <w:rFonts w:ascii="Times New Roman" w:hAnsi="Times New Roman" w:cs="Times New Roman"/>
            <w:color w:val="0000FF"/>
            <w:kern w:val="0"/>
            <w:u w:val="single"/>
            <w14:ligatures w14:val="none"/>
          </w:rPr>
          <w:t>Staffordshire County Council</w:t>
        </w:r>
      </w:hyperlink>
      <w:r w:rsidRPr="000E2468">
        <w:rPr>
          <w:rFonts w:ascii="Times New Roman" w:hAnsi="Times New Roman" w:cs="Times New Roman"/>
          <w:kern w:val="0"/>
          <w14:ligatures w14:val="none"/>
        </w:rPr>
        <w:t xml:space="preserve"> (2024) Early help services. Available at: https://www.staffordshire.gov.uk (Accessed: 28 March 2026).</w:t>
      </w:r>
    </w:p>
    <w:p w14:paraId="0C0CE963" w14:textId="77777777" w:rsidR="000E2468" w:rsidRPr="000E2468" w:rsidRDefault="000E2468" w:rsidP="000E2468">
      <w:pPr>
        <w:spacing w:before="100" w:beforeAutospacing="1" w:after="100" w:afterAutospacing="1" w:line="240" w:lineRule="auto"/>
        <w:rPr>
          <w:rFonts w:ascii="Times New Roman" w:hAnsi="Times New Roman" w:cs="Times New Roman"/>
          <w:kern w:val="0"/>
          <w14:ligatures w14:val="none"/>
        </w:rPr>
      </w:pPr>
    </w:p>
    <w:p w14:paraId="66622359" w14:textId="77777777" w:rsidR="000E2468" w:rsidRPr="000E2468" w:rsidRDefault="000E2468" w:rsidP="000E2468">
      <w:pPr>
        <w:spacing w:before="100" w:beforeAutospacing="1" w:after="100" w:afterAutospacing="1" w:line="240" w:lineRule="auto"/>
        <w:rPr>
          <w:rFonts w:ascii="Times New Roman" w:hAnsi="Times New Roman" w:cs="Times New Roman"/>
          <w:kern w:val="0"/>
          <w14:ligatures w14:val="none"/>
        </w:rPr>
      </w:pPr>
      <w:hyperlink r:id="rId11" w:history="1">
        <w:r w:rsidRPr="000E2468">
          <w:rPr>
            <w:rFonts w:ascii="Times New Roman" w:hAnsi="Times New Roman" w:cs="Times New Roman"/>
            <w:color w:val="0000FF"/>
            <w:kern w:val="0"/>
            <w:u w:val="single"/>
            <w14:ligatures w14:val="none"/>
          </w:rPr>
          <w:t>Southwark Council</w:t>
        </w:r>
      </w:hyperlink>
      <w:r w:rsidRPr="000E2468">
        <w:rPr>
          <w:rFonts w:ascii="Times New Roman" w:hAnsi="Times New Roman" w:cs="Times New Roman"/>
          <w:kern w:val="0"/>
          <w14:ligatures w14:val="none"/>
        </w:rPr>
        <w:t xml:space="preserve"> (2024) Early help services. Available at: https://www.southwark.gov.uk (Accessed: 28 March 2026).</w:t>
      </w:r>
    </w:p>
    <w:p w14:paraId="04FF2611" w14:textId="77777777" w:rsidR="000E2468" w:rsidRPr="00846F02" w:rsidRDefault="000E2468" w:rsidP="00846F02">
      <w:pPr>
        <w:spacing w:before="100" w:beforeAutospacing="1" w:after="100" w:afterAutospacing="1" w:line="240" w:lineRule="auto"/>
        <w:rPr>
          <w:rFonts w:ascii="Times New Roman" w:hAnsi="Times New Roman" w:cs="Times New Roman"/>
          <w:kern w:val="0"/>
          <w14:ligatures w14:val="none"/>
        </w:rPr>
      </w:pPr>
    </w:p>
    <w:sectPr w:rsidR="000E2468" w:rsidRPr="00846F0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Helvetica">
    <w:panose1 w:val="00000000000000000000"/>
    <w:charset w:val="00"/>
    <w:family w:val="auto"/>
    <w:pitch w:val="variable"/>
    <w:sig w:usb0="E00002FF" w:usb1="5000785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67"/>
  <w:proofState w:spelling="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13DC7"/>
    <w:rsid w:val="000E2468"/>
    <w:rsid w:val="001855F4"/>
    <w:rsid w:val="002037FA"/>
    <w:rsid w:val="00273917"/>
    <w:rsid w:val="00294695"/>
    <w:rsid w:val="00302531"/>
    <w:rsid w:val="00366331"/>
    <w:rsid w:val="003C42B7"/>
    <w:rsid w:val="00465E69"/>
    <w:rsid w:val="006C788E"/>
    <w:rsid w:val="00717012"/>
    <w:rsid w:val="00740021"/>
    <w:rsid w:val="007A32FE"/>
    <w:rsid w:val="00846F02"/>
    <w:rsid w:val="009B0DEB"/>
    <w:rsid w:val="00B271E5"/>
    <w:rsid w:val="00BE3F7C"/>
    <w:rsid w:val="00D07FAC"/>
    <w:rsid w:val="00D13DC7"/>
    <w:rsid w:val="00D36541"/>
    <w:rsid w:val="00E37A01"/>
    <w:rsid w:val="00E64103"/>
    <w:rsid w:val="00E650E9"/>
    <w:rsid w:val="00EA0FC7"/>
    <w:rsid w:val="00EF027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27329A88"/>
  <w15:chartTrackingRefBased/>
  <w15:docId w15:val="{B45B1730-65FC-D740-A21C-6C95EFD9257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13DC7"/>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D13DC7"/>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D13DC7"/>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D13DC7"/>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D13DC7"/>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D13DC7"/>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13DC7"/>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13DC7"/>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13DC7"/>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13DC7"/>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D13DC7"/>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D13DC7"/>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D13DC7"/>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D13DC7"/>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D13DC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13DC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13DC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13DC7"/>
    <w:rPr>
      <w:rFonts w:eastAsiaTheme="majorEastAsia" w:cstheme="majorBidi"/>
      <w:color w:val="272727" w:themeColor="text1" w:themeTint="D8"/>
    </w:rPr>
  </w:style>
  <w:style w:type="paragraph" w:styleId="Title">
    <w:name w:val="Title"/>
    <w:basedOn w:val="Normal"/>
    <w:next w:val="Normal"/>
    <w:link w:val="TitleChar"/>
    <w:uiPriority w:val="10"/>
    <w:qFormat/>
    <w:rsid w:val="00D13DC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13DC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13DC7"/>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13DC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13DC7"/>
    <w:pPr>
      <w:spacing w:before="160"/>
      <w:jc w:val="center"/>
    </w:pPr>
    <w:rPr>
      <w:i/>
      <w:iCs/>
      <w:color w:val="404040" w:themeColor="text1" w:themeTint="BF"/>
    </w:rPr>
  </w:style>
  <w:style w:type="character" w:customStyle="1" w:styleId="QuoteChar">
    <w:name w:val="Quote Char"/>
    <w:basedOn w:val="DefaultParagraphFont"/>
    <w:link w:val="Quote"/>
    <w:uiPriority w:val="29"/>
    <w:rsid w:val="00D13DC7"/>
    <w:rPr>
      <w:i/>
      <w:iCs/>
      <w:color w:val="404040" w:themeColor="text1" w:themeTint="BF"/>
    </w:rPr>
  </w:style>
  <w:style w:type="paragraph" w:styleId="ListParagraph">
    <w:name w:val="List Paragraph"/>
    <w:basedOn w:val="Normal"/>
    <w:uiPriority w:val="34"/>
    <w:qFormat/>
    <w:rsid w:val="00D13DC7"/>
    <w:pPr>
      <w:ind w:left="720"/>
      <w:contextualSpacing/>
    </w:pPr>
  </w:style>
  <w:style w:type="character" w:styleId="IntenseEmphasis">
    <w:name w:val="Intense Emphasis"/>
    <w:basedOn w:val="DefaultParagraphFont"/>
    <w:uiPriority w:val="21"/>
    <w:qFormat/>
    <w:rsid w:val="00D13DC7"/>
    <w:rPr>
      <w:i/>
      <w:iCs/>
      <w:color w:val="0F4761" w:themeColor="accent1" w:themeShade="BF"/>
    </w:rPr>
  </w:style>
  <w:style w:type="paragraph" w:styleId="IntenseQuote">
    <w:name w:val="Intense Quote"/>
    <w:basedOn w:val="Normal"/>
    <w:next w:val="Normal"/>
    <w:link w:val="IntenseQuoteChar"/>
    <w:uiPriority w:val="30"/>
    <w:qFormat/>
    <w:rsid w:val="00D13DC7"/>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D13DC7"/>
    <w:rPr>
      <w:i/>
      <w:iCs/>
      <w:color w:val="0F4761" w:themeColor="accent1" w:themeShade="BF"/>
    </w:rPr>
  </w:style>
  <w:style w:type="character" w:styleId="IntenseReference">
    <w:name w:val="Intense Reference"/>
    <w:basedOn w:val="DefaultParagraphFont"/>
    <w:uiPriority w:val="32"/>
    <w:qFormat/>
    <w:rsid w:val="00D13DC7"/>
    <w:rPr>
      <w:b/>
      <w:bCs/>
      <w:smallCaps/>
      <w:color w:val="0F4761" w:themeColor="accent1" w:themeShade="BF"/>
      <w:spacing w:val="5"/>
    </w:rPr>
  </w:style>
  <w:style w:type="character" w:customStyle="1" w:styleId="s1">
    <w:name w:val="s1"/>
    <w:basedOn w:val="DefaultParagraphFont"/>
    <w:rsid w:val="00D13DC7"/>
  </w:style>
  <w:style w:type="paragraph" w:customStyle="1" w:styleId="p2">
    <w:name w:val="p2"/>
    <w:basedOn w:val="Normal"/>
    <w:rsid w:val="00D13DC7"/>
    <w:pPr>
      <w:spacing w:before="100" w:beforeAutospacing="1" w:after="100" w:afterAutospacing="1" w:line="240" w:lineRule="auto"/>
    </w:pPr>
    <w:rPr>
      <w:rFonts w:ascii="Times New Roman" w:hAnsi="Times New Roman" w:cs="Times New Roman"/>
      <w:kern w:val="0"/>
      <w14:ligatures w14:val="none"/>
    </w:rPr>
  </w:style>
  <w:style w:type="character" w:customStyle="1" w:styleId="s2">
    <w:name w:val="s2"/>
    <w:basedOn w:val="DefaultParagraphFont"/>
    <w:rsid w:val="00D13DC7"/>
  </w:style>
  <w:style w:type="paragraph" w:customStyle="1" w:styleId="p3">
    <w:name w:val="p3"/>
    <w:basedOn w:val="Normal"/>
    <w:rsid w:val="00D13DC7"/>
    <w:pPr>
      <w:spacing w:before="100" w:beforeAutospacing="1" w:after="100" w:afterAutospacing="1" w:line="240" w:lineRule="auto"/>
    </w:pPr>
    <w:rPr>
      <w:rFonts w:ascii="Times New Roman" w:hAnsi="Times New Roman" w:cs="Times New Roman"/>
      <w:kern w:val="0"/>
      <w14:ligatures w14:val="none"/>
    </w:rPr>
  </w:style>
  <w:style w:type="character" w:customStyle="1" w:styleId="s3">
    <w:name w:val="s3"/>
    <w:basedOn w:val="DefaultParagraphFont"/>
    <w:rsid w:val="00B271E5"/>
  </w:style>
  <w:style w:type="character" w:customStyle="1" w:styleId="s4">
    <w:name w:val="s4"/>
    <w:basedOn w:val="DefaultParagraphFont"/>
    <w:rsid w:val="000E2468"/>
  </w:style>
  <w:style w:type="character" w:styleId="Hyperlink">
    <w:name w:val="Hyperlink"/>
    <w:basedOn w:val="DefaultParagraphFont"/>
    <w:uiPriority w:val="99"/>
    <w:semiHidden/>
    <w:unhideWhenUsed/>
    <w:rsid w:val="000E2468"/>
    <w:rPr>
      <w:color w:val="0000FF"/>
      <w:u w:val="single"/>
    </w:rPr>
  </w:style>
  <w:style w:type="paragraph" w:customStyle="1" w:styleId="p1">
    <w:name w:val="p1"/>
    <w:basedOn w:val="Normal"/>
    <w:rsid w:val="00302531"/>
    <w:pPr>
      <w:spacing w:after="0" w:line="240" w:lineRule="auto"/>
    </w:pPr>
    <w:rPr>
      <w:rFonts w:ascii="Helvetica" w:hAnsi="Helvetica" w:cs="Times New Roman"/>
      <w:kern w:val="0"/>
      <w:sz w:val="18"/>
      <w:szCs w:val="18"/>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chatgpt://generic-entity?number=4" TargetMode="External"/><Relationship Id="rId13"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hyperlink" Target="chatgpt://generic-entity?number=3" TargetMode="External"/><Relationship Id="rId12"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chatgpt://generic-entity?number=2" TargetMode="External"/><Relationship Id="rId11" Type="http://schemas.openxmlformats.org/officeDocument/2006/relationships/hyperlink" Target="chatgpt://generic-entity?number=2" TargetMode="External"/><Relationship Id="rId5" Type="http://schemas.openxmlformats.org/officeDocument/2006/relationships/hyperlink" Target="chatgpt://generic-entity?number=1" TargetMode="External"/><Relationship Id="rId10" Type="http://schemas.openxmlformats.org/officeDocument/2006/relationships/hyperlink" Target="chatgpt://generic-entity?number=1" TargetMode="External"/><Relationship Id="rId4" Type="http://schemas.openxmlformats.org/officeDocument/2006/relationships/hyperlink" Target="chatgpt://generic-entity?number=0" TargetMode="External"/><Relationship Id="rId9" Type="http://schemas.openxmlformats.org/officeDocument/2006/relationships/hyperlink" Target="chatgpt://generic-entity?number=0"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2</TotalTime>
  <Pages>7</Pages>
  <Words>2322</Words>
  <Characters>13238</Characters>
  <Application>Microsoft Office Word</Application>
  <DocSecurity>0</DocSecurity>
  <Lines>110</Lines>
  <Paragraphs>31</Paragraphs>
  <ScaleCrop>false</ScaleCrop>
  <Company/>
  <LinksUpToDate>false</LinksUpToDate>
  <CharactersWithSpaces>15529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Renata Balogh (2407673)</dc:creator>
  <cp:keywords/>
  <dc:description/>
  <cp:lastModifiedBy>Renata Balogh (2407673)</cp:lastModifiedBy>
  <cp:revision>2</cp:revision>
  <dcterms:created xsi:type="dcterms:W3CDTF">2026-03-28T22:41:00Z</dcterms:created>
  <dcterms:modified xsi:type="dcterms:W3CDTF">2026-03-28T22:41:00Z</dcterms:modified>
</cp:coreProperties>
</file>