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A9E9C" w14:textId="0D243210" w:rsidR="00833A62" w:rsidRDefault="00581226" w:rsidP="00AD0C01">
      <w:pPr>
        <w:rPr>
          <w:rFonts w:ascii="Corbel" w:hAnsi="Corbel"/>
          <w:b/>
          <w:bCs/>
          <w:sz w:val="32"/>
          <w:szCs w:val="32"/>
        </w:rPr>
      </w:pPr>
      <w:r>
        <w:rPr>
          <w:rFonts w:ascii="Corbel" w:hAnsi="Corbel"/>
          <w:b/>
          <w:bCs/>
          <w:noProof/>
          <w:sz w:val="32"/>
          <w:szCs w:val="32"/>
        </w:rPr>
        <w:drawing>
          <wp:anchor distT="0" distB="0" distL="114300" distR="114300" simplePos="0" relativeHeight="251658252" behindDoc="0" locked="0" layoutInCell="1" allowOverlap="1" wp14:anchorId="40A13C3F" wp14:editId="3BCEF2B1">
            <wp:simplePos x="0" y="0"/>
            <wp:positionH relativeFrom="column">
              <wp:posOffset>-889348</wp:posOffset>
            </wp:positionH>
            <wp:positionV relativeFrom="paragraph">
              <wp:posOffset>-895611</wp:posOffset>
            </wp:positionV>
            <wp:extent cx="3569918" cy="1182441"/>
            <wp:effectExtent l="0" t="0" r="0" b="0"/>
            <wp:wrapNone/>
            <wp:docPr id="14085097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9519" cy="1188933"/>
                    </a:xfrm>
                    <a:prstGeom prst="rect">
                      <a:avLst/>
                    </a:prstGeom>
                    <a:noFill/>
                  </pic:spPr>
                </pic:pic>
              </a:graphicData>
            </a:graphic>
            <wp14:sizeRelH relativeFrom="margin">
              <wp14:pctWidth>0</wp14:pctWidth>
            </wp14:sizeRelH>
            <wp14:sizeRelV relativeFrom="margin">
              <wp14:pctHeight>0</wp14:pctHeight>
            </wp14:sizeRelV>
          </wp:anchor>
        </w:drawing>
      </w:r>
    </w:p>
    <w:p w14:paraId="235D6799" w14:textId="65F1030B" w:rsidR="00833A62" w:rsidRDefault="00833A62" w:rsidP="00AD0C01">
      <w:pPr>
        <w:rPr>
          <w:rFonts w:ascii="Corbel" w:hAnsi="Corbel"/>
          <w:b/>
          <w:bCs/>
          <w:sz w:val="32"/>
          <w:szCs w:val="32"/>
        </w:rPr>
      </w:pPr>
    </w:p>
    <w:p w14:paraId="57E7B7D6" w14:textId="77777777" w:rsidR="00833A62" w:rsidRDefault="00833A62" w:rsidP="00722688">
      <w:pPr>
        <w:jc w:val="both"/>
        <w:rPr>
          <w:rFonts w:ascii="Corbel" w:hAnsi="Corbel"/>
          <w:b/>
          <w:bCs/>
          <w:sz w:val="32"/>
          <w:szCs w:val="32"/>
        </w:rPr>
      </w:pPr>
    </w:p>
    <w:p w14:paraId="089DD804" w14:textId="77777777" w:rsidR="00581226" w:rsidRDefault="00581226" w:rsidP="00722688">
      <w:pPr>
        <w:jc w:val="both"/>
        <w:rPr>
          <w:rFonts w:ascii="Corbel" w:hAnsi="Corbel"/>
          <w:b/>
          <w:bCs/>
          <w:sz w:val="32"/>
          <w:szCs w:val="32"/>
        </w:rPr>
      </w:pPr>
      <w:r>
        <w:rPr>
          <w:rFonts w:ascii="Corbel" w:hAnsi="Corbel"/>
          <w:b/>
          <w:bCs/>
          <w:sz w:val="32"/>
          <w:szCs w:val="32"/>
        </w:rPr>
        <w:t xml:space="preserve">                   </w:t>
      </w:r>
    </w:p>
    <w:p w14:paraId="637E841C" w14:textId="77777777" w:rsidR="00F83058" w:rsidRDefault="00F83058" w:rsidP="00722688">
      <w:pPr>
        <w:jc w:val="both"/>
        <w:rPr>
          <w:rFonts w:ascii="Corbel" w:hAnsi="Corbel"/>
          <w:b/>
          <w:bCs/>
          <w:sz w:val="32"/>
          <w:szCs w:val="32"/>
        </w:rPr>
      </w:pPr>
    </w:p>
    <w:p w14:paraId="7AB35A8B" w14:textId="77777777" w:rsidR="00F83058" w:rsidRDefault="00F83058" w:rsidP="00722688">
      <w:pPr>
        <w:jc w:val="both"/>
        <w:rPr>
          <w:rFonts w:ascii="Corbel" w:hAnsi="Corbel"/>
          <w:b/>
          <w:bCs/>
          <w:sz w:val="32"/>
          <w:szCs w:val="32"/>
        </w:rPr>
      </w:pPr>
    </w:p>
    <w:p w14:paraId="5F5053AD" w14:textId="77777777" w:rsidR="00F83058" w:rsidRDefault="00F83058" w:rsidP="00722688">
      <w:pPr>
        <w:jc w:val="both"/>
        <w:rPr>
          <w:rFonts w:ascii="Corbel" w:hAnsi="Corbel"/>
          <w:b/>
          <w:bCs/>
          <w:sz w:val="32"/>
          <w:szCs w:val="32"/>
        </w:rPr>
      </w:pPr>
    </w:p>
    <w:p w14:paraId="4993436F" w14:textId="0142FB90" w:rsidR="00833A62" w:rsidRDefault="00F83058" w:rsidP="00722688">
      <w:pPr>
        <w:jc w:val="both"/>
        <w:rPr>
          <w:rFonts w:ascii="Corbel" w:hAnsi="Corbel"/>
          <w:b/>
          <w:bCs/>
          <w:sz w:val="32"/>
          <w:szCs w:val="32"/>
        </w:rPr>
      </w:pPr>
      <w:r>
        <w:rPr>
          <w:rFonts w:ascii="Corbel" w:hAnsi="Corbel"/>
          <w:b/>
          <w:bCs/>
          <w:sz w:val="32"/>
          <w:szCs w:val="32"/>
        </w:rPr>
        <w:t xml:space="preserve">                   </w:t>
      </w:r>
      <w:r w:rsidR="00362C0D">
        <w:rPr>
          <w:rFonts w:ascii="Corbel" w:hAnsi="Corbel"/>
          <w:b/>
          <w:bCs/>
          <w:sz w:val="32"/>
          <w:szCs w:val="32"/>
        </w:rPr>
        <w:t>Student Name                            Regina Abdoli</w:t>
      </w:r>
    </w:p>
    <w:p w14:paraId="42F8AFBE" w14:textId="61028B90" w:rsidR="00362C0D" w:rsidRDefault="00581226" w:rsidP="00722688">
      <w:pPr>
        <w:jc w:val="both"/>
        <w:rPr>
          <w:rFonts w:ascii="Corbel" w:hAnsi="Corbel"/>
          <w:b/>
          <w:bCs/>
          <w:sz w:val="32"/>
          <w:szCs w:val="32"/>
        </w:rPr>
      </w:pPr>
      <w:r>
        <w:rPr>
          <w:rFonts w:ascii="Corbel" w:hAnsi="Corbel"/>
          <w:b/>
          <w:bCs/>
          <w:sz w:val="32"/>
          <w:szCs w:val="32"/>
        </w:rPr>
        <w:t xml:space="preserve">                   </w:t>
      </w:r>
      <w:r w:rsidR="00362C0D">
        <w:rPr>
          <w:rFonts w:ascii="Corbel" w:hAnsi="Corbel"/>
          <w:b/>
          <w:bCs/>
          <w:sz w:val="32"/>
          <w:szCs w:val="32"/>
        </w:rPr>
        <w:t>Student ID N</w:t>
      </w:r>
      <w:r w:rsidR="00E76EC3">
        <w:rPr>
          <w:rFonts w:ascii="Corbel" w:hAnsi="Corbel"/>
          <w:b/>
          <w:bCs/>
          <w:sz w:val="32"/>
          <w:szCs w:val="32"/>
        </w:rPr>
        <w:t xml:space="preserve">                               </w:t>
      </w:r>
      <w:r w:rsidR="00E76EC3" w:rsidRPr="0042603B">
        <w:rPr>
          <w:rFonts w:ascii="Amasis MT Pro Light" w:hAnsi="Amasis MT Pro Light" w:cs="Aldhabi"/>
          <w:b/>
          <w:bCs/>
          <w:sz w:val="32"/>
          <w:szCs w:val="32"/>
          <w:u w:val="single"/>
        </w:rPr>
        <w:t>2428653</w:t>
      </w:r>
    </w:p>
    <w:p w14:paraId="2D2A35F6" w14:textId="5064FEA8" w:rsidR="00E76EC3" w:rsidRDefault="00581226" w:rsidP="00722688">
      <w:pPr>
        <w:jc w:val="both"/>
        <w:rPr>
          <w:rFonts w:ascii="Corbel" w:hAnsi="Corbel"/>
          <w:b/>
          <w:bCs/>
          <w:sz w:val="32"/>
          <w:szCs w:val="32"/>
        </w:rPr>
      </w:pPr>
      <w:r>
        <w:rPr>
          <w:rFonts w:ascii="Corbel" w:hAnsi="Corbel"/>
          <w:b/>
          <w:bCs/>
          <w:sz w:val="32"/>
          <w:szCs w:val="32"/>
        </w:rPr>
        <w:t xml:space="preserve">                   </w:t>
      </w:r>
      <w:r w:rsidR="00B42ECE">
        <w:rPr>
          <w:rFonts w:ascii="Corbel" w:hAnsi="Corbel"/>
          <w:b/>
          <w:bCs/>
          <w:sz w:val="32"/>
          <w:szCs w:val="32"/>
        </w:rPr>
        <w:t>Mo</w:t>
      </w:r>
      <w:r w:rsidR="00F37375">
        <w:rPr>
          <w:rFonts w:ascii="Corbel" w:hAnsi="Corbel"/>
          <w:b/>
          <w:bCs/>
          <w:sz w:val="32"/>
          <w:szCs w:val="32"/>
        </w:rPr>
        <w:t xml:space="preserve">odle Name                             </w:t>
      </w:r>
      <w:r w:rsidR="0097118C">
        <w:rPr>
          <w:rFonts w:ascii="Corbel" w:hAnsi="Corbel"/>
          <w:b/>
          <w:bCs/>
          <w:sz w:val="32"/>
          <w:szCs w:val="32"/>
        </w:rPr>
        <w:t>Project Management</w:t>
      </w:r>
    </w:p>
    <w:p w14:paraId="02C5B8D3" w14:textId="5159522A" w:rsidR="00A26B64" w:rsidRDefault="00581226" w:rsidP="00722688">
      <w:pPr>
        <w:jc w:val="both"/>
        <w:rPr>
          <w:rFonts w:ascii="Corbel" w:hAnsi="Corbel"/>
          <w:b/>
          <w:bCs/>
          <w:sz w:val="32"/>
          <w:szCs w:val="32"/>
        </w:rPr>
      </w:pPr>
      <w:r>
        <w:rPr>
          <w:rFonts w:ascii="Corbel" w:hAnsi="Corbel"/>
          <w:b/>
          <w:bCs/>
          <w:sz w:val="32"/>
          <w:szCs w:val="32"/>
        </w:rPr>
        <w:t xml:space="preserve">                   </w:t>
      </w:r>
      <w:r w:rsidR="00FE1AF1">
        <w:rPr>
          <w:rFonts w:ascii="Corbel" w:hAnsi="Corbel"/>
          <w:b/>
          <w:bCs/>
          <w:sz w:val="32"/>
          <w:szCs w:val="32"/>
        </w:rPr>
        <w:t xml:space="preserve">Group                                             </w:t>
      </w:r>
      <w:r w:rsidR="00965991">
        <w:rPr>
          <w:rFonts w:ascii="Corbel" w:hAnsi="Corbel"/>
          <w:b/>
          <w:bCs/>
          <w:sz w:val="32"/>
          <w:szCs w:val="32"/>
        </w:rPr>
        <w:t>(LCLM5003</w:t>
      </w:r>
      <w:r w:rsidR="00A26B64">
        <w:rPr>
          <w:rFonts w:ascii="Corbel" w:hAnsi="Corbel"/>
          <w:b/>
          <w:bCs/>
          <w:sz w:val="32"/>
          <w:szCs w:val="32"/>
        </w:rPr>
        <w:t>_LON)</w:t>
      </w:r>
    </w:p>
    <w:p w14:paraId="0276CD66" w14:textId="7BCF9720" w:rsidR="00A26B64" w:rsidRDefault="00581226" w:rsidP="00722688">
      <w:pPr>
        <w:jc w:val="both"/>
        <w:rPr>
          <w:rFonts w:ascii="Corbel" w:hAnsi="Corbel"/>
          <w:b/>
          <w:bCs/>
          <w:sz w:val="32"/>
          <w:szCs w:val="32"/>
        </w:rPr>
      </w:pPr>
      <w:r>
        <w:rPr>
          <w:rFonts w:ascii="Corbel" w:hAnsi="Corbel"/>
          <w:b/>
          <w:bCs/>
          <w:sz w:val="32"/>
          <w:szCs w:val="32"/>
        </w:rPr>
        <w:t xml:space="preserve">                   </w:t>
      </w:r>
      <w:r w:rsidR="00640B52">
        <w:rPr>
          <w:rFonts w:ascii="Corbel" w:hAnsi="Corbel"/>
          <w:b/>
          <w:bCs/>
          <w:sz w:val="32"/>
          <w:szCs w:val="32"/>
        </w:rPr>
        <w:t>L</w:t>
      </w:r>
      <w:r w:rsidR="002F7D8F">
        <w:rPr>
          <w:rFonts w:ascii="Corbel" w:hAnsi="Corbel"/>
          <w:b/>
          <w:bCs/>
          <w:sz w:val="32"/>
          <w:szCs w:val="32"/>
        </w:rPr>
        <w:t>ecturer name</w:t>
      </w:r>
      <w:r w:rsidR="004748AE">
        <w:rPr>
          <w:rFonts w:ascii="Corbel" w:hAnsi="Corbel"/>
          <w:b/>
          <w:bCs/>
          <w:sz w:val="32"/>
          <w:szCs w:val="32"/>
        </w:rPr>
        <w:t xml:space="preserve">                            Xavier </w:t>
      </w:r>
      <w:proofErr w:type="spellStart"/>
      <w:r w:rsidR="004748AE">
        <w:rPr>
          <w:rFonts w:ascii="Corbel" w:hAnsi="Corbel"/>
          <w:b/>
          <w:bCs/>
          <w:sz w:val="32"/>
          <w:szCs w:val="32"/>
        </w:rPr>
        <w:t>Mati</w:t>
      </w:r>
      <w:r w:rsidR="00447F5A">
        <w:rPr>
          <w:rFonts w:ascii="Corbel" w:hAnsi="Corbel"/>
          <w:b/>
          <w:bCs/>
          <w:sz w:val="32"/>
          <w:szCs w:val="32"/>
        </w:rPr>
        <w:t>eni</w:t>
      </w:r>
      <w:proofErr w:type="spellEnd"/>
    </w:p>
    <w:p w14:paraId="465233B2" w14:textId="3BCBC775" w:rsidR="00447F5A" w:rsidRDefault="00581226" w:rsidP="00722688">
      <w:pPr>
        <w:jc w:val="both"/>
        <w:rPr>
          <w:rFonts w:ascii="Corbel" w:hAnsi="Corbel"/>
          <w:b/>
          <w:bCs/>
          <w:sz w:val="32"/>
          <w:szCs w:val="32"/>
        </w:rPr>
      </w:pPr>
      <w:r>
        <w:rPr>
          <w:rFonts w:ascii="Corbel" w:hAnsi="Corbel"/>
          <w:b/>
          <w:bCs/>
          <w:sz w:val="32"/>
          <w:szCs w:val="32"/>
        </w:rPr>
        <w:t xml:space="preserve">                   </w:t>
      </w:r>
      <w:r w:rsidR="00525070">
        <w:rPr>
          <w:rFonts w:ascii="Corbel" w:hAnsi="Corbel"/>
          <w:b/>
          <w:bCs/>
          <w:sz w:val="32"/>
          <w:szCs w:val="32"/>
        </w:rPr>
        <w:t>Assign</w:t>
      </w:r>
      <w:r w:rsidR="00FF5218">
        <w:rPr>
          <w:rFonts w:ascii="Corbel" w:hAnsi="Corbel"/>
          <w:b/>
          <w:bCs/>
          <w:sz w:val="32"/>
          <w:szCs w:val="32"/>
        </w:rPr>
        <w:t xml:space="preserve">ment Title                     </w:t>
      </w:r>
      <w:r w:rsidR="00722688">
        <w:rPr>
          <w:rFonts w:ascii="Corbel" w:hAnsi="Corbel"/>
          <w:b/>
          <w:bCs/>
          <w:sz w:val="32"/>
          <w:szCs w:val="32"/>
        </w:rPr>
        <w:t xml:space="preserve"> </w:t>
      </w:r>
      <w:r w:rsidR="00FF5218">
        <w:rPr>
          <w:rFonts w:ascii="Corbel" w:hAnsi="Corbel"/>
          <w:b/>
          <w:bCs/>
          <w:sz w:val="32"/>
          <w:szCs w:val="32"/>
        </w:rPr>
        <w:t xml:space="preserve"> A Project Portfolio</w:t>
      </w:r>
    </w:p>
    <w:p w14:paraId="0DFD95AB" w14:textId="13AFA5C7" w:rsidR="00722688" w:rsidRDefault="00581226" w:rsidP="00722688">
      <w:pPr>
        <w:jc w:val="both"/>
        <w:rPr>
          <w:rFonts w:ascii="Corbel" w:hAnsi="Corbel"/>
          <w:b/>
          <w:bCs/>
          <w:sz w:val="32"/>
          <w:szCs w:val="32"/>
        </w:rPr>
      </w:pPr>
      <w:r>
        <w:rPr>
          <w:rFonts w:ascii="Corbel" w:hAnsi="Corbel"/>
          <w:b/>
          <w:bCs/>
          <w:sz w:val="32"/>
          <w:szCs w:val="32"/>
        </w:rPr>
        <w:t xml:space="preserve">                   </w:t>
      </w:r>
      <w:r w:rsidR="00722688">
        <w:rPr>
          <w:rFonts w:ascii="Corbel" w:hAnsi="Corbel"/>
          <w:b/>
          <w:bCs/>
          <w:sz w:val="32"/>
          <w:szCs w:val="32"/>
        </w:rPr>
        <w:t>University                                     UWTSD</w:t>
      </w:r>
    </w:p>
    <w:p w14:paraId="4E33D058" w14:textId="77777777" w:rsidR="00833A62" w:rsidRDefault="00833A62" w:rsidP="00AD0C01">
      <w:pPr>
        <w:rPr>
          <w:rFonts w:ascii="Corbel" w:hAnsi="Corbel"/>
          <w:b/>
          <w:bCs/>
          <w:sz w:val="32"/>
          <w:szCs w:val="32"/>
        </w:rPr>
      </w:pPr>
    </w:p>
    <w:p w14:paraId="29F017F5" w14:textId="77777777" w:rsidR="00833A62" w:rsidRDefault="00833A62" w:rsidP="00AD0C01">
      <w:pPr>
        <w:rPr>
          <w:rFonts w:ascii="Corbel" w:hAnsi="Corbel"/>
          <w:b/>
          <w:bCs/>
          <w:sz w:val="32"/>
          <w:szCs w:val="32"/>
        </w:rPr>
      </w:pPr>
    </w:p>
    <w:p w14:paraId="2BDB33DF" w14:textId="518A4C21" w:rsidR="00833A62" w:rsidRDefault="00833A62" w:rsidP="00AD0C01">
      <w:pPr>
        <w:rPr>
          <w:rFonts w:ascii="Corbel" w:hAnsi="Corbel"/>
          <w:b/>
          <w:bCs/>
          <w:sz w:val="32"/>
          <w:szCs w:val="32"/>
        </w:rPr>
      </w:pPr>
    </w:p>
    <w:p w14:paraId="26F65CFA" w14:textId="77777777" w:rsidR="00833A62" w:rsidRDefault="00833A62" w:rsidP="00AD0C01">
      <w:pPr>
        <w:rPr>
          <w:rFonts w:ascii="Corbel" w:hAnsi="Corbel"/>
          <w:b/>
          <w:bCs/>
          <w:sz w:val="32"/>
          <w:szCs w:val="32"/>
        </w:rPr>
      </w:pPr>
    </w:p>
    <w:p w14:paraId="0EB652F4" w14:textId="77777777" w:rsidR="00833A62" w:rsidRDefault="00833A62" w:rsidP="00AD0C01">
      <w:pPr>
        <w:rPr>
          <w:rFonts w:ascii="Corbel" w:hAnsi="Corbel"/>
          <w:b/>
          <w:bCs/>
          <w:sz w:val="32"/>
          <w:szCs w:val="32"/>
        </w:rPr>
      </w:pPr>
    </w:p>
    <w:p w14:paraId="2282DDC7" w14:textId="77777777" w:rsidR="00833A62" w:rsidRDefault="00833A62" w:rsidP="00AD0C01">
      <w:pPr>
        <w:rPr>
          <w:rFonts w:ascii="Corbel" w:hAnsi="Corbel"/>
          <w:b/>
          <w:bCs/>
          <w:sz w:val="32"/>
          <w:szCs w:val="32"/>
        </w:rPr>
      </w:pPr>
    </w:p>
    <w:p w14:paraId="66313FF9" w14:textId="5792210C" w:rsidR="00833A62" w:rsidRDefault="00833A62" w:rsidP="00AD0C01">
      <w:pPr>
        <w:rPr>
          <w:rFonts w:ascii="Corbel" w:hAnsi="Corbel"/>
          <w:b/>
          <w:bCs/>
          <w:sz w:val="32"/>
          <w:szCs w:val="32"/>
        </w:rPr>
      </w:pPr>
    </w:p>
    <w:p w14:paraId="09F9D46B" w14:textId="77777777" w:rsidR="00833A62" w:rsidRDefault="00833A62" w:rsidP="00AD0C01">
      <w:pPr>
        <w:rPr>
          <w:rFonts w:ascii="Corbel" w:hAnsi="Corbel"/>
          <w:b/>
          <w:bCs/>
          <w:sz w:val="32"/>
          <w:szCs w:val="32"/>
        </w:rPr>
      </w:pPr>
    </w:p>
    <w:p w14:paraId="2E0386A4" w14:textId="77777777" w:rsidR="00833A62" w:rsidRDefault="00833A62" w:rsidP="00AD0C01">
      <w:pPr>
        <w:rPr>
          <w:rFonts w:ascii="Corbel" w:hAnsi="Corbel"/>
          <w:b/>
          <w:bCs/>
          <w:sz w:val="32"/>
          <w:szCs w:val="32"/>
        </w:rPr>
      </w:pPr>
    </w:p>
    <w:p w14:paraId="366859A7" w14:textId="2D78B827" w:rsidR="00833A62" w:rsidRPr="00EB3E69" w:rsidRDefault="00EB3E69" w:rsidP="00EB3E69">
      <w:pPr>
        <w:rPr>
          <w:rFonts w:ascii="Corbel" w:hAnsi="Corbel"/>
          <w:b/>
          <w:bCs/>
          <w:sz w:val="36"/>
          <w:szCs w:val="36"/>
        </w:rPr>
      </w:pPr>
      <w:r>
        <w:rPr>
          <w:rFonts w:ascii="Corbel" w:hAnsi="Corbel"/>
          <w:b/>
          <w:bCs/>
          <w:sz w:val="36"/>
          <w:szCs w:val="36"/>
        </w:rPr>
        <w:lastRenderedPageBreak/>
        <w:t xml:space="preserve">                                         </w:t>
      </w:r>
      <w:r w:rsidRPr="00EB3E69">
        <w:rPr>
          <w:rFonts w:ascii="Corbel" w:hAnsi="Corbel"/>
          <w:b/>
          <w:bCs/>
          <w:sz w:val="36"/>
          <w:szCs w:val="36"/>
        </w:rPr>
        <w:t xml:space="preserve">Table Of </w:t>
      </w:r>
      <w:r w:rsidR="00C106F3" w:rsidRPr="00EB3E69">
        <w:rPr>
          <w:rFonts w:ascii="Corbel" w:hAnsi="Corbel"/>
          <w:b/>
          <w:bCs/>
          <w:sz w:val="36"/>
          <w:szCs w:val="36"/>
        </w:rPr>
        <w:t>Content</w:t>
      </w:r>
      <w:r>
        <w:rPr>
          <w:rFonts w:ascii="Corbel" w:hAnsi="Corbel"/>
          <w:b/>
          <w:bCs/>
          <w:sz w:val="36"/>
          <w:szCs w:val="36"/>
        </w:rPr>
        <w:t xml:space="preserve"> </w:t>
      </w:r>
    </w:p>
    <w:tbl>
      <w:tblPr>
        <w:tblStyle w:val="PlainTable2"/>
        <w:tblpPr w:leftFromText="180" w:rightFromText="180" w:vertAnchor="text" w:horzAnchor="margin" w:tblpXSpec="center" w:tblpY="821"/>
        <w:tblW w:w="9776" w:type="dxa"/>
        <w:tblLook w:val="04A0" w:firstRow="1" w:lastRow="0" w:firstColumn="1" w:lastColumn="0" w:noHBand="0" w:noVBand="1"/>
      </w:tblPr>
      <w:tblGrid>
        <w:gridCol w:w="8464"/>
        <w:gridCol w:w="1312"/>
      </w:tblGrid>
      <w:tr w:rsidR="00120ECE" w14:paraId="23836C84" w14:textId="77777777" w:rsidTr="007B56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0E502E72" w14:textId="77777777" w:rsidR="00120ECE" w:rsidRPr="00085BCB" w:rsidRDefault="00120ECE" w:rsidP="00120ECE">
            <w:pPr>
              <w:rPr>
                <w:rFonts w:ascii="Corbel" w:hAnsi="Corbel"/>
                <w:sz w:val="32"/>
                <w:szCs w:val="32"/>
              </w:rPr>
            </w:pPr>
            <w:r w:rsidRPr="00085BCB">
              <w:rPr>
                <w:rFonts w:ascii="Corbel" w:hAnsi="Corbel"/>
                <w:sz w:val="32"/>
                <w:szCs w:val="32"/>
              </w:rPr>
              <w:t>Contents</w:t>
            </w:r>
          </w:p>
        </w:tc>
        <w:tc>
          <w:tcPr>
            <w:tcW w:w="1276" w:type="dxa"/>
          </w:tcPr>
          <w:p w14:paraId="35128BA1" w14:textId="77777777" w:rsidR="00120ECE" w:rsidRPr="00085BCB" w:rsidRDefault="00120ECE" w:rsidP="00120ECE">
            <w:pPr>
              <w:cnfStyle w:val="100000000000" w:firstRow="1" w:lastRow="0" w:firstColumn="0" w:lastColumn="0" w:oddVBand="0" w:evenVBand="0" w:oddHBand="0" w:evenHBand="0" w:firstRowFirstColumn="0" w:firstRowLastColumn="0" w:lastRowFirstColumn="0" w:lastRowLastColumn="0"/>
              <w:rPr>
                <w:rFonts w:ascii="Corbel" w:hAnsi="Corbel"/>
                <w:sz w:val="32"/>
                <w:szCs w:val="32"/>
              </w:rPr>
            </w:pPr>
            <w:r w:rsidRPr="00085BCB">
              <w:rPr>
                <w:rFonts w:ascii="Corbel" w:hAnsi="Corbel"/>
                <w:sz w:val="32"/>
                <w:szCs w:val="32"/>
              </w:rPr>
              <w:t>Pages</w:t>
            </w:r>
          </w:p>
        </w:tc>
      </w:tr>
      <w:tr w:rsidR="00120ECE" w14:paraId="7ACAA790"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03E6D34E"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Part A Project Poster</w:t>
            </w:r>
          </w:p>
        </w:tc>
        <w:tc>
          <w:tcPr>
            <w:tcW w:w="1276" w:type="dxa"/>
          </w:tcPr>
          <w:p w14:paraId="49451886" w14:textId="325B8239" w:rsidR="00120ECE" w:rsidRPr="00C8175F" w:rsidRDefault="003B215D"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3</w:t>
            </w:r>
          </w:p>
        </w:tc>
      </w:tr>
      <w:tr w:rsidR="00120ECE" w14:paraId="3805C70A"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4B8B4C2D"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Part B Critical Reflection on Feedback</w:t>
            </w:r>
          </w:p>
        </w:tc>
        <w:tc>
          <w:tcPr>
            <w:tcW w:w="1276" w:type="dxa"/>
          </w:tcPr>
          <w:p w14:paraId="39F646C5" w14:textId="5AEB71BF" w:rsidR="00120ECE" w:rsidRPr="00C8175F" w:rsidRDefault="003B215D"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4</w:t>
            </w:r>
          </w:p>
        </w:tc>
      </w:tr>
      <w:tr w:rsidR="00120ECE" w14:paraId="0B24DD66"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50B18B72"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Description</w:t>
            </w:r>
          </w:p>
        </w:tc>
        <w:tc>
          <w:tcPr>
            <w:tcW w:w="1276" w:type="dxa"/>
          </w:tcPr>
          <w:p w14:paraId="463F72D3" w14:textId="1577A387" w:rsidR="00120ECE" w:rsidRPr="00C8175F" w:rsidRDefault="003B215D"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4</w:t>
            </w:r>
          </w:p>
        </w:tc>
      </w:tr>
      <w:tr w:rsidR="00120ECE" w14:paraId="146CCA47"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204E563E"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Feeling</w:t>
            </w:r>
          </w:p>
        </w:tc>
        <w:tc>
          <w:tcPr>
            <w:tcW w:w="1276" w:type="dxa"/>
          </w:tcPr>
          <w:p w14:paraId="784F473C" w14:textId="27429883" w:rsidR="00120ECE" w:rsidRPr="00C8175F" w:rsidRDefault="00BC01E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4</w:t>
            </w:r>
          </w:p>
        </w:tc>
      </w:tr>
      <w:tr w:rsidR="00120ECE" w14:paraId="1C667C0D"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2C98B47A"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Evaluation</w:t>
            </w:r>
          </w:p>
        </w:tc>
        <w:tc>
          <w:tcPr>
            <w:tcW w:w="1276" w:type="dxa"/>
          </w:tcPr>
          <w:p w14:paraId="79506603" w14:textId="40E1AA37" w:rsidR="00120ECE" w:rsidRPr="00C8175F" w:rsidRDefault="00BC01EA"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4</w:t>
            </w:r>
          </w:p>
        </w:tc>
      </w:tr>
      <w:tr w:rsidR="00120ECE" w14:paraId="1569D5C4"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22B1B50C"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Analysis</w:t>
            </w:r>
          </w:p>
        </w:tc>
        <w:tc>
          <w:tcPr>
            <w:tcW w:w="1276" w:type="dxa"/>
          </w:tcPr>
          <w:p w14:paraId="167B5B4A" w14:textId="2C4BDB8B" w:rsidR="00120ECE" w:rsidRPr="00C8175F" w:rsidRDefault="00BC01E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5</w:t>
            </w:r>
          </w:p>
        </w:tc>
      </w:tr>
      <w:tr w:rsidR="00120ECE" w14:paraId="4B9350AA"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183A764E"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Conclusion</w:t>
            </w:r>
          </w:p>
        </w:tc>
        <w:tc>
          <w:tcPr>
            <w:tcW w:w="1276" w:type="dxa"/>
          </w:tcPr>
          <w:p w14:paraId="15D9475C" w14:textId="75323BFC" w:rsidR="00120ECE" w:rsidRPr="00C8175F" w:rsidRDefault="00BC01EA"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5</w:t>
            </w:r>
          </w:p>
        </w:tc>
      </w:tr>
      <w:tr w:rsidR="00120ECE" w14:paraId="6CABFAF7"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6D8A6518"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Action Plan</w:t>
            </w:r>
          </w:p>
        </w:tc>
        <w:tc>
          <w:tcPr>
            <w:tcW w:w="1276" w:type="dxa"/>
          </w:tcPr>
          <w:p w14:paraId="715533AA" w14:textId="2334203E" w:rsidR="00120ECE" w:rsidRPr="00C8175F" w:rsidRDefault="00BC01E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5</w:t>
            </w:r>
          </w:p>
        </w:tc>
      </w:tr>
      <w:tr w:rsidR="00120ECE" w14:paraId="0F7BA9F3"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1CC7B976"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Part C Project Management Plan</w:t>
            </w:r>
          </w:p>
        </w:tc>
        <w:tc>
          <w:tcPr>
            <w:tcW w:w="1276" w:type="dxa"/>
          </w:tcPr>
          <w:p w14:paraId="3522B4B7" w14:textId="21C5C15E" w:rsidR="00120ECE" w:rsidRPr="00C8175F" w:rsidRDefault="00BC01EA"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6</w:t>
            </w:r>
          </w:p>
        </w:tc>
      </w:tr>
      <w:tr w:rsidR="00120ECE" w14:paraId="69C00E30"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16337E1C"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Introduction</w:t>
            </w:r>
          </w:p>
        </w:tc>
        <w:tc>
          <w:tcPr>
            <w:tcW w:w="1276" w:type="dxa"/>
          </w:tcPr>
          <w:p w14:paraId="5079BFCD" w14:textId="58FB291C" w:rsidR="00120ECE" w:rsidRPr="00C8175F" w:rsidRDefault="00A40415"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6</w:t>
            </w:r>
          </w:p>
        </w:tc>
      </w:tr>
      <w:tr w:rsidR="00120ECE" w14:paraId="167B897C"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07ED24CD"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Project Description</w:t>
            </w:r>
          </w:p>
        </w:tc>
        <w:tc>
          <w:tcPr>
            <w:tcW w:w="1276" w:type="dxa"/>
          </w:tcPr>
          <w:p w14:paraId="2FA98C63" w14:textId="391D6B08" w:rsidR="00120ECE" w:rsidRPr="00C8175F" w:rsidRDefault="00A40415"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7</w:t>
            </w:r>
          </w:p>
        </w:tc>
      </w:tr>
      <w:tr w:rsidR="00120ECE" w14:paraId="485C3056"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1C561385"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 xml:space="preserve">Project Scope </w:t>
            </w:r>
          </w:p>
        </w:tc>
        <w:tc>
          <w:tcPr>
            <w:tcW w:w="1276" w:type="dxa"/>
          </w:tcPr>
          <w:p w14:paraId="2D379502" w14:textId="6AF2C6BF" w:rsidR="00120ECE" w:rsidRPr="00C8175F" w:rsidRDefault="006B0EB4"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8</w:t>
            </w:r>
          </w:p>
        </w:tc>
      </w:tr>
      <w:tr w:rsidR="00120ECE" w14:paraId="21FDCA94"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13B73F71"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Work breakdown Structure</w:t>
            </w:r>
          </w:p>
        </w:tc>
        <w:tc>
          <w:tcPr>
            <w:tcW w:w="1276" w:type="dxa"/>
          </w:tcPr>
          <w:p w14:paraId="7809909D" w14:textId="60A0031C" w:rsidR="00120ECE" w:rsidRPr="00C8175F" w:rsidRDefault="006B0EB4"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9</w:t>
            </w:r>
            <w:r w:rsidR="00804F9A">
              <w:rPr>
                <w:rFonts w:ascii="Amasis MT Pro Light" w:hAnsi="Amasis MT Pro Light"/>
                <w:b/>
                <w:bCs/>
                <w:sz w:val="32"/>
                <w:szCs w:val="32"/>
              </w:rPr>
              <w:t>.10</w:t>
            </w:r>
          </w:p>
        </w:tc>
      </w:tr>
      <w:tr w:rsidR="00120ECE" w14:paraId="42BCF94E"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205146D7"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Quad Chart / Project Overview</w:t>
            </w:r>
          </w:p>
        </w:tc>
        <w:tc>
          <w:tcPr>
            <w:tcW w:w="1276" w:type="dxa"/>
          </w:tcPr>
          <w:p w14:paraId="69176CFC" w14:textId="1F762807" w:rsidR="00120ECE" w:rsidRPr="00C8175F" w:rsidRDefault="00804F9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11.12</w:t>
            </w:r>
          </w:p>
        </w:tc>
      </w:tr>
      <w:tr w:rsidR="00120ECE" w14:paraId="7B4948E9"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66B5058B"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Gantt Chart / Project Schedule</w:t>
            </w:r>
          </w:p>
        </w:tc>
        <w:tc>
          <w:tcPr>
            <w:tcW w:w="1276" w:type="dxa"/>
          </w:tcPr>
          <w:p w14:paraId="49A28807" w14:textId="232B59C9" w:rsidR="00120ECE" w:rsidRPr="00C8175F" w:rsidRDefault="00804F9A"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12.13</w:t>
            </w:r>
          </w:p>
        </w:tc>
      </w:tr>
      <w:tr w:rsidR="00120ECE" w14:paraId="45DE5495"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457F00B7"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Stakeholders’ Involvement</w:t>
            </w:r>
          </w:p>
        </w:tc>
        <w:tc>
          <w:tcPr>
            <w:tcW w:w="1276" w:type="dxa"/>
          </w:tcPr>
          <w:p w14:paraId="344B3FE0" w14:textId="7C45BA90" w:rsidR="00120ECE" w:rsidRPr="00C8175F" w:rsidRDefault="00804F9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13.14</w:t>
            </w:r>
          </w:p>
        </w:tc>
      </w:tr>
      <w:tr w:rsidR="00120ECE" w14:paraId="044B5C10"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7D5FBAA8"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Resource Allocation</w:t>
            </w:r>
          </w:p>
        </w:tc>
        <w:tc>
          <w:tcPr>
            <w:tcW w:w="1276" w:type="dxa"/>
          </w:tcPr>
          <w:p w14:paraId="5C88B9C3" w14:textId="0311F735" w:rsidR="00120ECE" w:rsidRPr="00C8175F" w:rsidRDefault="00804F9A"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15</w:t>
            </w:r>
          </w:p>
        </w:tc>
      </w:tr>
      <w:tr w:rsidR="00120ECE" w14:paraId="7924C926"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5A178CB4"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Risk Analysis</w:t>
            </w:r>
          </w:p>
        </w:tc>
        <w:tc>
          <w:tcPr>
            <w:tcW w:w="1276" w:type="dxa"/>
          </w:tcPr>
          <w:p w14:paraId="547DCCC0" w14:textId="7E6CD46D" w:rsidR="00120ECE" w:rsidRPr="00C8175F" w:rsidRDefault="00804F9A"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15.16.17</w:t>
            </w:r>
          </w:p>
        </w:tc>
      </w:tr>
      <w:tr w:rsidR="00120ECE" w14:paraId="6CDF721E" w14:textId="77777777" w:rsidTr="007B56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14:paraId="1345AA1F"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Conclusion</w:t>
            </w:r>
          </w:p>
        </w:tc>
        <w:tc>
          <w:tcPr>
            <w:tcW w:w="1276" w:type="dxa"/>
          </w:tcPr>
          <w:p w14:paraId="729C2FB7" w14:textId="7B916D74" w:rsidR="00120ECE" w:rsidRPr="00C8175F" w:rsidRDefault="00937F0E" w:rsidP="00120ECE">
            <w:pPr>
              <w:cnfStyle w:val="000000100000" w:firstRow="0" w:lastRow="0" w:firstColumn="0" w:lastColumn="0" w:oddVBand="0" w:evenVBand="0" w:oddHBand="1" w:evenHBand="0" w:firstRowFirstColumn="0" w:firstRowLastColumn="0" w:lastRowFirstColumn="0" w:lastRowLastColumn="0"/>
              <w:rPr>
                <w:rFonts w:ascii="Amasis MT Pro Light" w:hAnsi="Amasis MT Pro Light"/>
                <w:b/>
                <w:bCs/>
                <w:sz w:val="32"/>
                <w:szCs w:val="32"/>
              </w:rPr>
            </w:pPr>
            <w:r>
              <w:rPr>
                <w:rFonts w:ascii="Amasis MT Pro Light" w:hAnsi="Amasis MT Pro Light"/>
                <w:b/>
                <w:bCs/>
                <w:sz w:val="32"/>
                <w:szCs w:val="32"/>
              </w:rPr>
              <w:t>17</w:t>
            </w:r>
          </w:p>
        </w:tc>
      </w:tr>
      <w:tr w:rsidR="00120ECE" w14:paraId="0B2370F9" w14:textId="77777777" w:rsidTr="007B5620">
        <w:tc>
          <w:tcPr>
            <w:cnfStyle w:val="001000000000" w:firstRow="0" w:lastRow="0" w:firstColumn="1" w:lastColumn="0" w:oddVBand="0" w:evenVBand="0" w:oddHBand="0" w:evenHBand="0" w:firstRowFirstColumn="0" w:firstRowLastColumn="0" w:lastRowFirstColumn="0" w:lastRowLastColumn="0"/>
            <w:tcW w:w="8500" w:type="dxa"/>
          </w:tcPr>
          <w:p w14:paraId="5329E5CE" w14:textId="77777777" w:rsidR="00120ECE" w:rsidRPr="00085BCB" w:rsidRDefault="00120ECE" w:rsidP="00120ECE">
            <w:pPr>
              <w:rPr>
                <w:rFonts w:ascii="Corbel" w:hAnsi="Corbel"/>
                <w:b w:val="0"/>
                <w:bCs w:val="0"/>
                <w:sz w:val="32"/>
                <w:szCs w:val="32"/>
              </w:rPr>
            </w:pPr>
            <w:r w:rsidRPr="00085BCB">
              <w:rPr>
                <w:rFonts w:ascii="Corbel" w:hAnsi="Corbel"/>
                <w:b w:val="0"/>
                <w:bCs w:val="0"/>
                <w:sz w:val="32"/>
                <w:szCs w:val="32"/>
              </w:rPr>
              <w:t>Reference List</w:t>
            </w:r>
          </w:p>
        </w:tc>
        <w:tc>
          <w:tcPr>
            <w:tcW w:w="1276" w:type="dxa"/>
          </w:tcPr>
          <w:p w14:paraId="0961E1E3" w14:textId="59FA848A" w:rsidR="00120ECE" w:rsidRPr="00C8175F" w:rsidRDefault="009E34F5" w:rsidP="00120ECE">
            <w:pPr>
              <w:cnfStyle w:val="000000000000" w:firstRow="0" w:lastRow="0" w:firstColumn="0" w:lastColumn="0" w:oddVBand="0" w:evenVBand="0" w:oddHBand="0" w:evenHBand="0" w:firstRowFirstColumn="0" w:firstRowLastColumn="0" w:lastRowFirstColumn="0" w:lastRowLastColumn="0"/>
              <w:rPr>
                <w:rFonts w:ascii="Amasis MT Pro Light" w:hAnsi="Amasis MT Pro Light"/>
                <w:b/>
                <w:bCs/>
                <w:sz w:val="32"/>
                <w:szCs w:val="32"/>
              </w:rPr>
            </w:pPr>
            <w:r w:rsidRPr="00C8175F">
              <w:rPr>
                <w:rFonts w:ascii="Amasis MT Pro Light" w:hAnsi="Amasis MT Pro Light"/>
                <w:b/>
                <w:bCs/>
                <w:sz w:val="32"/>
                <w:szCs w:val="32"/>
              </w:rPr>
              <w:t>1</w:t>
            </w:r>
            <w:r w:rsidR="00937F0E">
              <w:rPr>
                <w:rFonts w:ascii="Amasis MT Pro Light" w:hAnsi="Amasis MT Pro Light"/>
                <w:b/>
                <w:bCs/>
                <w:sz w:val="32"/>
                <w:szCs w:val="32"/>
              </w:rPr>
              <w:t>8.19</w:t>
            </w:r>
          </w:p>
        </w:tc>
      </w:tr>
    </w:tbl>
    <w:p w14:paraId="3F7AD143" w14:textId="77777777" w:rsidR="00833A62" w:rsidRDefault="00833A62" w:rsidP="00AD0C01">
      <w:pPr>
        <w:rPr>
          <w:rFonts w:ascii="Corbel" w:hAnsi="Corbel"/>
          <w:b/>
          <w:bCs/>
          <w:sz w:val="32"/>
          <w:szCs w:val="32"/>
        </w:rPr>
      </w:pPr>
    </w:p>
    <w:p w14:paraId="49B5B1DE" w14:textId="77777777" w:rsidR="00833A62" w:rsidRDefault="00833A62" w:rsidP="00AD0C01">
      <w:pPr>
        <w:rPr>
          <w:rFonts w:ascii="Corbel" w:hAnsi="Corbel"/>
          <w:b/>
          <w:bCs/>
          <w:sz w:val="32"/>
          <w:szCs w:val="32"/>
        </w:rPr>
      </w:pPr>
    </w:p>
    <w:p w14:paraId="3397FD56" w14:textId="77777777" w:rsidR="007A0E21" w:rsidRDefault="007A0E21" w:rsidP="00AD0C01">
      <w:pPr>
        <w:rPr>
          <w:rFonts w:ascii="Corbel" w:hAnsi="Corbel"/>
          <w:b/>
          <w:bCs/>
          <w:sz w:val="32"/>
          <w:szCs w:val="32"/>
        </w:rPr>
        <w:sectPr w:rsidR="007A0E21">
          <w:pgSz w:w="11906" w:h="16838"/>
          <w:pgMar w:top="1440" w:right="1440" w:bottom="1440" w:left="1440" w:header="708" w:footer="708" w:gutter="0"/>
          <w:cols w:space="708"/>
          <w:docGrid w:linePitch="360"/>
        </w:sectPr>
      </w:pPr>
    </w:p>
    <w:p w14:paraId="1B8CD2C3" w14:textId="1BACF970" w:rsidR="00ED239C" w:rsidRDefault="00C217B7" w:rsidP="00AD0C01">
      <w:pPr>
        <w:rPr>
          <w:rFonts w:ascii="Corbel" w:hAnsi="Corbel"/>
          <w:b/>
          <w:bCs/>
          <w:sz w:val="32"/>
          <w:szCs w:val="32"/>
        </w:rPr>
      </w:pPr>
      <w:r w:rsidRPr="002F2132">
        <w:rPr>
          <w:rFonts w:ascii="Corbel" w:hAnsi="Corbel"/>
          <w:b/>
          <w:bCs/>
          <w:sz w:val="32"/>
          <w:szCs w:val="32"/>
        </w:rPr>
        <w:lastRenderedPageBreak/>
        <w:drawing>
          <wp:anchor distT="0" distB="0" distL="114300" distR="114300" simplePos="0" relativeHeight="251735040" behindDoc="0" locked="0" layoutInCell="1" allowOverlap="1" wp14:anchorId="6823D450" wp14:editId="629450BF">
            <wp:simplePos x="0" y="0"/>
            <wp:positionH relativeFrom="margin">
              <wp:posOffset>-419100</wp:posOffset>
            </wp:positionH>
            <wp:positionV relativeFrom="paragraph">
              <wp:posOffset>-229870</wp:posOffset>
            </wp:positionV>
            <wp:extent cx="6606540" cy="9306560"/>
            <wp:effectExtent l="0" t="0" r="3810" b="8890"/>
            <wp:wrapNone/>
            <wp:docPr id="1907803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03256" name=""/>
                    <pic:cNvPicPr/>
                  </pic:nvPicPr>
                  <pic:blipFill>
                    <a:blip r:embed="rId8">
                      <a:extLst>
                        <a:ext uri="{28A0092B-C50C-407E-A947-70E740481C1C}">
                          <a14:useLocalDpi xmlns:a14="http://schemas.microsoft.com/office/drawing/2010/main" val="0"/>
                        </a:ext>
                      </a:extLst>
                    </a:blip>
                    <a:stretch>
                      <a:fillRect/>
                    </a:stretch>
                  </pic:blipFill>
                  <pic:spPr>
                    <a:xfrm>
                      <a:off x="0" y="0"/>
                      <a:ext cx="6606540" cy="9306560"/>
                    </a:xfrm>
                    <a:prstGeom prst="rect">
                      <a:avLst/>
                    </a:prstGeom>
                  </pic:spPr>
                </pic:pic>
              </a:graphicData>
            </a:graphic>
            <wp14:sizeRelH relativeFrom="margin">
              <wp14:pctWidth>0</wp14:pctWidth>
            </wp14:sizeRelH>
            <wp14:sizeRelV relativeFrom="margin">
              <wp14:pctHeight>0</wp14:pctHeight>
            </wp14:sizeRelV>
          </wp:anchor>
        </w:drawing>
      </w:r>
      <w:r w:rsidR="00A7579F">
        <w:rPr>
          <w:rFonts w:ascii="Corbel" w:hAnsi="Corbel"/>
          <w:b/>
          <w:bCs/>
          <w:noProof/>
          <w:sz w:val="32"/>
          <w:szCs w:val="32"/>
        </w:rPr>
        <mc:AlternateContent>
          <mc:Choice Requires="wps">
            <w:drawing>
              <wp:anchor distT="0" distB="0" distL="114300" distR="114300" simplePos="0" relativeHeight="251658253" behindDoc="0" locked="0" layoutInCell="1" allowOverlap="1" wp14:anchorId="0B5D12E5" wp14:editId="6500FDF8">
                <wp:simplePos x="0" y="0"/>
                <wp:positionH relativeFrom="column">
                  <wp:posOffset>1281430</wp:posOffset>
                </wp:positionH>
                <wp:positionV relativeFrom="paragraph">
                  <wp:posOffset>-747712</wp:posOffset>
                </wp:positionV>
                <wp:extent cx="3814762" cy="428625"/>
                <wp:effectExtent l="0" t="0" r="14605" b="28575"/>
                <wp:wrapNone/>
                <wp:docPr id="1111256922" name="Text Box 10"/>
                <wp:cNvGraphicFramePr/>
                <a:graphic xmlns:a="http://schemas.openxmlformats.org/drawingml/2006/main">
                  <a:graphicData uri="http://schemas.microsoft.com/office/word/2010/wordprocessingShape">
                    <wps:wsp>
                      <wps:cNvSpPr txBox="1"/>
                      <wps:spPr>
                        <a:xfrm>
                          <a:off x="0" y="0"/>
                          <a:ext cx="3814762" cy="428625"/>
                        </a:xfrm>
                        <a:prstGeom prst="rect">
                          <a:avLst/>
                        </a:prstGeom>
                        <a:solidFill>
                          <a:schemeClr val="lt1"/>
                        </a:solidFill>
                        <a:ln w="6350">
                          <a:solidFill>
                            <a:prstClr val="black"/>
                          </a:solidFill>
                        </a:ln>
                      </wps:spPr>
                      <wps:txbx>
                        <w:txbxContent>
                          <w:p w14:paraId="6630E3A5" w14:textId="77777777" w:rsidR="00A7579F" w:rsidRPr="00A7579F" w:rsidRDefault="00A7579F" w:rsidP="00A7579F">
                            <w:pPr>
                              <w:rPr>
                                <w:rFonts w:ascii="Corbel" w:hAnsi="Corbel"/>
                                <w:b/>
                                <w:bCs/>
                                <w:sz w:val="44"/>
                                <w:szCs w:val="44"/>
                              </w:rPr>
                            </w:pPr>
                            <w:r w:rsidRPr="00A7579F">
                              <w:rPr>
                                <w:rFonts w:ascii="Corbel" w:hAnsi="Corbel"/>
                                <w:b/>
                                <w:bCs/>
                                <w:sz w:val="44"/>
                                <w:szCs w:val="44"/>
                              </w:rPr>
                              <w:t>Part A Project Poster</w:t>
                            </w:r>
                          </w:p>
                          <w:p w14:paraId="1AC8AF94" w14:textId="77777777" w:rsidR="00A7579F" w:rsidRDefault="00A757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5D12E5" id="_x0000_t202" coordsize="21600,21600" o:spt="202" path="m,l,21600r21600,l21600,xe">
                <v:stroke joinstyle="miter"/>
                <v:path gradientshapeok="t" o:connecttype="rect"/>
              </v:shapetype>
              <v:shape id="Text Box 10" o:spid="_x0000_s1026" type="#_x0000_t202" style="position:absolute;margin-left:100.9pt;margin-top:-58.85pt;width:300.35pt;height:33.7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" fillcolor="white [3201]" strokeweight=".5pt">
                <v:textbox>
                  <w:txbxContent>
                    <w:p w14:paraId="6630E3A5" w14:textId="77777777" w:rsidR="00A7579F" w:rsidRPr="00A7579F" w:rsidRDefault="00A7579F" w:rsidP="00A7579F">
                      <w:pPr>
                        <w:rPr>
                          <w:rFonts w:ascii="Corbel" w:hAnsi="Corbel"/>
                          <w:b/>
                          <w:bCs/>
                          <w:sz w:val="44"/>
                          <w:szCs w:val="44"/>
                        </w:rPr>
                      </w:pPr>
                      <w:r w:rsidRPr="00A7579F">
                        <w:rPr>
                          <w:rFonts w:ascii="Corbel" w:hAnsi="Corbel"/>
                          <w:b/>
                          <w:bCs/>
                          <w:sz w:val="44"/>
                          <w:szCs w:val="44"/>
                        </w:rPr>
                        <w:t>Part A Project Poster</w:t>
                      </w:r>
                    </w:p>
                    <w:p w14:paraId="1AC8AF94" w14:textId="77777777" w:rsidR="00A7579F" w:rsidRDefault="00A7579F"/>
                  </w:txbxContent>
                </v:textbox>
              </v:shape>
            </w:pict>
          </mc:Fallback>
        </mc:AlternateContent>
      </w:r>
    </w:p>
    <w:p w14:paraId="1F457AD6" w14:textId="0D54B56F" w:rsidR="00833A62" w:rsidRDefault="00833A62" w:rsidP="00AD0C01">
      <w:pPr>
        <w:rPr>
          <w:rFonts w:ascii="Corbel" w:hAnsi="Corbel"/>
          <w:b/>
          <w:bCs/>
          <w:sz w:val="32"/>
          <w:szCs w:val="32"/>
        </w:rPr>
      </w:pPr>
    </w:p>
    <w:p w14:paraId="7DE514A2" w14:textId="77777777" w:rsidR="00833A62" w:rsidRDefault="00833A62" w:rsidP="00AD0C01">
      <w:pPr>
        <w:rPr>
          <w:rFonts w:ascii="Corbel" w:hAnsi="Corbel"/>
          <w:b/>
          <w:bCs/>
          <w:sz w:val="32"/>
          <w:szCs w:val="32"/>
        </w:rPr>
      </w:pPr>
    </w:p>
    <w:p w14:paraId="64BEAA17" w14:textId="77777777" w:rsidR="00833A62" w:rsidRDefault="00833A62" w:rsidP="00AD0C01">
      <w:pPr>
        <w:rPr>
          <w:rFonts w:ascii="Corbel" w:hAnsi="Corbel"/>
          <w:b/>
          <w:bCs/>
          <w:sz w:val="32"/>
          <w:szCs w:val="32"/>
        </w:rPr>
      </w:pPr>
    </w:p>
    <w:p w14:paraId="10B3AC5D" w14:textId="2E37DE3B" w:rsidR="00833A62" w:rsidRDefault="00833A62" w:rsidP="00AD0C01">
      <w:pPr>
        <w:rPr>
          <w:rFonts w:ascii="Corbel" w:hAnsi="Corbel"/>
          <w:b/>
          <w:bCs/>
          <w:sz w:val="32"/>
          <w:szCs w:val="32"/>
        </w:rPr>
      </w:pPr>
    </w:p>
    <w:p w14:paraId="7E045605" w14:textId="77777777" w:rsidR="00833A62" w:rsidRDefault="00833A62" w:rsidP="00AD0C01">
      <w:pPr>
        <w:rPr>
          <w:rFonts w:ascii="Corbel" w:hAnsi="Corbel"/>
          <w:b/>
          <w:bCs/>
          <w:sz w:val="32"/>
          <w:szCs w:val="32"/>
        </w:rPr>
      </w:pPr>
    </w:p>
    <w:p w14:paraId="480D3C04" w14:textId="77777777" w:rsidR="00833A62" w:rsidRDefault="00833A62" w:rsidP="00AD0C01">
      <w:pPr>
        <w:rPr>
          <w:rFonts w:ascii="Corbel" w:hAnsi="Corbel"/>
          <w:b/>
          <w:bCs/>
          <w:sz w:val="32"/>
          <w:szCs w:val="32"/>
        </w:rPr>
      </w:pPr>
    </w:p>
    <w:p w14:paraId="084A229B" w14:textId="77777777" w:rsidR="00833A62" w:rsidRDefault="00833A62" w:rsidP="00AD0C01">
      <w:pPr>
        <w:rPr>
          <w:rFonts w:ascii="Corbel" w:hAnsi="Corbel"/>
          <w:b/>
          <w:bCs/>
          <w:sz w:val="32"/>
          <w:szCs w:val="32"/>
        </w:rPr>
      </w:pPr>
    </w:p>
    <w:p w14:paraId="66D1A5E8" w14:textId="77777777" w:rsidR="00833A62" w:rsidRDefault="00833A62" w:rsidP="00AD0C01">
      <w:pPr>
        <w:rPr>
          <w:rFonts w:ascii="Corbel" w:hAnsi="Corbel"/>
          <w:b/>
          <w:bCs/>
          <w:sz w:val="32"/>
          <w:szCs w:val="32"/>
        </w:rPr>
      </w:pPr>
    </w:p>
    <w:p w14:paraId="2BF7EA82" w14:textId="77777777" w:rsidR="00833A62" w:rsidRDefault="00833A62" w:rsidP="00AD0C01">
      <w:pPr>
        <w:rPr>
          <w:rFonts w:ascii="Corbel" w:hAnsi="Corbel"/>
          <w:b/>
          <w:bCs/>
          <w:sz w:val="32"/>
          <w:szCs w:val="32"/>
        </w:rPr>
      </w:pPr>
    </w:p>
    <w:p w14:paraId="652B607A" w14:textId="77777777" w:rsidR="00833A62" w:rsidRDefault="00833A62" w:rsidP="00AD0C01">
      <w:pPr>
        <w:rPr>
          <w:rFonts w:ascii="Corbel" w:hAnsi="Corbel"/>
          <w:b/>
          <w:bCs/>
          <w:sz w:val="32"/>
          <w:szCs w:val="32"/>
        </w:rPr>
      </w:pPr>
    </w:p>
    <w:p w14:paraId="2B3CBAF8" w14:textId="77777777" w:rsidR="00833A62" w:rsidRDefault="00833A62" w:rsidP="00AD0C01">
      <w:pPr>
        <w:rPr>
          <w:rFonts w:ascii="Corbel" w:hAnsi="Corbel"/>
          <w:b/>
          <w:bCs/>
          <w:sz w:val="32"/>
          <w:szCs w:val="32"/>
        </w:rPr>
      </w:pPr>
    </w:p>
    <w:p w14:paraId="7715A043" w14:textId="77777777" w:rsidR="00833A62" w:rsidRDefault="00833A62" w:rsidP="00AD0C01">
      <w:pPr>
        <w:rPr>
          <w:rFonts w:ascii="Corbel" w:hAnsi="Corbel"/>
          <w:b/>
          <w:bCs/>
          <w:sz w:val="32"/>
          <w:szCs w:val="32"/>
        </w:rPr>
      </w:pPr>
    </w:p>
    <w:p w14:paraId="3114B67D" w14:textId="77777777" w:rsidR="00833A62" w:rsidRDefault="00833A62" w:rsidP="00AD0C01">
      <w:pPr>
        <w:rPr>
          <w:rFonts w:ascii="Corbel" w:hAnsi="Corbel"/>
          <w:b/>
          <w:bCs/>
          <w:sz w:val="32"/>
          <w:szCs w:val="32"/>
        </w:rPr>
      </w:pPr>
    </w:p>
    <w:p w14:paraId="4196A3B5" w14:textId="77777777" w:rsidR="00833A62" w:rsidRDefault="00833A62" w:rsidP="00AD0C01">
      <w:pPr>
        <w:rPr>
          <w:rFonts w:ascii="Corbel" w:hAnsi="Corbel"/>
          <w:b/>
          <w:bCs/>
          <w:sz w:val="32"/>
          <w:szCs w:val="32"/>
        </w:rPr>
      </w:pPr>
    </w:p>
    <w:p w14:paraId="3CABE3D5" w14:textId="77777777" w:rsidR="00833A62" w:rsidRDefault="00833A62" w:rsidP="00AD0C01">
      <w:pPr>
        <w:rPr>
          <w:rFonts w:ascii="Corbel" w:hAnsi="Corbel"/>
          <w:b/>
          <w:bCs/>
          <w:sz w:val="32"/>
          <w:szCs w:val="32"/>
        </w:rPr>
      </w:pPr>
    </w:p>
    <w:p w14:paraId="02ECE702" w14:textId="77777777" w:rsidR="00833A62" w:rsidRDefault="00833A62" w:rsidP="00AD0C01">
      <w:pPr>
        <w:rPr>
          <w:rFonts w:ascii="Corbel" w:hAnsi="Corbel"/>
          <w:b/>
          <w:bCs/>
          <w:sz w:val="32"/>
          <w:szCs w:val="32"/>
        </w:rPr>
      </w:pPr>
    </w:p>
    <w:p w14:paraId="66B08EB4" w14:textId="77777777" w:rsidR="00833A62" w:rsidRDefault="00833A62" w:rsidP="00AD0C01">
      <w:pPr>
        <w:rPr>
          <w:rFonts w:ascii="Corbel" w:hAnsi="Corbel"/>
          <w:b/>
          <w:bCs/>
          <w:sz w:val="32"/>
          <w:szCs w:val="32"/>
        </w:rPr>
      </w:pPr>
    </w:p>
    <w:p w14:paraId="50208DE7" w14:textId="77777777" w:rsidR="00833A62" w:rsidRDefault="00833A62" w:rsidP="00AD0C01">
      <w:pPr>
        <w:rPr>
          <w:rFonts w:ascii="Corbel" w:hAnsi="Corbel"/>
          <w:b/>
          <w:bCs/>
          <w:sz w:val="32"/>
          <w:szCs w:val="32"/>
        </w:rPr>
      </w:pPr>
    </w:p>
    <w:p w14:paraId="2D1B643E" w14:textId="77777777" w:rsidR="00833A62" w:rsidRDefault="00833A62" w:rsidP="00AD0C01">
      <w:pPr>
        <w:rPr>
          <w:rFonts w:ascii="Corbel" w:hAnsi="Corbel"/>
          <w:b/>
          <w:bCs/>
          <w:sz w:val="32"/>
          <w:szCs w:val="32"/>
        </w:rPr>
      </w:pPr>
    </w:p>
    <w:p w14:paraId="7988C854" w14:textId="77777777" w:rsidR="00833A62" w:rsidRDefault="00833A62" w:rsidP="00AD0C01">
      <w:pPr>
        <w:rPr>
          <w:rFonts w:ascii="Corbel" w:hAnsi="Corbel"/>
          <w:b/>
          <w:bCs/>
          <w:sz w:val="32"/>
          <w:szCs w:val="32"/>
        </w:rPr>
      </w:pPr>
    </w:p>
    <w:p w14:paraId="5BFC363F" w14:textId="77777777" w:rsidR="00833A62" w:rsidRDefault="00833A62" w:rsidP="00AD0C01">
      <w:pPr>
        <w:rPr>
          <w:rFonts w:ascii="Corbel" w:hAnsi="Corbel"/>
          <w:b/>
          <w:bCs/>
          <w:sz w:val="32"/>
          <w:szCs w:val="32"/>
        </w:rPr>
      </w:pPr>
    </w:p>
    <w:p w14:paraId="7B4F74A4" w14:textId="77777777" w:rsidR="00833A62" w:rsidRDefault="00833A62" w:rsidP="00AD0C01">
      <w:pPr>
        <w:rPr>
          <w:rFonts w:ascii="Corbel" w:hAnsi="Corbel"/>
          <w:b/>
          <w:bCs/>
          <w:sz w:val="32"/>
          <w:szCs w:val="32"/>
        </w:rPr>
      </w:pPr>
    </w:p>
    <w:p w14:paraId="3D1B4D41" w14:textId="323AA80C" w:rsidR="00AD0C01" w:rsidRPr="00E23BAC" w:rsidRDefault="00AD0C01" w:rsidP="00AD0C01">
      <w:pPr>
        <w:rPr>
          <w:rFonts w:ascii="Corbel" w:hAnsi="Corbel"/>
          <w:b/>
          <w:bCs/>
          <w:sz w:val="32"/>
          <w:szCs w:val="32"/>
        </w:rPr>
      </w:pPr>
      <w:r w:rsidRPr="00E23BAC">
        <w:rPr>
          <w:rFonts w:ascii="Corbel" w:hAnsi="Corbel"/>
          <w:b/>
          <w:bCs/>
          <w:sz w:val="32"/>
          <w:szCs w:val="32"/>
        </w:rPr>
        <w:lastRenderedPageBreak/>
        <w:t>Part B – Critical Reflection on Feedback</w:t>
      </w:r>
    </w:p>
    <w:p w14:paraId="513F928B" w14:textId="1A5439A6" w:rsidR="00C217B7" w:rsidRPr="00C217B7" w:rsidRDefault="00C217B7" w:rsidP="00C217B7">
      <w:pPr>
        <w:rPr>
          <w:rFonts w:ascii="Corbel" w:hAnsi="Corbel"/>
          <w:b/>
          <w:bCs/>
          <w:sz w:val="28"/>
          <w:szCs w:val="28"/>
        </w:rPr>
      </w:pPr>
    </w:p>
    <w:p w14:paraId="1E75E610" w14:textId="20A1C9C7" w:rsidR="00C217B7" w:rsidRPr="00C217B7" w:rsidRDefault="00C217B7" w:rsidP="00C217B7">
      <w:pPr>
        <w:spacing w:line="360" w:lineRule="auto"/>
        <w:jc w:val="both"/>
        <w:rPr>
          <w:rFonts w:ascii="Corbel" w:hAnsi="Corbel"/>
        </w:rPr>
      </w:pPr>
      <w:r w:rsidRPr="00C217B7">
        <w:rPr>
          <w:rFonts w:ascii="Corbel" w:hAnsi="Corbel"/>
        </w:rPr>
        <w:t>Feedback is an important part of academic and professional development because it helps identify strengths and areas requiring improvement. Gibbs’ Reflective Cycle (1988) provides a structured approach for evaluating the feedback experience and identifying lessons for future development.</w:t>
      </w:r>
    </w:p>
    <w:p w14:paraId="3E5BA007" w14:textId="2C346721"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t>1. Description</w:t>
      </w:r>
    </w:p>
    <w:p w14:paraId="79069EA9" w14:textId="71651DF3" w:rsidR="00C217B7" w:rsidRPr="00C217B7" w:rsidRDefault="00C217B7" w:rsidP="00C217B7">
      <w:pPr>
        <w:spacing w:line="360" w:lineRule="auto"/>
        <w:jc w:val="both"/>
        <w:rPr>
          <w:rFonts w:ascii="Corbel" w:hAnsi="Corbel"/>
        </w:rPr>
      </w:pPr>
      <w:r w:rsidRPr="00C217B7">
        <w:rPr>
          <w:rFonts w:ascii="Corbel" w:hAnsi="Corbel"/>
        </w:rPr>
        <w:t>The feedback session involved presenting a project poster on the redevelopment of a central transport hub. The overall response was positive, particularly regarding the range of project management tools included. However, tutor feedback identified that the Quad Chart required restructuring and that the risk assessment needed further development. These comments provided clear priorities for improvement before final submission.</w:t>
      </w:r>
    </w:p>
    <w:p w14:paraId="71E9A388" w14:textId="4F3ADFA0"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t>2. Feelings</w:t>
      </w:r>
    </w:p>
    <w:p w14:paraId="74FC8FCB" w14:textId="557AE30D" w:rsidR="00C217B7" w:rsidRPr="00C217B7" w:rsidRDefault="00C217B7" w:rsidP="00C217B7">
      <w:pPr>
        <w:spacing w:line="360" w:lineRule="auto"/>
        <w:jc w:val="both"/>
        <w:rPr>
          <w:rFonts w:ascii="Corbel" w:hAnsi="Corbel"/>
        </w:rPr>
      </w:pPr>
      <w:r w:rsidRPr="00C217B7">
        <w:rPr>
          <w:rFonts w:ascii="Corbel" w:hAnsi="Corbel"/>
        </w:rPr>
        <w:t>Before the presentation, there was a reasonable level of confidence due to the preparation undertaken. However, presenting to an audience created unexpected nervousness, which affected concentration and resulted in some planned points being missed. Observing similar difficulties during other presentations helped place this experience into perspective and demonstrated that presentation confidence does not always reflect the quality of preparation.</w:t>
      </w:r>
    </w:p>
    <w:p w14:paraId="6B511243" w14:textId="79C6AA29"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t>3. Evaluation</w:t>
      </w:r>
    </w:p>
    <w:p w14:paraId="20368C14" w14:textId="77777777" w:rsidR="00C217B7" w:rsidRPr="00C217B7" w:rsidRDefault="00C217B7" w:rsidP="00C217B7">
      <w:pPr>
        <w:spacing w:line="360" w:lineRule="auto"/>
        <w:jc w:val="both"/>
        <w:rPr>
          <w:rFonts w:ascii="Corbel" w:hAnsi="Corbel"/>
        </w:rPr>
      </w:pPr>
      <w:r w:rsidRPr="00C217B7">
        <w:rPr>
          <w:rFonts w:ascii="Corbel" w:hAnsi="Corbel"/>
        </w:rPr>
        <w:t>The poster was comprehensive and incorporated the main project management tools, which represented a key strength. The tutor’s feedback was particularly valuable because it highlighted weaknesses that had not been identified during independent review. However, the presentation itself could have communicated some points more clearly. Observing other presentations also provided useful comparisons in relation to organisation, clarity and delivery.</w:t>
      </w:r>
    </w:p>
    <w:p w14:paraId="797D9E26" w14:textId="77777777" w:rsidR="00C217B7" w:rsidRDefault="00C217B7" w:rsidP="00C217B7">
      <w:pPr>
        <w:spacing w:line="360" w:lineRule="auto"/>
        <w:rPr>
          <w:rFonts w:ascii="Corbel" w:hAnsi="Corbel"/>
          <w:b/>
          <w:bCs/>
          <w:sz w:val="28"/>
          <w:szCs w:val="28"/>
        </w:rPr>
      </w:pPr>
    </w:p>
    <w:p w14:paraId="75B9272E" w14:textId="7952D335"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lastRenderedPageBreak/>
        <w:t>4. Analysis</w:t>
      </w:r>
    </w:p>
    <w:p w14:paraId="5B2110E3" w14:textId="41A4EB63" w:rsidR="00C217B7" w:rsidRPr="00C217B7" w:rsidRDefault="00C217B7" w:rsidP="00C217B7">
      <w:pPr>
        <w:spacing w:line="360" w:lineRule="auto"/>
        <w:jc w:val="both"/>
        <w:rPr>
          <w:rFonts w:ascii="Corbel" w:hAnsi="Corbel"/>
        </w:rPr>
      </w:pPr>
      <w:r w:rsidRPr="00C217B7">
        <w:rPr>
          <w:rFonts w:ascii="Corbel" w:hAnsi="Corbel"/>
        </w:rPr>
        <w:t xml:space="preserve">The feedback demonstrated that including project management tools is not sufficient unless they are applied effectively. Although the original Quad Chart contained relevant information, its structure did not communicate project priorities clearly enough. Similarly, the original risk assessment identified appropriate risks but lacked a measurable approach to prioritisation. The Quad Chart was therefore </w:t>
      </w:r>
      <w:r w:rsidRPr="00C217B7">
        <w:rPr>
          <w:rFonts w:ascii="Corbel" w:hAnsi="Corbel"/>
        </w:rPr>
        <w:t>restructured,</w:t>
      </w:r>
      <w:r w:rsidRPr="00C217B7">
        <w:rPr>
          <w:rFonts w:ascii="Corbel" w:hAnsi="Corbel"/>
        </w:rPr>
        <w:t xml:space="preserve"> and numerical likelihood and impact scores were introduced to strengthen the</w:t>
      </w:r>
      <w:r w:rsidRPr="00C217B7">
        <w:rPr>
          <w:rFonts w:ascii="Corbel" w:hAnsi="Corbel"/>
          <w:b/>
          <w:bCs/>
        </w:rPr>
        <w:t xml:space="preserve"> </w:t>
      </w:r>
      <w:r w:rsidRPr="00C217B7">
        <w:rPr>
          <w:rFonts w:ascii="Corbel" w:hAnsi="Corbel"/>
        </w:rPr>
        <w:t>risk assessment. This also</w:t>
      </w:r>
      <w:r w:rsidRPr="00C217B7">
        <w:rPr>
          <w:rFonts w:ascii="Corbel" w:hAnsi="Corbel"/>
          <w:sz w:val="22"/>
          <w:szCs w:val="22"/>
        </w:rPr>
        <w:t xml:space="preserve"> </w:t>
      </w:r>
      <w:r w:rsidRPr="00C217B7">
        <w:rPr>
          <w:rFonts w:ascii="Corbel" w:hAnsi="Corbel"/>
        </w:rPr>
        <w:t>highlighted the importance of consistency between the Gantt Chart, stakeholder mapping and other project management tools.</w:t>
      </w:r>
    </w:p>
    <w:p w14:paraId="32FF6DCF" w14:textId="2E9AA441"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t>5. Conclusion</w:t>
      </w:r>
    </w:p>
    <w:p w14:paraId="6AE4EE6B" w14:textId="6EE6FD91" w:rsidR="00C217B7" w:rsidRPr="00C217B7" w:rsidRDefault="00C217B7" w:rsidP="00C217B7">
      <w:pPr>
        <w:spacing w:line="360" w:lineRule="auto"/>
        <w:jc w:val="both"/>
        <w:rPr>
          <w:rFonts w:ascii="Corbel" w:hAnsi="Corbel"/>
        </w:rPr>
      </w:pPr>
      <w:r w:rsidRPr="00C217B7">
        <w:rPr>
          <w:rFonts w:ascii="Corbel" w:hAnsi="Corbel"/>
        </w:rPr>
        <w:t>The experience demonstrated the importance of accuracy, consistency and clear communication when applying project management tools. Tutor feedback helped identify weaknesses and supported more evidence-based revisions. The presentation also highlighted how nervousness can affect the communication of prepared knowledge. Overall, constructive feedback provided an opportunity to strengthen both the project and presentation approach.</w:t>
      </w:r>
    </w:p>
    <w:p w14:paraId="465B79C0" w14:textId="7D9C1FC3" w:rsidR="00C217B7" w:rsidRPr="00C217B7" w:rsidRDefault="00C217B7" w:rsidP="00C217B7">
      <w:pPr>
        <w:spacing w:line="360" w:lineRule="auto"/>
        <w:jc w:val="both"/>
        <w:rPr>
          <w:rFonts w:ascii="Corbel" w:hAnsi="Corbel"/>
          <w:b/>
          <w:bCs/>
          <w:sz w:val="28"/>
          <w:szCs w:val="28"/>
        </w:rPr>
      </w:pPr>
      <w:r w:rsidRPr="00C217B7">
        <w:rPr>
          <w:rFonts w:ascii="Corbel" w:hAnsi="Corbel"/>
          <w:b/>
          <w:bCs/>
          <w:sz w:val="28"/>
          <w:szCs w:val="28"/>
        </w:rPr>
        <w:t>6. Action Plan</w:t>
      </w:r>
    </w:p>
    <w:p w14:paraId="07CD3FE0" w14:textId="3E5AA1C7" w:rsidR="00987BB4" w:rsidRPr="00C217B7" w:rsidRDefault="00C217B7" w:rsidP="00C217B7">
      <w:pPr>
        <w:spacing w:line="360" w:lineRule="auto"/>
        <w:jc w:val="both"/>
        <w:rPr>
          <w:rFonts w:ascii="Corbel" w:hAnsi="Corbel"/>
        </w:rPr>
      </w:pPr>
      <w:r w:rsidRPr="00C217B7">
        <w:rPr>
          <w:rFonts w:ascii="Corbel" w:hAnsi="Corbel"/>
        </w:rPr>
        <w:t>Future projects will incorporate formative feedback at key stages rather than relying mainly on final review. A structured quality check will also be used to assess the accuracy, consistency and justification of project management tools before submission. Presentation preparation will include timed rehearsals and concise prompts to improve clarity, confidence and coverage of key points.</w:t>
      </w:r>
    </w:p>
    <w:p w14:paraId="409B2C00" w14:textId="77777777" w:rsidR="00987BB4" w:rsidRPr="00C217B7" w:rsidRDefault="00987BB4" w:rsidP="00987BB4">
      <w:pPr>
        <w:rPr>
          <w:rFonts w:ascii="Corbel" w:hAnsi="Corbel"/>
        </w:rPr>
      </w:pPr>
    </w:p>
    <w:p w14:paraId="3E2AC829" w14:textId="77777777" w:rsidR="00C217B7" w:rsidRDefault="00C217B7" w:rsidP="004048D9">
      <w:pPr>
        <w:rPr>
          <w:rFonts w:ascii="Corbel" w:hAnsi="Corbel"/>
          <w:sz w:val="22"/>
          <w:szCs w:val="22"/>
        </w:rPr>
      </w:pPr>
    </w:p>
    <w:p w14:paraId="5D590A9E" w14:textId="77777777" w:rsidR="00C217B7" w:rsidRDefault="00C217B7" w:rsidP="004048D9">
      <w:pPr>
        <w:rPr>
          <w:rFonts w:ascii="Corbel" w:hAnsi="Corbel"/>
          <w:sz w:val="22"/>
          <w:szCs w:val="22"/>
        </w:rPr>
      </w:pPr>
    </w:p>
    <w:p w14:paraId="63421D37" w14:textId="77777777" w:rsidR="00C217B7" w:rsidRDefault="00C217B7" w:rsidP="004048D9">
      <w:pPr>
        <w:rPr>
          <w:rFonts w:ascii="Corbel" w:hAnsi="Corbel"/>
          <w:sz w:val="22"/>
          <w:szCs w:val="22"/>
        </w:rPr>
      </w:pPr>
    </w:p>
    <w:p w14:paraId="76CD7039" w14:textId="77777777" w:rsidR="00C217B7" w:rsidRDefault="00C217B7" w:rsidP="004048D9">
      <w:pPr>
        <w:rPr>
          <w:rFonts w:ascii="Corbel" w:hAnsi="Corbel"/>
          <w:sz w:val="22"/>
          <w:szCs w:val="22"/>
        </w:rPr>
      </w:pPr>
    </w:p>
    <w:p w14:paraId="29C7A4F0" w14:textId="77777777" w:rsidR="00C217B7" w:rsidRDefault="00C217B7" w:rsidP="004048D9">
      <w:pPr>
        <w:rPr>
          <w:rFonts w:ascii="Corbel" w:hAnsi="Corbel"/>
          <w:sz w:val="22"/>
          <w:szCs w:val="22"/>
        </w:rPr>
      </w:pPr>
    </w:p>
    <w:p w14:paraId="154A3115" w14:textId="3ADC2015" w:rsidR="004048D9" w:rsidRPr="00161B1B" w:rsidRDefault="004E79A7" w:rsidP="00C217B7">
      <w:pPr>
        <w:spacing w:line="360" w:lineRule="auto"/>
        <w:rPr>
          <w:rFonts w:ascii="Corbel" w:hAnsi="Corbel"/>
          <w:b/>
          <w:bCs/>
          <w:color w:val="215E99" w:themeColor="text2" w:themeTint="BF"/>
          <w:sz w:val="32"/>
          <w:szCs w:val="32"/>
        </w:rPr>
      </w:pPr>
      <w:r w:rsidRPr="00161B1B">
        <w:rPr>
          <w:rFonts w:ascii="Corbel" w:hAnsi="Corbel"/>
          <w:b/>
          <w:bCs/>
          <w:color w:val="215E99" w:themeColor="text2" w:themeTint="BF"/>
          <w:sz w:val="32"/>
          <w:szCs w:val="32"/>
        </w:rPr>
        <w:lastRenderedPageBreak/>
        <w:t xml:space="preserve">Part C </w:t>
      </w:r>
      <w:r w:rsidR="008A033D" w:rsidRPr="00161B1B">
        <w:rPr>
          <w:rFonts w:ascii="Corbel" w:hAnsi="Corbel"/>
          <w:b/>
          <w:bCs/>
          <w:color w:val="215E99" w:themeColor="text2" w:themeTint="BF"/>
          <w:sz w:val="32"/>
          <w:szCs w:val="32"/>
        </w:rPr>
        <w:t>– Project Management Plan</w:t>
      </w:r>
    </w:p>
    <w:p w14:paraId="6ECE1FC2" w14:textId="404C9112" w:rsidR="00AB29B4" w:rsidRPr="00161B1B" w:rsidRDefault="00AB29B4" w:rsidP="00C217B7">
      <w:pPr>
        <w:spacing w:line="360" w:lineRule="auto"/>
        <w:rPr>
          <w:rFonts w:ascii="Corbel" w:hAnsi="Corbel"/>
          <w:b/>
          <w:bCs/>
          <w:sz w:val="28"/>
          <w:szCs w:val="28"/>
        </w:rPr>
      </w:pPr>
      <w:r w:rsidRPr="00161B1B">
        <w:rPr>
          <w:rFonts w:ascii="Corbel" w:hAnsi="Corbel"/>
          <w:b/>
          <w:bCs/>
          <w:sz w:val="28"/>
          <w:szCs w:val="28"/>
        </w:rPr>
        <w:t>Redevelopment of the Central Transport Hub</w:t>
      </w:r>
    </w:p>
    <w:p w14:paraId="33999753" w14:textId="674C4870" w:rsidR="00C04FF8" w:rsidRPr="001F5939" w:rsidRDefault="005E58C7" w:rsidP="00C217B7">
      <w:pPr>
        <w:spacing w:line="360" w:lineRule="auto"/>
        <w:rPr>
          <w:rFonts w:ascii="Corbel" w:hAnsi="Corbel"/>
          <w:b/>
          <w:bCs/>
          <w:sz w:val="28"/>
          <w:szCs w:val="28"/>
        </w:rPr>
      </w:pPr>
      <w:r w:rsidRPr="00141CED">
        <w:rPr>
          <w:rFonts w:ascii="Corbel" w:hAnsi="Corbel"/>
          <w:b/>
          <w:bCs/>
          <w:sz w:val="28"/>
          <w:szCs w:val="28"/>
        </w:rPr>
        <w:t>1. Introduction</w:t>
      </w:r>
    </w:p>
    <w:p w14:paraId="2BE02C71" w14:textId="63F8BCEA" w:rsidR="00002827" w:rsidRDefault="00C04FF8" w:rsidP="00C217B7">
      <w:pPr>
        <w:spacing w:line="360" w:lineRule="auto"/>
        <w:jc w:val="both"/>
        <w:rPr>
          <w:rFonts w:ascii="Corbel" w:hAnsi="Corbel"/>
        </w:rPr>
      </w:pPr>
      <w:r w:rsidRPr="00C04FF8">
        <w:rPr>
          <w:rFonts w:ascii="Corbel" w:hAnsi="Corbel"/>
        </w:rPr>
        <w:t>Major transport hubs influence more than passenger movement; their accessibility and integration can also shape the wider areas they serve. Recent research on transit-oriented urban renewal highlights the importance of connecting different public transport modes when improving accessibility within developing urban areas (Sho and Zhu, 2025). This suggests that redevelopment should not be viewed only as a physical infrastructure upgrade, but as an opportunity to improve how transport and the surrounding urban environment function together. Stratford Station provides a relevant UK example, where increasing passenger demand and continued regeneration have created pressure for long-term improvements to capacity and interchange (Greater London Authority, 2023).</w:t>
      </w:r>
      <w:r w:rsidR="001F5939">
        <w:rPr>
          <w:rFonts w:ascii="Corbel" w:hAnsi="Corbel"/>
        </w:rPr>
        <w:t xml:space="preserve"> </w:t>
      </w:r>
      <w:r w:rsidRPr="00C04FF8">
        <w:rPr>
          <w:rFonts w:ascii="Corbel" w:hAnsi="Corbel"/>
        </w:rPr>
        <w:t xml:space="preserve">The proposed Central Transport Hub Redevelopment reflects a similar need for long-term improvement. The existing facility is more than forty years old, and its closure has disrupted passenger movement, freight operations, local businesses and regional connectivity. </w:t>
      </w:r>
      <w:proofErr w:type="spellStart"/>
      <w:r w:rsidRPr="00C04FF8">
        <w:rPr>
          <w:rFonts w:ascii="Corbel" w:hAnsi="Corbel"/>
        </w:rPr>
        <w:t>Samuilovas</w:t>
      </w:r>
      <w:proofErr w:type="spellEnd"/>
      <w:r w:rsidRPr="00C04FF8">
        <w:rPr>
          <w:rFonts w:ascii="Corbel" w:hAnsi="Corbel"/>
        </w:rPr>
        <w:t xml:space="preserve"> and </w:t>
      </w:r>
      <w:proofErr w:type="spellStart"/>
      <w:r w:rsidRPr="00C04FF8">
        <w:rPr>
          <w:rFonts w:ascii="Corbel" w:hAnsi="Corbel"/>
        </w:rPr>
        <w:t>Ušpalytė-Vitkūnienė</w:t>
      </w:r>
      <w:proofErr w:type="spellEnd"/>
      <w:r w:rsidRPr="00C04FF8">
        <w:rPr>
          <w:rFonts w:ascii="Corbel" w:hAnsi="Corbel"/>
        </w:rPr>
        <w:t xml:space="preserve"> (2025) identify integration as an important means of improving public transport accessibility and supporting more sustainable transport provision. Applied to this project, this supports the decision to coordinate rail, bus and freight services rather than improving each mode independently, as fragmented improvements may fail to address the wider operational weaknesses of the hub.</w:t>
      </w:r>
      <w:r w:rsidR="001F5939">
        <w:rPr>
          <w:rFonts w:ascii="Corbel" w:hAnsi="Corbel"/>
        </w:rPr>
        <w:t xml:space="preserve"> </w:t>
      </w:r>
      <w:r w:rsidRPr="00C04FF8">
        <w:rPr>
          <w:rFonts w:ascii="Corbel" w:hAnsi="Corbel"/>
        </w:rPr>
        <w:t>The redevelopment therefore represents a strategic intervention aimed at improving safety, accessibility, integration and long-term operational performance. Successful delivery requires coordinated management of time, cost, quality, resources and stakeholder expectations. This Project Management Plan evaluates how an integrated management approach can support these objectives over the proposed 12-month delivery period.</w:t>
      </w:r>
    </w:p>
    <w:p w14:paraId="0F842BE9" w14:textId="77777777" w:rsidR="00B75AFA" w:rsidRDefault="00B75AFA" w:rsidP="00804F9A">
      <w:pPr>
        <w:spacing w:line="360" w:lineRule="auto"/>
        <w:rPr>
          <w:rFonts w:ascii="Corbel" w:hAnsi="Corbel"/>
          <w:b/>
          <w:bCs/>
          <w:sz w:val="28"/>
          <w:szCs w:val="28"/>
        </w:rPr>
      </w:pPr>
    </w:p>
    <w:p w14:paraId="1FF14F91" w14:textId="77777777" w:rsidR="00804F9A" w:rsidRDefault="00804F9A" w:rsidP="00804F9A">
      <w:pPr>
        <w:spacing w:line="360" w:lineRule="auto"/>
        <w:rPr>
          <w:rFonts w:ascii="Corbel" w:hAnsi="Corbel"/>
          <w:b/>
          <w:bCs/>
          <w:sz w:val="28"/>
          <w:szCs w:val="28"/>
        </w:rPr>
      </w:pPr>
    </w:p>
    <w:p w14:paraId="4483CF5C" w14:textId="77777777" w:rsidR="00804F9A" w:rsidRDefault="00804F9A" w:rsidP="00804F9A">
      <w:pPr>
        <w:spacing w:line="360" w:lineRule="auto"/>
        <w:rPr>
          <w:rFonts w:ascii="Corbel" w:hAnsi="Corbel"/>
          <w:b/>
          <w:bCs/>
          <w:sz w:val="28"/>
          <w:szCs w:val="28"/>
        </w:rPr>
      </w:pPr>
    </w:p>
    <w:p w14:paraId="1611B2DF" w14:textId="0786414D" w:rsidR="00AA658D" w:rsidRPr="001D300A" w:rsidRDefault="009B5B9F" w:rsidP="00804F9A">
      <w:pPr>
        <w:spacing w:line="360" w:lineRule="auto"/>
        <w:rPr>
          <w:rFonts w:ascii="Corbel" w:hAnsi="Corbel"/>
          <w:b/>
          <w:bCs/>
          <w:sz w:val="28"/>
          <w:szCs w:val="28"/>
        </w:rPr>
      </w:pPr>
      <w:r w:rsidRPr="008F37DA">
        <w:rPr>
          <w:rFonts w:ascii="Corbel" w:hAnsi="Corbel"/>
          <w:b/>
          <w:bCs/>
          <w:sz w:val="28"/>
          <w:szCs w:val="28"/>
        </w:rPr>
        <w:lastRenderedPageBreak/>
        <w:t>2. Project Description</w:t>
      </w:r>
    </w:p>
    <w:p w14:paraId="0CD9D314" w14:textId="2F2D4500" w:rsidR="00C829A5" w:rsidRDefault="00AA658D" w:rsidP="00804F9A">
      <w:pPr>
        <w:spacing w:line="360" w:lineRule="auto"/>
        <w:jc w:val="both"/>
        <w:rPr>
          <w:rFonts w:ascii="Corbel" w:hAnsi="Corbel"/>
        </w:rPr>
      </w:pPr>
      <w:r w:rsidRPr="00AA658D">
        <w:rPr>
          <w:rFonts w:ascii="Corbel" w:hAnsi="Corbel"/>
        </w:rPr>
        <w:t>The Central Transport Hub Redevelopment is planned as a 12-month infrastructure project that combines physical redevelopment with improvements to the way transport services operate together. The project is organised into five connected phases: Project Initiation, Project Planning, Design and Procurement, Construction and Commissioning and Project Closure. This structure provides a clear route from early decision-making through to final handover rather than treating redevelopment as a single construction activity.</w:t>
      </w:r>
      <w:r w:rsidR="001D300A">
        <w:rPr>
          <w:rFonts w:ascii="Corbel" w:hAnsi="Corbel"/>
        </w:rPr>
        <w:t xml:space="preserve"> </w:t>
      </w:r>
      <w:r w:rsidRPr="00AA658D">
        <w:rPr>
          <w:rFonts w:ascii="Corbel" w:hAnsi="Corbel"/>
        </w:rPr>
        <w:t xml:space="preserve">A phased delivery approach is particularly useful in a complex infrastructure project because decisions made at an early stage can influence cost, quality and performance later in the programme. </w:t>
      </w:r>
      <w:proofErr w:type="spellStart"/>
      <w:r w:rsidRPr="00AA658D">
        <w:rPr>
          <w:rFonts w:ascii="Corbel" w:hAnsi="Corbel"/>
        </w:rPr>
        <w:t>Bajare</w:t>
      </w:r>
      <w:proofErr w:type="spellEnd"/>
      <w:r w:rsidRPr="00AA658D">
        <w:rPr>
          <w:rFonts w:ascii="Corbel" w:hAnsi="Corbel"/>
        </w:rPr>
        <w:t xml:space="preserve"> et al. (2025) emphasise that clearly defined project lifecycle stages support more structured decision-making and provide clearer points for review. In this redevelopment, the main advantage is that feasibility, planning and design decisions can be assessed before greater financial and physical resources are committed. Controlled overlap between design, procurement and construction is still retained to support the 12-month programme, but this requires careful coordination because incomplete design decisions could create rework, additional cost or delay.</w:t>
      </w:r>
      <w:r>
        <w:rPr>
          <w:rFonts w:ascii="Corbel" w:hAnsi="Corbel"/>
        </w:rPr>
        <w:t xml:space="preserve"> </w:t>
      </w:r>
      <w:r w:rsidRPr="00AA658D">
        <w:rPr>
          <w:rFonts w:ascii="Corbel" w:hAnsi="Corbel"/>
        </w:rPr>
        <w:t>The main outputs include project approvals, detailed design, procured contracts, infrastructure and accessibility improvements, testing, handover and final evaluation. These outputs are interdependent; for example, accessibility requirements need to be incorporated during design rather than added after construction. This improves the likelihood that the completed hub operates as an integrated facility rather than as a series of separate upgrades.</w:t>
      </w:r>
      <w:r>
        <w:rPr>
          <w:rFonts w:ascii="Corbel" w:hAnsi="Corbel"/>
        </w:rPr>
        <w:t xml:space="preserve"> </w:t>
      </w:r>
      <w:r w:rsidRPr="00AA658D">
        <w:rPr>
          <w:rFonts w:ascii="Corbel" w:hAnsi="Corbel"/>
        </w:rPr>
        <w:t>Project success should also be assessed more broadly than completion within time and budget. Kiani Mavi et al. (2024) argue that construction project success is influenced by a wider range of criteria than traditional delivery measures alone. For this redevelopment, this supports evaluating safety, accessibility, regulatory compliance, transport integration and stakeholder</w:t>
      </w:r>
      <w:r w:rsidR="00B53B41">
        <w:rPr>
          <w:rFonts w:ascii="Corbel" w:hAnsi="Corbel"/>
        </w:rPr>
        <w:t xml:space="preserve"> </w:t>
      </w:r>
      <w:r w:rsidRPr="00AA658D">
        <w:rPr>
          <w:rFonts w:ascii="Corbel" w:hAnsi="Corbel"/>
        </w:rPr>
        <w:t>satisfaction alongside schedule and budget performance. This broader approach provides a more meaningful assessment of whether the completed hub delivers lasting operational value.</w:t>
      </w:r>
    </w:p>
    <w:p w14:paraId="6421AAF1" w14:textId="77777777" w:rsidR="00B53B41" w:rsidRPr="002E55C0" w:rsidRDefault="00B53B41" w:rsidP="001D300A">
      <w:pPr>
        <w:jc w:val="both"/>
        <w:rPr>
          <w:rFonts w:ascii="Corbel" w:hAnsi="Corbel"/>
        </w:rPr>
      </w:pPr>
    </w:p>
    <w:p w14:paraId="656DFB53" w14:textId="77777777" w:rsidR="00804F9A" w:rsidRDefault="00804F9A" w:rsidP="00804F9A">
      <w:pPr>
        <w:spacing w:line="360" w:lineRule="auto"/>
        <w:rPr>
          <w:rFonts w:ascii="Corbel" w:hAnsi="Corbel"/>
          <w:b/>
          <w:bCs/>
          <w:sz w:val="28"/>
          <w:szCs w:val="28"/>
        </w:rPr>
      </w:pPr>
    </w:p>
    <w:p w14:paraId="538D4425" w14:textId="77777777" w:rsidR="00804F9A" w:rsidRDefault="00804F9A" w:rsidP="00804F9A">
      <w:pPr>
        <w:spacing w:line="360" w:lineRule="auto"/>
        <w:rPr>
          <w:rFonts w:ascii="Corbel" w:hAnsi="Corbel"/>
          <w:b/>
          <w:bCs/>
          <w:sz w:val="28"/>
          <w:szCs w:val="28"/>
        </w:rPr>
      </w:pPr>
    </w:p>
    <w:p w14:paraId="7EA6A86B" w14:textId="474F9829" w:rsidR="002E55C0" w:rsidRPr="008377EA" w:rsidRDefault="00605E43" w:rsidP="00804F9A">
      <w:pPr>
        <w:spacing w:line="360" w:lineRule="auto"/>
        <w:rPr>
          <w:rFonts w:ascii="Corbel" w:hAnsi="Corbel"/>
          <w:b/>
          <w:bCs/>
          <w:sz w:val="28"/>
          <w:szCs w:val="28"/>
        </w:rPr>
      </w:pPr>
      <w:r w:rsidRPr="008377EA">
        <w:rPr>
          <w:rFonts w:ascii="Corbel" w:hAnsi="Corbel"/>
          <w:b/>
          <w:bCs/>
          <w:sz w:val="28"/>
          <w:szCs w:val="28"/>
        </w:rPr>
        <w:lastRenderedPageBreak/>
        <w:t>3. Project Scope</w:t>
      </w:r>
    </w:p>
    <w:p w14:paraId="2876D898" w14:textId="5061E979" w:rsidR="00C27CDE" w:rsidRPr="00635EA9" w:rsidRDefault="00C27CDE" w:rsidP="00804F9A">
      <w:pPr>
        <w:spacing w:line="360" w:lineRule="auto"/>
        <w:jc w:val="both"/>
        <w:rPr>
          <w:rFonts w:ascii="Corbel" w:hAnsi="Corbel"/>
        </w:rPr>
      </w:pPr>
      <w:r w:rsidRPr="008377EA">
        <w:rPr>
          <w:rFonts w:ascii="Corbel" w:hAnsi="Corbel"/>
        </w:rPr>
        <w:t xml:space="preserve">The project scope defines the boundaries of the Central Transport Hub Redevelopment and establishes what can realistically be delivered within the approved 12-month programme. Clear scope definition is particularly important because additional requirements introduced during delivery may increase cost, extend the schedule and place pressure on available resources. </w:t>
      </w:r>
      <w:proofErr w:type="spellStart"/>
      <w:r w:rsidRPr="008377EA">
        <w:rPr>
          <w:rFonts w:ascii="Corbel" w:hAnsi="Corbel"/>
        </w:rPr>
        <w:t>Aljadhai</w:t>
      </w:r>
      <w:proofErr w:type="spellEnd"/>
      <w:r w:rsidRPr="008377EA">
        <w:rPr>
          <w:rFonts w:ascii="Corbel" w:hAnsi="Corbel"/>
        </w:rPr>
        <w:t xml:space="preserve"> et al. (2025) identify scope definition as an important contributor to project success, particularly where financial, regulatory and site requirements are clearly established. For this redevelopment, this means that project boundaries should be defined before major delivery decisions are made, providing a stronger basis for cost, resource and schedule control.</w:t>
      </w:r>
    </w:p>
    <w:p w14:paraId="6A5255C4" w14:textId="402B589B" w:rsidR="00C27CDE" w:rsidRPr="00635EA9" w:rsidRDefault="00C27CDE" w:rsidP="00804F9A">
      <w:pPr>
        <w:spacing w:line="360" w:lineRule="auto"/>
        <w:jc w:val="both"/>
        <w:rPr>
          <w:rFonts w:ascii="Corbel" w:hAnsi="Corbel"/>
        </w:rPr>
      </w:pPr>
      <w:r w:rsidRPr="00635EA9">
        <w:rPr>
          <w:rFonts w:ascii="Corbel" w:hAnsi="Corbel"/>
          <w:b/>
          <w:bCs/>
          <w:sz w:val="28"/>
          <w:szCs w:val="28"/>
        </w:rPr>
        <w:t>In Scope:</w:t>
      </w:r>
      <w:r w:rsidRPr="00635EA9">
        <w:rPr>
          <w:rFonts w:ascii="Corbel" w:hAnsi="Corbel"/>
          <w:sz w:val="28"/>
          <w:szCs w:val="28"/>
        </w:rPr>
        <w:t xml:space="preserve"> </w:t>
      </w:r>
      <w:r w:rsidRPr="00635EA9">
        <w:rPr>
          <w:rFonts w:ascii="Corbel" w:hAnsi="Corbel"/>
        </w:rPr>
        <w:t>The project includes feasibility and approvals, detailed design and procurement, infrastructure and accessibility upgrades, integration of rail, bus and freight services, construction and commissioning, testing, handover and final documentation. These activities are included because they contribute directly to the agreed objectives and operational requirements of the hub</w:t>
      </w:r>
    </w:p>
    <w:p w14:paraId="71EF683A" w14:textId="6F8327D4" w:rsidR="00C27CDE" w:rsidRPr="0015756A" w:rsidRDefault="00C27CDE" w:rsidP="00804F9A">
      <w:pPr>
        <w:spacing w:line="360" w:lineRule="auto"/>
        <w:jc w:val="both"/>
        <w:rPr>
          <w:rFonts w:ascii="Corbel" w:hAnsi="Corbel"/>
          <w:b/>
          <w:bCs/>
        </w:rPr>
      </w:pPr>
      <w:r w:rsidRPr="00635EA9">
        <w:rPr>
          <w:rFonts w:ascii="Corbel" w:hAnsi="Corbel"/>
          <w:b/>
          <w:bCs/>
          <w:sz w:val="28"/>
          <w:szCs w:val="28"/>
        </w:rPr>
        <w:t xml:space="preserve">Out of Scope: </w:t>
      </w:r>
      <w:r w:rsidRPr="00635EA9">
        <w:rPr>
          <w:rFonts w:ascii="Corbel" w:hAnsi="Corbel"/>
        </w:rPr>
        <w:t>New regional transport routes, major development outside the hub boundary, wider commercial regeneration and long-term transport operations after handover are excluded. This prevents the project from expanding beyond what can reasonably be achieved within the approved time, budget and resources.</w:t>
      </w:r>
    </w:p>
    <w:p w14:paraId="74E2DC7D" w14:textId="3708E1B8" w:rsidR="00C27CDE" w:rsidRPr="00232A7B" w:rsidRDefault="00C27CDE" w:rsidP="00804F9A">
      <w:pPr>
        <w:spacing w:line="360" w:lineRule="auto"/>
        <w:jc w:val="both"/>
        <w:rPr>
          <w:rFonts w:ascii="Corbel" w:hAnsi="Corbel"/>
        </w:rPr>
      </w:pPr>
      <w:r w:rsidRPr="0015756A">
        <w:rPr>
          <w:rFonts w:ascii="Corbel" w:hAnsi="Corbel"/>
          <w:b/>
          <w:bCs/>
          <w:sz w:val="28"/>
          <w:szCs w:val="28"/>
        </w:rPr>
        <w:t xml:space="preserve">Constraints and Assumptions: </w:t>
      </w:r>
      <w:r w:rsidRPr="0015756A">
        <w:rPr>
          <w:rFonts w:ascii="Corbel" w:hAnsi="Corbel"/>
        </w:rPr>
        <w:t>Key constraints include the 12-month programme, approved budget, regulatory approvals, restricted site access and the need to minimise disruption. The project assumes continued funding, timely approvals and adequate contractor and supplier availability.</w:t>
      </w:r>
    </w:p>
    <w:p w14:paraId="06024192" w14:textId="77777777" w:rsidR="00804F9A" w:rsidRDefault="00C27CDE" w:rsidP="00804F9A">
      <w:pPr>
        <w:spacing w:line="360" w:lineRule="auto"/>
        <w:jc w:val="both"/>
        <w:rPr>
          <w:rFonts w:ascii="Corbel" w:hAnsi="Corbel"/>
        </w:rPr>
      </w:pPr>
      <w:r w:rsidRPr="00232A7B">
        <w:rPr>
          <w:rFonts w:ascii="Corbel" w:hAnsi="Corbel"/>
        </w:rPr>
        <w:t xml:space="preserve">Scope should not, however, be treated as completely fixed. </w:t>
      </w:r>
      <w:proofErr w:type="spellStart"/>
      <w:r w:rsidRPr="00232A7B">
        <w:rPr>
          <w:rFonts w:ascii="Corbel" w:hAnsi="Corbel"/>
        </w:rPr>
        <w:t>ElAlem</w:t>
      </w:r>
      <w:proofErr w:type="spellEnd"/>
      <w:r w:rsidRPr="00232A7B">
        <w:rPr>
          <w:rFonts w:ascii="Corbel" w:hAnsi="Corbel"/>
        </w:rPr>
        <w:t xml:space="preserve"> et al. (2025) highlight scope creep as a significant issue in construction projects, reinforcing the need for proactive identification and control of emerging changes. For this project, any proposed change should therefore be assessed against its expected value and its effect on cost, schedule, quality and resources before approval. This allows beneficial changes to be considered without permitting uncontrolled expansion to weaken the overall project objectives.</w:t>
      </w:r>
    </w:p>
    <w:p w14:paraId="10C7A6C2" w14:textId="4E9D5CE9" w:rsidR="002D3AC5" w:rsidRPr="00804F9A" w:rsidRDefault="00E61210" w:rsidP="00804F9A">
      <w:pPr>
        <w:spacing w:line="360" w:lineRule="auto"/>
        <w:jc w:val="both"/>
        <w:rPr>
          <w:rFonts w:ascii="Corbel" w:hAnsi="Corbel"/>
        </w:rPr>
      </w:pPr>
      <w:r w:rsidRPr="005F7080">
        <w:rPr>
          <w:rFonts w:ascii="Corbel" w:hAnsi="Corbel"/>
          <w:b/>
          <w:bCs/>
          <w:sz w:val="32"/>
          <w:szCs w:val="32"/>
        </w:rPr>
        <w:lastRenderedPageBreak/>
        <w:t>4. Work Breakdown Structure (WBS)</w:t>
      </w:r>
    </w:p>
    <w:p w14:paraId="1BDC676E" w14:textId="7392CBD4" w:rsidR="002D3AC5" w:rsidRPr="00171029" w:rsidRDefault="002D3AC5" w:rsidP="00804F9A">
      <w:pPr>
        <w:spacing w:line="360" w:lineRule="auto"/>
        <w:jc w:val="both"/>
        <w:rPr>
          <w:rFonts w:ascii="Corbel" w:hAnsi="Corbel"/>
        </w:rPr>
      </w:pPr>
      <w:r w:rsidRPr="002D3AC5">
        <w:rPr>
          <w:rFonts w:ascii="Corbel" w:hAnsi="Corbel"/>
        </w:rPr>
        <w:t xml:space="preserve">A Work Breakdown Structure (WBS) divides the overall project scope into manageable work packages, making a complex project easier to plan, coordinate and control. Figure 1 presents the WBS developed for the Central Transport Hub Redevelopment across five connected phases. </w:t>
      </w:r>
      <w:proofErr w:type="spellStart"/>
      <w:r w:rsidRPr="002D3AC5">
        <w:rPr>
          <w:rFonts w:ascii="Corbel" w:hAnsi="Corbel"/>
        </w:rPr>
        <w:t>Odedairo</w:t>
      </w:r>
      <w:proofErr w:type="spellEnd"/>
      <w:r w:rsidRPr="002D3AC5">
        <w:rPr>
          <w:rFonts w:ascii="Corbel" w:hAnsi="Corbel"/>
        </w:rPr>
        <w:t xml:space="preserve"> (2024) indicates that the way project work is structured can influence planning and completion performance. For this redevelopment, the WBS therefore provides more than a list of activities; it creates a clear basis for sequencing work, allocating responsibility and monitoring the 12-month programme.</w:t>
      </w:r>
    </w:p>
    <w:p w14:paraId="3FA3547E" w14:textId="187DD76E" w:rsidR="002D3AC5" w:rsidRPr="00171029" w:rsidRDefault="002D3AC5" w:rsidP="00804F9A">
      <w:pPr>
        <w:spacing w:line="360" w:lineRule="auto"/>
        <w:jc w:val="both"/>
        <w:rPr>
          <w:rFonts w:ascii="Corbel" w:hAnsi="Corbel"/>
          <w:b/>
          <w:bCs/>
          <w:sz w:val="28"/>
          <w:szCs w:val="28"/>
        </w:rPr>
      </w:pPr>
      <w:r w:rsidRPr="00171029">
        <w:rPr>
          <w:rFonts w:ascii="Corbel" w:hAnsi="Corbel"/>
          <w:b/>
          <w:bCs/>
          <w:sz w:val="28"/>
          <w:szCs w:val="28"/>
        </w:rPr>
        <w:t>4.1 Project Initiation</w:t>
      </w:r>
    </w:p>
    <w:p w14:paraId="614CD71F" w14:textId="7F4C8648" w:rsidR="002D3AC5" w:rsidRPr="002D3AC5" w:rsidRDefault="002D3AC5" w:rsidP="00804F9A">
      <w:pPr>
        <w:spacing w:line="360" w:lineRule="auto"/>
        <w:jc w:val="both"/>
        <w:rPr>
          <w:rFonts w:ascii="Corbel" w:hAnsi="Corbel"/>
        </w:rPr>
      </w:pPr>
      <w:r w:rsidRPr="002D3AC5">
        <w:rPr>
          <w:rFonts w:ascii="Corbel" w:hAnsi="Corbel"/>
        </w:rPr>
        <w:t>Project Initiation includes the feasibility study, stakeholder identification and project approval before significant resources are committed. This reduces early uncertainty and confirms whether the redevelopment is viable and appropriately supported. Its main advantage is that technical or stakeholder concerns can be identified when corrective action is less costly. Weak initiation could allow unresolved issues to progress into more resource-intensive stages.</w:t>
      </w:r>
    </w:p>
    <w:p w14:paraId="16BC766D" w14:textId="41710111" w:rsidR="002D3AC5" w:rsidRPr="00171029" w:rsidRDefault="002D3AC5" w:rsidP="00804F9A">
      <w:pPr>
        <w:spacing w:line="360" w:lineRule="auto"/>
        <w:jc w:val="both"/>
        <w:rPr>
          <w:rFonts w:ascii="Corbel" w:hAnsi="Corbel"/>
          <w:b/>
          <w:bCs/>
          <w:sz w:val="28"/>
          <w:szCs w:val="28"/>
        </w:rPr>
      </w:pPr>
      <w:r w:rsidRPr="00171029">
        <w:rPr>
          <w:rFonts w:ascii="Corbel" w:hAnsi="Corbel"/>
          <w:b/>
          <w:bCs/>
          <w:sz w:val="28"/>
          <w:szCs w:val="28"/>
        </w:rPr>
        <w:t>4.2 Project Planning</w:t>
      </w:r>
    </w:p>
    <w:p w14:paraId="4A565D98" w14:textId="0D85B4A1" w:rsidR="002D3AC5" w:rsidRPr="002D3AC5" w:rsidRDefault="002D3AC5" w:rsidP="00804F9A">
      <w:pPr>
        <w:spacing w:line="360" w:lineRule="auto"/>
        <w:jc w:val="both"/>
        <w:rPr>
          <w:rFonts w:ascii="Corbel" w:hAnsi="Corbel"/>
        </w:rPr>
      </w:pPr>
      <w:r w:rsidRPr="002D3AC5">
        <w:rPr>
          <w:rFonts w:ascii="Corbel" w:hAnsi="Corbel"/>
        </w:rPr>
        <w:t>Project Planning establishes the budget, schedule and initial risk baseline. These provide measurable expectations against which actual performance can later be compared. The main benefit is earlier identification of cost, schedule or risk deviations, allowing corrective action before problems become more difficult to control. However, unrealistic baselines would reduce the effectiveness of later monitoring.</w:t>
      </w:r>
    </w:p>
    <w:p w14:paraId="42592A66" w14:textId="7B4DD362" w:rsidR="002D3AC5" w:rsidRPr="002D3AC5" w:rsidRDefault="002D3AC5" w:rsidP="00804F9A">
      <w:pPr>
        <w:spacing w:line="360" w:lineRule="auto"/>
        <w:jc w:val="both"/>
        <w:rPr>
          <w:rFonts w:ascii="Corbel" w:hAnsi="Corbel"/>
          <w:b/>
          <w:bCs/>
          <w:sz w:val="28"/>
          <w:szCs w:val="28"/>
        </w:rPr>
      </w:pPr>
      <w:r w:rsidRPr="002D3AC5">
        <w:rPr>
          <w:rFonts w:ascii="Corbel" w:hAnsi="Corbel"/>
          <w:b/>
          <w:bCs/>
          <w:sz w:val="28"/>
          <w:szCs w:val="28"/>
        </w:rPr>
        <w:t>4.3 Design and Procurement</w:t>
      </w:r>
    </w:p>
    <w:p w14:paraId="655A6122" w14:textId="1129DCC7" w:rsidR="002D3AC5" w:rsidRPr="002D3AC5" w:rsidRDefault="002D3AC5" w:rsidP="00804F9A">
      <w:pPr>
        <w:spacing w:line="360" w:lineRule="auto"/>
        <w:jc w:val="both"/>
        <w:rPr>
          <w:rFonts w:ascii="Corbel" w:hAnsi="Corbel"/>
        </w:rPr>
      </w:pPr>
      <w:r w:rsidRPr="002D3AC5">
        <w:rPr>
          <w:rFonts w:ascii="Corbel" w:hAnsi="Corbel"/>
        </w:rPr>
        <w:t>Detailed design, tendering and contractor selection translate project requirements into deliverable technical solutions. Effective coordination between these activities improves cost and quality control and reduces the likelihood of later variations. However, progressing procurement or construction before the design is sufficiently developed could create rework, additional expenditure and delay.</w:t>
      </w:r>
    </w:p>
    <w:p w14:paraId="7A92794D" w14:textId="77777777" w:rsidR="00804F9A" w:rsidRDefault="00804F9A" w:rsidP="00804F9A">
      <w:pPr>
        <w:spacing w:line="360" w:lineRule="auto"/>
        <w:jc w:val="both"/>
        <w:rPr>
          <w:rFonts w:ascii="Corbel" w:hAnsi="Corbel"/>
          <w:b/>
          <w:bCs/>
          <w:sz w:val="28"/>
          <w:szCs w:val="28"/>
        </w:rPr>
      </w:pPr>
    </w:p>
    <w:p w14:paraId="4C877DE1" w14:textId="1F9A393C" w:rsidR="002D3AC5" w:rsidRPr="002D3AC5" w:rsidRDefault="002D3AC5" w:rsidP="00804F9A">
      <w:pPr>
        <w:spacing w:line="360" w:lineRule="auto"/>
        <w:jc w:val="both"/>
        <w:rPr>
          <w:rFonts w:ascii="Corbel" w:hAnsi="Corbel"/>
          <w:b/>
          <w:bCs/>
          <w:sz w:val="28"/>
          <w:szCs w:val="28"/>
        </w:rPr>
      </w:pPr>
      <w:r w:rsidRPr="002D3AC5">
        <w:rPr>
          <w:rFonts w:ascii="Corbel" w:hAnsi="Corbel"/>
          <w:b/>
          <w:bCs/>
          <w:sz w:val="28"/>
          <w:szCs w:val="28"/>
        </w:rPr>
        <w:lastRenderedPageBreak/>
        <w:t>4.4 Construction and Commissioning</w:t>
      </w:r>
    </w:p>
    <w:p w14:paraId="453811B2" w14:textId="3FA7A5D4" w:rsidR="002D3AC5" w:rsidRPr="002D3AC5" w:rsidRDefault="002D3AC5" w:rsidP="00804F9A">
      <w:pPr>
        <w:spacing w:line="360" w:lineRule="auto"/>
        <w:jc w:val="both"/>
        <w:rPr>
          <w:rFonts w:ascii="Corbel" w:hAnsi="Corbel"/>
        </w:rPr>
      </w:pPr>
      <w:r w:rsidRPr="002D3AC5">
        <w:rPr>
          <w:rFonts w:ascii="Corbel" w:hAnsi="Corbel"/>
        </w:rPr>
        <w:t>Construction and Commissioning includes site preparation, infrastructure upgrades, testing and handover. As the most resource-intensive phase, it has greater exposure to safety, quality and schedule risks. Commissioning provides an important control point by confirming that completed works meet agreed requirements before operational use, reducing the likelihood of defects being transferred into service.</w:t>
      </w:r>
    </w:p>
    <w:p w14:paraId="545C6677" w14:textId="40986634" w:rsidR="002D3AC5" w:rsidRPr="002D3AC5" w:rsidRDefault="002D3AC5" w:rsidP="00804F9A">
      <w:pPr>
        <w:spacing w:line="360" w:lineRule="auto"/>
        <w:jc w:val="both"/>
        <w:rPr>
          <w:rFonts w:ascii="Corbel" w:hAnsi="Corbel"/>
          <w:b/>
          <w:bCs/>
          <w:sz w:val="28"/>
          <w:szCs w:val="28"/>
        </w:rPr>
      </w:pPr>
      <w:r w:rsidRPr="002D3AC5">
        <w:rPr>
          <w:rFonts w:ascii="Corbel" w:hAnsi="Corbel"/>
          <w:b/>
          <w:bCs/>
          <w:sz w:val="28"/>
          <w:szCs w:val="28"/>
        </w:rPr>
        <w:t>4.5 Project Closure</w:t>
      </w:r>
    </w:p>
    <w:p w14:paraId="2FF81A35" w14:textId="51653CC4" w:rsidR="002D3AC5" w:rsidRPr="002D3AC5" w:rsidRDefault="002D3AC5" w:rsidP="00804F9A">
      <w:pPr>
        <w:spacing w:line="360" w:lineRule="auto"/>
        <w:jc w:val="both"/>
        <w:rPr>
          <w:rFonts w:ascii="Corbel" w:hAnsi="Corbel"/>
        </w:rPr>
      </w:pPr>
      <w:r w:rsidRPr="002D3AC5">
        <w:rPr>
          <w:rFonts w:ascii="Corbel" w:hAnsi="Corbel"/>
        </w:rPr>
        <w:t>Project Closure covers final documentation, contract closure and project evaluation. Its purpose extends beyond administrative completion by confirming outstanding responsibilities and evaluating overall performance. Capturing lessons learned also creates organisational value because knowledge from the redevelopment can inform the planning and delivery of future infrastructure projects.</w:t>
      </w:r>
    </w:p>
    <w:p w14:paraId="16A8E62D" w14:textId="495952E3" w:rsidR="0047174D" w:rsidRPr="002D3AC5" w:rsidRDefault="002D3AC5" w:rsidP="00804F9A">
      <w:pPr>
        <w:spacing w:line="360" w:lineRule="auto"/>
        <w:jc w:val="both"/>
        <w:rPr>
          <w:rFonts w:ascii="Corbel" w:hAnsi="Corbel"/>
        </w:rPr>
      </w:pPr>
      <w:r w:rsidRPr="002D3AC5">
        <w:rPr>
          <w:rFonts w:ascii="Corbel" w:hAnsi="Corbel"/>
        </w:rPr>
        <w:t xml:space="preserve">Overall, the WBS strengthens accountability and control, but work packages should not be managed in isolation. </w:t>
      </w:r>
      <w:proofErr w:type="spellStart"/>
      <w:r w:rsidRPr="002D3AC5">
        <w:rPr>
          <w:rFonts w:ascii="Corbel" w:hAnsi="Corbel"/>
        </w:rPr>
        <w:t>Motahar</w:t>
      </w:r>
      <w:proofErr w:type="spellEnd"/>
      <w:r w:rsidRPr="002D3AC5">
        <w:rPr>
          <w:rFonts w:ascii="Corbel" w:hAnsi="Corbel"/>
        </w:rPr>
        <w:t xml:space="preserve">, Fauth and </w:t>
      </w:r>
      <w:proofErr w:type="spellStart"/>
      <w:r w:rsidRPr="002D3AC5">
        <w:rPr>
          <w:rFonts w:ascii="Corbel" w:hAnsi="Corbel"/>
        </w:rPr>
        <w:t>Melzner</w:t>
      </w:r>
      <w:proofErr w:type="spellEnd"/>
      <w:r w:rsidRPr="002D3AC5">
        <w:rPr>
          <w:rFonts w:ascii="Corbel" w:hAnsi="Corbel"/>
        </w:rPr>
        <w:t xml:space="preserve"> (2025) highlight the importance of linking work structures with stakeholder coordination. For this project, using the WBS alongside the Gantt Chart and RACI Matrix helps maintain alignment between activities, dependencies and responsibilities throughout delivery.</w:t>
      </w:r>
    </w:p>
    <w:p w14:paraId="04D2578C" w14:textId="02CDA649" w:rsidR="00E61210" w:rsidRPr="00E61210" w:rsidRDefault="00821840" w:rsidP="00804F9A">
      <w:pPr>
        <w:spacing w:line="360" w:lineRule="auto"/>
        <w:rPr>
          <w:rFonts w:ascii="Corbel" w:hAnsi="Corbel"/>
        </w:rPr>
      </w:pPr>
      <w:r w:rsidRPr="005C492E">
        <w:rPr>
          <w:rFonts w:ascii="Corbel" w:hAnsi="Corbel"/>
        </w:rPr>
        <w:drawing>
          <wp:anchor distT="0" distB="0" distL="114300" distR="114300" simplePos="0" relativeHeight="251607040" behindDoc="0" locked="0" layoutInCell="1" allowOverlap="1" wp14:anchorId="66D39A23" wp14:editId="2670ED80">
            <wp:simplePos x="0" y="0"/>
            <wp:positionH relativeFrom="margin">
              <wp:align>center</wp:align>
            </wp:positionH>
            <wp:positionV relativeFrom="paragraph">
              <wp:posOffset>264106</wp:posOffset>
            </wp:positionV>
            <wp:extent cx="6195060" cy="1669186"/>
            <wp:effectExtent l="0" t="0" r="0" b="7620"/>
            <wp:wrapNone/>
            <wp:docPr id="105541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10635" name=""/>
                    <pic:cNvPicPr/>
                  </pic:nvPicPr>
                  <pic:blipFill rotWithShape="1">
                    <a:blip r:embed="rId9">
                      <a:extLst>
                        <a:ext uri="{28A0092B-C50C-407E-A947-70E740481C1C}">
                          <a14:useLocalDpi xmlns:a14="http://schemas.microsoft.com/office/drawing/2010/main" val="0"/>
                        </a:ext>
                      </a:extLst>
                    </a:blip>
                    <a:srcRect t="6852" r="677" b="3160"/>
                    <a:stretch>
                      <a:fillRect/>
                    </a:stretch>
                  </pic:blipFill>
                  <pic:spPr bwMode="auto">
                    <a:xfrm>
                      <a:off x="0" y="0"/>
                      <a:ext cx="6195060" cy="16691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2E6C40" w14:textId="5F5D1CCF" w:rsidR="00B140E0" w:rsidRDefault="00B140E0" w:rsidP="00804F9A">
      <w:pPr>
        <w:spacing w:line="360" w:lineRule="auto"/>
        <w:rPr>
          <w:rFonts w:ascii="Corbel" w:hAnsi="Corbel"/>
        </w:rPr>
      </w:pPr>
    </w:p>
    <w:p w14:paraId="4AA78BF5" w14:textId="368404C4" w:rsidR="00B140E0" w:rsidRDefault="00B140E0" w:rsidP="00804F9A">
      <w:pPr>
        <w:spacing w:line="360" w:lineRule="auto"/>
        <w:rPr>
          <w:rFonts w:ascii="Corbel" w:hAnsi="Corbel"/>
        </w:rPr>
      </w:pPr>
    </w:p>
    <w:p w14:paraId="5A9FEFD0" w14:textId="472A1593" w:rsidR="00B140E0" w:rsidRDefault="00B140E0" w:rsidP="00804F9A">
      <w:pPr>
        <w:spacing w:line="360" w:lineRule="auto"/>
        <w:rPr>
          <w:rFonts w:ascii="Corbel" w:hAnsi="Corbel"/>
        </w:rPr>
      </w:pPr>
    </w:p>
    <w:p w14:paraId="67C9C129" w14:textId="37F1C8A9" w:rsidR="00A4698A" w:rsidRDefault="00A4698A" w:rsidP="00804F9A">
      <w:pPr>
        <w:spacing w:line="360" w:lineRule="auto"/>
        <w:rPr>
          <w:rFonts w:ascii="Corbel" w:hAnsi="Corbel"/>
        </w:rPr>
      </w:pPr>
    </w:p>
    <w:p w14:paraId="712E437C" w14:textId="77777777" w:rsidR="00821840" w:rsidRDefault="00821840" w:rsidP="00804F9A">
      <w:pPr>
        <w:spacing w:line="360" w:lineRule="auto"/>
        <w:jc w:val="both"/>
        <w:rPr>
          <w:rFonts w:ascii="Corbel" w:hAnsi="Corbel"/>
          <w:b/>
          <w:bCs/>
          <w:sz w:val="32"/>
          <w:szCs w:val="32"/>
        </w:rPr>
      </w:pPr>
    </w:p>
    <w:p w14:paraId="22F0B90B" w14:textId="77777777" w:rsidR="00821840" w:rsidRDefault="00821840" w:rsidP="00804F9A">
      <w:pPr>
        <w:spacing w:line="360" w:lineRule="auto"/>
        <w:jc w:val="both"/>
        <w:rPr>
          <w:rFonts w:ascii="Corbel" w:hAnsi="Corbel"/>
          <w:b/>
          <w:bCs/>
          <w:sz w:val="32"/>
          <w:szCs w:val="32"/>
        </w:rPr>
      </w:pPr>
    </w:p>
    <w:p w14:paraId="3E5F9810" w14:textId="77777777" w:rsidR="00804F9A" w:rsidRDefault="00804F9A" w:rsidP="00804F9A">
      <w:pPr>
        <w:spacing w:line="360" w:lineRule="auto"/>
        <w:jc w:val="both"/>
        <w:rPr>
          <w:rFonts w:ascii="Corbel" w:hAnsi="Corbel"/>
          <w:b/>
          <w:bCs/>
          <w:sz w:val="32"/>
          <w:szCs w:val="32"/>
        </w:rPr>
      </w:pPr>
    </w:p>
    <w:p w14:paraId="06785B11" w14:textId="60447C40" w:rsidR="00CD6634" w:rsidRPr="00CD6634" w:rsidRDefault="00CD6634" w:rsidP="00804F9A">
      <w:pPr>
        <w:spacing w:line="360" w:lineRule="auto"/>
        <w:jc w:val="both"/>
        <w:rPr>
          <w:rFonts w:ascii="Corbel" w:hAnsi="Corbel"/>
          <w:b/>
          <w:bCs/>
          <w:sz w:val="32"/>
          <w:szCs w:val="32"/>
        </w:rPr>
      </w:pPr>
      <w:r w:rsidRPr="00CD6634">
        <w:rPr>
          <w:rFonts w:ascii="Corbel" w:hAnsi="Corbel"/>
          <w:b/>
          <w:bCs/>
          <w:sz w:val="32"/>
          <w:szCs w:val="32"/>
        </w:rPr>
        <w:lastRenderedPageBreak/>
        <w:t>5. Quad Chart / Project Overview</w:t>
      </w:r>
    </w:p>
    <w:p w14:paraId="07C3ADD4" w14:textId="138ABE6F" w:rsidR="00CD6634" w:rsidRPr="00CD6634" w:rsidRDefault="00CD6634" w:rsidP="00804F9A">
      <w:pPr>
        <w:spacing w:line="360" w:lineRule="auto"/>
        <w:jc w:val="both"/>
        <w:rPr>
          <w:rFonts w:ascii="Corbel" w:hAnsi="Corbel"/>
        </w:rPr>
      </w:pPr>
      <w:r w:rsidRPr="00CD6634">
        <w:rPr>
          <w:rFonts w:ascii="Corbel" w:hAnsi="Corbel"/>
        </w:rPr>
        <w:t xml:space="preserve">A Quad Chart provides a concise strategic overview by linking the project purpose, key stakeholders, desired results and measures of success within one framework. Figure 2 presents the Quad Chart developed for the Central Transport Hub Redevelopment. Its main value is not simply summarising </w:t>
      </w:r>
      <w:r w:rsidR="007F251C" w:rsidRPr="00CD6634">
        <w:rPr>
          <w:rFonts w:ascii="Corbel" w:hAnsi="Corbel"/>
        </w:rPr>
        <w:t>information but</w:t>
      </w:r>
      <w:r w:rsidRPr="00CD6634">
        <w:rPr>
          <w:rFonts w:ascii="Corbel" w:hAnsi="Corbel"/>
        </w:rPr>
        <w:t xml:space="preserve"> showing whether project objectives remain aligned with stakeholder needs and measurable outcomes.</w:t>
      </w:r>
    </w:p>
    <w:p w14:paraId="33E97DAD" w14:textId="40724971" w:rsidR="00CD6634" w:rsidRPr="00D90B91" w:rsidRDefault="00CD6634" w:rsidP="00804F9A">
      <w:pPr>
        <w:spacing w:line="360" w:lineRule="auto"/>
        <w:jc w:val="both"/>
        <w:rPr>
          <w:rFonts w:ascii="Corbel" w:hAnsi="Corbel"/>
          <w:b/>
          <w:bCs/>
          <w:sz w:val="28"/>
          <w:szCs w:val="28"/>
        </w:rPr>
      </w:pPr>
      <w:r w:rsidRPr="00CD6634">
        <w:rPr>
          <w:rFonts w:ascii="Corbel" w:hAnsi="Corbel"/>
          <w:b/>
          <w:bCs/>
          <w:sz w:val="28"/>
          <w:szCs w:val="28"/>
        </w:rPr>
        <w:t>5.1 Purpose / Proposal</w:t>
      </w:r>
    </w:p>
    <w:p w14:paraId="1C04753D" w14:textId="22174520" w:rsidR="00CD6634" w:rsidRPr="00CD6634" w:rsidRDefault="00CD6634" w:rsidP="00804F9A">
      <w:pPr>
        <w:spacing w:line="360" w:lineRule="auto"/>
        <w:jc w:val="both"/>
        <w:rPr>
          <w:rFonts w:ascii="Corbel" w:hAnsi="Corbel"/>
        </w:rPr>
      </w:pPr>
      <w:r w:rsidRPr="00CD6634">
        <w:rPr>
          <w:rFonts w:ascii="Corbel" w:hAnsi="Corbel"/>
        </w:rPr>
        <w:t>The project aims to modernise the transport hub, improve accessibility and safety, strengthen transport integration and support more sustainable operations. A clearly defined purpose provides a reference point for later decisions, allowing proposed changes to be assessed according to whether they contribute to the agreed strategic objectives.</w:t>
      </w:r>
    </w:p>
    <w:p w14:paraId="470CDDCC" w14:textId="73B6AA62" w:rsidR="00CD6634" w:rsidRPr="00D90B91" w:rsidRDefault="00CD6634" w:rsidP="00804F9A">
      <w:pPr>
        <w:spacing w:line="360" w:lineRule="auto"/>
        <w:jc w:val="both"/>
        <w:rPr>
          <w:rFonts w:ascii="Corbel" w:hAnsi="Corbel"/>
          <w:b/>
          <w:bCs/>
          <w:sz w:val="28"/>
          <w:szCs w:val="28"/>
        </w:rPr>
      </w:pPr>
      <w:r w:rsidRPr="00D90B91">
        <w:rPr>
          <w:rFonts w:ascii="Corbel" w:hAnsi="Corbel"/>
          <w:b/>
          <w:bCs/>
          <w:sz w:val="28"/>
          <w:szCs w:val="28"/>
        </w:rPr>
        <w:t>5.2 Customers / Stakeholders</w:t>
      </w:r>
    </w:p>
    <w:p w14:paraId="17F61620" w14:textId="1A909697" w:rsidR="00CD6634" w:rsidRPr="00CD6634" w:rsidRDefault="00CD6634" w:rsidP="00804F9A">
      <w:pPr>
        <w:spacing w:line="360" w:lineRule="auto"/>
        <w:jc w:val="both"/>
        <w:rPr>
          <w:rFonts w:ascii="Corbel" w:hAnsi="Corbel"/>
        </w:rPr>
      </w:pPr>
      <w:r w:rsidRPr="00CD6634">
        <w:rPr>
          <w:rFonts w:ascii="Corbel" w:hAnsi="Corbel"/>
        </w:rPr>
        <w:t xml:space="preserve">The project involves public authorities, transport operators, passengers, local businesses and the wider community. These groups have different levels of influence and different expectations, meaning that a single engagement approach would be ineffective. </w:t>
      </w:r>
      <w:proofErr w:type="spellStart"/>
      <w:r w:rsidRPr="00CD6634">
        <w:rPr>
          <w:rFonts w:ascii="Corbel" w:hAnsi="Corbel"/>
        </w:rPr>
        <w:t>Ghamarimajd</w:t>
      </w:r>
      <w:proofErr w:type="spellEnd"/>
      <w:r w:rsidRPr="00CD6634">
        <w:rPr>
          <w:rFonts w:ascii="Corbel" w:hAnsi="Corbel"/>
        </w:rPr>
        <w:t xml:space="preserve"> and </w:t>
      </w:r>
      <w:proofErr w:type="spellStart"/>
      <w:r w:rsidRPr="00CD6634">
        <w:rPr>
          <w:rFonts w:ascii="Corbel" w:hAnsi="Corbel"/>
        </w:rPr>
        <w:t>Ghanbaripour</w:t>
      </w:r>
      <w:proofErr w:type="spellEnd"/>
      <w:r w:rsidRPr="00CD6634">
        <w:rPr>
          <w:rFonts w:ascii="Corbel" w:hAnsi="Corbel"/>
        </w:rPr>
        <w:t xml:space="preserve"> (2024) emphasise that effective stakeholder management contributes to construction project success, while stakeholder conflict can create barriers to delivery. For this redevelopment, early identification therefore supports more targeted engagement and allows competing expectations to be addressed before they affect project acceptance or progress. </w:t>
      </w:r>
    </w:p>
    <w:p w14:paraId="70B86BC1" w14:textId="5E5CA5CD" w:rsidR="00CD6634" w:rsidRPr="00D90B91" w:rsidRDefault="00CD6634" w:rsidP="00804F9A">
      <w:pPr>
        <w:spacing w:line="360" w:lineRule="auto"/>
        <w:jc w:val="both"/>
        <w:rPr>
          <w:rFonts w:ascii="Corbel" w:hAnsi="Corbel"/>
          <w:b/>
          <w:bCs/>
          <w:sz w:val="28"/>
          <w:szCs w:val="28"/>
        </w:rPr>
      </w:pPr>
      <w:r w:rsidRPr="00D90B91">
        <w:rPr>
          <w:rFonts w:ascii="Corbel" w:hAnsi="Corbel"/>
          <w:b/>
          <w:bCs/>
          <w:sz w:val="28"/>
          <w:szCs w:val="28"/>
        </w:rPr>
        <w:t>5.3 Desired Results</w:t>
      </w:r>
    </w:p>
    <w:p w14:paraId="2D2CCAEF" w14:textId="47579994" w:rsidR="00CD6634" w:rsidRPr="00CD6634" w:rsidRDefault="00CD6634" w:rsidP="00804F9A">
      <w:pPr>
        <w:spacing w:line="360" w:lineRule="auto"/>
        <w:jc w:val="both"/>
        <w:rPr>
          <w:rFonts w:ascii="Corbel" w:hAnsi="Corbel"/>
        </w:rPr>
      </w:pPr>
      <w:r w:rsidRPr="00CD6634">
        <w:rPr>
          <w:rFonts w:ascii="Corbel" w:hAnsi="Corbel"/>
        </w:rPr>
        <w:t>Desired results include improved connectivity, increased capacity, shorter journey times, greater passenger satisfaction and lower environmental impact. Focusing on outcomes rather than activities is important because completing construction does not necessarily mean that the project has created value. The main benefit is therefore a stronger connection between physical delivery and longer-term operational performance.</w:t>
      </w:r>
    </w:p>
    <w:p w14:paraId="2855A793" w14:textId="77777777" w:rsidR="00804F9A" w:rsidRDefault="00804F9A" w:rsidP="00804F9A">
      <w:pPr>
        <w:spacing w:line="360" w:lineRule="auto"/>
        <w:jc w:val="both"/>
        <w:rPr>
          <w:rFonts w:ascii="Corbel" w:hAnsi="Corbel"/>
          <w:b/>
          <w:bCs/>
          <w:sz w:val="28"/>
          <w:szCs w:val="28"/>
        </w:rPr>
      </w:pPr>
    </w:p>
    <w:p w14:paraId="74CFA241" w14:textId="74597E78" w:rsidR="00CD6634" w:rsidRPr="00D90B91" w:rsidRDefault="00CD6634" w:rsidP="00804F9A">
      <w:pPr>
        <w:spacing w:line="360" w:lineRule="auto"/>
        <w:jc w:val="both"/>
        <w:rPr>
          <w:rFonts w:ascii="Corbel" w:hAnsi="Corbel"/>
          <w:b/>
          <w:bCs/>
          <w:sz w:val="28"/>
          <w:szCs w:val="28"/>
        </w:rPr>
      </w:pPr>
      <w:r w:rsidRPr="00D90B91">
        <w:rPr>
          <w:rFonts w:ascii="Corbel" w:hAnsi="Corbel"/>
          <w:b/>
          <w:bCs/>
          <w:sz w:val="28"/>
          <w:szCs w:val="28"/>
        </w:rPr>
        <w:lastRenderedPageBreak/>
        <w:t>5.4 Measures of Success</w:t>
      </w:r>
    </w:p>
    <w:p w14:paraId="3056D31B" w14:textId="7A2DD9B5" w:rsidR="00CD6634" w:rsidRPr="00CD6634" w:rsidRDefault="00CD6634" w:rsidP="00804F9A">
      <w:pPr>
        <w:spacing w:line="360" w:lineRule="auto"/>
        <w:jc w:val="both"/>
        <w:rPr>
          <w:rFonts w:ascii="Corbel" w:hAnsi="Corbel"/>
        </w:rPr>
      </w:pPr>
      <w:r w:rsidRPr="00CD6634">
        <w:rPr>
          <w:rFonts w:ascii="Corbel" w:hAnsi="Corbel"/>
        </w:rPr>
        <w:t xml:space="preserve">Success will be assessed using programme and budget performance alongside safety, regulatory compliance and stakeholder satisfaction. Recent construction research shows that project success is multidimensional and cannot be judged only through traditional cost and schedule measures (Kiani Mavi et al., 2024). For this redevelopment, this supports using wider measures that reflect whether the completed hub is safe, accessible, compliant and valued by stakeholders, rather than simply delivered on time. </w:t>
      </w:r>
    </w:p>
    <w:p w14:paraId="7C5BB959" w14:textId="173F6BD2" w:rsidR="006A2B33" w:rsidRDefault="00CD6634" w:rsidP="00804F9A">
      <w:pPr>
        <w:spacing w:line="360" w:lineRule="auto"/>
        <w:jc w:val="both"/>
        <w:rPr>
          <w:rFonts w:ascii="Corbel" w:hAnsi="Corbel"/>
        </w:rPr>
      </w:pPr>
      <w:r w:rsidRPr="00CD6634">
        <w:rPr>
          <w:rFonts w:ascii="Corbel" w:hAnsi="Corbel"/>
        </w:rPr>
        <w:t>Overall, the Quad Chart strengthens strategic alignment by connecting why the project is required, who it affects, what value it should create and how that value will be assessed. However, its concise format cannot replace detailed planning tools and should therefore be used alongside the WBS, Gantt Chart and stakeholder analysis.</w:t>
      </w:r>
    </w:p>
    <w:p w14:paraId="79B56669" w14:textId="75FCF7F7" w:rsidR="002F4C9C" w:rsidRDefault="00804F9A" w:rsidP="00804F9A">
      <w:pPr>
        <w:spacing w:line="360" w:lineRule="auto"/>
        <w:rPr>
          <w:rFonts w:ascii="Corbel" w:hAnsi="Corbel"/>
        </w:rPr>
      </w:pPr>
      <w:r>
        <w:rPr>
          <w:rFonts w:ascii="Corbel" w:hAnsi="Corbel"/>
          <w:noProof/>
        </w:rPr>
        <mc:AlternateContent>
          <mc:Choice Requires="wps">
            <w:drawing>
              <wp:anchor distT="0" distB="0" distL="114300" distR="114300" simplePos="0" relativeHeight="251642880" behindDoc="0" locked="0" layoutInCell="1" allowOverlap="1" wp14:anchorId="4AF075E9" wp14:editId="1B6397EB">
                <wp:simplePos x="0" y="0"/>
                <wp:positionH relativeFrom="column">
                  <wp:posOffset>659352</wp:posOffset>
                </wp:positionH>
                <wp:positionV relativeFrom="paragraph">
                  <wp:posOffset>279196</wp:posOffset>
                </wp:positionV>
                <wp:extent cx="260818" cy="225301"/>
                <wp:effectExtent l="0" t="0" r="25400" b="22860"/>
                <wp:wrapNone/>
                <wp:docPr id="979809447" name="Rectangle 1"/>
                <wp:cNvGraphicFramePr/>
                <a:graphic xmlns:a="http://schemas.openxmlformats.org/drawingml/2006/main">
                  <a:graphicData uri="http://schemas.microsoft.com/office/word/2010/wordprocessingShape">
                    <wps:wsp>
                      <wps:cNvSpPr/>
                      <wps:spPr>
                        <a:xfrm>
                          <a:off x="0" y="0"/>
                          <a:ext cx="260818" cy="225301"/>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0B74E7" id="Rectangle 1" o:spid="_x0000_s1026" style="position:absolute;margin-left:51.9pt;margin-top:22pt;width:20.55pt;height:17.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" fillcolor="#002060" strokecolor="#030e13 [484]" strokeweight="1.5pt"/>
            </w:pict>
          </mc:Fallback>
        </mc:AlternateContent>
      </w:r>
      <w:r w:rsidRPr="007D27C5">
        <w:rPr>
          <w:rFonts w:ascii="Corbel" w:hAnsi="Corbel"/>
        </w:rPr>
        <w:drawing>
          <wp:anchor distT="0" distB="0" distL="114300" distR="114300" simplePos="0" relativeHeight="251626496" behindDoc="0" locked="0" layoutInCell="1" allowOverlap="1" wp14:anchorId="6B64EA33" wp14:editId="53EC22E5">
            <wp:simplePos x="0" y="0"/>
            <wp:positionH relativeFrom="margin">
              <wp:align>center</wp:align>
            </wp:positionH>
            <wp:positionV relativeFrom="paragraph">
              <wp:posOffset>229625</wp:posOffset>
            </wp:positionV>
            <wp:extent cx="4850377" cy="3067200"/>
            <wp:effectExtent l="0" t="0" r="7620" b="0"/>
            <wp:wrapNone/>
            <wp:docPr id="2092791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91466" name=""/>
                    <pic:cNvPicPr/>
                  </pic:nvPicPr>
                  <pic:blipFill rotWithShape="1">
                    <a:blip r:embed="rId10" cstate="print">
                      <a:extLst>
                        <a:ext uri="{28A0092B-C50C-407E-A947-70E740481C1C}">
                          <a14:useLocalDpi xmlns:a14="http://schemas.microsoft.com/office/drawing/2010/main" val="0"/>
                        </a:ext>
                      </a:extLst>
                    </a:blip>
                    <a:srcRect l="1150" t="2482" r="-1"/>
                    <a:stretch>
                      <a:fillRect/>
                    </a:stretch>
                  </pic:blipFill>
                  <pic:spPr bwMode="auto">
                    <a:xfrm>
                      <a:off x="0" y="0"/>
                      <a:ext cx="4850377" cy="3067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FB85B3" w14:textId="40A0DAF6" w:rsidR="007F251C" w:rsidRDefault="007F251C" w:rsidP="00804F9A">
      <w:pPr>
        <w:spacing w:line="360" w:lineRule="auto"/>
        <w:rPr>
          <w:rFonts w:ascii="Corbel" w:hAnsi="Corbel"/>
        </w:rPr>
      </w:pPr>
    </w:p>
    <w:p w14:paraId="3215BC23" w14:textId="77777777" w:rsidR="00821840" w:rsidRDefault="00821840" w:rsidP="00804F9A">
      <w:pPr>
        <w:spacing w:line="360" w:lineRule="auto"/>
        <w:rPr>
          <w:rFonts w:ascii="Corbel" w:hAnsi="Corbel"/>
        </w:rPr>
      </w:pPr>
    </w:p>
    <w:p w14:paraId="202F6C30" w14:textId="77777777" w:rsidR="00804F9A" w:rsidRDefault="00804F9A" w:rsidP="00804F9A">
      <w:pPr>
        <w:spacing w:line="360" w:lineRule="auto"/>
        <w:rPr>
          <w:rFonts w:ascii="Corbel" w:hAnsi="Corbel"/>
          <w:b/>
          <w:bCs/>
          <w:sz w:val="32"/>
          <w:szCs w:val="32"/>
        </w:rPr>
      </w:pPr>
    </w:p>
    <w:p w14:paraId="4236774D" w14:textId="77777777" w:rsidR="00804F9A" w:rsidRDefault="00804F9A" w:rsidP="00804F9A">
      <w:pPr>
        <w:spacing w:line="360" w:lineRule="auto"/>
        <w:rPr>
          <w:rFonts w:ascii="Corbel" w:hAnsi="Corbel"/>
          <w:b/>
          <w:bCs/>
          <w:sz w:val="32"/>
          <w:szCs w:val="32"/>
        </w:rPr>
      </w:pPr>
    </w:p>
    <w:p w14:paraId="0AAC4204" w14:textId="77777777" w:rsidR="00804F9A" w:rsidRDefault="00804F9A" w:rsidP="00804F9A">
      <w:pPr>
        <w:spacing w:line="360" w:lineRule="auto"/>
        <w:rPr>
          <w:rFonts w:ascii="Corbel" w:hAnsi="Corbel"/>
          <w:b/>
          <w:bCs/>
          <w:sz w:val="32"/>
          <w:szCs w:val="32"/>
        </w:rPr>
      </w:pPr>
    </w:p>
    <w:p w14:paraId="7332D496" w14:textId="77777777" w:rsidR="00804F9A" w:rsidRDefault="00804F9A" w:rsidP="00804F9A">
      <w:pPr>
        <w:spacing w:line="360" w:lineRule="auto"/>
        <w:rPr>
          <w:rFonts w:ascii="Corbel" w:hAnsi="Corbel"/>
          <w:b/>
          <w:bCs/>
          <w:sz w:val="32"/>
          <w:szCs w:val="32"/>
        </w:rPr>
      </w:pPr>
    </w:p>
    <w:p w14:paraId="5FB02E8D" w14:textId="77777777" w:rsidR="00804F9A" w:rsidRDefault="00804F9A" w:rsidP="00804F9A">
      <w:pPr>
        <w:spacing w:line="360" w:lineRule="auto"/>
        <w:rPr>
          <w:rFonts w:ascii="Corbel" w:hAnsi="Corbel"/>
          <w:b/>
          <w:bCs/>
          <w:sz w:val="32"/>
          <w:szCs w:val="32"/>
        </w:rPr>
      </w:pPr>
    </w:p>
    <w:p w14:paraId="09AE12B3" w14:textId="77777777" w:rsidR="00804F9A" w:rsidRDefault="00804F9A" w:rsidP="00804F9A">
      <w:pPr>
        <w:spacing w:line="360" w:lineRule="auto"/>
        <w:rPr>
          <w:rFonts w:ascii="Corbel" w:hAnsi="Corbel"/>
          <w:b/>
          <w:bCs/>
          <w:sz w:val="32"/>
          <w:szCs w:val="32"/>
        </w:rPr>
      </w:pPr>
    </w:p>
    <w:p w14:paraId="15C420B5" w14:textId="04F6C346" w:rsidR="00A32399" w:rsidRPr="00A32399" w:rsidRDefault="00931493" w:rsidP="00804F9A">
      <w:pPr>
        <w:spacing w:line="360" w:lineRule="auto"/>
        <w:rPr>
          <w:rFonts w:ascii="Corbel" w:hAnsi="Corbel"/>
          <w:b/>
          <w:bCs/>
          <w:sz w:val="32"/>
          <w:szCs w:val="32"/>
        </w:rPr>
      </w:pPr>
      <w:r w:rsidRPr="005044C8">
        <w:rPr>
          <w:rFonts w:ascii="Corbel" w:hAnsi="Corbel"/>
          <w:b/>
          <w:bCs/>
          <w:sz w:val="32"/>
          <w:szCs w:val="32"/>
        </w:rPr>
        <w:t>6. Gantt Chart / Project Schedule</w:t>
      </w:r>
    </w:p>
    <w:p w14:paraId="4FC07CF3" w14:textId="14EA076C" w:rsidR="007E74A6" w:rsidRPr="005044C8" w:rsidRDefault="00A32399" w:rsidP="00804F9A">
      <w:pPr>
        <w:spacing w:line="360" w:lineRule="auto"/>
        <w:jc w:val="both"/>
        <w:rPr>
          <w:rFonts w:ascii="Corbel" w:hAnsi="Corbel"/>
        </w:rPr>
      </w:pPr>
      <w:r w:rsidRPr="00A32399">
        <w:rPr>
          <w:rFonts w:ascii="Corbel" w:hAnsi="Corbel"/>
        </w:rPr>
        <w:t xml:space="preserve">Figure 3 presents the 12-month Gantt Chart for the Central Transport Hub Redevelopment, showing the sequencing, duration and overlap of the main project phases. The schedule uses controlled overlap between Design and Procurement and Construction and Commissioning, </w:t>
      </w:r>
      <w:r w:rsidRPr="00A32399">
        <w:rPr>
          <w:rFonts w:ascii="Corbel" w:hAnsi="Corbel"/>
        </w:rPr>
        <w:lastRenderedPageBreak/>
        <w:t>which can shorten the overall delivery period and improve resource utilisation. However, this benefit depends on effective coordination, as beginning construction before relevant design decisions are sufficiently developed may result in rework, additional cost and subsequent delay.</w:t>
      </w:r>
      <w:r w:rsidR="005044C8">
        <w:rPr>
          <w:rFonts w:ascii="Corbel" w:hAnsi="Corbel"/>
        </w:rPr>
        <w:t xml:space="preserve"> </w:t>
      </w:r>
      <w:r w:rsidRPr="00A32399">
        <w:rPr>
          <w:rFonts w:ascii="Corbel" w:hAnsi="Corbel"/>
        </w:rPr>
        <w:t>The Gantt Chart also provides a baseline for comparing planned and actual progress. Zhang and Wang (2023) emphasise the importance of dynamically evaluating construction progress and identifying critical activities so that potential schedule delays can be addressed proactively.  For this redevelopment, this is particularly relevant during Construction and Commissioning, where delays in interconnected activities could have knock-on effects on testing, handover and final project closure. Regular monitoring against the baseline would therefore allow schedule variance to be identified earlier and corrective action to be taken before delays threaten the 12-month completion target.</w:t>
      </w:r>
    </w:p>
    <w:p w14:paraId="09B980B4" w14:textId="4639CA86" w:rsidR="007E74A6" w:rsidRDefault="00B6483B" w:rsidP="00804F9A">
      <w:pPr>
        <w:spacing w:line="360" w:lineRule="auto"/>
        <w:rPr>
          <w:rFonts w:ascii="Corbel" w:hAnsi="Corbel"/>
          <w:b/>
          <w:bCs/>
          <w:sz w:val="32"/>
          <w:szCs w:val="32"/>
        </w:rPr>
      </w:pPr>
      <w:r>
        <w:rPr>
          <w:rFonts w:ascii="Corbel" w:hAnsi="Corbel"/>
          <w:noProof/>
        </w:rPr>
        <mc:AlternateContent>
          <mc:Choice Requires="wps">
            <w:drawing>
              <wp:anchor distT="0" distB="0" distL="114300" distR="114300" simplePos="0" relativeHeight="251659264" behindDoc="0" locked="0" layoutInCell="1" allowOverlap="1" wp14:anchorId="3B0B6A43" wp14:editId="1C0E3109">
                <wp:simplePos x="0" y="0"/>
                <wp:positionH relativeFrom="column">
                  <wp:posOffset>2019935</wp:posOffset>
                </wp:positionH>
                <wp:positionV relativeFrom="paragraph">
                  <wp:posOffset>297232</wp:posOffset>
                </wp:positionV>
                <wp:extent cx="274320" cy="240277"/>
                <wp:effectExtent l="0" t="0" r="11430" b="26670"/>
                <wp:wrapNone/>
                <wp:docPr id="1330352556" name="Rectangle 1"/>
                <wp:cNvGraphicFramePr/>
                <a:graphic xmlns:a="http://schemas.openxmlformats.org/drawingml/2006/main">
                  <a:graphicData uri="http://schemas.microsoft.com/office/word/2010/wordprocessingShape">
                    <wps:wsp>
                      <wps:cNvSpPr/>
                      <wps:spPr>
                        <a:xfrm flipV="1">
                          <a:off x="0" y="0"/>
                          <a:ext cx="274320" cy="240277"/>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8E256D" id="Rectangle 1" o:spid="_x0000_s1026" style="position:absolute;margin-left:159.05pt;margin-top:23.4pt;width:21.6pt;height:18.9pt;flip:y;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" fillcolor="#002060" strokecolor="#030e13 [484]" strokeweight="1.5pt"/>
            </w:pict>
          </mc:Fallback>
        </mc:AlternateContent>
      </w:r>
      <w:r w:rsidR="00821840" w:rsidRPr="00A32399">
        <w:rPr>
          <w:rFonts w:ascii="Corbel" w:hAnsi="Corbel"/>
          <w:sz w:val="32"/>
          <w:szCs w:val="32"/>
        </w:rPr>
        <w:drawing>
          <wp:anchor distT="0" distB="0" distL="114300" distR="114300" simplePos="0" relativeHeight="251597824" behindDoc="0" locked="0" layoutInCell="1" allowOverlap="1" wp14:anchorId="7A57D91D" wp14:editId="46F67BD0">
            <wp:simplePos x="0" y="0"/>
            <wp:positionH relativeFrom="margin">
              <wp:align>center</wp:align>
            </wp:positionH>
            <wp:positionV relativeFrom="paragraph">
              <wp:posOffset>273957</wp:posOffset>
            </wp:positionV>
            <wp:extent cx="6497955" cy="2156836"/>
            <wp:effectExtent l="0" t="0" r="0" b="0"/>
            <wp:wrapNone/>
            <wp:docPr id="1180429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9280" name=""/>
                    <pic:cNvPicPr/>
                  </pic:nvPicPr>
                  <pic:blipFill>
                    <a:blip r:embed="rId11">
                      <a:extLst>
                        <a:ext uri="{28A0092B-C50C-407E-A947-70E740481C1C}">
                          <a14:useLocalDpi xmlns:a14="http://schemas.microsoft.com/office/drawing/2010/main" val="0"/>
                        </a:ext>
                      </a:extLst>
                    </a:blip>
                    <a:stretch>
                      <a:fillRect/>
                    </a:stretch>
                  </pic:blipFill>
                  <pic:spPr>
                    <a:xfrm>
                      <a:off x="0" y="0"/>
                      <a:ext cx="6497955" cy="2156836"/>
                    </a:xfrm>
                    <a:prstGeom prst="rect">
                      <a:avLst/>
                    </a:prstGeom>
                  </pic:spPr>
                </pic:pic>
              </a:graphicData>
            </a:graphic>
            <wp14:sizeRelH relativeFrom="margin">
              <wp14:pctWidth>0</wp14:pctWidth>
            </wp14:sizeRelH>
            <wp14:sizeRelV relativeFrom="margin">
              <wp14:pctHeight>0</wp14:pctHeight>
            </wp14:sizeRelV>
          </wp:anchor>
        </w:drawing>
      </w:r>
    </w:p>
    <w:p w14:paraId="72D1EBFB" w14:textId="2E95B7A0" w:rsidR="007E74A6" w:rsidRDefault="007E74A6" w:rsidP="00804F9A">
      <w:pPr>
        <w:spacing w:line="360" w:lineRule="auto"/>
        <w:rPr>
          <w:rFonts w:ascii="Corbel" w:hAnsi="Corbel"/>
          <w:b/>
          <w:bCs/>
          <w:sz w:val="32"/>
          <w:szCs w:val="32"/>
        </w:rPr>
      </w:pPr>
    </w:p>
    <w:p w14:paraId="7487E605" w14:textId="520837A7" w:rsidR="007E74A6" w:rsidRDefault="007E74A6" w:rsidP="00804F9A">
      <w:pPr>
        <w:spacing w:line="360" w:lineRule="auto"/>
        <w:rPr>
          <w:rFonts w:ascii="Corbel" w:hAnsi="Corbel"/>
          <w:b/>
          <w:bCs/>
          <w:sz w:val="32"/>
          <w:szCs w:val="32"/>
        </w:rPr>
      </w:pPr>
    </w:p>
    <w:p w14:paraId="13F4E741" w14:textId="0FEE9DB2" w:rsidR="00520D2C" w:rsidRDefault="00520D2C" w:rsidP="00804F9A">
      <w:pPr>
        <w:spacing w:line="360" w:lineRule="auto"/>
        <w:rPr>
          <w:rFonts w:ascii="Corbel" w:hAnsi="Corbel"/>
          <w:b/>
          <w:bCs/>
          <w:sz w:val="32"/>
          <w:szCs w:val="32"/>
        </w:rPr>
      </w:pPr>
    </w:p>
    <w:p w14:paraId="2323381E" w14:textId="77777777" w:rsidR="00821840" w:rsidRDefault="00821840" w:rsidP="00804F9A">
      <w:pPr>
        <w:spacing w:line="360" w:lineRule="auto"/>
        <w:rPr>
          <w:rFonts w:ascii="Corbel" w:hAnsi="Corbel"/>
          <w:b/>
          <w:bCs/>
          <w:sz w:val="32"/>
          <w:szCs w:val="32"/>
        </w:rPr>
      </w:pPr>
    </w:p>
    <w:p w14:paraId="5F6E97E5" w14:textId="77777777" w:rsidR="00821840" w:rsidRDefault="00821840" w:rsidP="00804F9A">
      <w:pPr>
        <w:spacing w:line="360" w:lineRule="auto"/>
        <w:rPr>
          <w:rFonts w:ascii="Corbel" w:hAnsi="Corbel"/>
          <w:b/>
          <w:bCs/>
          <w:sz w:val="32"/>
          <w:szCs w:val="32"/>
        </w:rPr>
      </w:pPr>
    </w:p>
    <w:p w14:paraId="3AED2F88" w14:textId="77777777" w:rsidR="00821840" w:rsidRDefault="00821840" w:rsidP="00804F9A">
      <w:pPr>
        <w:spacing w:line="360" w:lineRule="auto"/>
        <w:rPr>
          <w:rFonts w:ascii="Corbel" w:hAnsi="Corbel"/>
          <w:b/>
          <w:bCs/>
          <w:sz w:val="32"/>
          <w:szCs w:val="32"/>
        </w:rPr>
      </w:pPr>
    </w:p>
    <w:p w14:paraId="4D926ED0" w14:textId="30C61A56" w:rsidR="007A6788" w:rsidRPr="007A6788" w:rsidRDefault="009859AD" w:rsidP="00804F9A">
      <w:pPr>
        <w:spacing w:line="360" w:lineRule="auto"/>
        <w:rPr>
          <w:rFonts w:ascii="Corbel" w:hAnsi="Corbel"/>
          <w:b/>
          <w:bCs/>
          <w:sz w:val="32"/>
          <w:szCs w:val="32"/>
        </w:rPr>
      </w:pPr>
      <w:r w:rsidRPr="00084AD1">
        <w:rPr>
          <w:rFonts w:ascii="Corbel" w:hAnsi="Corbel"/>
          <w:b/>
          <w:bCs/>
          <w:sz w:val="32"/>
          <w:szCs w:val="32"/>
        </w:rPr>
        <w:t>7. Stakeholders’ Involvement</w:t>
      </w:r>
    </w:p>
    <w:p w14:paraId="2AE5500E" w14:textId="41BA042F" w:rsidR="004F3C5B" w:rsidRDefault="007A6788" w:rsidP="00804F9A">
      <w:pPr>
        <w:spacing w:line="360" w:lineRule="auto"/>
        <w:jc w:val="both"/>
        <w:rPr>
          <w:rFonts w:ascii="Corbel" w:hAnsi="Corbel"/>
        </w:rPr>
      </w:pPr>
      <w:r w:rsidRPr="007A6788">
        <w:rPr>
          <w:rFonts w:ascii="Corbel" w:hAnsi="Corbel"/>
        </w:rPr>
        <w:t>Stakeholder mapping identifies project stakeholders according to their level of power and interest, allowing engagement to be prioritised rather than applying the same approach to every group. High-power and high-interest stakeholders, including the project team, main contractor and transport operators, require close management because their decisions can directly influence project delivery. In contrast, passengers, local businesses and the community have less formal power but are directly affected by disruption and project outcomes.</w:t>
      </w:r>
      <w:r w:rsidR="00935CE1">
        <w:rPr>
          <w:rFonts w:ascii="Corbel" w:hAnsi="Corbel"/>
        </w:rPr>
        <w:t xml:space="preserve"> </w:t>
      </w:r>
      <w:proofErr w:type="spellStart"/>
      <w:r w:rsidRPr="007A6788">
        <w:rPr>
          <w:rFonts w:ascii="Corbel" w:hAnsi="Corbel"/>
        </w:rPr>
        <w:t>Prebanić</w:t>
      </w:r>
      <w:proofErr w:type="spellEnd"/>
      <w:r w:rsidRPr="007A6788">
        <w:rPr>
          <w:rFonts w:ascii="Corbel" w:hAnsi="Corbel"/>
        </w:rPr>
        <w:t xml:space="preserve"> and </w:t>
      </w:r>
      <w:proofErr w:type="spellStart"/>
      <w:r w:rsidRPr="007A6788">
        <w:rPr>
          <w:rFonts w:ascii="Corbel" w:hAnsi="Corbel"/>
        </w:rPr>
        <w:t>Vukomanović</w:t>
      </w:r>
      <w:proofErr w:type="spellEnd"/>
      <w:r w:rsidRPr="007A6788">
        <w:rPr>
          <w:rFonts w:ascii="Corbel" w:hAnsi="Corbel"/>
        </w:rPr>
        <w:t xml:space="preserve"> (2023) identify stakeholder engagement as an </w:t>
      </w:r>
      <w:r w:rsidRPr="007A6788">
        <w:rPr>
          <w:rFonts w:ascii="Corbel" w:hAnsi="Corbel"/>
        </w:rPr>
        <w:lastRenderedPageBreak/>
        <w:t xml:space="preserve">important success factor in infrastructure projects and highlight the problems that can arise when stakeholder involvement is weak.  For this redevelopment, differentiated engagement is therefore more appropriate than treating all stakeholders equally: management attention can be concentrated on influential decision-makers while consultation with passengers, businesses and the community </w:t>
      </w:r>
      <w:r w:rsidR="00935CE1" w:rsidRPr="007A6788">
        <w:rPr>
          <w:rFonts w:ascii="Corbel" w:hAnsi="Corbel"/>
        </w:rPr>
        <w:t>help</w:t>
      </w:r>
      <w:r w:rsidRPr="007A6788">
        <w:rPr>
          <w:rFonts w:ascii="Corbel" w:hAnsi="Corbel"/>
        </w:rPr>
        <w:t xml:space="preserve"> maintain trust and identify concerns before they develop into resistance or disruption.</w:t>
      </w:r>
      <w:r w:rsidR="00935CE1">
        <w:rPr>
          <w:rFonts w:ascii="Corbel" w:hAnsi="Corbel"/>
        </w:rPr>
        <w:t xml:space="preserve"> </w:t>
      </w:r>
      <w:r w:rsidRPr="007A6788">
        <w:rPr>
          <w:rFonts w:ascii="Corbel" w:hAnsi="Corbel"/>
        </w:rPr>
        <w:t>The RACI Matrix complements stakeholder mapping by defining who is Responsible, Accountable, Consulted and Informed for key activities. Its main advantage is reducing role ambiguity and supporting clearer accountability and decision-making. Used together, the tools address different but connected needs: stakeholder mapping determines how stakeholders should be engaged, while RACI clarifies their role in delivery. However, stakeholder power and interest may change as the project progresses, so the mapping should be reviewed at key stages rather than treated as a fixed assessment.</w:t>
      </w:r>
    </w:p>
    <w:p w14:paraId="6C976575" w14:textId="773310AE" w:rsidR="006E6828" w:rsidRDefault="006E6828" w:rsidP="00804F9A">
      <w:pPr>
        <w:spacing w:line="360" w:lineRule="auto"/>
        <w:jc w:val="both"/>
        <w:rPr>
          <w:rFonts w:ascii="Corbel" w:hAnsi="Corbel"/>
        </w:rPr>
      </w:pPr>
    </w:p>
    <w:p w14:paraId="5E5AC378" w14:textId="070DFBE5" w:rsidR="006E6828" w:rsidRDefault="00784A12" w:rsidP="00804F9A">
      <w:pPr>
        <w:spacing w:line="360" w:lineRule="auto"/>
        <w:jc w:val="both"/>
        <w:rPr>
          <w:rFonts w:ascii="Corbel" w:hAnsi="Corbel"/>
        </w:rPr>
      </w:pPr>
      <w:r>
        <w:rPr>
          <w:rFonts w:ascii="Corbel" w:hAnsi="Corbel"/>
          <w:noProof/>
        </w:rPr>
        <mc:AlternateContent>
          <mc:Choice Requires="wps">
            <w:drawing>
              <wp:anchor distT="0" distB="0" distL="114300" distR="114300" simplePos="0" relativeHeight="251695104" behindDoc="0" locked="0" layoutInCell="1" allowOverlap="1" wp14:anchorId="64CC0C38" wp14:editId="6001C4E0">
                <wp:simplePos x="0" y="0"/>
                <wp:positionH relativeFrom="column">
                  <wp:posOffset>1457132</wp:posOffset>
                </wp:positionH>
                <wp:positionV relativeFrom="paragraph">
                  <wp:posOffset>71866</wp:posOffset>
                </wp:positionV>
                <wp:extent cx="274320" cy="235819"/>
                <wp:effectExtent l="0" t="0" r="11430" b="12065"/>
                <wp:wrapNone/>
                <wp:docPr id="1381276948" name="Rectangle 1"/>
                <wp:cNvGraphicFramePr/>
                <a:graphic xmlns:a="http://schemas.openxmlformats.org/drawingml/2006/main">
                  <a:graphicData uri="http://schemas.microsoft.com/office/word/2010/wordprocessingShape">
                    <wps:wsp>
                      <wps:cNvSpPr/>
                      <wps:spPr>
                        <a:xfrm>
                          <a:off x="0" y="0"/>
                          <a:ext cx="274320" cy="235819"/>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6D8853" id="Rectangle 1" o:spid="_x0000_s1026" style="position:absolute;margin-left:114.75pt;margin-top:5.65pt;width:21.6pt;height:18.5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" fillcolor="#002060" strokecolor="#030e13 [484]" strokeweight="1.5pt"/>
            </w:pict>
          </mc:Fallback>
        </mc:AlternateContent>
      </w:r>
      <w:r w:rsidR="00804F9A" w:rsidRPr="002A57E2">
        <w:rPr>
          <w:rFonts w:ascii="Corbel" w:hAnsi="Corbel"/>
        </w:rPr>
        <w:drawing>
          <wp:anchor distT="0" distB="0" distL="114300" distR="114300" simplePos="0" relativeHeight="251682816" behindDoc="0" locked="0" layoutInCell="1" allowOverlap="1" wp14:anchorId="1C5A80B6" wp14:editId="65631CA0">
            <wp:simplePos x="0" y="0"/>
            <wp:positionH relativeFrom="margin">
              <wp:posOffset>243205</wp:posOffset>
            </wp:positionH>
            <wp:positionV relativeFrom="paragraph">
              <wp:posOffset>43815</wp:posOffset>
            </wp:positionV>
            <wp:extent cx="5393559" cy="2337318"/>
            <wp:effectExtent l="0" t="0" r="0" b="6350"/>
            <wp:wrapNone/>
            <wp:docPr id="96971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19118" name=""/>
                    <pic:cNvPicPr/>
                  </pic:nvPicPr>
                  <pic:blipFill rotWithShape="1">
                    <a:blip r:embed="rId12" cstate="print">
                      <a:extLst>
                        <a:ext uri="{28A0092B-C50C-407E-A947-70E740481C1C}">
                          <a14:useLocalDpi xmlns:a14="http://schemas.microsoft.com/office/drawing/2010/main" val="0"/>
                        </a:ext>
                      </a:extLst>
                    </a:blip>
                    <a:srcRect t="2918"/>
                    <a:stretch>
                      <a:fillRect/>
                    </a:stretch>
                  </pic:blipFill>
                  <pic:spPr bwMode="auto">
                    <a:xfrm>
                      <a:off x="0" y="0"/>
                      <a:ext cx="5393559" cy="23373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7F009C" w14:textId="7E57BD81" w:rsidR="006E6828" w:rsidRDefault="006E6828" w:rsidP="00804F9A">
      <w:pPr>
        <w:spacing w:line="360" w:lineRule="auto"/>
        <w:jc w:val="both"/>
        <w:rPr>
          <w:rFonts w:ascii="Corbel" w:hAnsi="Corbel"/>
        </w:rPr>
      </w:pPr>
    </w:p>
    <w:p w14:paraId="080A99E7" w14:textId="172396D9" w:rsidR="006E6828" w:rsidRDefault="006E6828" w:rsidP="00804F9A">
      <w:pPr>
        <w:spacing w:line="360" w:lineRule="auto"/>
        <w:jc w:val="both"/>
        <w:rPr>
          <w:rFonts w:ascii="Corbel" w:hAnsi="Corbel"/>
        </w:rPr>
      </w:pPr>
    </w:p>
    <w:p w14:paraId="49ED35A2" w14:textId="3EFB4E80" w:rsidR="006E6828" w:rsidRDefault="006E6828" w:rsidP="00804F9A">
      <w:pPr>
        <w:spacing w:line="360" w:lineRule="auto"/>
        <w:jc w:val="both"/>
        <w:rPr>
          <w:rFonts w:ascii="Corbel" w:hAnsi="Corbel"/>
        </w:rPr>
      </w:pPr>
    </w:p>
    <w:p w14:paraId="30BAF55D" w14:textId="326B4766" w:rsidR="006E6828" w:rsidRDefault="006E6828" w:rsidP="00804F9A">
      <w:pPr>
        <w:spacing w:line="360" w:lineRule="auto"/>
        <w:jc w:val="both"/>
        <w:rPr>
          <w:rFonts w:ascii="Corbel" w:hAnsi="Corbel"/>
        </w:rPr>
      </w:pPr>
    </w:p>
    <w:p w14:paraId="7E6A7B72" w14:textId="4715AA33" w:rsidR="006E6828" w:rsidRDefault="006E6828" w:rsidP="00804F9A">
      <w:pPr>
        <w:spacing w:line="360" w:lineRule="auto"/>
        <w:jc w:val="both"/>
        <w:rPr>
          <w:rFonts w:ascii="Corbel" w:hAnsi="Corbel"/>
        </w:rPr>
      </w:pPr>
    </w:p>
    <w:p w14:paraId="0F129927" w14:textId="6D31C498" w:rsidR="006E6828" w:rsidRDefault="006E6828" w:rsidP="00804F9A">
      <w:pPr>
        <w:spacing w:line="360" w:lineRule="auto"/>
        <w:jc w:val="both"/>
        <w:rPr>
          <w:rFonts w:ascii="Corbel" w:hAnsi="Corbel"/>
        </w:rPr>
      </w:pPr>
    </w:p>
    <w:p w14:paraId="6949C927" w14:textId="3674A9F8" w:rsidR="006E6828" w:rsidRDefault="00784A12" w:rsidP="00804F9A">
      <w:pPr>
        <w:spacing w:line="360" w:lineRule="auto"/>
        <w:jc w:val="both"/>
        <w:rPr>
          <w:rFonts w:ascii="Corbel" w:hAnsi="Corbel"/>
        </w:rPr>
      </w:pPr>
      <w:r>
        <w:rPr>
          <w:rFonts w:ascii="Corbel" w:hAnsi="Corbel"/>
          <w:noProof/>
        </w:rPr>
        <mc:AlternateContent>
          <mc:Choice Requires="wps">
            <w:drawing>
              <wp:anchor distT="0" distB="0" distL="114300" distR="114300" simplePos="0" relativeHeight="251708416" behindDoc="0" locked="0" layoutInCell="1" allowOverlap="1" wp14:anchorId="7DED999C" wp14:editId="73AB0481">
                <wp:simplePos x="0" y="0"/>
                <wp:positionH relativeFrom="rightMargin">
                  <wp:posOffset>-3595508</wp:posOffset>
                </wp:positionH>
                <wp:positionV relativeFrom="paragraph">
                  <wp:posOffset>177745</wp:posOffset>
                </wp:positionV>
                <wp:extent cx="274320" cy="235819"/>
                <wp:effectExtent l="0" t="0" r="11430" b="12065"/>
                <wp:wrapNone/>
                <wp:docPr id="1254633165" name="Rectangle 1"/>
                <wp:cNvGraphicFramePr/>
                <a:graphic xmlns:a="http://schemas.openxmlformats.org/drawingml/2006/main">
                  <a:graphicData uri="http://schemas.microsoft.com/office/word/2010/wordprocessingShape">
                    <wps:wsp>
                      <wps:cNvSpPr/>
                      <wps:spPr>
                        <a:xfrm>
                          <a:off x="0" y="0"/>
                          <a:ext cx="274320" cy="235819"/>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C499AB" id="Rectangle 1" o:spid="_x0000_s1026" style="position:absolute;margin-left:-283.1pt;margin-top:14pt;width:21.6pt;height:18.55pt;z-index:251708416;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" fillcolor="#002060" strokecolor="#030e13 [484]" strokeweight="1.5pt">
                <w10:wrap anchorx="margin"/>
              </v:rect>
            </w:pict>
          </mc:Fallback>
        </mc:AlternateContent>
      </w:r>
      <w:r w:rsidR="00804F9A" w:rsidRPr="006C1DE5">
        <w:rPr>
          <w:rFonts w:ascii="Corbel" w:hAnsi="Corbel"/>
        </w:rPr>
        <w:drawing>
          <wp:anchor distT="0" distB="0" distL="114300" distR="114300" simplePos="0" relativeHeight="251672576" behindDoc="0" locked="0" layoutInCell="1" allowOverlap="1" wp14:anchorId="115D9E65" wp14:editId="43A87040">
            <wp:simplePos x="0" y="0"/>
            <wp:positionH relativeFrom="margin">
              <wp:posOffset>307975</wp:posOffset>
            </wp:positionH>
            <wp:positionV relativeFrom="paragraph">
              <wp:posOffset>149860</wp:posOffset>
            </wp:positionV>
            <wp:extent cx="5173825" cy="2143345"/>
            <wp:effectExtent l="0" t="0" r="8255" b="9525"/>
            <wp:wrapNone/>
            <wp:docPr id="851511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511768" name=""/>
                    <pic:cNvPicPr/>
                  </pic:nvPicPr>
                  <pic:blipFill rotWithShape="1">
                    <a:blip r:embed="rId13" cstate="print">
                      <a:extLst>
                        <a:ext uri="{28A0092B-C50C-407E-A947-70E740481C1C}">
                          <a14:useLocalDpi xmlns:a14="http://schemas.microsoft.com/office/drawing/2010/main" val="0"/>
                        </a:ext>
                      </a:extLst>
                    </a:blip>
                    <a:srcRect t="2648"/>
                    <a:stretch>
                      <a:fillRect/>
                    </a:stretch>
                  </pic:blipFill>
                  <pic:spPr bwMode="auto">
                    <a:xfrm>
                      <a:off x="0" y="0"/>
                      <a:ext cx="5173825" cy="214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09BAAD" w14:textId="41324F90" w:rsidR="006E6828" w:rsidRDefault="006E6828" w:rsidP="00804F9A">
      <w:pPr>
        <w:spacing w:line="360" w:lineRule="auto"/>
        <w:jc w:val="both"/>
        <w:rPr>
          <w:rFonts w:ascii="Corbel" w:hAnsi="Corbel"/>
        </w:rPr>
      </w:pPr>
    </w:p>
    <w:p w14:paraId="4CF250FB" w14:textId="21393823" w:rsidR="006E6828" w:rsidRDefault="006E6828" w:rsidP="00804F9A">
      <w:pPr>
        <w:spacing w:line="360" w:lineRule="auto"/>
        <w:jc w:val="both"/>
        <w:rPr>
          <w:rFonts w:ascii="Corbel" w:hAnsi="Corbel"/>
        </w:rPr>
      </w:pPr>
    </w:p>
    <w:p w14:paraId="7A019B7A" w14:textId="6141DAD3" w:rsidR="006E6828" w:rsidRDefault="006E6828" w:rsidP="00804F9A">
      <w:pPr>
        <w:spacing w:line="360" w:lineRule="auto"/>
        <w:jc w:val="both"/>
        <w:rPr>
          <w:rFonts w:ascii="Corbel" w:hAnsi="Corbel"/>
        </w:rPr>
      </w:pPr>
    </w:p>
    <w:p w14:paraId="39196A6D" w14:textId="796CD5D8" w:rsidR="006E6828" w:rsidRDefault="006E6828" w:rsidP="00804F9A">
      <w:pPr>
        <w:spacing w:line="360" w:lineRule="auto"/>
        <w:jc w:val="both"/>
        <w:rPr>
          <w:rFonts w:ascii="Corbel" w:hAnsi="Corbel"/>
        </w:rPr>
      </w:pPr>
    </w:p>
    <w:p w14:paraId="46930558" w14:textId="1105B239" w:rsidR="00511D1A" w:rsidRDefault="00511D1A" w:rsidP="00804F9A">
      <w:pPr>
        <w:spacing w:line="360" w:lineRule="auto"/>
        <w:rPr>
          <w:rFonts w:ascii="Corbel" w:hAnsi="Corbel"/>
          <w:b/>
          <w:bCs/>
          <w:sz w:val="32"/>
          <w:szCs w:val="32"/>
        </w:rPr>
      </w:pPr>
    </w:p>
    <w:p w14:paraId="0E08D7CE" w14:textId="487C1377" w:rsidR="0069305B" w:rsidRPr="00303DD5" w:rsidRDefault="00ED09E5" w:rsidP="00804F9A">
      <w:pPr>
        <w:spacing w:line="360" w:lineRule="auto"/>
        <w:rPr>
          <w:rFonts w:ascii="Corbel" w:hAnsi="Corbel"/>
          <w:b/>
          <w:bCs/>
          <w:sz w:val="32"/>
          <w:szCs w:val="32"/>
        </w:rPr>
      </w:pPr>
      <w:r w:rsidRPr="00ED09E5">
        <w:rPr>
          <w:rFonts w:ascii="Corbel" w:hAnsi="Corbel"/>
          <w:b/>
          <w:bCs/>
          <w:sz w:val="32"/>
          <w:szCs w:val="32"/>
        </w:rPr>
        <w:lastRenderedPageBreak/>
        <w:t>8. Resource Allocation</w:t>
      </w:r>
    </w:p>
    <w:p w14:paraId="45D3605B" w14:textId="6163C320" w:rsidR="004B62C7" w:rsidRDefault="0069305B" w:rsidP="00804F9A">
      <w:pPr>
        <w:spacing w:line="360" w:lineRule="auto"/>
        <w:jc w:val="both"/>
        <w:rPr>
          <w:rFonts w:ascii="Corbel" w:hAnsi="Corbel"/>
        </w:rPr>
      </w:pPr>
      <w:r w:rsidRPr="0069305B">
        <w:rPr>
          <w:rFonts w:ascii="Corbel" w:hAnsi="Corbel"/>
        </w:rPr>
        <w:t>Effective resource allocation requires human, financial and physical resources to be aligned with project activities rather than distributed evenly throughout delivery. For the Central Transport Hub Redevelopment, design and engineering expertise should be concentrated earlier, while contractors, site personnel,</w:t>
      </w:r>
      <w:r w:rsidRPr="0069305B">
        <w:rPr>
          <w:rFonts w:ascii="Corbel" w:hAnsi="Corbel"/>
          <w:b/>
          <w:bCs/>
        </w:rPr>
        <w:t xml:space="preserve"> </w:t>
      </w:r>
      <w:r w:rsidRPr="0069305B">
        <w:rPr>
          <w:rFonts w:ascii="Corbel" w:hAnsi="Corbel"/>
        </w:rPr>
        <w:t>equipment and materials will become more intensive during Construction and Commissioning. This phased approach can reduce idle capacity and ensure that specialist resources are available when their contribution is most critical.</w:t>
      </w:r>
      <w:r w:rsidR="00303DD5">
        <w:rPr>
          <w:rFonts w:ascii="Corbel" w:hAnsi="Corbel"/>
        </w:rPr>
        <w:t xml:space="preserve"> </w:t>
      </w:r>
      <w:r w:rsidRPr="0069305B">
        <w:rPr>
          <w:rFonts w:ascii="Corbel" w:hAnsi="Corbel"/>
        </w:rPr>
        <w:t xml:space="preserve">Resource availability must also be considered alongside the project schedule. </w:t>
      </w:r>
      <w:proofErr w:type="spellStart"/>
      <w:r w:rsidRPr="0069305B">
        <w:rPr>
          <w:rFonts w:ascii="Corbel" w:hAnsi="Corbel"/>
        </w:rPr>
        <w:t>Ninpan</w:t>
      </w:r>
      <w:proofErr w:type="spellEnd"/>
      <w:r w:rsidRPr="0069305B">
        <w:rPr>
          <w:rFonts w:ascii="Corbel" w:hAnsi="Corbel"/>
        </w:rPr>
        <w:t xml:space="preserve"> et al. (2024) demonstrate the importance of addressing resource overallocation and conflicts between concurrent construction activities to support more effective project scheduling.  For this redevelopment, financial and physical resources should therefore be prioritised during procurement and construction, while contingency funding provides flexibility for unforeseen costs. Coordinating materials, equipment and site access with scheduled activities can also reduce the risk of resource shortages creating avoidable delays.</w:t>
      </w:r>
      <w:r w:rsidR="00303DD5">
        <w:rPr>
          <w:rFonts w:ascii="Corbel" w:hAnsi="Corbel"/>
        </w:rPr>
        <w:t xml:space="preserve"> </w:t>
      </w:r>
      <w:r w:rsidRPr="0069305B">
        <w:rPr>
          <w:rFonts w:ascii="Corbel" w:hAnsi="Corbel"/>
        </w:rPr>
        <w:t>The main advantage of this approach is stronger cost and schedule control through reduced bottlenecks and more efficient resource use. However, excessive allocation to one activity may create shortages elsewhere. Resource requirements should therefore be reviewed throughout delivery and adjusted according to actual progress, changing priorities and emerging risks.</w:t>
      </w:r>
    </w:p>
    <w:p w14:paraId="08ED88F4" w14:textId="77777777" w:rsidR="005152D3" w:rsidRPr="0069305B" w:rsidRDefault="005152D3" w:rsidP="00804F9A">
      <w:pPr>
        <w:spacing w:line="360" w:lineRule="auto"/>
        <w:jc w:val="both"/>
        <w:rPr>
          <w:rFonts w:ascii="Corbel" w:hAnsi="Corbel"/>
        </w:rPr>
      </w:pPr>
    </w:p>
    <w:p w14:paraId="71A4FEC8" w14:textId="1D64406B" w:rsidR="000E050C" w:rsidRPr="000E050C" w:rsidRDefault="000E050C" w:rsidP="00804F9A">
      <w:pPr>
        <w:spacing w:line="360" w:lineRule="auto"/>
        <w:rPr>
          <w:rFonts w:ascii="Corbel" w:hAnsi="Corbel"/>
        </w:rPr>
      </w:pPr>
      <w:r w:rsidRPr="000E050C">
        <w:rPr>
          <w:rFonts w:ascii="Corbel" w:hAnsi="Corbel"/>
          <w:b/>
          <w:bCs/>
          <w:sz w:val="32"/>
          <w:szCs w:val="32"/>
        </w:rPr>
        <w:t>9. Risk Analysis</w:t>
      </w:r>
    </w:p>
    <w:p w14:paraId="1EFC7568" w14:textId="5CC8AB96" w:rsidR="005152D3" w:rsidRPr="005152D3" w:rsidRDefault="005152D3" w:rsidP="00804F9A">
      <w:pPr>
        <w:spacing w:line="360" w:lineRule="auto"/>
        <w:jc w:val="both"/>
        <w:rPr>
          <w:rFonts w:ascii="Corbel" w:hAnsi="Corbel"/>
        </w:rPr>
      </w:pPr>
      <w:r w:rsidRPr="005152D3">
        <w:rPr>
          <w:rFonts w:ascii="Corbel" w:hAnsi="Corbel"/>
        </w:rPr>
        <w:t xml:space="preserve">Risk analysis provides a structured basis for identifying which uncertainties require the greatest management attention in the Central Transport Hub Redevelopment. Each identified risk is assessed according to its likelihood and potential impact, allowing higher-exposure risks to be prioritised rather than allocating equal attention to every uncertainty. This is particularly important in a 12-month infrastructure project where management time and contingency resources are limited. </w:t>
      </w:r>
      <w:proofErr w:type="spellStart"/>
      <w:r w:rsidRPr="005152D3">
        <w:rPr>
          <w:rFonts w:ascii="Corbel" w:hAnsi="Corbel"/>
        </w:rPr>
        <w:t>Khodabakhshian</w:t>
      </w:r>
      <w:proofErr w:type="spellEnd"/>
      <w:r w:rsidRPr="005152D3">
        <w:rPr>
          <w:rFonts w:ascii="Corbel" w:hAnsi="Corbel"/>
        </w:rPr>
        <w:t xml:space="preserve"> et al. (2023) emphasise that effective construction risk management involves the proactive identification, assessment, mitigation and control of uncertainty to protect project objectives.  In this project, the risk </w:t>
      </w:r>
      <w:r w:rsidRPr="005152D3">
        <w:rPr>
          <w:rFonts w:ascii="Corbel" w:hAnsi="Corbel"/>
        </w:rPr>
        <w:lastRenderedPageBreak/>
        <w:t>matrix therefore acts not simply as a scoring exercise but as a basis for deciding where preventive action is most valuable.</w:t>
      </w:r>
    </w:p>
    <w:p w14:paraId="3469D824" w14:textId="580BF198" w:rsidR="005152D3" w:rsidRPr="005152D3" w:rsidRDefault="005152D3" w:rsidP="00804F9A">
      <w:pPr>
        <w:spacing w:line="360" w:lineRule="auto"/>
        <w:jc w:val="both"/>
        <w:rPr>
          <w:rFonts w:ascii="Corbel" w:hAnsi="Corbel"/>
        </w:rPr>
      </w:pPr>
      <w:r w:rsidRPr="005152D3">
        <w:rPr>
          <w:rFonts w:ascii="Corbel" w:hAnsi="Corbel"/>
        </w:rPr>
        <w:t xml:space="preserve">Construction delay represents the highest-ranked risk, with a score of 25, followed by budget overrun (20) and supply-chain disruption (16). These risks should not be considered independently because disruption to materials or equipment could delay construction, while an extended construction period may increase labour, equipment and operational costs. Research similarly shows that construction risks can influence both schedule and cost performance and that interdependencies between risks are important when evaluating their overall effect on project outcomes (Su and </w:t>
      </w:r>
      <w:proofErr w:type="spellStart"/>
      <w:r w:rsidRPr="005152D3">
        <w:rPr>
          <w:rFonts w:ascii="Corbel" w:hAnsi="Corbel"/>
        </w:rPr>
        <w:t>Khallaf</w:t>
      </w:r>
      <w:proofErr w:type="spellEnd"/>
      <w:r w:rsidRPr="005152D3">
        <w:rPr>
          <w:rFonts w:ascii="Corbel" w:hAnsi="Corbel"/>
        </w:rPr>
        <w:t>, 2022).  For the hub redevelopment, detailed progress monitoring should therefore be combined with early procurement and alternative suppliers. This provides greater value than treating each risk separately because one mitigation action may reduce several related threats.</w:t>
      </w:r>
    </w:p>
    <w:p w14:paraId="16E825F4" w14:textId="4E013C88" w:rsidR="005152D3" w:rsidRPr="005152D3" w:rsidRDefault="005152D3" w:rsidP="00804F9A">
      <w:pPr>
        <w:spacing w:line="360" w:lineRule="auto"/>
        <w:jc w:val="both"/>
        <w:rPr>
          <w:rFonts w:ascii="Corbel" w:hAnsi="Corbel"/>
        </w:rPr>
      </w:pPr>
      <w:r w:rsidRPr="005152D3">
        <w:rPr>
          <w:rFonts w:ascii="Corbel" w:hAnsi="Corbel"/>
        </w:rPr>
        <w:t>Regulatory approval delays (15) and design changes (12) also require early intervention because both could disrupt the planned sequence of work. Early engagement with regulatory authorities can reduce uncertainty around approvals, while design reviews and formal change control can limit unnecessary rework. These preventive controls are particularly valuable because avoiding disruption before construction is generally more manageable than recovering lost time and additional cost later in the programme.</w:t>
      </w:r>
    </w:p>
    <w:p w14:paraId="4A7385BA" w14:textId="7FA869D9" w:rsidR="005152D3" w:rsidRPr="005152D3" w:rsidRDefault="005152D3" w:rsidP="00804F9A">
      <w:pPr>
        <w:spacing w:line="360" w:lineRule="auto"/>
        <w:jc w:val="both"/>
        <w:rPr>
          <w:rFonts w:ascii="Corbel" w:hAnsi="Corbel"/>
        </w:rPr>
      </w:pPr>
      <w:r w:rsidRPr="005152D3">
        <w:rPr>
          <w:rFonts w:ascii="Corbel" w:hAnsi="Corbel"/>
        </w:rPr>
        <w:t>Although health and safety incidents (10) and stakeholder opposition (9) receive lower numerical scores, they should not be considered unimportant. A serious safety incident could have consequences for people, regulatory compliance and project continuity, while unresolved stakeholder concerns could affect public acceptance and place additional pressure on delivery. Site inspections, training, safety procedures and continuous stakeholder consultation should therefore remain active throughout the project.</w:t>
      </w:r>
    </w:p>
    <w:p w14:paraId="6990878B" w14:textId="0810508F" w:rsidR="005152D3" w:rsidRDefault="005152D3" w:rsidP="00804F9A">
      <w:pPr>
        <w:spacing w:line="360" w:lineRule="auto"/>
        <w:jc w:val="both"/>
        <w:rPr>
          <w:rFonts w:ascii="Corbel" w:hAnsi="Corbel"/>
        </w:rPr>
      </w:pPr>
      <w:r w:rsidRPr="005152D3">
        <w:rPr>
          <w:rFonts w:ascii="Corbel" w:hAnsi="Corbel"/>
        </w:rPr>
        <w:t xml:space="preserve">The main advantage of the risk matrix is that it creates a consistent basis for prioritisation and supports more transparent decision-making. However, its scores represent assessments at a particular point in time rather than fixed values. Risk exposure should therefore be reviewed throughout the 12-month programme, with likelihood, impact and mitigation measures updated as project conditions change. In my assessment, this continuous review is particularly important for the Central Transport Hub because the relationship between </w:t>
      </w:r>
      <w:r w:rsidRPr="005152D3">
        <w:rPr>
          <w:rFonts w:ascii="Corbel" w:hAnsi="Corbel"/>
        </w:rPr>
        <w:lastRenderedPageBreak/>
        <w:t>schedule, procurement and construction risks means that a change in one area could quickly alter the priority of several other risks.</w:t>
      </w:r>
    </w:p>
    <w:p w14:paraId="46E437AE" w14:textId="17F0D2E4" w:rsidR="005152D3" w:rsidRDefault="00A404C2" w:rsidP="00804F9A">
      <w:pPr>
        <w:spacing w:line="360" w:lineRule="auto"/>
        <w:jc w:val="both"/>
        <w:rPr>
          <w:rFonts w:ascii="Corbel" w:hAnsi="Corbel"/>
        </w:rPr>
      </w:pPr>
      <w:r w:rsidRPr="00902279">
        <w:rPr>
          <w:rFonts w:ascii="Corbel" w:hAnsi="Corbel"/>
        </w:rPr>
        <w:drawing>
          <wp:anchor distT="0" distB="0" distL="114300" distR="114300" simplePos="0" relativeHeight="251719680" behindDoc="0" locked="0" layoutInCell="1" allowOverlap="1" wp14:anchorId="083C4620" wp14:editId="7BA695A7">
            <wp:simplePos x="0" y="0"/>
            <wp:positionH relativeFrom="margin">
              <wp:posOffset>-49739</wp:posOffset>
            </wp:positionH>
            <wp:positionV relativeFrom="paragraph">
              <wp:posOffset>40909</wp:posOffset>
            </wp:positionV>
            <wp:extent cx="5731510" cy="2658110"/>
            <wp:effectExtent l="0" t="0" r="2540" b="8890"/>
            <wp:wrapNone/>
            <wp:docPr id="87932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2822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anchor>
        </w:drawing>
      </w:r>
      <w:r w:rsidR="00B6483B">
        <w:rPr>
          <w:rFonts w:ascii="Corbel" w:hAnsi="Corbel"/>
          <w:noProof/>
        </w:rPr>
        <mc:AlternateContent>
          <mc:Choice Requires="wps">
            <w:drawing>
              <wp:anchor distT="0" distB="0" distL="114300" distR="114300" simplePos="0" relativeHeight="251729920" behindDoc="0" locked="0" layoutInCell="1" allowOverlap="1" wp14:anchorId="089311C5" wp14:editId="2EDDDD0C">
                <wp:simplePos x="0" y="0"/>
                <wp:positionH relativeFrom="rightMargin">
                  <wp:posOffset>-4205135</wp:posOffset>
                </wp:positionH>
                <wp:positionV relativeFrom="paragraph">
                  <wp:posOffset>95913</wp:posOffset>
                </wp:positionV>
                <wp:extent cx="274320" cy="235819"/>
                <wp:effectExtent l="0" t="0" r="11430" b="12065"/>
                <wp:wrapNone/>
                <wp:docPr id="547185098" name="Rectangle 1"/>
                <wp:cNvGraphicFramePr/>
                <a:graphic xmlns:a="http://schemas.openxmlformats.org/drawingml/2006/main">
                  <a:graphicData uri="http://schemas.microsoft.com/office/word/2010/wordprocessingShape">
                    <wps:wsp>
                      <wps:cNvSpPr/>
                      <wps:spPr>
                        <a:xfrm>
                          <a:off x="0" y="0"/>
                          <a:ext cx="274320" cy="235819"/>
                        </a:xfrm>
                        <a:prstGeom prst="rect">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1AEE84" id="Rectangle 1" o:spid="_x0000_s1026" style="position:absolute;margin-left:-331.1pt;margin-top:7.55pt;width:21.6pt;height:18.55pt;z-index:251729920;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" fillcolor="#002060" strokecolor="#030e13 [484]" strokeweight="1.5pt">
                <w10:wrap anchorx="margin"/>
              </v:rect>
            </w:pict>
          </mc:Fallback>
        </mc:AlternateContent>
      </w:r>
    </w:p>
    <w:p w14:paraId="6D4236DE" w14:textId="402649FA" w:rsidR="005152D3" w:rsidRDefault="005152D3" w:rsidP="00804F9A">
      <w:pPr>
        <w:spacing w:line="360" w:lineRule="auto"/>
        <w:jc w:val="both"/>
        <w:rPr>
          <w:rFonts w:ascii="Corbel" w:hAnsi="Corbel"/>
        </w:rPr>
      </w:pPr>
    </w:p>
    <w:p w14:paraId="4C258B6E" w14:textId="1619E830" w:rsidR="005152D3" w:rsidRDefault="005152D3" w:rsidP="00804F9A">
      <w:pPr>
        <w:spacing w:line="360" w:lineRule="auto"/>
        <w:jc w:val="both"/>
        <w:rPr>
          <w:rFonts w:ascii="Corbel" w:hAnsi="Corbel"/>
        </w:rPr>
      </w:pPr>
    </w:p>
    <w:p w14:paraId="05EF299F" w14:textId="2B36C492" w:rsidR="005152D3" w:rsidRDefault="005152D3" w:rsidP="00804F9A">
      <w:pPr>
        <w:spacing w:line="360" w:lineRule="auto"/>
        <w:jc w:val="both"/>
        <w:rPr>
          <w:rFonts w:ascii="Corbel" w:hAnsi="Corbel"/>
        </w:rPr>
      </w:pPr>
    </w:p>
    <w:p w14:paraId="35C182B4" w14:textId="77777777" w:rsidR="005152D3" w:rsidRDefault="005152D3" w:rsidP="00804F9A">
      <w:pPr>
        <w:spacing w:line="360" w:lineRule="auto"/>
        <w:jc w:val="both"/>
        <w:rPr>
          <w:rFonts w:ascii="Corbel" w:hAnsi="Corbel"/>
        </w:rPr>
      </w:pPr>
    </w:p>
    <w:p w14:paraId="6E72A883" w14:textId="77777777" w:rsidR="005152D3" w:rsidRDefault="005152D3" w:rsidP="00804F9A">
      <w:pPr>
        <w:spacing w:line="360" w:lineRule="auto"/>
        <w:jc w:val="both"/>
        <w:rPr>
          <w:rFonts w:ascii="Corbel" w:hAnsi="Corbel"/>
        </w:rPr>
      </w:pPr>
    </w:p>
    <w:p w14:paraId="035B8989" w14:textId="3354DFD4" w:rsidR="005152D3" w:rsidRDefault="005152D3" w:rsidP="00804F9A">
      <w:pPr>
        <w:spacing w:line="360" w:lineRule="auto"/>
        <w:jc w:val="both"/>
        <w:rPr>
          <w:rFonts w:ascii="Corbel" w:hAnsi="Corbel"/>
        </w:rPr>
      </w:pPr>
    </w:p>
    <w:p w14:paraId="6CEBE5F9" w14:textId="77777777" w:rsidR="000E050C" w:rsidRDefault="000E050C" w:rsidP="00804F9A">
      <w:pPr>
        <w:spacing w:line="360" w:lineRule="auto"/>
        <w:rPr>
          <w:rFonts w:ascii="Corbel" w:hAnsi="Corbel"/>
        </w:rPr>
      </w:pPr>
    </w:p>
    <w:p w14:paraId="7CA0819F" w14:textId="77777777" w:rsidR="000E050C" w:rsidRDefault="000E050C" w:rsidP="00804F9A">
      <w:pPr>
        <w:spacing w:line="360" w:lineRule="auto"/>
        <w:rPr>
          <w:rFonts w:ascii="Corbel" w:hAnsi="Corbel"/>
        </w:rPr>
      </w:pPr>
    </w:p>
    <w:p w14:paraId="153A0BD4" w14:textId="1CA52F32" w:rsidR="00F549FF" w:rsidRPr="00F549FF" w:rsidRDefault="006C74AC" w:rsidP="00804F9A">
      <w:pPr>
        <w:spacing w:line="360" w:lineRule="auto"/>
        <w:rPr>
          <w:rFonts w:ascii="Corbel" w:hAnsi="Corbel"/>
          <w:b/>
          <w:bCs/>
          <w:sz w:val="32"/>
          <w:szCs w:val="32"/>
        </w:rPr>
      </w:pPr>
      <w:r w:rsidRPr="006C74AC">
        <w:rPr>
          <w:rFonts w:ascii="Corbel" w:hAnsi="Corbel"/>
          <w:b/>
          <w:bCs/>
          <w:sz w:val="32"/>
          <w:szCs w:val="32"/>
        </w:rPr>
        <w:t>10. Conclusion</w:t>
      </w:r>
    </w:p>
    <w:p w14:paraId="7494D151" w14:textId="79CE1E7F" w:rsidR="00AB5EC5" w:rsidRPr="00AB5EC5" w:rsidRDefault="00AB5EC5" w:rsidP="00804F9A">
      <w:pPr>
        <w:spacing w:line="360" w:lineRule="auto"/>
        <w:jc w:val="both"/>
        <w:rPr>
          <w:rFonts w:ascii="Corbel" w:hAnsi="Corbel"/>
        </w:rPr>
      </w:pPr>
      <w:r w:rsidRPr="00AB5EC5">
        <w:rPr>
          <w:rFonts w:ascii="Corbel" w:hAnsi="Corbel"/>
        </w:rPr>
        <w:t>The Central Transport Hub Redevelopment demonstrates that successful delivery depends on integrating project management tools rather than using them independently. The WBS structures the required work, the Gantt Chart controls timing and dependencies, while stakeholder, resource and risk management support coordinated decision-making throughout the 12-month programme. Their main value therefore comes from how effectively they work together to maintain control over project delivery.</w:t>
      </w:r>
    </w:p>
    <w:p w14:paraId="01A40496" w14:textId="2FC47330" w:rsidR="00AB5EC5" w:rsidRPr="00AB5EC5" w:rsidRDefault="00AB5EC5" w:rsidP="00804F9A">
      <w:pPr>
        <w:spacing w:line="360" w:lineRule="auto"/>
        <w:jc w:val="both"/>
        <w:rPr>
          <w:rFonts w:ascii="Corbel" w:hAnsi="Corbel"/>
        </w:rPr>
      </w:pPr>
      <w:r w:rsidRPr="00AB5EC5">
        <w:rPr>
          <w:rFonts w:ascii="Corbel" w:hAnsi="Corbel"/>
        </w:rPr>
        <w:t>The analysis also indicates that success should extend beyond traditional measures of time and budget. Safety, accessibility, regulatory compliance, transport integration and stakeholder satisfaction are equally important because they determine whether the completed hub delivers meaningful operational value.</w:t>
      </w:r>
    </w:p>
    <w:p w14:paraId="03B0830C" w14:textId="77777777" w:rsidR="00804F9A" w:rsidRDefault="00AB5EC5" w:rsidP="00804F9A">
      <w:pPr>
        <w:spacing w:line="360" w:lineRule="auto"/>
        <w:jc w:val="both"/>
        <w:rPr>
          <w:rFonts w:ascii="Corbel" w:hAnsi="Corbel"/>
        </w:rPr>
      </w:pPr>
      <w:r w:rsidRPr="00AB5EC5">
        <w:rPr>
          <w:rFonts w:ascii="Corbel" w:hAnsi="Corbel"/>
        </w:rPr>
        <w:t>Regular monitoring should therefore focus particularly on construction delays, supply-chain disruption and design changes, as these risks can affect both cost and schedule. Overall, maintaining alignment between scope, time, resources, stakeholders and risk provides the strongest basis for delivering a safer, more accessible and integrated transport hub.</w:t>
      </w:r>
    </w:p>
    <w:p w14:paraId="73D8FAE1" w14:textId="155F4A42" w:rsidR="00AB3D77" w:rsidRPr="00804F9A" w:rsidRDefault="00AB3D77" w:rsidP="00804F9A">
      <w:pPr>
        <w:spacing w:line="360" w:lineRule="auto"/>
        <w:jc w:val="both"/>
        <w:rPr>
          <w:rFonts w:ascii="Corbel" w:hAnsi="Corbel"/>
        </w:rPr>
      </w:pPr>
      <w:r w:rsidRPr="00AB3D77">
        <w:rPr>
          <w:rFonts w:ascii="Corbel" w:hAnsi="Corbel"/>
          <w:b/>
          <w:bCs/>
          <w:sz w:val="32"/>
          <w:szCs w:val="32"/>
        </w:rPr>
        <w:lastRenderedPageBreak/>
        <w:t>Reference List</w:t>
      </w:r>
    </w:p>
    <w:p w14:paraId="037E56F8" w14:textId="34C4EC73" w:rsidR="000D33B9" w:rsidRPr="00DD2C83" w:rsidRDefault="000D33B9" w:rsidP="00804F9A">
      <w:pPr>
        <w:pStyle w:val="ListParagraph"/>
        <w:numPr>
          <w:ilvl w:val="0"/>
          <w:numId w:val="3"/>
        </w:numPr>
        <w:spacing w:line="360" w:lineRule="auto"/>
        <w:jc w:val="both"/>
        <w:rPr>
          <w:rFonts w:ascii="Corbel" w:hAnsi="Corbel"/>
        </w:rPr>
      </w:pPr>
      <w:proofErr w:type="spellStart"/>
      <w:r w:rsidRPr="00DD2C83">
        <w:rPr>
          <w:rFonts w:ascii="Corbel" w:hAnsi="Corbel"/>
        </w:rPr>
        <w:t>Aljadhai</w:t>
      </w:r>
      <w:proofErr w:type="spellEnd"/>
      <w:r w:rsidRPr="00DD2C83">
        <w:rPr>
          <w:rFonts w:ascii="Corbel" w:hAnsi="Corbel"/>
        </w:rPr>
        <w:t xml:space="preserve">, S., Alqahtani, F.K., </w:t>
      </w:r>
      <w:proofErr w:type="spellStart"/>
      <w:r w:rsidRPr="00DD2C83">
        <w:rPr>
          <w:rFonts w:ascii="Corbel" w:hAnsi="Corbel"/>
        </w:rPr>
        <w:t>Aldakhel</w:t>
      </w:r>
      <w:proofErr w:type="spellEnd"/>
      <w:r w:rsidRPr="00DD2C83">
        <w:rPr>
          <w:rFonts w:ascii="Corbel" w:hAnsi="Corbel"/>
        </w:rPr>
        <w:t xml:space="preserve">, A., Alharbi, M. and </w:t>
      </w:r>
      <w:proofErr w:type="spellStart"/>
      <w:r w:rsidRPr="00DD2C83">
        <w:rPr>
          <w:rFonts w:ascii="Corbel" w:hAnsi="Corbel"/>
        </w:rPr>
        <w:t>Yamany</w:t>
      </w:r>
      <w:proofErr w:type="spellEnd"/>
      <w:r w:rsidRPr="00DD2C83">
        <w:rPr>
          <w:rFonts w:ascii="Corbel" w:hAnsi="Corbel"/>
        </w:rPr>
        <w:t xml:space="preserve">, M.S. (2025) ‘Assessment of scope definition for building projects in Saudi Arabia’, </w:t>
      </w:r>
      <w:r w:rsidRPr="00271D21">
        <w:rPr>
          <w:rFonts w:ascii="Corbel" w:hAnsi="Corbel"/>
          <w:i/>
          <w:iCs/>
        </w:rPr>
        <w:t>Journal of Asian</w:t>
      </w:r>
      <w:r w:rsidRPr="00DD2C83">
        <w:rPr>
          <w:rFonts w:ascii="Corbel" w:hAnsi="Corbel"/>
        </w:rPr>
        <w:t xml:space="preserve"> </w:t>
      </w:r>
      <w:r w:rsidRPr="00271D21">
        <w:rPr>
          <w:rFonts w:ascii="Corbel" w:hAnsi="Corbel"/>
          <w:i/>
          <w:iCs/>
        </w:rPr>
        <w:t>Architecture and Building Engineering</w:t>
      </w:r>
      <w:r w:rsidRPr="00DD2C83">
        <w:rPr>
          <w:rFonts w:ascii="Corbel" w:hAnsi="Corbel"/>
        </w:rPr>
        <w:t xml:space="preserve">, 24(5), pp. 3863–3878. </w:t>
      </w:r>
      <w:proofErr w:type="spellStart"/>
      <w:r w:rsidRPr="00DD2C83">
        <w:rPr>
          <w:rFonts w:ascii="Corbel" w:hAnsi="Corbel"/>
        </w:rPr>
        <w:t>doi</w:t>
      </w:r>
      <w:proofErr w:type="spellEnd"/>
      <w:r w:rsidRPr="00DD2C83">
        <w:rPr>
          <w:rFonts w:ascii="Corbel" w:hAnsi="Corbel"/>
        </w:rPr>
        <w:t xml:space="preserve">: 10.1080/13467581.2024.2396631. </w:t>
      </w:r>
    </w:p>
    <w:p w14:paraId="0E703C3A" w14:textId="584490A4" w:rsidR="000D33B9" w:rsidRPr="00DD2C83" w:rsidRDefault="000D33B9" w:rsidP="00804F9A">
      <w:pPr>
        <w:pStyle w:val="ListParagraph"/>
        <w:numPr>
          <w:ilvl w:val="0"/>
          <w:numId w:val="3"/>
        </w:numPr>
        <w:spacing w:line="360" w:lineRule="auto"/>
        <w:jc w:val="both"/>
        <w:rPr>
          <w:rFonts w:ascii="Corbel" w:hAnsi="Corbel"/>
        </w:rPr>
      </w:pPr>
      <w:proofErr w:type="spellStart"/>
      <w:r w:rsidRPr="00DD2C83">
        <w:rPr>
          <w:rFonts w:ascii="Corbel" w:hAnsi="Corbel"/>
        </w:rPr>
        <w:t>Bajare</w:t>
      </w:r>
      <w:proofErr w:type="spellEnd"/>
      <w:r w:rsidRPr="00DD2C83">
        <w:rPr>
          <w:rFonts w:ascii="Corbel" w:hAnsi="Corbel"/>
        </w:rPr>
        <w:t xml:space="preserve">, D., </w:t>
      </w:r>
      <w:proofErr w:type="spellStart"/>
      <w:r w:rsidRPr="00DD2C83">
        <w:rPr>
          <w:rFonts w:ascii="Corbel" w:hAnsi="Corbel"/>
        </w:rPr>
        <w:t>Zsembinszki</w:t>
      </w:r>
      <w:proofErr w:type="spellEnd"/>
      <w:r w:rsidRPr="00DD2C83">
        <w:rPr>
          <w:rFonts w:ascii="Corbel" w:hAnsi="Corbel"/>
        </w:rPr>
        <w:t xml:space="preserve">, G., Frazão Pedroso, P., Frazão Pedroso, M., Kripa, D., Nano, X., Tambovceva, T. and Borg, R.P. (2025) ‘Defining the project’s lifecycle stages and their related decision-making activities’, </w:t>
      </w:r>
      <w:r w:rsidRPr="00A71805">
        <w:rPr>
          <w:rFonts w:ascii="Corbel" w:hAnsi="Corbel"/>
          <w:i/>
          <w:iCs/>
        </w:rPr>
        <w:t>in Circular Economy Design and</w:t>
      </w:r>
      <w:r w:rsidRPr="00DD2C83">
        <w:rPr>
          <w:rFonts w:ascii="Corbel" w:hAnsi="Corbel"/>
        </w:rPr>
        <w:t xml:space="preserve"> </w:t>
      </w:r>
      <w:r w:rsidRPr="00A71805">
        <w:rPr>
          <w:rFonts w:ascii="Corbel" w:hAnsi="Corbel"/>
          <w:i/>
          <w:iCs/>
        </w:rPr>
        <w:t>Management in the Built Environment</w:t>
      </w:r>
      <w:r w:rsidRPr="00DD2C83">
        <w:rPr>
          <w:rFonts w:ascii="Corbel" w:hAnsi="Corbel"/>
        </w:rPr>
        <w:t xml:space="preserve">. Springer, pp. 647–665. </w:t>
      </w:r>
      <w:proofErr w:type="spellStart"/>
      <w:r w:rsidRPr="00DD2C83">
        <w:rPr>
          <w:rFonts w:ascii="Corbel" w:hAnsi="Corbel"/>
        </w:rPr>
        <w:t>doi</w:t>
      </w:r>
      <w:proofErr w:type="spellEnd"/>
      <w:r w:rsidRPr="00DD2C83">
        <w:rPr>
          <w:rFonts w:ascii="Corbel" w:hAnsi="Corbel"/>
        </w:rPr>
        <w:t xml:space="preserve">: 10.1007/978-3-031-73490-8_21. </w:t>
      </w:r>
    </w:p>
    <w:p w14:paraId="15389BE3" w14:textId="2BED6ACF" w:rsidR="000D33B9" w:rsidRPr="00DD2C83" w:rsidRDefault="000D33B9" w:rsidP="00804F9A">
      <w:pPr>
        <w:pStyle w:val="ListParagraph"/>
        <w:numPr>
          <w:ilvl w:val="0"/>
          <w:numId w:val="3"/>
        </w:numPr>
        <w:spacing w:line="360" w:lineRule="auto"/>
        <w:jc w:val="both"/>
        <w:rPr>
          <w:rFonts w:ascii="Corbel" w:hAnsi="Corbel"/>
        </w:rPr>
      </w:pPr>
      <w:proofErr w:type="spellStart"/>
      <w:r w:rsidRPr="00DD2C83">
        <w:rPr>
          <w:rFonts w:ascii="Corbel" w:hAnsi="Corbel"/>
        </w:rPr>
        <w:t>ElAlem</w:t>
      </w:r>
      <w:proofErr w:type="spellEnd"/>
      <w:r w:rsidRPr="00DD2C83">
        <w:rPr>
          <w:rFonts w:ascii="Corbel" w:hAnsi="Corbel"/>
        </w:rPr>
        <w:t xml:space="preserve">, M.A., Mahdi, I.M., </w:t>
      </w:r>
      <w:proofErr w:type="spellStart"/>
      <w:r w:rsidRPr="00DD2C83">
        <w:rPr>
          <w:rFonts w:ascii="Corbel" w:hAnsi="Corbel"/>
        </w:rPr>
        <w:t>Mohamadien</w:t>
      </w:r>
      <w:proofErr w:type="spellEnd"/>
      <w:r w:rsidRPr="00DD2C83">
        <w:rPr>
          <w:rFonts w:ascii="Corbel" w:hAnsi="Corbel"/>
        </w:rPr>
        <w:t xml:space="preserve">, H.A. and Hosny, S. (2025) ‘Forecasting scope creep in Egyptian construction projects: an evaluation using Artificial Neural Network (ANN) and Random Forest models’, </w:t>
      </w:r>
      <w:r w:rsidRPr="005613E9">
        <w:rPr>
          <w:rFonts w:ascii="Corbel" w:hAnsi="Corbel"/>
          <w:i/>
          <w:iCs/>
        </w:rPr>
        <w:t>International Journal of Construction</w:t>
      </w:r>
      <w:r w:rsidRPr="00DD2C83">
        <w:rPr>
          <w:rFonts w:ascii="Corbel" w:hAnsi="Corbel"/>
        </w:rPr>
        <w:t xml:space="preserve"> </w:t>
      </w:r>
      <w:r w:rsidRPr="005613E9">
        <w:rPr>
          <w:rFonts w:ascii="Corbel" w:hAnsi="Corbel"/>
          <w:i/>
          <w:iCs/>
        </w:rPr>
        <w:t>Management,</w:t>
      </w:r>
      <w:r w:rsidRPr="00DD2C83">
        <w:rPr>
          <w:rFonts w:ascii="Corbel" w:hAnsi="Corbel"/>
        </w:rPr>
        <w:t xml:space="preserve"> 25(16), pp. 2082–2101. </w:t>
      </w:r>
      <w:proofErr w:type="spellStart"/>
      <w:r w:rsidRPr="00DD2C83">
        <w:rPr>
          <w:rFonts w:ascii="Corbel" w:hAnsi="Corbel"/>
        </w:rPr>
        <w:t>doi</w:t>
      </w:r>
      <w:proofErr w:type="spellEnd"/>
      <w:r w:rsidRPr="00DD2C83">
        <w:rPr>
          <w:rFonts w:ascii="Corbel" w:hAnsi="Corbel"/>
        </w:rPr>
        <w:t xml:space="preserve">: 10.1080/15623599.2025.2502788. </w:t>
      </w:r>
    </w:p>
    <w:p w14:paraId="05CC365B" w14:textId="4A61F0B1" w:rsidR="000D33B9" w:rsidRPr="00DF5CEE" w:rsidRDefault="000D33B9" w:rsidP="00804F9A">
      <w:pPr>
        <w:pStyle w:val="ListParagraph"/>
        <w:numPr>
          <w:ilvl w:val="0"/>
          <w:numId w:val="3"/>
        </w:numPr>
        <w:spacing w:line="360" w:lineRule="auto"/>
        <w:jc w:val="both"/>
        <w:rPr>
          <w:rFonts w:ascii="Corbel" w:hAnsi="Corbel"/>
          <w:i/>
          <w:iCs/>
        </w:rPr>
      </w:pPr>
      <w:proofErr w:type="spellStart"/>
      <w:r w:rsidRPr="00DD2C83">
        <w:rPr>
          <w:rFonts w:ascii="Corbel" w:hAnsi="Corbel"/>
        </w:rPr>
        <w:t>Ghamarimajd</w:t>
      </w:r>
      <w:proofErr w:type="spellEnd"/>
      <w:r w:rsidRPr="00DD2C83">
        <w:rPr>
          <w:rFonts w:ascii="Corbel" w:hAnsi="Corbel"/>
        </w:rPr>
        <w:t xml:space="preserve">, Z. and </w:t>
      </w:r>
      <w:proofErr w:type="spellStart"/>
      <w:r w:rsidRPr="00DD2C83">
        <w:rPr>
          <w:rFonts w:ascii="Corbel" w:hAnsi="Corbel"/>
        </w:rPr>
        <w:t>Ghanbaripour</w:t>
      </w:r>
      <w:proofErr w:type="spellEnd"/>
      <w:r w:rsidRPr="00DD2C83">
        <w:rPr>
          <w:rFonts w:ascii="Corbel" w:hAnsi="Corbel"/>
        </w:rPr>
        <w:t xml:space="preserve">, A. (2024) ‘Leveraging stakeholder management strategies for construction project success: A systematic literature review’, </w:t>
      </w:r>
      <w:r w:rsidRPr="00DF5CEE">
        <w:rPr>
          <w:rFonts w:ascii="Corbel" w:hAnsi="Corbel"/>
          <w:i/>
          <w:iCs/>
        </w:rPr>
        <w:t xml:space="preserve">Proceedings of the 47th Australasian Universities Building Education Association (AUBEA) Conference. </w:t>
      </w:r>
    </w:p>
    <w:p w14:paraId="774F0194" w14:textId="2E444D9F" w:rsidR="000D33B9" w:rsidRPr="00DD2C83" w:rsidRDefault="000D33B9" w:rsidP="00804F9A">
      <w:pPr>
        <w:pStyle w:val="ListParagraph"/>
        <w:numPr>
          <w:ilvl w:val="0"/>
          <w:numId w:val="3"/>
        </w:numPr>
        <w:spacing w:line="360" w:lineRule="auto"/>
        <w:jc w:val="both"/>
        <w:rPr>
          <w:rFonts w:ascii="Corbel" w:hAnsi="Corbel"/>
        </w:rPr>
      </w:pPr>
      <w:r w:rsidRPr="00DD2C83">
        <w:rPr>
          <w:rFonts w:ascii="Corbel" w:hAnsi="Corbel"/>
        </w:rPr>
        <w:t xml:space="preserve">Gibbs, G. (1988) </w:t>
      </w:r>
      <w:r w:rsidRPr="00D77FB9">
        <w:rPr>
          <w:rFonts w:ascii="Corbel" w:hAnsi="Corbel"/>
          <w:i/>
          <w:iCs/>
        </w:rPr>
        <w:t>Learning by Doing: A Guide to Teaching and Learning Methods.</w:t>
      </w:r>
      <w:r w:rsidRPr="00DD2C83">
        <w:rPr>
          <w:rFonts w:ascii="Corbel" w:hAnsi="Corbel"/>
        </w:rPr>
        <w:t xml:space="preserve"> Oxford: Further Education Unit, Oxford Polytechnic.</w:t>
      </w:r>
    </w:p>
    <w:p w14:paraId="6C1F03DC" w14:textId="773820B8" w:rsidR="000D33B9" w:rsidRPr="00DD2C83" w:rsidRDefault="000D33B9" w:rsidP="00804F9A">
      <w:pPr>
        <w:pStyle w:val="ListParagraph"/>
        <w:numPr>
          <w:ilvl w:val="0"/>
          <w:numId w:val="3"/>
        </w:numPr>
        <w:spacing w:line="360" w:lineRule="auto"/>
        <w:jc w:val="both"/>
        <w:rPr>
          <w:rFonts w:ascii="Corbel" w:hAnsi="Corbel"/>
        </w:rPr>
      </w:pPr>
      <w:r w:rsidRPr="00DD2C83">
        <w:rPr>
          <w:rFonts w:ascii="Corbel" w:hAnsi="Corbel"/>
        </w:rPr>
        <w:t xml:space="preserve">Greater London Authority (2023) ‘Overcrowded Stratford station needs long-term redevelopment’, 8 June. London: Greater London Authority. </w:t>
      </w:r>
    </w:p>
    <w:p w14:paraId="52B800B8" w14:textId="0FA5FAC6" w:rsidR="000D33B9" w:rsidRPr="00DD2C83" w:rsidRDefault="000D33B9" w:rsidP="00804F9A">
      <w:pPr>
        <w:pStyle w:val="ListParagraph"/>
        <w:numPr>
          <w:ilvl w:val="0"/>
          <w:numId w:val="3"/>
        </w:numPr>
        <w:spacing w:line="360" w:lineRule="auto"/>
        <w:jc w:val="both"/>
        <w:rPr>
          <w:rFonts w:ascii="Corbel" w:hAnsi="Corbel"/>
        </w:rPr>
      </w:pPr>
      <w:proofErr w:type="spellStart"/>
      <w:r w:rsidRPr="00DD2C83">
        <w:rPr>
          <w:rFonts w:ascii="Corbel" w:hAnsi="Corbel"/>
        </w:rPr>
        <w:t>Khodabakhshian</w:t>
      </w:r>
      <w:proofErr w:type="spellEnd"/>
      <w:r w:rsidRPr="00DD2C83">
        <w:rPr>
          <w:rFonts w:ascii="Corbel" w:hAnsi="Corbel"/>
        </w:rPr>
        <w:t xml:space="preserve">, A., </w:t>
      </w:r>
      <w:proofErr w:type="spellStart"/>
      <w:r w:rsidRPr="00DD2C83">
        <w:rPr>
          <w:rFonts w:ascii="Corbel" w:hAnsi="Corbel"/>
        </w:rPr>
        <w:t>Puolitaival</w:t>
      </w:r>
      <w:proofErr w:type="spellEnd"/>
      <w:r w:rsidRPr="00DD2C83">
        <w:rPr>
          <w:rFonts w:ascii="Corbel" w:hAnsi="Corbel"/>
        </w:rPr>
        <w:t xml:space="preserve">, T. and Kestle, L. (2023) ‘Deterministic and probabilistic risk management approaches in construction projects: A systematic literature review and comparative analysis’, </w:t>
      </w:r>
      <w:r w:rsidRPr="00A24C39">
        <w:rPr>
          <w:rFonts w:ascii="Corbel" w:hAnsi="Corbel"/>
          <w:i/>
          <w:iCs/>
        </w:rPr>
        <w:t>Buildings,</w:t>
      </w:r>
      <w:r w:rsidRPr="00DD2C83">
        <w:rPr>
          <w:rFonts w:ascii="Corbel" w:hAnsi="Corbel"/>
        </w:rPr>
        <w:t xml:space="preserve"> 13(5), 1312. </w:t>
      </w:r>
      <w:proofErr w:type="spellStart"/>
      <w:r w:rsidRPr="00DD2C83">
        <w:rPr>
          <w:rFonts w:ascii="Corbel" w:hAnsi="Corbel"/>
        </w:rPr>
        <w:t>doi</w:t>
      </w:r>
      <w:proofErr w:type="spellEnd"/>
      <w:r w:rsidRPr="00DD2C83">
        <w:rPr>
          <w:rFonts w:ascii="Corbel" w:hAnsi="Corbel"/>
        </w:rPr>
        <w:t xml:space="preserve">: 10.3390/buildings13051312. </w:t>
      </w:r>
    </w:p>
    <w:p w14:paraId="46F99D58" w14:textId="2D24724D" w:rsidR="000D33B9" w:rsidRPr="00DD2C83" w:rsidRDefault="000D33B9" w:rsidP="00804F9A">
      <w:pPr>
        <w:pStyle w:val="ListParagraph"/>
        <w:numPr>
          <w:ilvl w:val="0"/>
          <w:numId w:val="3"/>
        </w:numPr>
        <w:spacing w:line="360" w:lineRule="auto"/>
        <w:jc w:val="both"/>
        <w:rPr>
          <w:rFonts w:ascii="Corbel" w:hAnsi="Corbel"/>
        </w:rPr>
      </w:pPr>
      <w:r w:rsidRPr="00DD2C83">
        <w:rPr>
          <w:rFonts w:ascii="Corbel" w:hAnsi="Corbel"/>
        </w:rPr>
        <w:t>Kiani Mavi, N., Brown, K., Fulford, R.G. and Goh, M. (2024) ‘An MCDM analysis of critical success criteria for medium and large construction projects in Australia and New Zealand’</w:t>
      </w:r>
      <w:r w:rsidRPr="00CF7997">
        <w:rPr>
          <w:rFonts w:ascii="Corbel" w:hAnsi="Corbel"/>
          <w:i/>
          <w:iCs/>
        </w:rPr>
        <w:t xml:space="preserve">, Engineering, Construction and Architectural Management, </w:t>
      </w:r>
      <w:r w:rsidRPr="00DD2C83">
        <w:rPr>
          <w:rFonts w:ascii="Corbel" w:hAnsi="Corbel"/>
        </w:rPr>
        <w:t xml:space="preserve">32(8), pp. 5160–5193. </w:t>
      </w:r>
      <w:proofErr w:type="spellStart"/>
      <w:r w:rsidRPr="00DD2C83">
        <w:rPr>
          <w:rFonts w:ascii="Corbel" w:hAnsi="Corbel"/>
        </w:rPr>
        <w:t>doi</w:t>
      </w:r>
      <w:proofErr w:type="spellEnd"/>
      <w:r w:rsidRPr="00DD2C83">
        <w:rPr>
          <w:rFonts w:ascii="Corbel" w:hAnsi="Corbel"/>
        </w:rPr>
        <w:t xml:space="preserve">: 10.1108/ECAM-08-2023-0838. </w:t>
      </w:r>
    </w:p>
    <w:p w14:paraId="77F05474" w14:textId="6583B09C" w:rsidR="000D33B9" w:rsidRPr="00DD2C83" w:rsidRDefault="000D33B9" w:rsidP="00804F9A">
      <w:pPr>
        <w:pStyle w:val="ListParagraph"/>
        <w:numPr>
          <w:ilvl w:val="0"/>
          <w:numId w:val="3"/>
        </w:numPr>
        <w:spacing w:line="360" w:lineRule="auto"/>
        <w:jc w:val="both"/>
        <w:rPr>
          <w:rFonts w:ascii="Corbel" w:hAnsi="Corbel"/>
        </w:rPr>
      </w:pPr>
      <w:r w:rsidRPr="00DD2C83">
        <w:rPr>
          <w:rFonts w:ascii="Corbel" w:hAnsi="Corbel"/>
        </w:rPr>
        <w:t xml:space="preserve">Kiani Mavi, N., Brown, K., Fulford, R.G. and Goh, M. (2025) ‘Critical success criteria for construction projects: a systematic literature evaluation’, </w:t>
      </w:r>
      <w:r w:rsidRPr="009F6B6F">
        <w:rPr>
          <w:rFonts w:ascii="Corbel" w:hAnsi="Corbel"/>
          <w:i/>
          <w:iCs/>
        </w:rPr>
        <w:t>Engineering, Construction</w:t>
      </w:r>
      <w:r w:rsidRPr="00DD2C83">
        <w:rPr>
          <w:rFonts w:ascii="Corbel" w:hAnsi="Corbel"/>
        </w:rPr>
        <w:t xml:space="preserve"> </w:t>
      </w:r>
      <w:r w:rsidRPr="009F6B6F">
        <w:rPr>
          <w:rFonts w:ascii="Corbel" w:hAnsi="Corbel"/>
          <w:i/>
          <w:iCs/>
        </w:rPr>
        <w:lastRenderedPageBreak/>
        <w:t>and Architectural Management</w:t>
      </w:r>
      <w:r w:rsidRPr="00DD2C83">
        <w:rPr>
          <w:rFonts w:ascii="Corbel" w:hAnsi="Corbel"/>
        </w:rPr>
        <w:t xml:space="preserve">, 32(10), pp. 6690–6736. </w:t>
      </w:r>
      <w:proofErr w:type="spellStart"/>
      <w:r w:rsidRPr="00DD2C83">
        <w:rPr>
          <w:rFonts w:ascii="Corbel" w:hAnsi="Corbel"/>
        </w:rPr>
        <w:t>doi</w:t>
      </w:r>
      <w:proofErr w:type="spellEnd"/>
      <w:r w:rsidRPr="00DD2C83">
        <w:rPr>
          <w:rFonts w:ascii="Corbel" w:hAnsi="Corbel"/>
        </w:rPr>
        <w:t xml:space="preserve">: 10.1108/ECAM-11-2023-1156. </w:t>
      </w:r>
    </w:p>
    <w:p w14:paraId="3B8E24ED" w14:textId="3AC96111" w:rsidR="000D33B9" w:rsidRPr="00DD2C83" w:rsidRDefault="000D33B9" w:rsidP="00804F9A">
      <w:pPr>
        <w:pStyle w:val="ListParagraph"/>
        <w:numPr>
          <w:ilvl w:val="0"/>
          <w:numId w:val="3"/>
        </w:numPr>
        <w:spacing w:line="360" w:lineRule="auto"/>
        <w:jc w:val="both"/>
        <w:rPr>
          <w:rFonts w:ascii="Corbel" w:hAnsi="Corbel"/>
          <w:b/>
          <w:bCs/>
          <w:sz w:val="32"/>
          <w:szCs w:val="32"/>
        </w:rPr>
      </w:pPr>
      <w:proofErr w:type="spellStart"/>
      <w:r w:rsidRPr="00DD2C83">
        <w:rPr>
          <w:rFonts w:ascii="Corbel" w:hAnsi="Corbel"/>
        </w:rPr>
        <w:t>Motahar</w:t>
      </w:r>
      <w:proofErr w:type="spellEnd"/>
      <w:r w:rsidRPr="00DD2C83">
        <w:rPr>
          <w:rFonts w:ascii="Corbel" w:hAnsi="Corbel"/>
        </w:rPr>
        <w:t xml:space="preserve">, H., Fauth, J. and </w:t>
      </w:r>
      <w:proofErr w:type="spellStart"/>
      <w:r w:rsidRPr="00DD2C83">
        <w:rPr>
          <w:rFonts w:ascii="Corbel" w:hAnsi="Corbel"/>
        </w:rPr>
        <w:t>Melzner</w:t>
      </w:r>
      <w:proofErr w:type="spellEnd"/>
      <w:r w:rsidRPr="00DD2C83">
        <w:rPr>
          <w:rFonts w:ascii="Corbel" w:hAnsi="Corbel"/>
        </w:rPr>
        <w:t>, J. (2025) ‘Integrating work breakdown structure and social network analysis for stakeholder</w:t>
      </w:r>
      <w:r w:rsidRPr="00DD2C83">
        <w:rPr>
          <w:rFonts w:ascii="Corbel" w:hAnsi="Corbel"/>
          <w:b/>
          <w:bCs/>
        </w:rPr>
        <w:t xml:space="preserve"> </w:t>
      </w:r>
      <w:r w:rsidRPr="00DD2C83">
        <w:rPr>
          <w:rFonts w:ascii="Corbel" w:hAnsi="Corbel"/>
        </w:rPr>
        <w:t xml:space="preserve">coordination in European building permitting’, </w:t>
      </w:r>
      <w:r w:rsidRPr="00525B26">
        <w:rPr>
          <w:rFonts w:ascii="Corbel" w:hAnsi="Corbel"/>
          <w:i/>
          <w:iCs/>
        </w:rPr>
        <w:t>Building Research &amp; Information</w:t>
      </w:r>
      <w:r w:rsidRPr="00DD2C83">
        <w:rPr>
          <w:rFonts w:ascii="Corbel" w:hAnsi="Corbel"/>
        </w:rPr>
        <w:t xml:space="preserve">. </w:t>
      </w:r>
      <w:proofErr w:type="spellStart"/>
      <w:r w:rsidRPr="00DD2C83">
        <w:rPr>
          <w:rFonts w:ascii="Corbel" w:hAnsi="Corbel"/>
        </w:rPr>
        <w:t>doi</w:t>
      </w:r>
      <w:proofErr w:type="spellEnd"/>
      <w:r w:rsidRPr="00DD2C83">
        <w:rPr>
          <w:rFonts w:ascii="Corbel" w:hAnsi="Corbel"/>
        </w:rPr>
        <w:t>: 10.1080/09613218.2025.2593269.</w:t>
      </w:r>
      <w:r w:rsidRPr="00DD2C83">
        <w:rPr>
          <w:rFonts w:ascii="Corbel" w:hAnsi="Corbel"/>
          <w:b/>
          <w:bCs/>
        </w:rPr>
        <w:t xml:space="preserve"> </w:t>
      </w:r>
    </w:p>
    <w:p w14:paraId="378583F5" w14:textId="219E74FC" w:rsidR="000D33B9" w:rsidRPr="00DD2C83" w:rsidRDefault="000D33B9" w:rsidP="00804F9A">
      <w:pPr>
        <w:pStyle w:val="ListParagraph"/>
        <w:numPr>
          <w:ilvl w:val="0"/>
          <w:numId w:val="2"/>
        </w:numPr>
        <w:spacing w:line="360" w:lineRule="auto"/>
        <w:jc w:val="both"/>
        <w:rPr>
          <w:rFonts w:ascii="Corbel" w:hAnsi="Corbel"/>
        </w:rPr>
      </w:pPr>
      <w:proofErr w:type="spellStart"/>
      <w:r w:rsidRPr="00DD2C83">
        <w:rPr>
          <w:rFonts w:ascii="Corbel" w:hAnsi="Corbel"/>
        </w:rPr>
        <w:t>Ninpan</w:t>
      </w:r>
      <w:proofErr w:type="spellEnd"/>
      <w:r w:rsidRPr="00DD2C83">
        <w:rPr>
          <w:rFonts w:ascii="Corbel" w:hAnsi="Corbel"/>
        </w:rPr>
        <w:t xml:space="preserve">, K., Huang, S., </w:t>
      </w:r>
      <w:proofErr w:type="spellStart"/>
      <w:r w:rsidRPr="00DD2C83">
        <w:rPr>
          <w:rFonts w:ascii="Corbel" w:hAnsi="Corbel"/>
        </w:rPr>
        <w:t>Vitillo</w:t>
      </w:r>
      <w:proofErr w:type="spellEnd"/>
      <w:r w:rsidRPr="00DD2C83">
        <w:rPr>
          <w:rFonts w:ascii="Corbel" w:hAnsi="Corbel"/>
        </w:rPr>
        <w:t>, F., Assaad, M.A., Bechet, L.B. and Plana, R. (2024) ‘Mitigating co-activity conflicts and resource</w:t>
      </w:r>
      <w:r w:rsidRPr="00DD2C83">
        <w:rPr>
          <w:rFonts w:ascii="Corbel" w:hAnsi="Corbel"/>
          <w:b/>
          <w:bCs/>
        </w:rPr>
        <w:t xml:space="preserve"> </w:t>
      </w:r>
      <w:r w:rsidRPr="00DD2C83">
        <w:rPr>
          <w:rFonts w:ascii="Corbel" w:hAnsi="Corbel"/>
        </w:rPr>
        <w:t>overallocation in construction projects: A</w:t>
      </w:r>
      <w:r w:rsidRPr="00DD2C83">
        <w:rPr>
          <w:rFonts w:ascii="Corbel" w:hAnsi="Corbel"/>
          <w:sz w:val="20"/>
          <w:szCs w:val="20"/>
        </w:rPr>
        <w:t xml:space="preserve"> </w:t>
      </w:r>
      <w:r w:rsidRPr="00DD2C83">
        <w:rPr>
          <w:rFonts w:ascii="Corbel" w:hAnsi="Corbel"/>
        </w:rPr>
        <w:t>modular</w:t>
      </w:r>
      <w:r w:rsidRPr="00DD2C83">
        <w:rPr>
          <w:rFonts w:ascii="Corbel" w:hAnsi="Corbel"/>
          <w:b/>
          <w:bCs/>
        </w:rPr>
        <w:t xml:space="preserve"> </w:t>
      </w:r>
      <w:r w:rsidRPr="00DD2C83">
        <w:rPr>
          <w:rFonts w:ascii="Corbel" w:hAnsi="Corbel"/>
        </w:rPr>
        <w:t xml:space="preserve">heuristic scheduling approach with Primavera P6 EPPM integration’, </w:t>
      </w:r>
      <w:r w:rsidRPr="00525B26">
        <w:rPr>
          <w:rFonts w:ascii="Corbel" w:hAnsi="Corbel"/>
          <w:i/>
          <w:iCs/>
        </w:rPr>
        <w:t>Algorithms,</w:t>
      </w:r>
      <w:r w:rsidRPr="00DD2C83">
        <w:rPr>
          <w:rFonts w:ascii="Corbel" w:hAnsi="Corbel"/>
        </w:rPr>
        <w:t xml:space="preserve"> 17(6), 230. </w:t>
      </w:r>
      <w:proofErr w:type="spellStart"/>
      <w:r w:rsidRPr="00DD2C83">
        <w:rPr>
          <w:rFonts w:ascii="Corbel" w:hAnsi="Corbel"/>
        </w:rPr>
        <w:t>doi</w:t>
      </w:r>
      <w:proofErr w:type="spellEnd"/>
      <w:r w:rsidRPr="00DD2C83">
        <w:rPr>
          <w:rFonts w:ascii="Corbel" w:hAnsi="Corbel"/>
        </w:rPr>
        <w:t xml:space="preserve">: 10.3390/a17060230. </w:t>
      </w:r>
    </w:p>
    <w:p w14:paraId="3C5BCF30" w14:textId="5552EAD6" w:rsidR="000D33B9" w:rsidRPr="00DD2C83" w:rsidRDefault="000D33B9" w:rsidP="00804F9A">
      <w:pPr>
        <w:pStyle w:val="ListParagraph"/>
        <w:numPr>
          <w:ilvl w:val="0"/>
          <w:numId w:val="2"/>
        </w:numPr>
        <w:spacing w:line="360" w:lineRule="auto"/>
        <w:jc w:val="both"/>
        <w:rPr>
          <w:rFonts w:ascii="Corbel" w:hAnsi="Corbel"/>
        </w:rPr>
      </w:pPr>
      <w:proofErr w:type="spellStart"/>
      <w:r w:rsidRPr="00DD2C83">
        <w:rPr>
          <w:rFonts w:ascii="Corbel" w:hAnsi="Corbel"/>
        </w:rPr>
        <w:t>Odedairo</w:t>
      </w:r>
      <w:proofErr w:type="spellEnd"/>
      <w:r w:rsidRPr="00DD2C83">
        <w:rPr>
          <w:rFonts w:ascii="Corbel" w:hAnsi="Corbel"/>
        </w:rPr>
        <w:t xml:space="preserve">, B.O. (2024) ‘Assessing the influence of various work breakdown structures on project completion time’, </w:t>
      </w:r>
      <w:r w:rsidRPr="009A0E23">
        <w:rPr>
          <w:rFonts w:ascii="Corbel" w:hAnsi="Corbel"/>
          <w:i/>
          <w:iCs/>
        </w:rPr>
        <w:t>Engineering, Technology &amp; Applied Science Research</w:t>
      </w:r>
      <w:r w:rsidRPr="00DD2C83">
        <w:rPr>
          <w:rFonts w:ascii="Corbel" w:hAnsi="Corbel"/>
        </w:rPr>
        <w:t xml:space="preserve">, 14(2), pp. 13773–13779. </w:t>
      </w:r>
      <w:proofErr w:type="spellStart"/>
      <w:r w:rsidRPr="00DD2C83">
        <w:rPr>
          <w:rFonts w:ascii="Corbel" w:hAnsi="Corbel"/>
        </w:rPr>
        <w:t>doi</w:t>
      </w:r>
      <w:proofErr w:type="spellEnd"/>
      <w:r w:rsidRPr="00DD2C83">
        <w:rPr>
          <w:rFonts w:ascii="Corbel" w:hAnsi="Corbel"/>
        </w:rPr>
        <w:t xml:space="preserve">: 10.48084/etasr.7023. </w:t>
      </w:r>
    </w:p>
    <w:p w14:paraId="05D63365" w14:textId="2CD3FF2F" w:rsidR="000D33B9" w:rsidRPr="00DD2C83" w:rsidRDefault="000D33B9" w:rsidP="00804F9A">
      <w:pPr>
        <w:pStyle w:val="ListParagraph"/>
        <w:numPr>
          <w:ilvl w:val="0"/>
          <w:numId w:val="2"/>
        </w:numPr>
        <w:spacing w:line="360" w:lineRule="auto"/>
        <w:jc w:val="both"/>
        <w:rPr>
          <w:rFonts w:ascii="Corbel" w:hAnsi="Corbel"/>
        </w:rPr>
      </w:pPr>
      <w:proofErr w:type="spellStart"/>
      <w:r w:rsidRPr="00DD2C83">
        <w:rPr>
          <w:rFonts w:ascii="Corbel" w:hAnsi="Corbel"/>
        </w:rPr>
        <w:t>Prebanić</w:t>
      </w:r>
      <w:proofErr w:type="spellEnd"/>
      <w:r w:rsidRPr="00DD2C83">
        <w:rPr>
          <w:rFonts w:ascii="Corbel" w:hAnsi="Corbel"/>
        </w:rPr>
        <w:t xml:space="preserve">, K.R. and </w:t>
      </w:r>
      <w:proofErr w:type="spellStart"/>
      <w:r w:rsidRPr="00DD2C83">
        <w:rPr>
          <w:rFonts w:ascii="Corbel" w:hAnsi="Corbel"/>
        </w:rPr>
        <w:t>Vukomanović</w:t>
      </w:r>
      <w:proofErr w:type="spellEnd"/>
      <w:r w:rsidRPr="00DD2C83">
        <w:rPr>
          <w:rFonts w:ascii="Corbel" w:hAnsi="Corbel"/>
        </w:rPr>
        <w:t xml:space="preserve">, M. (2023) ‘Exploring stakeholder engagement process as the success factor for infrastructure projects’, </w:t>
      </w:r>
      <w:r w:rsidRPr="009A0E23">
        <w:rPr>
          <w:rFonts w:ascii="Corbel" w:hAnsi="Corbel"/>
          <w:i/>
          <w:iCs/>
        </w:rPr>
        <w:t>Buildings</w:t>
      </w:r>
      <w:r w:rsidRPr="00DD2C83">
        <w:rPr>
          <w:rFonts w:ascii="Corbel" w:hAnsi="Corbel"/>
        </w:rPr>
        <w:t xml:space="preserve">, 13(7), 1785. </w:t>
      </w:r>
      <w:proofErr w:type="spellStart"/>
      <w:r w:rsidRPr="00DD2C83">
        <w:rPr>
          <w:rFonts w:ascii="Corbel" w:hAnsi="Corbel"/>
        </w:rPr>
        <w:t>doi</w:t>
      </w:r>
      <w:proofErr w:type="spellEnd"/>
      <w:r w:rsidRPr="00DD2C83">
        <w:rPr>
          <w:rFonts w:ascii="Corbel" w:hAnsi="Corbel"/>
        </w:rPr>
        <w:t xml:space="preserve">: 10.3390/buildings13071785. </w:t>
      </w:r>
    </w:p>
    <w:p w14:paraId="5AFCF579" w14:textId="32F8C058" w:rsidR="000D33B9" w:rsidRPr="00DD2C83" w:rsidRDefault="000D33B9" w:rsidP="00804F9A">
      <w:pPr>
        <w:pStyle w:val="ListParagraph"/>
        <w:numPr>
          <w:ilvl w:val="0"/>
          <w:numId w:val="2"/>
        </w:numPr>
        <w:spacing w:line="360" w:lineRule="auto"/>
        <w:jc w:val="both"/>
        <w:rPr>
          <w:rFonts w:ascii="Corbel" w:hAnsi="Corbel"/>
        </w:rPr>
      </w:pPr>
      <w:proofErr w:type="spellStart"/>
      <w:r w:rsidRPr="00DD2C83">
        <w:rPr>
          <w:rFonts w:ascii="Corbel" w:hAnsi="Corbel"/>
        </w:rPr>
        <w:t>Samuilovas</w:t>
      </w:r>
      <w:proofErr w:type="spellEnd"/>
      <w:r w:rsidRPr="00DD2C83">
        <w:rPr>
          <w:rFonts w:ascii="Corbel" w:hAnsi="Corbel"/>
        </w:rPr>
        <w:t xml:space="preserve">, A. and </w:t>
      </w:r>
      <w:proofErr w:type="spellStart"/>
      <w:r w:rsidRPr="00DD2C83">
        <w:rPr>
          <w:rFonts w:ascii="Corbel" w:hAnsi="Corbel"/>
        </w:rPr>
        <w:t>Ušpalytė-Vitkūnienė</w:t>
      </w:r>
      <w:proofErr w:type="spellEnd"/>
      <w:r w:rsidRPr="00DD2C83">
        <w:rPr>
          <w:rFonts w:ascii="Corbel" w:hAnsi="Corbel"/>
        </w:rPr>
        <w:t xml:space="preserve">, R. (2025) ‘The public transport regional integration for ensuring sustainability and accessibility’, </w:t>
      </w:r>
      <w:r w:rsidRPr="009A0E23">
        <w:rPr>
          <w:rFonts w:ascii="Corbel" w:hAnsi="Corbel"/>
          <w:i/>
          <w:iCs/>
        </w:rPr>
        <w:t>Transportation Research</w:t>
      </w:r>
      <w:r w:rsidRPr="00DD2C83">
        <w:rPr>
          <w:rFonts w:ascii="Corbel" w:hAnsi="Corbel"/>
        </w:rPr>
        <w:t xml:space="preserve"> </w:t>
      </w:r>
      <w:r w:rsidRPr="009A0E23">
        <w:rPr>
          <w:rFonts w:ascii="Corbel" w:hAnsi="Corbel"/>
          <w:i/>
          <w:iCs/>
        </w:rPr>
        <w:t>Procedia</w:t>
      </w:r>
      <w:r w:rsidRPr="00DD2C83">
        <w:rPr>
          <w:rFonts w:ascii="Corbel" w:hAnsi="Corbel"/>
        </w:rPr>
        <w:t xml:space="preserve">, 91, pp. 720–727. </w:t>
      </w:r>
      <w:proofErr w:type="spellStart"/>
      <w:r w:rsidRPr="00DD2C83">
        <w:rPr>
          <w:rFonts w:ascii="Corbel" w:hAnsi="Corbel"/>
        </w:rPr>
        <w:t>doi</w:t>
      </w:r>
      <w:proofErr w:type="spellEnd"/>
      <w:r w:rsidRPr="00DD2C83">
        <w:rPr>
          <w:rFonts w:ascii="Corbel" w:hAnsi="Corbel"/>
        </w:rPr>
        <w:t xml:space="preserve">: 10.1016/j.trpro.2025.10.092. </w:t>
      </w:r>
    </w:p>
    <w:p w14:paraId="0EB5670C" w14:textId="76F3405F" w:rsidR="000D33B9" w:rsidRPr="00DD2C83" w:rsidRDefault="000D33B9" w:rsidP="00804F9A">
      <w:pPr>
        <w:pStyle w:val="ListParagraph"/>
        <w:numPr>
          <w:ilvl w:val="0"/>
          <w:numId w:val="2"/>
        </w:numPr>
        <w:spacing w:line="360" w:lineRule="auto"/>
        <w:jc w:val="both"/>
        <w:rPr>
          <w:rFonts w:ascii="Corbel" w:hAnsi="Corbel"/>
        </w:rPr>
      </w:pPr>
      <w:r w:rsidRPr="00DD2C83">
        <w:rPr>
          <w:rFonts w:ascii="Corbel" w:hAnsi="Corbel"/>
        </w:rPr>
        <w:t xml:space="preserve">Sho, K. and Zhu, J. (2025) ‘Are urban renewal projects in Taipei City transit oriented?’, </w:t>
      </w:r>
      <w:r w:rsidRPr="009A0E23">
        <w:rPr>
          <w:rFonts w:ascii="Corbel" w:hAnsi="Corbel"/>
          <w:i/>
          <w:iCs/>
        </w:rPr>
        <w:t>Japan Architectural Review</w:t>
      </w:r>
      <w:r w:rsidRPr="00DD2C83">
        <w:rPr>
          <w:rFonts w:ascii="Corbel" w:hAnsi="Corbel"/>
        </w:rPr>
        <w:t xml:space="preserve">, 8(1), e70016. </w:t>
      </w:r>
      <w:proofErr w:type="spellStart"/>
      <w:r w:rsidRPr="00DD2C83">
        <w:rPr>
          <w:rFonts w:ascii="Corbel" w:hAnsi="Corbel"/>
        </w:rPr>
        <w:t>doi</w:t>
      </w:r>
      <w:proofErr w:type="spellEnd"/>
      <w:r w:rsidRPr="00DD2C83">
        <w:rPr>
          <w:rFonts w:ascii="Corbel" w:hAnsi="Corbel"/>
        </w:rPr>
        <w:t xml:space="preserve">: 10.1002/2475-8876.70016. </w:t>
      </w:r>
    </w:p>
    <w:p w14:paraId="69A13B74" w14:textId="2A0250BF" w:rsidR="000D33B9" w:rsidRPr="00DD2C83" w:rsidRDefault="000D33B9" w:rsidP="00804F9A">
      <w:pPr>
        <w:pStyle w:val="ListParagraph"/>
        <w:numPr>
          <w:ilvl w:val="0"/>
          <w:numId w:val="2"/>
        </w:numPr>
        <w:spacing w:line="360" w:lineRule="auto"/>
        <w:jc w:val="both"/>
        <w:rPr>
          <w:rFonts w:ascii="Corbel" w:hAnsi="Corbel"/>
        </w:rPr>
      </w:pPr>
      <w:r w:rsidRPr="00DD2C83">
        <w:rPr>
          <w:rFonts w:ascii="Corbel" w:hAnsi="Corbel"/>
        </w:rPr>
        <w:t xml:space="preserve">Su, G. and </w:t>
      </w:r>
      <w:proofErr w:type="spellStart"/>
      <w:r w:rsidRPr="00DD2C83">
        <w:rPr>
          <w:rFonts w:ascii="Corbel" w:hAnsi="Corbel"/>
        </w:rPr>
        <w:t>Khallaf</w:t>
      </w:r>
      <w:proofErr w:type="spellEnd"/>
      <w:r w:rsidRPr="00DD2C83">
        <w:rPr>
          <w:rFonts w:ascii="Corbel" w:hAnsi="Corbel"/>
        </w:rPr>
        <w:t xml:space="preserve">, R. (2022) ‘Research on the influence of risk on construction project performance: A systematic review’, </w:t>
      </w:r>
      <w:r w:rsidRPr="009A0E23">
        <w:rPr>
          <w:rFonts w:ascii="Corbel" w:hAnsi="Corbel"/>
          <w:i/>
          <w:iCs/>
        </w:rPr>
        <w:t>Sustainability,</w:t>
      </w:r>
      <w:r w:rsidRPr="00DD2C83">
        <w:rPr>
          <w:rFonts w:ascii="Corbel" w:hAnsi="Corbel"/>
        </w:rPr>
        <w:t xml:space="preserve"> 14(11), 6412. </w:t>
      </w:r>
      <w:proofErr w:type="spellStart"/>
      <w:r w:rsidRPr="00DD2C83">
        <w:rPr>
          <w:rFonts w:ascii="Corbel" w:hAnsi="Corbel"/>
        </w:rPr>
        <w:t>doi</w:t>
      </w:r>
      <w:proofErr w:type="spellEnd"/>
      <w:r w:rsidRPr="00DD2C83">
        <w:rPr>
          <w:rFonts w:ascii="Corbel" w:hAnsi="Corbel"/>
        </w:rPr>
        <w:t xml:space="preserve">: 10.3390/su14116412. </w:t>
      </w:r>
    </w:p>
    <w:p w14:paraId="5D642722" w14:textId="6972C67A" w:rsidR="000D33B9" w:rsidRPr="00DD2C83" w:rsidRDefault="000D33B9" w:rsidP="00804F9A">
      <w:pPr>
        <w:pStyle w:val="ListParagraph"/>
        <w:numPr>
          <w:ilvl w:val="0"/>
          <w:numId w:val="2"/>
        </w:numPr>
        <w:spacing w:line="360" w:lineRule="auto"/>
        <w:jc w:val="both"/>
        <w:rPr>
          <w:rFonts w:ascii="Corbel" w:hAnsi="Corbel"/>
        </w:rPr>
      </w:pPr>
      <w:r w:rsidRPr="00DD2C83">
        <w:rPr>
          <w:rFonts w:ascii="Corbel" w:hAnsi="Corbel"/>
        </w:rPr>
        <w:t xml:space="preserve">Zhang, S. and Wang, X. (2023) ‘Quantifying schedule delay risk in construction projects: A data-driven approach with BIM and probabilistic reliability analysis’, </w:t>
      </w:r>
      <w:r w:rsidRPr="009A0E23">
        <w:rPr>
          <w:rFonts w:ascii="Corbel" w:hAnsi="Corbel"/>
          <w:i/>
          <w:iCs/>
        </w:rPr>
        <w:t>Advances in Civil Engineering,</w:t>
      </w:r>
      <w:r w:rsidRPr="00DD2C83">
        <w:rPr>
          <w:rFonts w:ascii="Corbel" w:hAnsi="Corbel"/>
        </w:rPr>
        <w:t xml:space="preserve"> 2023, Article 5525655, pp. 1–21. </w:t>
      </w:r>
      <w:proofErr w:type="spellStart"/>
      <w:r w:rsidRPr="00DD2C83">
        <w:rPr>
          <w:rFonts w:ascii="Corbel" w:hAnsi="Corbel"/>
        </w:rPr>
        <w:t>doi</w:t>
      </w:r>
      <w:proofErr w:type="spellEnd"/>
      <w:r w:rsidRPr="00DD2C83">
        <w:rPr>
          <w:rFonts w:ascii="Corbel" w:hAnsi="Corbel"/>
        </w:rPr>
        <w:t>: 10.1155/2023/5525655.</w:t>
      </w:r>
    </w:p>
    <w:sectPr w:rsidR="000D33B9" w:rsidRPr="00DD2C8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80648" w14:textId="77777777" w:rsidR="00C77249" w:rsidRDefault="00C77249" w:rsidP="00F006F3">
      <w:pPr>
        <w:spacing w:after="0" w:line="240" w:lineRule="auto"/>
      </w:pPr>
      <w:r>
        <w:separator/>
      </w:r>
    </w:p>
  </w:endnote>
  <w:endnote w:type="continuationSeparator" w:id="0">
    <w:p w14:paraId="22883DD9" w14:textId="77777777" w:rsidR="00C77249" w:rsidRDefault="00C77249" w:rsidP="00F00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rbel">
    <w:panose1 w:val="020B0503020204020204"/>
    <w:charset w:val="00"/>
    <w:family w:val="swiss"/>
    <w:pitch w:val="variable"/>
    <w:sig w:usb0="A00002EF" w:usb1="4000A44B" w:usb2="00000000" w:usb3="00000000" w:csb0="0000019F" w:csb1="00000000"/>
  </w:font>
  <w:font w:name="Amasis MT Pro Light">
    <w:charset w:val="00"/>
    <w:family w:val="roman"/>
    <w:pitch w:val="variable"/>
    <w:sig w:usb0="A00000AF" w:usb1="4000205B" w:usb2="00000000" w:usb3="00000000" w:csb0="00000093"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299815"/>
      <w:docPartObj>
        <w:docPartGallery w:val="Page Numbers (Bottom of Page)"/>
        <w:docPartUnique/>
      </w:docPartObj>
    </w:sdtPr>
    <w:sdtContent>
      <w:p w14:paraId="14BFF4B8" w14:textId="673AE327" w:rsidR="00E002A2" w:rsidRDefault="00E002A2">
        <w:pPr>
          <w:pStyle w:val="Footer"/>
        </w:pPr>
        <w:r>
          <w:rPr>
            <w:noProof/>
          </w:rPr>
          <mc:AlternateContent>
            <mc:Choice Requires="wpg">
              <w:drawing>
                <wp:anchor distT="0" distB="0" distL="114300" distR="114300" simplePos="0" relativeHeight="251658240" behindDoc="0" locked="0" layoutInCell="1" allowOverlap="1" wp14:anchorId="231BE680" wp14:editId="7A7D1745">
                  <wp:simplePos x="0" y="0"/>
                  <wp:positionH relativeFrom="page">
                    <wp:align>center</wp:align>
                  </wp:positionH>
                  <wp:positionV relativeFrom="bottomMargin">
                    <wp:align>center</wp:align>
                  </wp:positionV>
                  <wp:extent cx="7541260" cy="190500"/>
                  <wp:effectExtent l="9525" t="9525" r="9525" b="0"/>
                  <wp:wrapNone/>
                  <wp:docPr id="1900997374"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1753423290"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668410" w14:textId="77777777" w:rsidR="00E002A2" w:rsidRDefault="00E002A2">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wps:txbx>
                          <wps:bodyPr rot="0" vert="horz" wrap="square" lIns="0" tIns="0" rIns="0" bIns="0" anchor="t" anchorCtr="0" upright="1">
                            <a:noAutofit/>
                          </wps:bodyPr>
                        </wps:wsp>
                        <wpg:grpSp>
                          <wpg:cNvPr id="1482820098" name="Group 31"/>
                          <wpg:cNvGrpSpPr>
                            <a:grpSpLocks/>
                          </wpg:cNvGrpSpPr>
                          <wpg:grpSpPr bwMode="auto">
                            <a:xfrm flipH="1">
                              <a:off x="0" y="14970"/>
                              <a:ext cx="12255" cy="230"/>
                              <a:chOff x="-8" y="14978"/>
                              <a:chExt cx="12255" cy="230"/>
                            </a:xfrm>
                          </wpg:grpSpPr>
                          <wps:wsp>
                            <wps:cNvPr id="2129173980"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26888811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231BE680" id="Group 9" o:spid="_x0000_s1027" style="position:absolute;margin-left:0;margin-top:0;width:593.8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" filled="f" stroked="f">
                    <v:textbox inset="0,0,0,0">
                      <w:txbxContent>
                        <w:p w14:paraId="00668410" w14:textId="77777777" w:rsidR="00E002A2" w:rsidRDefault="00E002A2">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&#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78DE4" w14:textId="77777777" w:rsidR="00C77249" w:rsidRDefault="00C77249" w:rsidP="00F006F3">
      <w:pPr>
        <w:spacing w:after="0" w:line="240" w:lineRule="auto"/>
      </w:pPr>
      <w:r>
        <w:separator/>
      </w:r>
    </w:p>
  </w:footnote>
  <w:footnote w:type="continuationSeparator" w:id="0">
    <w:p w14:paraId="29FC7043" w14:textId="77777777" w:rsidR="00C77249" w:rsidRDefault="00C77249" w:rsidP="00F006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31C88"/>
    <w:multiLevelType w:val="hybridMultilevel"/>
    <w:tmpl w:val="65F861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FE5589"/>
    <w:multiLevelType w:val="hybridMultilevel"/>
    <w:tmpl w:val="757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333829"/>
    <w:multiLevelType w:val="hybridMultilevel"/>
    <w:tmpl w:val="74CE68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950391">
    <w:abstractNumId w:val="1"/>
  </w:num>
  <w:num w:numId="2" w16cid:durableId="1677028590">
    <w:abstractNumId w:val="0"/>
  </w:num>
  <w:num w:numId="3" w16cid:durableId="13412017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649"/>
    <w:rsid w:val="00002827"/>
    <w:rsid w:val="00011644"/>
    <w:rsid w:val="00023939"/>
    <w:rsid w:val="0006193E"/>
    <w:rsid w:val="000727D4"/>
    <w:rsid w:val="00076D21"/>
    <w:rsid w:val="00084AD1"/>
    <w:rsid w:val="00085BCB"/>
    <w:rsid w:val="00090322"/>
    <w:rsid w:val="00092378"/>
    <w:rsid w:val="000A1FD2"/>
    <w:rsid w:val="000B659F"/>
    <w:rsid w:val="000C2D15"/>
    <w:rsid w:val="000D33B9"/>
    <w:rsid w:val="000E050C"/>
    <w:rsid w:val="000E0E03"/>
    <w:rsid w:val="000F5492"/>
    <w:rsid w:val="00120ECE"/>
    <w:rsid w:val="00141CED"/>
    <w:rsid w:val="00144E5E"/>
    <w:rsid w:val="0015756A"/>
    <w:rsid w:val="00161B1B"/>
    <w:rsid w:val="00171029"/>
    <w:rsid w:val="001815F0"/>
    <w:rsid w:val="001B326B"/>
    <w:rsid w:val="001D300A"/>
    <w:rsid w:val="001D5803"/>
    <w:rsid w:val="001E7EEE"/>
    <w:rsid w:val="001F5939"/>
    <w:rsid w:val="001F7153"/>
    <w:rsid w:val="0023105C"/>
    <w:rsid w:val="00232A7B"/>
    <w:rsid w:val="0025033A"/>
    <w:rsid w:val="002578DC"/>
    <w:rsid w:val="00266732"/>
    <w:rsid w:val="00271359"/>
    <w:rsid w:val="00271D21"/>
    <w:rsid w:val="00275B6D"/>
    <w:rsid w:val="00281129"/>
    <w:rsid w:val="00297C87"/>
    <w:rsid w:val="002A57E2"/>
    <w:rsid w:val="002C0353"/>
    <w:rsid w:val="002D3AC5"/>
    <w:rsid w:val="002E2120"/>
    <w:rsid w:val="002E55C0"/>
    <w:rsid w:val="002F2132"/>
    <w:rsid w:val="002F4C9C"/>
    <w:rsid w:val="002F7D8F"/>
    <w:rsid w:val="00303DD5"/>
    <w:rsid w:val="00307B8D"/>
    <w:rsid w:val="00326B71"/>
    <w:rsid w:val="0033707A"/>
    <w:rsid w:val="00352235"/>
    <w:rsid w:val="00362C0D"/>
    <w:rsid w:val="00390CE3"/>
    <w:rsid w:val="003A4379"/>
    <w:rsid w:val="003B215D"/>
    <w:rsid w:val="003B2E4C"/>
    <w:rsid w:val="003C360C"/>
    <w:rsid w:val="003D0EB9"/>
    <w:rsid w:val="003E179E"/>
    <w:rsid w:val="00402B3B"/>
    <w:rsid w:val="004048D9"/>
    <w:rsid w:val="00422EC1"/>
    <w:rsid w:val="0042603B"/>
    <w:rsid w:val="004267EE"/>
    <w:rsid w:val="00447F5A"/>
    <w:rsid w:val="00464D2D"/>
    <w:rsid w:val="0047174D"/>
    <w:rsid w:val="004748AE"/>
    <w:rsid w:val="00491968"/>
    <w:rsid w:val="0049370E"/>
    <w:rsid w:val="004A2E5A"/>
    <w:rsid w:val="004B1687"/>
    <w:rsid w:val="004B1B4D"/>
    <w:rsid w:val="004B62C7"/>
    <w:rsid w:val="004C1EDB"/>
    <w:rsid w:val="004C4539"/>
    <w:rsid w:val="004C4F8C"/>
    <w:rsid w:val="004D7C6A"/>
    <w:rsid w:val="004E79A7"/>
    <w:rsid w:val="004F2054"/>
    <w:rsid w:val="004F3C5B"/>
    <w:rsid w:val="005044C8"/>
    <w:rsid w:val="00506511"/>
    <w:rsid w:val="00511D1A"/>
    <w:rsid w:val="005152D3"/>
    <w:rsid w:val="00520D2C"/>
    <w:rsid w:val="00525070"/>
    <w:rsid w:val="00525B26"/>
    <w:rsid w:val="00543DE7"/>
    <w:rsid w:val="00555D6D"/>
    <w:rsid w:val="00557A49"/>
    <w:rsid w:val="005613E9"/>
    <w:rsid w:val="0058015B"/>
    <w:rsid w:val="00581226"/>
    <w:rsid w:val="005A0EBD"/>
    <w:rsid w:val="005A6810"/>
    <w:rsid w:val="005A6DE3"/>
    <w:rsid w:val="005C07AC"/>
    <w:rsid w:val="005C2871"/>
    <w:rsid w:val="005C492E"/>
    <w:rsid w:val="005D0C00"/>
    <w:rsid w:val="005E58C7"/>
    <w:rsid w:val="005F54B2"/>
    <w:rsid w:val="005F7080"/>
    <w:rsid w:val="00601C15"/>
    <w:rsid w:val="0060486A"/>
    <w:rsid w:val="00605E43"/>
    <w:rsid w:val="00606A76"/>
    <w:rsid w:val="006140D1"/>
    <w:rsid w:val="00635EA9"/>
    <w:rsid w:val="00640B52"/>
    <w:rsid w:val="00646F11"/>
    <w:rsid w:val="00674B28"/>
    <w:rsid w:val="0069305B"/>
    <w:rsid w:val="00696496"/>
    <w:rsid w:val="0069724A"/>
    <w:rsid w:val="006A2B33"/>
    <w:rsid w:val="006A4E27"/>
    <w:rsid w:val="006A569C"/>
    <w:rsid w:val="006B0EB4"/>
    <w:rsid w:val="006C1DE5"/>
    <w:rsid w:val="006C74AC"/>
    <w:rsid w:val="006D1ED8"/>
    <w:rsid w:val="006E47EB"/>
    <w:rsid w:val="006E6828"/>
    <w:rsid w:val="00703AA3"/>
    <w:rsid w:val="00705371"/>
    <w:rsid w:val="00712D0A"/>
    <w:rsid w:val="00722688"/>
    <w:rsid w:val="00726508"/>
    <w:rsid w:val="007310E9"/>
    <w:rsid w:val="00733407"/>
    <w:rsid w:val="00741A8B"/>
    <w:rsid w:val="00745A75"/>
    <w:rsid w:val="00750D87"/>
    <w:rsid w:val="00755BEB"/>
    <w:rsid w:val="007759B6"/>
    <w:rsid w:val="00784A12"/>
    <w:rsid w:val="007A0E21"/>
    <w:rsid w:val="007A359B"/>
    <w:rsid w:val="007A6788"/>
    <w:rsid w:val="007B30F5"/>
    <w:rsid w:val="007B5620"/>
    <w:rsid w:val="007D27C5"/>
    <w:rsid w:val="007D7EFA"/>
    <w:rsid w:val="007E74A6"/>
    <w:rsid w:val="007F061A"/>
    <w:rsid w:val="007F251C"/>
    <w:rsid w:val="007F5BD5"/>
    <w:rsid w:val="0080147A"/>
    <w:rsid w:val="0080227A"/>
    <w:rsid w:val="00804F9A"/>
    <w:rsid w:val="00811EBE"/>
    <w:rsid w:val="00821840"/>
    <w:rsid w:val="008262D2"/>
    <w:rsid w:val="00833A62"/>
    <w:rsid w:val="00835165"/>
    <w:rsid w:val="008356AF"/>
    <w:rsid w:val="008377EA"/>
    <w:rsid w:val="008474E1"/>
    <w:rsid w:val="00847C06"/>
    <w:rsid w:val="0088115F"/>
    <w:rsid w:val="008A033D"/>
    <w:rsid w:val="008B4B37"/>
    <w:rsid w:val="008C0377"/>
    <w:rsid w:val="008E4B1D"/>
    <w:rsid w:val="008F37DA"/>
    <w:rsid w:val="00902279"/>
    <w:rsid w:val="00905B00"/>
    <w:rsid w:val="00914DD8"/>
    <w:rsid w:val="00931493"/>
    <w:rsid w:val="00935CE1"/>
    <w:rsid w:val="00937F0E"/>
    <w:rsid w:val="00960EA9"/>
    <w:rsid w:val="00964EF0"/>
    <w:rsid w:val="009656E2"/>
    <w:rsid w:val="00965991"/>
    <w:rsid w:val="0097118C"/>
    <w:rsid w:val="009859AD"/>
    <w:rsid w:val="00987BB4"/>
    <w:rsid w:val="009A0E23"/>
    <w:rsid w:val="009B5B9F"/>
    <w:rsid w:val="009B6549"/>
    <w:rsid w:val="009C56DA"/>
    <w:rsid w:val="009C7D4E"/>
    <w:rsid w:val="009E1FA8"/>
    <w:rsid w:val="009E34F5"/>
    <w:rsid w:val="009F6B6F"/>
    <w:rsid w:val="00A16F52"/>
    <w:rsid w:val="00A24C39"/>
    <w:rsid w:val="00A26B64"/>
    <w:rsid w:val="00A32399"/>
    <w:rsid w:val="00A40415"/>
    <w:rsid w:val="00A404C2"/>
    <w:rsid w:val="00A429B9"/>
    <w:rsid w:val="00A4698A"/>
    <w:rsid w:val="00A638D6"/>
    <w:rsid w:val="00A71805"/>
    <w:rsid w:val="00A7579F"/>
    <w:rsid w:val="00A86560"/>
    <w:rsid w:val="00AA2253"/>
    <w:rsid w:val="00AA658D"/>
    <w:rsid w:val="00AB29B4"/>
    <w:rsid w:val="00AB3D77"/>
    <w:rsid w:val="00AB5EC5"/>
    <w:rsid w:val="00AC2F48"/>
    <w:rsid w:val="00AD0C01"/>
    <w:rsid w:val="00AE1853"/>
    <w:rsid w:val="00B03B08"/>
    <w:rsid w:val="00B140E0"/>
    <w:rsid w:val="00B32D16"/>
    <w:rsid w:val="00B42ECE"/>
    <w:rsid w:val="00B449F8"/>
    <w:rsid w:val="00B53B41"/>
    <w:rsid w:val="00B6483B"/>
    <w:rsid w:val="00B67973"/>
    <w:rsid w:val="00B70AA6"/>
    <w:rsid w:val="00B75AFA"/>
    <w:rsid w:val="00B824B4"/>
    <w:rsid w:val="00B912E9"/>
    <w:rsid w:val="00B95551"/>
    <w:rsid w:val="00BC01EA"/>
    <w:rsid w:val="00BE6CAB"/>
    <w:rsid w:val="00C04FF8"/>
    <w:rsid w:val="00C106F3"/>
    <w:rsid w:val="00C2095C"/>
    <w:rsid w:val="00C217B7"/>
    <w:rsid w:val="00C27CDE"/>
    <w:rsid w:val="00C55C0C"/>
    <w:rsid w:val="00C618E2"/>
    <w:rsid w:val="00C7399A"/>
    <w:rsid w:val="00C77249"/>
    <w:rsid w:val="00C8175F"/>
    <w:rsid w:val="00C829A5"/>
    <w:rsid w:val="00C9016E"/>
    <w:rsid w:val="00CB0971"/>
    <w:rsid w:val="00CD6634"/>
    <w:rsid w:val="00CF7997"/>
    <w:rsid w:val="00D11037"/>
    <w:rsid w:val="00D13093"/>
    <w:rsid w:val="00D4272D"/>
    <w:rsid w:val="00D77FB9"/>
    <w:rsid w:val="00D82649"/>
    <w:rsid w:val="00D831D1"/>
    <w:rsid w:val="00D90B91"/>
    <w:rsid w:val="00D96739"/>
    <w:rsid w:val="00DA7BE2"/>
    <w:rsid w:val="00DC0B29"/>
    <w:rsid w:val="00DD2C83"/>
    <w:rsid w:val="00DF5CEE"/>
    <w:rsid w:val="00E002A2"/>
    <w:rsid w:val="00E02591"/>
    <w:rsid w:val="00E21212"/>
    <w:rsid w:val="00E23BAC"/>
    <w:rsid w:val="00E254E3"/>
    <w:rsid w:val="00E3109D"/>
    <w:rsid w:val="00E61210"/>
    <w:rsid w:val="00E76EC3"/>
    <w:rsid w:val="00EA1E1F"/>
    <w:rsid w:val="00EB3E69"/>
    <w:rsid w:val="00ED09E5"/>
    <w:rsid w:val="00ED239C"/>
    <w:rsid w:val="00EE343D"/>
    <w:rsid w:val="00F006F3"/>
    <w:rsid w:val="00F10244"/>
    <w:rsid w:val="00F37375"/>
    <w:rsid w:val="00F549FF"/>
    <w:rsid w:val="00F83058"/>
    <w:rsid w:val="00F961C9"/>
    <w:rsid w:val="00FE1AF1"/>
    <w:rsid w:val="00FE4721"/>
    <w:rsid w:val="00FF5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A1F378"/>
  <w15:chartTrackingRefBased/>
  <w15:docId w15:val="{9433FCFE-39CC-4FD2-B7DE-CE055E23E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6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26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26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6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6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6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6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6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6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6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26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26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6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6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6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6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6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649"/>
    <w:rPr>
      <w:rFonts w:eastAsiaTheme="majorEastAsia" w:cstheme="majorBidi"/>
      <w:color w:val="272727" w:themeColor="text1" w:themeTint="D8"/>
    </w:rPr>
  </w:style>
  <w:style w:type="paragraph" w:styleId="Title">
    <w:name w:val="Title"/>
    <w:basedOn w:val="Normal"/>
    <w:next w:val="Normal"/>
    <w:link w:val="TitleChar"/>
    <w:uiPriority w:val="10"/>
    <w:qFormat/>
    <w:rsid w:val="00D826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6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6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6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649"/>
    <w:pPr>
      <w:spacing w:before="160"/>
      <w:jc w:val="center"/>
    </w:pPr>
    <w:rPr>
      <w:i/>
      <w:iCs/>
      <w:color w:val="404040" w:themeColor="text1" w:themeTint="BF"/>
    </w:rPr>
  </w:style>
  <w:style w:type="character" w:customStyle="1" w:styleId="QuoteChar">
    <w:name w:val="Quote Char"/>
    <w:basedOn w:val="DefaultParagraphFont"/>
    <w:link w:val="Quote"/>
    <w:uiPriority w:val="29"/>
    <w:rsid w:val="00D82649"/>
    <w:rPr>
      <w:i/>
      <w:iCs/>
      <w:color w:val="404040" w:themeColor="text1" w:themeTint="BF"/>
    </w:rPr>
  </w:style>
  <w:style w:type="paragraph" w:styleId="ListParagraph">
    <w:name w:val="List Paragraph"/>
    <w:basedOn w:val="Normal"/>
    <w:uiPriority w:val="34"/>
    <w:qFormat/>
    <w:rsid w:val="00D82649"/>
    <w:pPr>
      <w:ind w:left="720"/>
      <w:contextualSpacing/>
    </w:pPr>
  </w:style>
  <w:style w:type="character" w:styleId="IntenseEmphasis">
    <w:name w:val="Intense Emphasis"/>
    <w:basedOn w:val="DefaultParagraphFont"/>
    <w:uiPriority w:val="21"/>
    <w:qFormat/>
    <w:rsid w:val="00D82649"/>
    <w:rPr>
      <w:i/>
      <w:iCs/>
      <w:color w:val="0F4761" w:themeColor="accent1" w:themeShade="BF"/>
    </w:rPr>
  </w:style>
  <w:style w:type="paragraph" w:styleId="IntenseQuote">
    <w:name w:val="Intense Quote"/>
    <w:basedOn w:val="Normal"/>
    <w:next w:val="Normal"/>
    <w:link w:val="IntenseQuoteChar"/>
    <w:uiPriority w:val="30"/>
    <w:qFormat/>
    <w:rsid w:val="00D826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649"/>
    <w:rPr>
      <w:i/>
      <w:iCs/>
      <w:color w:val="0F4761" w:themeColor="accent1" w:themeShade="BF"/>
    </w:rPr>
  </w:style>
  <w:style w:type="character" w:styleId="IntenseReference">
    <w:name w:val="Intense Reference"/>
    <w:basedOn w:val="DefaultParagraphFont"/>
    <w:uiPriority w:val="32"/>
    <w:qFormat/>
    <w:rsid w:val="00D82649"/>
    <w:rPr>
      <w:b/>
      <w:bCs/>
      <w:smallCaps/>
      <w:color w:val="0F4761" w:themeColor="accent1" w:themeShade="BF"/>
      <w:spacing w:val="5"/>
    </w:rPr>
  </w:style>
  <w:style w:type="paragraph" w:styleId="Header">
    <w:name w:val="header"/>
    <w:basedOn w:val="Normal"/>
    <w:link w:val="HeaderChar"/>
    <w:uiPriority w:val="99"/>
    <w:unhideWhenUsed/>
    <w:rsid w:val="00F00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6F3"/>
  </w:style>
  <w:style w:type="paragraph" w:styleId="Footer">
    <w:name w:val="footer"/>
    <w:basedOn w:val="Normal"/>
    <w:link w:val="FooterChar"/>
    <w:uiPriority w:val="99"/>
    <w:unhideWhenUsed/>
    <w:rsid w:val="00F00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6F3"/>
  </w:style>
  <w:style w:type="table" w:styleId="TableGrid">
    <w:name w:val="Table Grid"/>
    <w:basedOn w:val="TableNormal"/>
    <w:uiPriority w:val="39"/>
    <w:rsid w:val="00B03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B562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4492</Words>
  <Characters>25608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Regina Abdoli (2428653)</dc:creator>
  <cp:keywords/>
  <dc:description/>
  <cp:lastModifiedBy>Regina Abdoli (2428653)</cp:lastModifiedBy>
  <cp:revision>4</cp:revision>
  <dcterms:created xsi:type="dcterms:W3CDTF">2026-08-18T06:00:00Z</dcterms:created>
  <dcterms:modified xsi:type="dcterms:W3CDTF">2026-08-18T06:38:00Z</dcterms:modified>
</cp:coreProperties>
</file>