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themeFill="background1"/>
        <w:spacing w:beforeAutospacing="0" w:before="0" w:afterAutospacing="0" w:after="30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8"/>
          <w:szCs w:val="28"/>
          <w:lang w:val="en-GB"/>
        </w:rPr>
      </w:pPr>
      <w:r>
        <w:rPr>
          <w:rFonts w:eastAsia="" w:cs="" w:cstheme="minorBidi" w:eastAsiaTheme="minorEastAsia"/>
          <w:b w:val="false"/>
          <w:bCs w:val="false"/>
          <w:i w:val="false"/>
          <w:iCs w:val="false"/>
          <w:caps w:val="false"/>
          <w:smallCaps w:val="false"/>
          <w:color w:val="000000" w:themeColor="text1" w:themeShade="ff" w:themeTint="ff"/>
          <w:sz w:val="28"/>
          <w:szCs w:val="28"/>
          <w:lang w:val="en-GB" w:eastAsia="ja-JP" w:bidi="ar-SA"/>
        </w:rPr>
        <w:t>Jalāl al-Dīn Muḥammad Rūmī's spiritual legacy shaping Western mentality</w:t>
      </w:r>
    </w:p>
    <w:p>
      <w:pPr>
        <w:pStyle w:val="Normal"/>
        <w:shd w:val="clear" w:color="auto" w:fill="FFFFFF" w:themeFill="background1"/>
        <w:spacing w:beforeAutospacing="0" w:before="0" w:afterAutospacing="0" w:after="300"/>
        <w:jc w:val="left"/>
        <w:rPr>
          <w:rFonts w:ascii="Aptos" w:hAnsi="Aptos" w:eastAsia="" w:cs="" w:asciiTheme="minorAscii" w:cstheme="minorBidi" w:eastAsiaTheme="minorEastAsia" w:hAnsiTheme="minorAscii"/>
          <w:b w:val="false"/>
          <w:b w:val="false"/>
          <w:bCs w:val="false"/>
          <w:i w:val="false"/>
          <w:i w:val="false"/>
          <w:iCs w:val="false"/>
          <w:caps w:val="false"/>
          <w:smallCaps w:val="false"/>
          <w:color w:val="000000" w:themeColor="text1" w:themeShade="ff" w:themeTint="ff"/>
          <w:sz w:val="24"/>
          <w:szCs w:val="24"/>
          <w:lang w:val="en-GB" w:eastAsia="ja-JP" w:bidi="ar-SA"/>
        </w:rPr>
      </w:pPr>
      <w:r>
        <w:rPr>
          <w:rFonts w:eastAsia="" w:cs="" w:cstheme="minorBidi" w:eastAsiaTheme="minorEastAsia"/>
          <w:b w:val="false"/>
          <w:bCs w:val="false"/>
          <w:i w:val="false"/>
          <w:iCs w:val="false"/>
          <w:caps w:val="false"/>
          <w:smallCaps w:val="false"/>
          <w:color w:val="000000" w:themeColor="text1" w:themeShade="ff" w:themeTint="ff"/>
          <w:sz w:val="24"/>
          <w:szCs w:val="24"/>
          <w:lang w:val="en-GB" w:eastAsia="ja-JP" w:bidi="ar-SA"/>
        </w:rPr>
      </w:r>
    </w:p>
    <w:p>
      <w:pPr>
        <w:pStyle w:val="Normal"/>
        <w:shd w:val="clear" w:color="auto" w:fill="FFFFFF" w:themeFill="background1"/>
        <w:spacing w:beforeAutospacing="0" w:before="0" w:afterAutospacing="0" w:after="300"/>
        <w:jc w:val="left"/>
        <w:rPr>
          <w:rFonts w:ascii="Aptos" w:hAnsi="Aptos" w:eastAsia="" w:cs="" w:asciiTheme="minorAscii" w:cstheme="minorBidi" w:eastAsiaTheme="minorEastAsia" w:hAnsiTheme="minorAscii"/>
          <w:b w:val="false"/>
          <w:b w:val="false"/>
          <w:bCs w:val="false"/>
          <w:i w:val="false"/>
          <w:i w:val="false"/>
          <w:iCs w:val="false"/>
          <w:caps w:val="false"/>
          <w:smallCaps w:val="false"/>
          <w:color w:val="000000" w:themeColor="text1" w:themeShade="ff" w:themeTint="ff"/>
          <w:sz w:val="24"/>
          <w:szCs w:val="24"/>
          <w:lang w:val="en-GB" w:eastAsia="ja-JP" w:bidi="ar-SA"/>
        </w:rPr>
      </w:pPr>
      <w:r>
        <w:rPr>
          <w:rFonts w:eastAsia="" w:cs="" w:cstheme="minorBidi" w:eastAsiaTheme="minorEastAsia"/>
          <w:b w:val="false"/>
          <w:bCs w:val="false"/>
          <w:i w:val="false"/>
          <w:iCs w:val="false"/>
          <w:caps w:val="false"/>
          <w:smallCaps w:val="false"/>
          <w:color w:val="000000" w:themeColor="text1" w:themeShade="ff" w:themeTint="ff"/>
          <w:sz w:val="24"/>
          <w:szCs w:val="24"/>
          <w:lang w:val="en-GB" w:eastAsia="ja-JP" w:bidi="ar-SA"/>
        </w:rPr>
      </w:r>
    </w:p>
    <w:p>
      <w:pPr>
        <w:pStyle w:val="Normal"/>
        <w:shd w:val="clear" w:color="auto" w:fill="FFFFFF" w:themeFill="background1"/>
        <w:spacing w:lineRule="auto" w:line="480" w:beforeAutospacing="0" w:before="114" w:afterAutospacing="0" w:after="414"/>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 w:cs="" w:cstheme="minorBidi" w:eastAsiaTheme="minorEastAsia"/>
          <w:b w:val="false"/>
          <w:bCs w:val="false"/>
          <w:i w:val="false"/>
          <w:iCs w:val="false"/>
          <w:caps w:val="false"/>
          <w:smallCaps w:val="false"/>
          <w:color w:val="000000" w:themeColor="text1" w:themeShade="ff" w:themeTint="ff"/>
          <w:sz w:val="24"/>
          <w:szCs w:val="24"/>
          <w:lang w:val="en-GB" w:eastAsia="ja-JP" w:bidi="ar-SA"/>
        </w:rPr>
        <w:t xml:space="preserve">The topic of this paper is the humanistic-spiritual crises in Western society and the role of Jalāl al-Dīn Muḥammad Rūmī's (d. 1273) spiritual legacy in alleviating these crises through the promotion of timeless values. </w:t>
      </w:r>
    </w:p>
    <w:p>
      <w:pPr>
        <w:pStyle w:val="Normal"/>
        <w:shd w:val="clear" w:color="auto" w:fill="FFFFFF" w:themeFill="background1"/>
        <w:spacing w:lineRule="auto" w:line="480" w:beforeAutospacing="0" w:before="114" w:afterAutospacing="0" w:after="414"/>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 w:cs="" w:cstheme="minorBidi" w:eastAsiaTheme="minorEastAsia"/>
          <w:b w:val="false"/>
          <w:bCs w:val="false"/>
          <w:i w:val="false"/>
          <w:iCs w:val="false"/>
          <w:caps w:val="false"/>
          <w:smallCaps w:val="false"/>
          <w:color w:val="000000" w:themeColor="text1" w:themeShade="ff" w:themeTint="ff"/>
          <w:kern w:val="0"/>
          <w:sz w:val="24"/>
          <w:szCs w:val="24"/>
          <w:lang w:val="en-GB" w:eastAsia="ja-JP" w:bidi="ar-SA"/>
        </w:rPr>
        <w:t xml:space="preserve">Rumi's spiritual legacy endures primarily through his works, which have been translated into many languages, but the impact of his work is not limited to translations alone. In the secular world, his works have also inspired an unprecedented number of interpretations, primarily valued for conveying the principles Rumi emphasized, such as universal love and peace. In conveying Rumi's heritage, the Mevlevi Order established by his followers plays a significant role. Despite occasional disputes over legitimacy, it has admirably taken on the mission of filling the spiritual void in Western society. </w:t>
      </w:r>
    </w:p>
    <w:p>
      <w:pPr>
        <w:pStyle w:val="Normal"/>
        <w:shd w:val="clear" w:color="auto" w:fill="FFFFFF" w:themeFill="background1"/>
        <w:spacing w:lineRule="auto" w:line="480" w:beforeAutospacing="0" w:before="300" w:afterAutospacing="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 w:cs="" w:ascii="Times New Roman" w:hAnsi="Times New Roman" w:cstheme="minorBidi" w:eastAsiaTheme="minorEastAsia"/>
          <w:b w:val="false"/>
          <w:bCs w:val="false"/>
          <w:i w:val="false"/>
          <w:iCs w:val="false"/>
          <w:caps w:val="false"/>
          <w:smallCaps w:val="false"/>
          <w:color w:val="000000" w:themeColor="text1" w:themeShade="ff" w:themeTint="ff"/>
          <w:sz w:val="24"/>
          <w:szCs w:val="24"/>
          <w:lang w:val="en-GB" w:eastAsia="ja-JP" w:bidi="ar-SA"/>
        </w:rPr>
        <w:t>To understand the processes</w:t>
      </w:r>
      <w:r>
        <w:rPr>
          <w:rFonts w:eastAsia="" w:cs="" w:ascii="Times New Roman" w:hAnsi="Times New Roman" w:cstheme="minorBidi" w:eastAsiaTheme="minorEastAsia"/>
          <w:b w:val="false"/>
          <w:bCs w:val="false"/>
          <w:i w:val="false"/>
          <w:iCs w:val="false"/>
          <w:caps w:val="false"/>
          <w:smallCaps w:val="false"/>
          <w:color w:val="000000" w:themeColor="text1" w:themeShade="ff" w:themeTint="ff"/>
          <w:sz w:val="24"/>
          <w:szCs w:val="24"/>
          <w:lang w:val="en-GB" w:eastAsia="ja-JP" w:bidi="ar-SA"/>
        </w:rPr>
        <w:t xml:space="preserve"> that have taken place over a longer historical period, we will examine the dynamics of these crises and the context of the influences.</w:t>
      </w:r>
    </w:p>
    <w:p>
      <w:pPr>
        <w:pStyle w:val="Normal"/>
        <w:shd w:val="clear" w:color="auto" w:fill="FFFFFF" w:themeFill="background1"/>
        <w:spacing w:lineRule="auto" w:line="480" w:beforeAutospacing="0" w:before="300" w:afterAutospacing="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0" w:afterAutospacing="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0" w:afterAutospacing="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0" w:afterAutospacing="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0" w:afterAutospacing="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ListParagraph"/>
        <w:numPr>
          <w:ilvl w:val="0"/>
          <w:numId w:val="9"/>
        </w:numPr>
        <w:shd w:val="clear" w:color="auto" w:fill="FFFFFF" w:themeFill="background1"/>
        <w:spacing w:lineRule="auto" w:line="480" w:beforeAutospacing="0" w:before="240" w:afterAutospacing="0" w:after="240"/>
        <w:ind w:left="720" w:right="0" w:hanging="360"/>
        <w:contextualSpacing/>
        <w:jc w:val="left"/>
        <w:rPr>
          <w:rFonts w:ascii="Times New Roman" w:hAnsi="Times New Roman" w:eastAsia="Times New Roman" w:cs="Times New Roman"/>
          <w:b/>
          <w:b/>
          <w:bCs/>
          <w:i w:val="false"/>
          <w:i w:val="false"/>
          <w:iCs w:val="false"/>
          <w:caps w:val="false"/>
          <w:smallCaps w:val="false"/>
          <w:color w:val="000000" w:themeColor="text1" w:themeShade="ff" w:themeTint="ff"/>
          <w:sz w:val="24"/>
          <w:szCs w:val="24"/>
          <w:u w:val="none"/>
          <w:lang w:val="en-GB"/>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Late Middle Age</w:t>
      </w:r>
    </w:p>
    <w:p>
      <w:pPr>
        <w:pStyle w:val="ListParagraph"/>
        <w:shd w:val="clear" w:color="auto" w:fill="FFFFFF" w:themeFill="background1"/>
        <w:spacing w:lineRule="auto" w:line="480" w:beforeAutospacing="0" w:before="302" w:afterAutospacing="0" w:after="302"/>
        <w:ind w:left="720" w:right="0" w:hanging="0"/>
        <w:contextualSpacing/>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r>
    </w:p>
    <w:p>
      <w:pPr>
        <w:pStyle w:val="ListParagraph"/>
        <w:numPr>
          <w:ilvl w:val="0"/>
          <w:numId w:val="8"/>
        </w:numPr>
        <w:shd w:val="clear" w:color="auto" w:fill="FFFFFF" w:themeFill="background1"/>
        <w:spacing w:lineRule="auto" w:line="480" w:beforeAutospacing="0" w:before="302" w:afterAutospacing="0" w:after="302"/>
        <w:ind w:left="720" w:right="0" w:hanging="360"/>
        <w:contextualSpacing/>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u w:val="single"/>
          <w:lang w:val="en-GB"/>
        </w:rPr>
        <w:t>The nature of the spiritual crises</w:t>
      </w:r>
    </w:p>
    <w:p>
      <w:pPr>
        <w:pStyle w:val="Normal"/>
        <w:shd w:val="clear" w:color="auto" w:fill="FFFFFF" w:themeFill="background1"/>
        <w:spacing w:lineRule="auto" w:line="480" w:beforeAutospacing="0" w:before="302" w:afterAutospacing="0" w:after="302"/>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Against the backdrop of local conflicts and global issues, the statistical (Bayesian) individual seeks and requires a sense of mental well-being expressed through inner peace. Assurance in the correctness of one's decisions is necessary for strategic planning that extends from the planner's own children to their grandchildren. This assurance is provided for the individual of the common era or the time of the prophets in the form of a contextualized cosmological worldview i.e. rationalization based on the essence, place, and relationship of the Eternal God with humans. The form of the wider narrative that the personal worldview is built upon must be simple yet allowing for reasonable individuality within the societal and, when tested over time, proves to be sufficiently reliable.</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 the case of an acute or long-term crisis, various aspects of the personally emphasized exoteric dimension of the narrative undergo a certain re-prioritization, as the inadequacies created based on previous connections that seem inadequate in the new light create an intrapsychic-social crisis. If the individual or the collective has previously projected some qualities to God, for example, the guarantee of individual happiness and well-being, then these values ​​are energetically connected with other abstract but voluminous complexes, which then in turn need reevaluation or reorientation</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In case of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moral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crisis or collapse, the new starting point is the fundamental concept of spirituality, on which new sustainable social values ​​can be built.</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ListParagraph"/>
        <w:numPr>
          <w:ilvl w:val="0"/>
          <w:numId w:val="7"/>
        </w:numPr>
        <w:shd w:val="clear" w:color="auto" w:fill="FFFFFF" w:themeFill="background1"/>
        <w:spacing w:lineRule="auto" w:line="480" w:beforeAutospacing="0" w:before="302" w:afterAutospacing="0" w:after="302"/>
        <w:contextualSpacing/>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u w:val="single"/>
          <w:lang w:val="en-GB"/>
        </w:rPr>
      </w:pPr>
      <w:r>
        <w:rPr>
          <w:rFonts w:eastAsia="Times New Roman" w:cs="Times New Roman" w:ascii="Times New Roman" w:hAnsi="Times New Roman"/>
          <w:b w:val="false"/>
          <w:bCs w:val="false"/>
          <w:i/>
          <w:iCs/>
          <w:caps w:val="false"/>
          <w:smallCaps w:val="false"/>
          <w:color w:val="000000" w:themeColor="text1" w:themeShade="ff" w:themeTint="ff"/>
          <w:sz w:val="24"/>
          <w:szCs w:val="24"/>
          <w:u w:val="single"/>
          <w:lang w:val="en-GB"/>
        </w:rPr>
        <w:t>The Crisis of the late Middle Ages</w:t>
      </w:r>
    </w:p>
    <w:p>
      <w:pPr>
        <w:pStyle w:val="Normal"/>
        <w:shd w:val="clear" w:color="auto" w:fill="FFFFFF" w:themeFill="background1"/>
        <w:spacing w:lineRule="auto" w:line="480" w:beforeAutospacing="0" w:before="302" w:afterAutospacing="0" w:after="302"/>
        <w:ind w:lef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One of the earliest known significant spiritual influences of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Mawlawiyya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on Western society dates to the late Middle Ages. </w:t>
      </w:r>
    </w:p>
    <w:p>
      <w:pPr>
        <w:pStyle w:val="Normal"/>
        <w:shd w:val="clear" w:color="auto" w:fill="FFFFFF" w:themeFill="background1"/>
        <w:spacing w:lineRule="auto" w:line="480" w:beforeAutospacing="0" w:before="302" w:afterAutospacing="0" w:after="302"/>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The period preceding Luther's reforms in Europe was characterized by a general moral crisis and deep depression caused by prolonged stress. This period is known as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The Crisis of the late Middle Ages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and had clear objective causes in the form of mass famines, epidemics (including the Black Death), and prolonged exhausting wars. Successive misfortunes led to the loss of up to half of Europe's population. Constant inflation between major disasters, increasing burdens, and repeated bloody uprisings, several dozens of which are counted in Germany. Among others, the productivity of the agrarian society of the time was directly affected by the end of the relatively warm and mild period characteristic of the Middle Ages and the transition to a new climatic phase known as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The Little Ice Age</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The crisis preceding the Reformation was long-term and spiritually exhausting, necessitating a reassessment of values from the outward splendour that characterized the mainstream Catholic Church of the time to a more modest, human-centred, and comforting one, which Luther successfully proposed. At the same time, we see the development of the facilitating printing industry, which enabled the dissemination of literature and its translation into local languages understandable to the people, serving as a precursor to modern mass media.</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ListParagraph"/>
        <w:numPr>
          <w:ilvl w:val="0"/>
          <w:numId w:val="6"/>
        </w:numPr>
        <w:shd w:val="clear" w:color="auto" w:fill="FFFFFF" w:themeFill="background1"/>
        <w:spacing w:lineRule="auto" w:line="480" w:beforeAutospacing="0" w:before="302" w:afterAutospacing="0" w:after="302"/>
        <w:contextualSpacing/>
        <w:jc w:val="left"/>
        <w:rPr>
          <w:rFonts w:ascii="Aptos" w:hAnsi="Aptos" w:eastAsia="Aptos" w:cs="Aptos"/>
          <w:b w:val="false"/>
          <w:b w:val="false"/>
          <w:bCs w:val="false"/>
          <w:i w:val="false"/>
          <w:i w:val="false"/>
          <w:iCs w:val="false"/>
          <w:caps w:val="false"/>
          <w:smallCaps w:val="false"/>
          <w:color w:val="000000" w:themeColor="text1" w:themeShade="ff" w:themeTint="ff"/>
          <w:sz w:val="24"/>
          <w:szCs w:val="24"/>
          <w:u w:val="single"/>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u w:val="single"/>
          <w:lang w:val="en-GB"/>
        </w:rPr>
        <w:t>Mevlevi influence on Reformation</w:t>
      </w:r>
    </w:p>
    <w:p>
      <w:pPr>
        <w:pStyle w:val="ListParagraph"/>
        <w:numPr>
          <w:ilvl w:val="0"/>
          <w:numId w:val="0"/>
        </w:numPr>
        <w:shd w:val="clear" w:color="auto" w:fill="FFFFFF" w:themeFill="background1"/>
        <w:spacing w:lineRule="auto" w:line="480" w:beforeAutospacing="0" w:before="302" w:afterAutospacing="0" w:after="302"/>
        <w:ind w:left="0" w:hanging="0"/>
        <w:contextualSpacing/>
        <w:jc w:val="left"/>
        <w:rPr>
          <w:rFonts w:ascii="Aptos" w:hAnsi="Aptos" w:eastAsia="Aptos" w:cs="Aptos"/>
          <w:b w:val="false"/>
          <w:b w:val="false"/>
          <w:bCs w:val="false"/>
          <w:i w:val="false"/>
          <w:i w:val="false"/>
          <w:iCs w:val="false"/>
          <w:caps w:val="false"/>
          <w:smallCaps w:val="false"/>
          <w:color w:val="000000" w:themeColor="text1" w:themeShade="ff" w:themeTint="ff"/>
          <w:sz w:val="24"/>
          <w:szCs w:val="24"/>
          <w:u w:val="single"/>
          <w:lang w:val="en-GB"/>
        </w:rPr>
      </w:pPr>
      <w:r>
        <w:rPr>
          <w:rFonts w:eastAsia="Aptos" w:cs="Aptos"/>
          <w:b w:val="false"/>
          <w:bCs w:val="false"/>
          <w:i w:val="false"/>
          <w:iCs w:val="false"/>
          <w:caps w:val="false"/>
          <w:smallCaps w:val="false"/>
          <w:color w:val="000000" w:themeColor="text1" w:themeShade="ff" w:themeTint="ff"/>
          <w:sz w:val="24"/>
          <w:szCs w:val="24"/>
          <w:u w:val="none"/>
          <w:lang w:val="en-GB"/>
        </w:rPr>
        <w:t>The Mevlevi order, as the bearer of Rumi's spirituality, also influenced spirituality in Europe during the Reformation. This was partly made possible by the simultaneous revolution in printing around 1450 CE associated with Gutenberg (d. 1468).</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The </w:t>
      </w:r>
      <w:r>
        <w:rPr>
          <w:rStyle w:val="StrongEmphasis"/>
          <w:rFonts w:eastAsia="Times New Roman" w:cs="Times New Roman" w:ascii="Times New Roman" w:hAnsi="Times New Roman"/>
          <w:b w:val="false"/>
          <w:bCs w:val="false"/>
          <w:i/>
          <w:iCs/>
          <w:caps w:val="false"/>
          <w:smallCaps w:val="false"/>
          <w:color w:val="000000" w:themeColor="text1" w:themeShade="ff" w:themeTint="ff"/>
          <w:sz w:val="24"/>
          <w:szCs w:val="24"/>
          <w:lang w:val="en-GB"/>
        </w:rPr>
        <w:t>Tractatus de Moribus, Condicionibus et Nequitia Turcorum</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(Williams 1991), first published in Rome in 1480/1481, is considered a truthful and exemplary depiction of Turkish life at that time, l</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ead</w:t>
      </w:r>
      <w:r>
        <w:rPr>
          <w:rFonts w:eastAsia="Aptos" w:cs="Aptos"/>
          <w:b w:val="false"/>
          <w:bCs w:val="false"/>
          <w:i w:val="false"/>
          <w:iCs w:val="false"/>
          <w:caps w:val="false"/>
          <w:smallCaps w:val="false"/>
          <w:color w:val="000000" w:themeColor="text1" w:themeShade="ff" w:themeTint="ff"/>
          <w:kern w:val="0"/>
          <w:sz w:val="24"/>
          <w:szCs w:val="24"/>
          <w:u w:val="none"/>
          <w:lang w:val="en-GB" w:eastAsia="ja-JP" w:bidi="ar-SA"/>
        </w:rPr>
        <w:t xml:space="preserve">ing to over 20 consecutive editions initially in Latin and subsequently in German </w:t>
      </w:r>
      <w:r>
        <w:rPr>
          <w:rFonts w:eastAsia="Aptos" w:cs="Aptos"/>
          <w:b w:val="false"/>
          <w:bCs w:val="false"/>
          <w:i w:val="false"/>
          <w:iCs w:val="false"/>
          <w:caps w:val="false"/>
          <w:smallCaps w:val="false"/>
          <w:color w:val="000000" w:themeColor="text1" w:themeShade="ff" w:themeTint="ff"/>
          <w:kern w:val="0"/>
          <w:sz w:val="24"/>
          <w:szCs w:val="24"/>
          <w:u w:val="none"/>
          <w:lang w:val="en-GB" w:eastAsia="ja-JP" w:bidi="ar-SA"/>
        </w:rPr>
        <w:t xml:space="preserve">languages </w:t>
      </w:r>
      <w:r>
        <w:rPr>
          <w:rFonts w:eastAsia="Aptos" w:cs="Aptos"/>
          <w:b w:val="false"/>
          <w:bCs w:val="false"/>
          <w:i w:val="false"/>
          <w:iCs w:val="false"/>
          <w:caps w:val="false"/>
          <w:smallCaps w:val="false"/>
          <w:color w:val="000000" w:themeColor="text1" w:themeShade="ff" w:themeTint="ff"/>
          <w:kern w:val="0"/>
          <w:sz w:val="24"/>
          <w:szCs w:val="24"/>
          <w:u w:val="none"/>
          <w:lang w:val="en-GB" w:eastAsia="ja-JP" w:bidi="ar-SA"/>
        </w:rPr>
        <w:t xml:space="preserve">(Sedgwick 2017:77).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he authorship of the book is attributed to Dominican priest Georgius de Hungaria (d1502), who was captured in his youth, sold into slavery, and later released under a legal agreement with his owner.</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The initial chapters of Georgius' book are subjective accounts describing the dramatic experiences of slavery. However, starting from Chapter 9, the tone becomes more contemplative, marked by the question: “How are they able to prevail over the truth, when God always helps the truth or those holding on to it? Therefore: whoever prevails, holds the truth” (Stevenson 2015:29). Georgius’ tone, when describing Turkish customs and traditions, becomes respectfully positive. He vividly highlights the role of mystics in shaping societal morality, where even the powerful rulers live in utmost simplicity and resist the temptations of vanity. He describes people as respecting each other and God, maintaining both external and internal purity, being conscientious and responsible, and mindful that their earthly journey is temporary. Instead of the ostentatious displays often associated with religion in the West, he portrays an inner satisfaction, delight, and devotion. The mystics who set the tone for the period of so-called Anatolian Renaissance are generally depicted through their individual emotionality, morality, and enthusiasm, in contrast to the collective imitative jurisprudence or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fiqh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(Feliz &amp; Nurpeiiz 2021:117).</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Georgius' descriptions made a strong and inspiring impression on Martin Luther (d1546), a pioneer of the Reformation. Luther's comments (1518,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Erläuterungen zu der Disputation über die Kraft des Ablasses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on his famous 95 Theses (1517), regarded as the manifesto of the Reformation, show considerable sympathy for Turkish spirituality and people. Luther considered warfare against the Ottoman Empire to be clearly immoral (ed. Walch 1888:112) and believed that believers should rather lose their physical lives serving the Turks but save their souls (ibid:180).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Luther’s significant inspiration is further emphasized by his decision to publish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Treatise...</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in Nuremberg in 1530 and write himself a preface for it (Williams 1991:368-371), where he mentions that previous sources about the Turks were unreliable. Luther's preface contains a lot of admiration for the spiritually guided lifestyle and customs of the Turkish people, repeatedly presenting them as a model compared to the poor spiritual state of the Christian church and its indifferent followers. Describing the Christian heritage, he gives the impression of its significant loss of spirituality, comparing Italy, an important bearer of the Christian tradition, to pigs (ibid:</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357</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Although we do not know the exact ratio of inspiration that shaped Luther's original ideas or later confirmed them, we clearly see an emphasis on a similar inner spiritual feeling and principles of rejection of external glory practiced in Luther's church compared to mainstream Catholic pomp.</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The source of Luther's inspiration was evidently the collective consciousness and societal attitude of the Turks at that time, which the author of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Treatise.</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did not differentiate in a way that would allow us to assign an exact percentage to each source. However, already Lewis (2000:500) has emphasized the distinctive choreography of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Mawlawiyya,</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whirling</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(Ch 14) element mentioned in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Treatise...</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providing a clear opportunity to map the input of the Mevlevi Order in this inspiring mystical context.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The Mevlevi Order's input seems, however, to dominate Georgius' worldview and conveyed message. While Chapter 13 of the "Treatise..." discusses the basics of the Islamic creed in general, Chapter 15 provides a brief overview of 'other' sects, then Chapter 14, contains a vivid and multifaceted description of spiritual-mystical culture, interpretable as characteristic based on the author's encounters with the Turks, including the choreographic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sema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elements. Georgius also describes poetry with a spiritual context conveyed by mystics, which he knew by heart, but was not acknowledged by the local clerical community,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ulama</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However, these principles were purportedly well aligned with Christian principles (Ch. 14). This suggests a message of poor compatibility or conflict between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ulama</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and the community surrounding Georgius. This schism of this time has also been described as a conflict between </w:t>
      </w:r>
      <w:r>
        <w:rPr>
          <w:rFonts w:eastAsia="Times New Roman" w:cs="Times New Roman" w:ascii="Times New Roman" w:hAnsi="Times New Roman"/>
          <w:b w:val="false"/>
          <w:bCs w:val="false"/>
          <w:i/>
          <w:iCs/>
          <w:caps w:val="false"/>
          <w:smallCaps w:val="false"/>
          <w:color w:val="000000" w:themeShade="ff" w:themeTint="ff"/>
          <w:sz w:val="24"/>
          <w:szCs w:val="24"/>
          <w:lang w:val="en-GB"/>
        </w:rPr>
        <w:t>ulama a</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nd some</w:t>
      </w:r>
      <w:r>
        <w:rPr>
          <w:rFonts w:eastAsia="Times New Roman" w:cs="Times New Roman" w:ascii="Times New Roman" w:hAnsi="Times New Roman"/>
          <w:b w:val="false"/>
          <w:bCs w:val="false"/>
          <w:i/>
          <w:iCs/>
          <w:caps w:val="false"/>
          <w:smallCaps w:val="false"/>
          <w:color w:val="000000" w:themeShade="ff" w:themeTint="ff"/>
          <w:sz w:val="24"/>
          <w:szCs w:val="24"/>
          <w:lang w:val="en-GB"/>
        </w:rPr>
        <w:t xml:space="preserve"> sheikhs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wh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o chose love and ecstasy and abandoned the external aspects of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sharia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the conflict strongly if not predominantly associated with the Mevlevis (Ay 2012:17).</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The inspirational experience mediated by Luther is primarily reflected in the simplicity, closeness to the people, and inward-directed spirituality and devotion of the Reformation tradition, in contrast to the former emphasis on external rituals within Catholicism.</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r>
    </w:p>
    <w:p>
      <w:pPr>
        <w:pStyle w:val="ListParagraph"/>
        <w:numPr>
          <w:ilvl w:val="0"/>
          <w:numId w:val="3"/>
        </w:numPr>
        <w:bidi w:val="0"/>
        <w:spacing w:lineRule="auto" w:line="480" w:beforeAutospacing="0" w:before="302" w:afterAutospacing="0" w:after="302"/>
        <w:ind w:left="720" w:right="0" w:hanging="360"/>
        <w:contextualSpacing/>
        <w:jc w:val="left"/>
        <w:rPr>
          <w:rFonts w:ascii="Times New Roman" w:hAnsi="Times New Roman" w:eastAsia="Times New Roman" w:cs="Times New Roman"/>
          <w:b/>
          <w:b/>
          <w:bCs/>
          <w:i w:val="false"/>
          <w:i w:val="false"/>
          <w:iCs w:val="false"/>
          <w:caps w:val="false"/>
          <w:smallCaps w:val="false"/>
          <w:color w:val="auto"/>
          <w:sz w:val="24"/>
          <w:szCs w:val="24"/>
          <w:lang w:val="en-GB"/>
        </w:rPr>
      </w:pPr>
      <w:r>
        <w:rPr>
          <w:rFonts w:eastAsia="Times New Roman" w:cs="Times New Roman" w:ascii="Times New Roman" w:hAnsi="Times New Roman"/>
          <w:b/>
          <w:bCs/>
          <w:i w:val="false"/>
          <w:iCs w:val="false"/>
          <w:caps w:val="false"/>
          <w:smallCaps w:val="false"/>
          <w:color w:val="auto"/>
          <w:sz w:val="24"/>
          <w:szCs w:val="24"/>
          <w:lang w:val="en-GB"/>
        </w:rPr>
        <w:t>Contemporary Crisis</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What this paper defines as a spiritual crisis, Shaikh Helminski (b1947) describes as "uncertainty" and underscores the underlying "great contradictions" (Helminski 1999:5).</w:t>
      </w:r>
    </w:p>
    <w:p>
      <w:pPr>
        <w:pStyle w:val="ListParagraph"/>
        <w:numPr>
          <w:ilvl w:val="0"/>
          <w:numId w:val="2"/>
        </w:numPr>
        <w:shd w:val="clear" w:color="auto" w:fill="FFFFFF" w:themeFill="background1"/>
        <w:spacing w:lineRule="auto" w:line="480" w:beforeAutospacing="0" w:before="302" w:afterAutospacing="0" w:after="302"/>
        <w:contextualSpacing/>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u w:val="single"/>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u w:val="single"/>
          <w:lang w:val="en-GB" w:eastAsia="ja-JP" w:bidi="ar-SA"/>
        </w:rPr>
        <w:t>American</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u w:val="single"/>
          <w:lang w:val="en-GB"/>
        </w:rPr>
        <w:t xml:space="preserve"> understandi</w:t>
      </w:r>
      <w:r>
        <w:rPr>
          <w:rFonts w:eastAsia="Times New Roman" w:cs="Times New Roman" w:ascii="Times New Roman" w:hAnsi="Times New Roman"/>
          <w:b w:val="false"/>
          <w:bCs w:val="false"/>
          <w:i w:val="false"/>
          <w:iCs w:val="false"/>
          <w:caps w:val="false"/>
          <w:smallCaps w:val="false"/>
          <w:color w:val="auto" w:themeShade="ff" w:themeTint="ff"/>
          <w:sz w:val="24"/>
          <w:szCs w:val="24"/>
          <w:u w:val="single"/>
          <w:lang w:val="en-GB"/>
        </w:rPr>
        <w:t>n</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u w:val="single"/>
          <w:lang w:val="en-GB"/>
        </w:rPr>
        <w:t xml:space="preserve">g of the Spirituality.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u w:val="single"/>
          <w:lang w:val="en-GB"/>
        </w:rPr>
        <w:t>P</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u w:val="single"/>
          <w:lang w:val="en-GB"/>
        </w:rPr>
        <w:t xml:space="preserve">ost Civil War </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u w:val="single"/>
          <w:lang w:val="en-GB" w:eastAsia="ja-JP" w:bidi="ar-SA"/>
        </w:rPr>
        <w:t>s</w:t>
      </w:r>
      <w:r>
        <w:rPr>
          <w:rFonts w:eastAsia="Times New Roman" w:cs="Times New Roman" w:ascii="Times New Roman" w:hAnsi="Times New Roman"/>
          <w:b w:val="false"/>
          <w:bCs w:val="false"/>
          <w:i w:val="false"/>
          <w:iCs w:val="false"/>
          <w:caps w:val="false"/>
          <w:smallCaps w:val="false"/>
          <w:color w:val="auto" w:themeShade="ff" w:themeTint="ff"/>
          <w:kern w:val="0"/>
          <w:sz w:val="24"/>
          <w:szCs w:val="24"/>
          <w:u w:val="single"/>
          <w:lang w:val="en-GB" w:eastAsia="ja-JP" w:bidi="ar-SA"/>
        </w:rPr>
        <w:t>it</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u w:val="single"/>
          <w:lang w:val="en-GB" w:eastAsia="ja-JP" w:bidi="ar-SA"/>
        </w:rPr>
        <w:t>uation.</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American divine researchers/neuroscientists Newberg, A. and Waldman M.R. position (2010) spirituality as the Divine origin in humans. However, for Newberg &amp; Waldman, spirituality appears as a recent initiative, particularly characteristic of some newer religious movements. They describe spirituality by saying:</w:t>
      </w:r>
    </w:p>
    <w:p>
      <w:pPr>
        <w:pStyle w:val="Normal"/>
        <w:shd w:val="clear" w:color="auto" w:fill="FFFFFF" w:themeFill="background1"/>
        <w:spacing w:lineRule="auto" w:line="480" w:beforeAutospacing="0" w:before="302" w:afterAutospacing="0" w:after="302"/>
        <w:ind w:left="567" w:right="567"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2"/>
          <w:szCs w:val="22"/>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2"/>
          <w:szCs w:val="22"/>
          <w:lang w:val="en-GB"/>
        </w:rPr>
        <w:t>The Unity School of Christianity went a step further. Founded in 1889 by Charles and Myrtle Fillmore, it transformed the idea of God into a benevolent presence that lives within each person… ... Along with the Unitarians, Unity Churches, and Quakers, the Church of Religious Science developed philosophies of greater open-mindedness by proclaiming the inner divinity of the human being... (ibid: 174-172)</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Newberg &amp; Waldman (ibid) allocate limited attention to traditional religious formations, perceiving little to no value in them. They, however, had access to traditional congregations, as evidenced by their description of a change in brain activity during Catholic prayer in a convent. Similarly, their portrayal of the Buddhist tradition of meditation largely reduces it to a stress relief technique, akin to Catholic prayer.</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Acknowledging their view of spirituality, I do have to disagree with Newberg &amp; Waldman that the emergence of the concept of the element of the divine within man is recent by offering the words of Rumi himself, which should easily reach the reader rooted in the Christian tradition (transl. Helminski &amp; Helminski 1994:59):</w:t>
      </w:r>
    </w:p>
    <w:p>
      <w:pPr>
        <w:pStyle w:val="Normal"/>
        <w:shd w:val="clear" w:color="auto" w:fill="FFFFFF" w:themeFill="background1"/>
        <w:spacing w:lineRule="auto" w:line="480" w:beforeAutospacing="0" w:before="302" w:afterAutospacing="0" w:after="302"/>
        <w:ind w:left="567" w:right="567"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2"/>
          <w:szCs w:val="22"/>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2"/>
          <w:szCs w:val="22"/>
          <w:lang w:val="en-GB"/>
        </w:rPr>
        <w:t>The Jesus of your spirit is within you: ask his aid, for he is a good helper.</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Hence, the deficit of spirituality doesn't stem from a lack of perspective but rather from the ability to perceive it.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The situation described by Newberg and Waldman shows a prior rupture and alienation of religious tradition. Although their conclusion regarding the time of emergence of spiritualism as a phenomenon is partially erroneous, their description is valuable for us, because in their statement they inform us that at the turn of the last century, significant changes took place in the United States in the perception, valuing and, consequently, formulation of the relationship with God.</w:t>
      </w:r>
    </w:p>
    <w:p>
      <w:pPr>
        <w:pStyle w:val="ListParagraph"/>
        <w:numPr>
          <w:ilvl w:val="0"/>
          <w:numId w:val="5"/>
        </w:numPr>
        <w:shd w:val="clear" w:color="auto" w:fill="FFFFFF" w:themeFill="background1"/>
        <w:spacing w:lineRule="auto" w:line="480" w:beforeAutospacing="0" w:before="240" w:afterAutospacing="0" w:after="240"/>
        <w:contextualSpacing/>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single"/>
          <w:lang w:val="en-GB"/>
        </w:rPr>
        <w:t>The dynamics of the crisis from the turn of the 19/20 century</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As Ibn Al-Arabi (d1240) already said 700 years before Sigmund Freud (d1939), each person of subsequent generations has an important psychological element from the previous ones (Abrahamov 2015:156). This occurs in the case of cataclysmic events with the immediate experience of the previous generation. Modern psychodynamic theories speak of influences lasting over several generations (transgenerational trauma), characterized by denial and complex repression in the case of the first generation. The first generation tries to continue its life as before, without delving into the complex brought about by upheaval, the magnitude of which is usually not consciously understood but rather feared.</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Repression is not a selective phenomenon, as selective application would presume thorough understanding and thus spa</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cio</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temporal distancing. Repression typically applies to everything associated with conflict. The first generation are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broken people</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as the Austrian-born former governor of California Arnold Schwarzenegger characterizes the post-IIWW generation and his former Nazi father in multimedia, hoping that the new rising generation will not repeat similar conflicts. The destiny of the second generation, represented by Schwarzenegger himself, is to open the hidden to understand.</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Exactly this occurred with the perceived spiritual vacuum after the American Civil War (1861-1865), which left people socially and mentally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broken</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with one neighbour having killed and injured other neighbours, former friends, and acquaintances.</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The younger generation (2</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nd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tried to understand what even elders did not want to talk about, in all its complexity of causes and developments, influences, and most importantly – feelings and associations. It is not easy for any young person to come to an understanding of what the previous generation of adults misunderstood, made wrong decisions and acted on.</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It is the third generation that reaches the path of healing and constructive replacements. Spirituality, in the form of a new morality that people need, arrives always with delays. The practical steps of restoring inner faith and values were reached at the turn of the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19th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century,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as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described by Newberg Waldman (2010).</w:t>
      </w:r>
    </w:p>
    <w:p>
      <w:pPr>
        <w:pStyle w:val="ListParagraph"/>
        <w:numPr>
          <w:ilvl w:val="0"/>
          <w:numId w:val="1"/>
        </w:numPr>
        <w:shd w:val="clear" w:color="auto" w:fill="FFFFFF" w:themeFill="background1"/>
        <w:spacing w:lineRule="auto" w:line="480" w:beforeAutospacing="0" w:before="240" w:afterAutospacing="0" w:after="240"/>
        <w:contextualSpacing/>
        <w:jc w:val="left"/>
        <w:rPr>
          <w:rFonts w:ascii="Times New Roman" w:hAnsi="Times New Roman" w:eastAsia="Times New Roman" w:cs="Times New Roman"/>
          <w:b w:val="false"/>
          <w:b w:val="false"/>
          <w:bCs w:val="false"/>
          <w:i w:val="false"/>
          <w:i w:val="false"/>
          <w:iCs w:val="false"/>
          <w:caps w:val="false"/>
          <w:smallCaps w:val="false"/>
          <w:color w:val="auto"/>
          <w:sz w:val="24"/>
          <w:szCs w:val="24"/>
          <w:u w:val="single"/>
          <w:lang w:val="en-GB"/>
        </w:rPr>
      </w:pPr>
      <w:r>
        <w:rPr>
          <w:rFonts w:eastAsia="Times New Roman" w:cs="Times New Roman" w:ascii="Times New Roman" w:hAnsi="Times New Roman"/>
          <w:b w:val="false"/>
          <w:bCs w:val="false"/>
          <w:i w:val="false"/>
          <w:iCs w:val="false"/>
          <w:caps w:val="false"/>
          <w:smallCaps w:val="false"/>
          <w:color w:val="000000"/>
          <w:kern w:val="0"/>
          <w:sz w:val="24"/>
          <w:szCs w:val="24"/>
          <w:u w:val="single"/>
          <w:lang w:val="en-GB" w:eastAsia="ja-JP" w:bidi="ar-SA"/>
        </w:rPr>
        <w:t>C</w:t>
      </w:r>
      <w:r>
        <w:rPr>
          <w:rFonts w:eastAsia="Times New Roman" w:cs="Times New Roman" w:ascii="Times New Roman" w:hAnsi="Times New Roman"/>
          <w:b w:val="false"/>
          <w:bCs w:val="false"/>
          <w:i w:val="false"/>
          <w:iCs w:val="false"/>
          <w:caps w:val="false"/>
          <w:smallCaps w:val="false"/>
          <w:color w:val="000000"/>
          <w:sz w:val="24"/>
          <w:szCs w:val="24"/>
          <w:u w:val="single"/>
          <w:lang w:val="en-GB"/>
        </w:rPr>
        <w:t>ontemporary situation and the growing trauma. The</w:t>
      </w:r>
      <w:r>
        <w:rPr>
          <w:rFonts w:eastAsia="Times New Roman" w:cs="Times New Roman" w:ascii="Times New Roman" w:hAnsi="Times New Roman"/>
          <w:b w:val="false"/>
          <w:bCs w:val="false"/>
          <w:i w:val="false"/>
          <w:iCs w:val="false"/>
          <w:caps w:val="false"/>
          <w:smallCaps w:val="false"/>
          <w:color w:val="000000"/>
          <w:sz w:val="24"/>
          <w:szCs w:val="24"/>
          <w:u w:val="single"/>
          <w:lang w:val="en-GB"/>
        </w:rPr>
        <w:t xml:space="preserve"> role of Rumi and the Mawlawiyya Order in the alleviating.</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 xml:space="preserve">The trauma that had begun to heal in American society at the turn of the century was further aggravated by new sources of tension at the beginning of the new century.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19/20 century turn brought a significant wave of immigration to the American continent. The 76 million population at the turn of the century was augmented by 14.5 million over the next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two decades. Immigration slowed down with America's entry into World War I, in which the U.S. itself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also</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participated, while the home countries of these same migrants were fighting each other, creating a significant source of psychological tension.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 1924, alongside the establishment of the US Immigration Office, the Border Patrol was created to assist in enforcing newly imposed restrictions, issuing 70% of immigration visas again to citizens of three European countries – Germany, the UK, and Ireland. Most immigrants settled in urban areas where jobs were available. On the eve of World War II, far over half of New York City's population consisted of foreign-born residents and their children. Tensions were palpable, as the cities were rife with precursors to today's mass media, and literacy was a mandatory prerequisite for new immigrants.</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While the United States did not suffer as many casualties in World War II compared to European countries, entering the war created uncertainties and tensions within immigrant communities, many of whose home countries were already embroiled in conflict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and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often on opposing sides. Immediately after the attack on Pearl Harbor, origin-based deportations to internment camps began, marking only the beginning of the war...</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The post-World War II Korean War, followed by the Vietnam War, triggered new conflicts and heightened the tension of previous ones. The post-war generation that came of age started peaceful protests the tensions of the past. As the hippie generation aged, the more intelligent part of them were joined by a new generation seeking timeless spirituality and the peace of mind that comes with it.</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The slogan "make love, not war" of the 60s hippies - post-war second generation - was followed by the third generation and the 80s phenomenon of Rumi, the poet of eternal love. Love was clearly a theme through which to heal trauma, a deficiency that was felt and rediscovered through the works of Rumi, the foremost poet of love.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Al</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though the successful </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interpretation</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works of R. Bly and Coleman Barks are well known, they were not the only ones who tried to convey to society the spirituality it lacked. It can be inferred that America's predominantly Christian background did not resonate well with the classics of stigmatized Christian denominations. Lewis describes the interested readership as "unchurched Westerners who are hungry for some form of non-institutional religion or non-traditional spirituality" (Lewis 2000:2), reflecting the path of rediscovery of spirituality left by parental disillusionment. Just as the invention of printing broadened possibilities before the Reformation, we see a qualitative lea p in the expansion of the information space through the introduction of the World Wide Web in the 1980s.</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World War II was not a war of the Islamic world. Although it affected them in various painful ways, they did not see it as just, nor did they identify with it. Consequently, they remained outside the realm of the New World's intrapsychic conflict. In both predominantly Muslim countries in continental Europe, the Jewish community grew despite the Holocaust. Turkey, at the request of Albert Einstein, began accepting unemployed university staff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already in 1933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During the war, Albania, despite being occupied for years, provided refuge to Jewish fugitives. Similar examples abound, such as the community of the Great Mosque of Paris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etc</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This attitude is consistent with, in contrast to the Christian world, the growth of institutional religiosity in the US Muslim community in the post-WW II years (Hermansen 2004:40).</w:t>
      </w:r>
    </w:p>
    <w:p>
      <w:pPr>
        <w:pStyle w:val="Normal"/>
        <w:shd w:val="clear" w:color="auto" w:fill="FFFFFF" w:themeFill="background1"/>
        <w:spacing w:lineRule="auto" w:line="480" w:beforeAutospacing="0" w:before="302" w:afterAutospacing="0" w:after="302"/>
        <w:ind w:left="0" w:hanging="0"/>
        <w:jc w:val="left"/>
        <w:rPr>
          <w:rFonts w:ascii="Times New Roman" w:hAnsi="Times New Roman" w:eastAsia="Times New Roman" w:cs="Times New Roman"/>
          <w:b w:val="false"/>
          <w:b w:val="false"/>
          <w:bCs w:val="false"/>
          <w:i/>
          <w:i/>
          <w:iCs/>
          <w:caps w:val="false"/>
          <w:smallCaps w:val="false"/>
          <w:color w:val="000000" w:themeColor="text1" w:themeShade="ff" w:themeTint="ff"/>
          <w:sz w:val="24"/>
          <w:szCs w:val="24"/>
          <w:u w:val="none"/>
          <w:lang w:val="en-GB"/>
        </w:rPr>
      </w:pPr>
      <w:r>
        <w:rPr>
          <w:rFonts w:eastAsia="Times New Roman" w:cs="Times New Roman" w:ascii="Times New Roman" w:hAnsi="Times New Roman"/>
          <w:b w:val="false"/>
          <w:bCs w:val="false"/>
          <w:i/>
          <w:iCs/>
          <w:caps w:val="false"/>
          <w:smallCaps w:val="false"/>
          <w:color w:val="000000" w:themeColor="text1" w:themeShade="ff" w:themeTint="ff"/>
          <w:sz w:val="24"/>
          <w:szCs w:val="24"/>
          <w:u w:val="none"/>
          <w:lang w:val="en-GB"/>
        </w:rPr>
        <w:t>Mevlevi</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The beginning of the Mevlevi Order in the West can be traced to the trip of Reshad Feild, who had a Sufi background, to Turkey in December 1971, where he met Sheikh Suleiman Dede. Five years later, despite not even having converted to Islam, Feild was made a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sheikh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in the Mevlevi order. Reshad, originally from the UK, officially opened his centre in the USA. From Feild onwards, for many Western enthusiasts, Sufism was something that did not exclude Islam but transcended it. His initiative played a role in UNESCO declaring the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sema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ceremony as a cultural world heritage activity in 2004 </w:t>
      </w:r>
      <w:r>
        <w:rPr>
          <w:rStyle w:val="FootnoteAncho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footnoteReference w:id="2"/>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Just as the Qur'an advocates tolerance that differs from some of its inept interpreters, the Mevlevi order inherently advocates tolerance </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 xml:space="preserve">for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other religious denominations. Naturally, tolerance was part of Rumi’s heritage, which allows him to be used as a seemingly inexhaustible source of inspiration outside the traditional Islamic world. The Mevlevi Order of America emphasizes tolerance in its study by Simon Sorgenfrei (2020), who notes through visual observations and interviews that even most Order members do not identify as Muslims but rather through a broader spiritual orientation. Most members' previous familial backgrounds were either Christian or Jewish, with women reportedly slightly outnumbering men (ibid:130).</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Considering the traditional family background of the Order's members, we see clearly the contemporary developments of the Mevlevi Order not as a mandatory religious expansion but as an import of sought-after spiritualit</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y. Instead of a Christian background, which was largely behind the atrocities of World War II, causing not only insecurity but also alienation in immigrant communities in US, reconnection found assistance in the Mevlevi Order and its neutral, caring Muslim background. The love promoted by Rumi and through the Mevlevi Order leaves no room for interpretations of selfishness and nationalism that cause conflict. </w:t>
      </w:r>
    </w:p>
    <w:p>
      <w:pPr>
        <w:pStyle w:val="Heading4"/>
        <w:keepNext w:val="true"/>
        <w:keepLines/>
        <w:shd w:val="clear" w:color="auto" w:fill="FFFFFF" w:themeFill="background1"/>
        <w:spacing w:lineRule="auto" w:line="480" w:beforeAutospacing="0" w:before="245" w:afterAutospacing="0" w:after="115"/>
        <w:ind w:left="0" w:hanging="0"/>
        <w:jc w:val="left"/>
        <w:rPr>
          <w:rFonts w:ascii="Aptos" w:hAnsi="Aptos" w:eastAsia="Aptos" w:cs="Aptos"/>
          <w:b w:val="false"/>
          <w:b w:val="false"/>
          <w:bCs w:val="false"/>
          <w:i/>
          <w:i/>
          <w:iCs/>
          <w:caps w:val="false"/>
          <w:smallCaps w:val="false"/>
          <w:color w:val="000000" w:themeColor="text1" w:themeShade="ff" w:themeTint="ff"/>
          <w:sz w:val="24"/>
          <w:szCs w:val="24"/>
          <w:u w:val="none"/>
          <w:lang w:val="en-GB"/>
        </w:rPr>
      </w:pPr>
      <w:r>
        <w:rPr>
          <w:rFonts w:eastAsia="Aptos" w:cs="Aptos"/>
          <w:b w:val="false"/>
          <w:bCs w:val="false"/>
          <w:i/>
          <w:iCs/>
          <w:caps w:val="false"/>
          <w:smallCaps w:val="false"/>
          <w:color w:val="000000" w:themeColor="text1" w:themeShade="ff" w:themeTint="ff"/>
          <w:sz w:val="24"/>
          <w:szCs w:val="24"/>
          <w:u w:val="none"/>
          <w:lang w:val="en-GB"/>
        </w:rPr>
        <w:t>Rumi</w:t>
      </w:r>
    </w:p>
    <w:p>
      <w:pPr>
        <w:pStyle w:val="TextBody"/>
        <w:shd w:val="clear" w:color="auto" w:fill="FFFFFF" w:themeFill="background1"/>
        <w:spacing w:lineRule="auto" w:line="480" w:beforeAutospacing="0" w:before="302" w:afterAutospacing="0" w:after="302"/>
        <w:ind w:lef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u w:val="none"/>
          <w:lang w:val="en-GB"/>
        </w:rPr>
        <w:t>Rumi's promoted love allows for the avoidance of conflicts based on belonging to different ethnic groups and political parties. His poetry and poetic treatment of love for the Beloved are selfless:</w:t>
      </w:r>
    </w:p>
    <w:p>
      <w:pPr>
        <w:pStyle w:val="TextBody"/>
        <w:ind w:left="720" w:hanging="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color w:val="000000"/>
          <w:sz w:val="22"/>
          <w:szCs w:val="22"/>
        </w:rPr>
        <w:t xml:space="preserve">The Beloved is all, the lover just a veil </w:t>
      </w:r>
    </w:p>
    <w:p>
      <w:pPr>
        <w:pStyle w:val="TextBody"/>
        <w:ind w:left="720" w:hanging="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color w:val="000000"/>
          <w:sz w:val="22"/>
          <w:szCs w:val="22"/>
        </w:rPr>
        <w:t>The Beloved is living, the lover a dead thing</w:t>
      </w:r>
    </w:p>
    <w:p>
      <w:pPr>
        <w:pStyle w:val="TextBody"/>
        <w:spacing w:lineRule="auto" w:line="480" w:before="171" w:after="311"/>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u w:val="none"/>
          <w:lang w:val="en-GB" w:eastAsia="ja-JP" w:bidi="ar-SA"/>
        </w:rPr>
        <w:t>Selfless love is the basis for finding common ground or the Divine in fellow humans, which in turn enables constructive, not superficial, crisis healing based on moral values.</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Books associated with Rumi have sold several million copies in the Western world, making him one of the most important and influential spiritual authorities. Today, the Mevlevi Order of America is probably less renowned than Jalal al-Din Muhammad Rumi himself, who is one of the world's best-selling poets.</w:t>
      </w:r>
      <w:r>
        <w:rPr>
          <w:rFonts w:eastAsia="Times New Roman" w:cs="Times New Roman" w:ascii="Times New Roman" w:hAnsi="Times New Roman"/>
          <w:b w:val="false"/>
          <w:bCs w:val="false"/>
          <w:i w:val="false"/>
          <w:iCs w:val="false"/>
          <w:caps w:val="false"/>
          <w:smallCaps w:val="false"/>
          <w:color w:val="C9211E" w:themeShade="ff" w:themeTint="ff"/>
          <w:sz w:val="24"/>
          <w:szCs w:val="24"/>
          <w:highlight w:val="yellow"/>
          <w:lang w:val="en-GB"/>
        </w:rPr>
        <w:t xml:space="preserve">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Rumi has had several translators, but his popularity and significant circulation </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in America is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primarily attributed to interpreter and populariser C. Barks. Irwin (2019:31) describes Rumi’s rise in pop culture as inseparable from Barks' variations on earlier translations. While translations of Rumi existed before Barks, none of them, which focused on accuracy and context, have ever matched the popularity of Barks’ later, much freer interpretations. Barks, a member of the University of Georgia literature faculty, was invited by his friend Robert Bly (d2021) to 'bring to life' an earlier translation of Rumi through modern adaptation.</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Irwin (ibid) describes Barks’ 1984 poetry collection as the beginning of Rumi's rise to stardom. In the following decades, dozens of books were published. Since Barks does not speak Persian, the language in which Rumi mostly wrote, his adaptations are based on earlier works by other authors, Barks' own subjective feelings, and inner reflections. Irwin (ibid:19) uses Barks' own quote to characterize his interpretative style: “without much attention to historical context, nor much literal faithfulness to the original.”</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An important aspect of Barks' style is the omission of religious terms and themes (Lewis 2000:2), yet the poetry brought to the market retains its spiritual aura and morality. Due to its spirituality, many subsequent pop-culture icons consider Rumi an inspiration in their spiritual quest, creating a multi-layered intertwined cultural phenomenon that further promotes the original spirit. Following the previously achieved popularity, many subsequent writers use Rumi's name and Barks-like style.</w:t>
      </w:r>
    </w:p>
    <w:p>
      <w:pPr>
        <w:pStyle w:val="Normal"/>
        <w:spacing w:lineRule="auto" w:line="480" w:before="0" w:after="160"/>
        <w:rPr>
          <w:rFonts w:ascii="Aptos" w:hAnsi="Aptos" w:eastAsia="Aptos" w:cs="Aptos"/>
          <w:b w:val="false"/>
          <w:b w:val="false"/>
          <w:bCs w:val="false"/>
          <w:i w:val="false"/>
          <w:i w:val="false"/>
          <w:iCs w:val="false"/>
          <w:caps w:val="false"/>
          <w:smallCaps w:val="false"/>
          <w:color w:val="000000" w:themeColor="text1" w:themeShade="ff" w:themeTint="ff"/>
          <w:sz w:val="24"/>
          <w:szCs w:val="24"/>
          <w:lang w:val="en-GB"/>
        </w:rPr>
      </w:pPr>
      <w:r>
        <w:rPr>
          <w:rFonts w:eastAsia="Aptos" w:cs="Aptos"/>
          <w:b w:val="false"/>
          <w:bCs w:val="false"/>
          <w:i w:val="false"/>
          <w:iCs w:val="false"/>
          <w:caps w:val="false"/>
          <w:smallCaps w:val="false"/>
          <w:color w:val="000000" w:themeColor="text1" w:themeShade="ff" w:themeTint="ff"/>
          <w:sz w:val="24"/>
          <w:szCs w:val="24"/>
          <w:lang w:val="en-GB"/>
        </w:rPr>
      </w:r>
    </w:p>
    <w:p>
      <w:pPr>
        <w:pStyle w:val="Normal"/>
        <w:spacing w:lineRule="auto" w:line="480" w:before="0" w:after="160"/>
        <w:rPr>
          <w:rFonts w:ascii="Aptos" w:hAnsi="Aptos" w:eastAsia="Aptos" w:cs="Aptos"/>
          <w:b w:val="false"/>
          <w:b w:val="false"/>
          <w:bCs w:val="false"/>
          <w:i w:val="false"/>
          <w:i w:val="false"/>
          <w:iCs w:val="false"/>
          <w:caps w:val="false"/>
          <w:smallCaps w:val="false"/>
          <w:color w:val="000000" w:themeColor="text1" w:themeShade="ff" w:themeTint="ff"/>
          <w:sz w:val="24"/>
          <w:szCs w:val="24"/>
          <w:lang w:val="en-GB"/>
        </w:rPr>
      </w:pPr>
      <w:r>
        <w:rPr>
          <w:rFonts w:eastAsia="Aptos" w:cs="Aptos"/>
          <w:b w:val="false"/>
          <w:bCs w:val="false"/>
          <w:i w:val="false"/>
          <w:iCs w:val="false"/>
          <w:caps w:val="false"/>
          <w:smallCaps w:val="false"/>
          <w:color w:val="000000" w:themeColor="text1" w:themeShade="ff" w:themeTint="ff"/>
          <w:sz w:val="24"/>
          <w:szCs w:val="24"/>
          <w:lang w:val="en-GB"/>
        </w:rPr>
      </w:r>
    </w:p>
    <w:p>
      <w:pPr>
        <w:pStyle w:val="ListParagraph"/>
        <w:numPr>
          <w:ilvl w:val="0"/>
          <w:numId w:val="4"/>
        </w:numPr>
        <w:shd w:val="clear" w:color="auto" w:fill="FFFFFF" w:themeFill="background1"/>
        <w:spacing w:lineRule="auto" w:line="480" w:beforeAutospacing="0" w:before="240" w:afterAutospacing="0" w:after="302"/>
        <w:contextualSpacing/>
        <w:jc w:val="left"/>
        <w:rPr>
          <w:rFonts w:ascii="Times New Roman" w:hAnsi="Times New Roman" w:eastAsia="Times New Roman" w:cs="Times New Roman"/>
          <w:b/>
          <w:b/>
          <w:bCs/>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Summary</w:t>
      </w:r>
    </w:p>
    <w:p>
      <w:pPr>
        <w:pStyle w:val="Normal"/>
        <w:shd w:val="clear" w:color="auto" w:fill="FFFFFF" w:themeFill="background1"/>
        <w:spacing w:lineRule="auto" w:line="480" w:beforeAutospacing="0" w:before="302" w:afterAutospacing="0" w:after="302"/>
        <w:jc w:val="left"/>
        <w:rPr>
          <w:rFonts w:ascii="Aptos" w:hAnsi="Aptos" w:eastAsia="Aptos" w:cs="Aptos"/>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The actuality of each pheno</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menon in each time and space is formed by the sum of specific expectations, needs, and corresponding opportunities. </w:t>
      </w:r>
      <w:r>
        <w:rPr>
          <w:rFonts w:eastAsia="Aptos" w:cs="Aptos"/>
          <w:b w:val="false"/>
          <w:bCs w:val="false"/>
          <w:i w:val="false"/>
          <w:iCs w:val="false"/>
          <w:caps w:val="false"/>
          <w:smallCaps w:val="false"/>
          <w:color w:val="000000" w:themeColor="text1" w:themeShade="ff" w:themeTint="ff"/>
          <w:sz w:val="24"/>
          <w:szCs w:val="24"/>
          <w:lang w:val="en-GB"/>
        </w:rPr>
        <w:t xml:space="preserve"> </w:t>
      </w:r>
    </w:p>
    <w:p>
      <w:pPr>
        <w:pStyle w:val="Normal"/>
        <w:shd w:val="clear" w:color="auto" w:fill="FFFFFF" w:themeFill="background1"/>
        <w:spacing w:lineRule="auto" w:line="480" w:beforeAutospacing="0" w:before="302" w:afterAutospacing="0" w:after="302"/>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Against the backdrop of the previously described episodes, we can clearly observe characteristics typical of a spiritual crisis. Social formations can be considered self-regulating organisms, which tend to minimize their free energy (Friston law). As a result of synergistic leaps out of an inherently diminishing state commonly called as equilibrium, we see a large-scale import of spirituality taking place in parallel with the rapid development of media. In the development of the late medieval crisis, the import of spirituality was facilitated by the advancement of printing technology, a significant quantitative leap in informatics comparable to the development of the internet since the 1980s, which led in both cases to a qualitative growth in spirituality.</w:t>
      </w:r>
    </w:p>
    <w:p>
      <w:pPr>
        <w:pStyle w:val="Normal"/>
        <w:shd w:val="clear" w:color="auto" w:fill="FFFFFF" w:themeFill="background1"/>
        <w:spacing w:lineRule="auto" w:line="480" w:beforeAutospacing="0" w:before="302" w:afterAutospacing="0" w:after="302"/>
        <w:ind w:left="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u w:val="none"/>
          <w:lang w:val="en-GB" w:eastAsia="ja-JP" w:bidi="ar-SA"/>
        </w:rPr>
        <w:t>Rumi should be regarded as a highly positive role model much needed for alleviating crises in the Western world. His unconditional and all-encompassing love provides an extremely important key to incorporating the fundamental truths of spirituality. (Rumi, transl. Helminski&amp;Helminski 1999:7)</w:t>
      </w:r>
      <w:r>
        <w:rPr>
          <w:rFonts w:eastAsia="Times New Roman" w:cs="Times New Roman" w:ascii="Times New Roman" w:hAnsi="Times New Roman"/>
          <w:b w:val="false"/>
          <w:bCs w:val="false"/>
          <w:i w:val="false"/>
          <w:iCs w:val="false"/>
          <w:caps w:val="false"/>
          <w:smallCaps w:val="false"/>
          <w:color w:val="C9211E" w:themeShade="ff" w:themeTint="ff"/>
          <w:sz w:val="24"/>
          <w:szCs w:val="24"/>
          <w:u w:val="none"/>
          <w:lang w:val="en-GB"/>
        </w:rPr>
        <w:t>:</w:t>
      </w:r>
    </w:p>
    <w:p>
      <w:pPr>
        <w:pStyle w:val="Normal"/>
        <w:shd w:val="clear" w:color="auto" w:fill="FFFFFF" w:themeFill="background1"/>
        <w:spacing w:lineRule="auto" w:line="240" w:beforeAutospacing="0" w:before="302" w:afterAutospacing="0" w:after="302"/>
        <w:ind w:left="72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2"/>
          <w:szCs w:val="22"/>
          <w:u w:val="none"/>
          <w:lang w:val="en-GB" w:eastAsia="ja-JP" w:bidi="ar-SA"/>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2"/>
          <w:szCs w:val="22"/>
          <w:u w:val="none"/>
          <w:lang w:val="en-GB" w:eastAsia="ja-JP" w:bidi="ar-SA"/>
        </w:rPr>
        <w:t>where there is no division</w:t>
      </w:r>
    </w:p>
    <w:p>
      <w:pPr>
        <w:pStyle w:val="Normal"/>
        <w:shd w:val="clear" w:color="auto" w:fill="FFFFFF" w:themeFill="background1"/>
        <w:spacing w:lineRule="auto" w:line="240" w:beforeAutospacing="0" w:before="302" w:afterAutospacing="0" w:after="302"/>
        <w:ind w:left="72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2"/>
          <w:szCs w:val="22"/>
          <w:lang w:val="en-GB" w:eastAsia="ja-JP" w:bidi="ar-SA"/>
        </w:rPr>
        <w:t>between man and man, or woman,</w:t>
      </w:r>
    </w:p>
    <w:p>
      <w:pPr>
        <w:pStyle w:val="Normal"/>
        <w:spacing w:lineRule="auto" w:line="240" w:before="0" w:after="103"/>
        <w:ind w:left="72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2"/>
          <w:szCs w:val="22"/>
          <w:lang w:val="en-GB" w:eastAsia="ja-JP" w:bidi="ar-SA"/>
        </w:rPr>
        <w:t>but only a unity of souls</w:t>
      </w:r>
    </w:p>
    <w:p>
      <w:pPr>
        <w:pStyle w:val="Normal"/>
        <w:shd w:val="clear" w:color="auto" w:fill="FFFFFF" w:themeFill="background1"/>
        <w:spacing w:lineRule="auto" w:line="240" w:beforeAutospacing="0" w:before="302" w:afterAutospacing="0" w:after="302"/>
        <w:ind w:left="720" w:hanging="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2"/>
          <w:szCs w:val="22"/>
          <w:lang w:val="en-GB" w:eastAsia="ja-JP" w:bidi="ar-SA"/>
        </w:rPr>
        <w:t xml:space="preserve">in the process of return to their Creator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Comparing Rumi with </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 xml:space="preserve">other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famous contemporary poets like Yunus Emre (d1320), another outstanding and highly celebrated representative of the so-called Anatolian Renaissance, Rumi's semantic message can be assessed as more straightforward and comprehensible, and he himself as more consistent. Rumi's slightly more sophisticated, partly urban culture-influenced Persian poetry is actually preferred over Yunus's folk language, that includes specific structural folk elements (e.g., "tekerlemeler"); epithets and scenarios (Roditi &amp; Dino 1987), which, while understandable in literal translation, present challenges in conveying their historical cultural nuances </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without knowing</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their original context and specifics. Rumi's multicultural background, which required him to focus on making himself understood, included influences from other cultures (Lewis 2000:4), making him also recognizable to a multicultural American readership.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Rumi's undeniable strength lies in his universality, making him perpetually relevant "in many diverse – psychological, emotional, social, religious, literary, and metaphysical – contexts" (Helminski 2014:127). Stripped of Islam, as is common among many interpreters (Lewis 2000:7), this universality allows different contemporary seekers to identify with Rumi, even seeing him as a "homoerotic Sufi saint" (James 2019). </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While intoxication with God (Helminski &amp; Helminski 1994:48) is not unfamiliar to Rumi, his work also emphasizes self-control and discipline (ibid: 29-15), providing a clear social foundation. Additionally, Rumi's teacher and companion, Shamsi Tabriz, clearly condemned the use of psychoactive substances (Kurniawan 2009:55). Thus, from the perspective of broad spiritual social acceptance, Rumi undeniably seems the more economical choice </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than for example Yunus.</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 xml:space="preserve">The nature of imported spirituality is best illustrated by the introduction to Rumi's own masterpiece, The </w:t>
      </w:r>
      <w:r>
        <w:rPr>
          <w:rFonts w:eastAsia="Times New Roman" w:cs="Times New Roman" w:ascii="Times New Roman" w:hAnsi="Times New Roman"/>
          <w:b w:val="false"/>
          <w:bCs w:val="false"/>
          <w:i/>
          <w:iCs/>
          <w:caps w:val="false"/>
          <w:smallCaps w:val="false"/>
          <w:color w:val="000000" w:themeColor="text1" w:themeShade="ff" w:themeTint="ff"/>
          <w:kern w:val="0"/>
          <w:sz w:val="24"/>
          <w:szCs w:val="24"/>
          <w:lang w:val="en-GB" w:eastAsia="ja-JP" w:bidi="ar-SA"/>
        </w:rPr>
        <w:t>Mathnawi,</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 xml:space="preserve"> where he describes what is offered to the reader as "the roots of the roots of the roots of the Religion" (Nicholson 1926:3). </w:t>
      </w:r>
      <w:r>
        <w:rPr>
          <w:rFonts w:eastAsia="Times New Roman" w:cs="Times New Roman" w:ascii="Times New Roman" w:hAnsi="Times New Roman"/>
          <w:b w:val="false"/>
          <w:bCs w:val="false"/>
          <w:i/>
          <w:iCs/>
          <w:caps w:val="false"/>
          <w:smallCaps w:val="false"/>
          <w:color w:val="000000" w:themeColor="text1" w:themeShade="ff" w:themeTint="ff"/>
          <w:kern w:val="0"/>
          <w:sz w:val="24"/>
          <w:szCs w:val="24"/>
          <w:lang w:val="en-GB" w:eastAsia="ja-JP" w:bidi="ar-SA"/>
        </w:rPr>
        <w:t>Mathnawi</w:t>
      </w:r>
      <w:r>
        <w:rPr>
          <w:rFonts w:eastAsia="Times New Roman" w:cs="Times New Roman" w:ascii="Times New Roman" w:hAnsi="Times New Roman"/>
          <w:b w:val="false"/>
          <w:bCs w:val="false"/>
          <w:i w:val="false"/>
          <w:iCs w:val="false"/>
          <w:caps w:val="false"/>
          <w:smallCaps w:val="false"/>
          <w:color w:val="000000" w:themeColor="text1" w:themeShade="ff" w:themeTint="ff"/>
          <w:kern w:val="0"/>
          <w:sz w:val="24"/>
          <w:szCs w:val="24"/>
          <w:lang w:val="en-GB" w:eastAsia="ja-JP" w:bidi="ar-SA"/>
        </w:rPr>
        <w:t xml:space="preserve"> is at the same time a highly multi-layered work, from which even the casual reader may successfully seek self-assistance.</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Rumi is rightfully considered one of the most important poets and philosophers of the Islamic world. Residents of various regions, such as Turkey, where he spent most of his life, Iran, the historical centre of Persian language and culture, and present-day Afghanistan, where his birthplace is located, claim him as their "own" poet. These three countries initiated his 800 birth anniversary celebrations under UNESCO's aegis on September 6, 2007 </w:t>
      </w:r>
      <w:r>
        <w:rPr>
          <w:rStyle w:val="FootnoteAncho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footnoteReference w:id="3"/>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Today, he is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also</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recognized as their “own" by a large part of the Western world.</w:t>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spacing w:lineRule="auto" w:line="480" w:beforeAutospacing="0" w:before="302" w:afterAutospacing="0" w:after="302"/>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shd w:val="clear" w:color="auto" w:fill="FFFFFF" w:themeFill="background1"/>
        <w:bidi w:val="0"/>
        <w:spacing w:lineRule="auto" w:line="480" w:beforeAutospacing="0" w:before="302" w:afterAutospacing="0" w:after="302"/>
        <w:ind w:left="0" w:right="562" w:hanging="0"/>
        <w:jc w:val="left"/>
        <w:rPr>
          <w:rFonts w:ascii="Times New Roman" w:hAnsi="Times New Roman" w:eastAsia="Times New Roman" w:cs="Times New Roman"/>
          <w:color w:val="000000" w:themeColor="text1" w:themeShade="ff" w:themeTint="ff"/>
          <w:sz w:val="24"/>
          <w:szCs w:val="24"/>
          <w:u w:val="single"/>
          <w:lang w:val="en-GB"/>
        </w:rPr>
      </w:pPr>
      <w:r>
        <w:rPr>
          <w:rFonts w:eastAsia="Times New Roman" w:cs="Times New Roman" w:ascii="Times New Roman" w:hAnsi="Times New Roman"/>
          <w:color w:val="000000" w:themeColor="text1" w:themeShade="ff" w:themeTint="ff"/>
          <w:sz w:val="24"/>
          <w:szCs w:val="24"/>
          <w:u w:val="single"/>
          <w:lang w:val="en-GB"/>
        </w:rPr>
        <w:t>References:</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t-EE"/>
        </w:rPr>
        <w:t xml:space="preserve">Abrahamov, B. (2015). </w:t>
      </w:r>
      <w:r>
        <w:rPr>
          <w:rFonts w:eastAsia="Times New Roman" w:cs="Times New Roman" w:ascii="Times New Roman" w:hAnsi="Times New Roman"/>
          <w:b w:val="false"/>
          <w:bCs w:val="false"/>
          <w:i w:val="false"/>
          <w:iCs w:val="false"/>
          <w:color w:val="000000" w:themeColor="text1" w:themeShade="ff" w:themeTint="ff"/>
          <w:kern w:val="2"/>
          <w:sz w:val="24"/>
          <w:szCs w:val="24"/>
          <w:lang w:val="et-EE" w:eastAsia="zh-CN" w:bidi="hi-IN"/>
        </w:rPr>
        <w:t>"</w:t>
      </w:r>
      <w:r>
        <w:rPr>
          <w:rFonts w:eastAsia="Times New Roman" w:cs="Times New Roman" w:ascii="Times New Roman" w:hAnsi="Times New Roman"/>
          <w:color w:val="000000" w:themeColor="text1" w:themeShade="ff" w:themeTint="ff"/>
          <w:sz w:val="24"/>
          <w:szCs w:val="24"/>
          <w:lang w:val="et-EE"/>
        </w:rPr>
        <w:t>Ibn Al-Arabi's Fusus Al-Hikam: An Annotated Translation of "The Bezels of Wisdom"."Routledg</w:t>
      </w:r>
      <w:r>
        <w:rPr>
          <w:rFonts w:eastAsia="Times New Roman" w:cs="Times New Roman" w:ascii="Times New Roman" w:hAnsi="Times New Roman"/>
          <w:color w:val="000000" w:themeColor="text1" w:themeShade="ff" w:themeTint="ff"/>
          <w:kern w:val="2"/>
          <w:sz w:val="24"/>
          <w:szCs w:val="24"/>
          <w:lang w:val="et-EE" w:eastAsia="zh-CN" w:bidi="hi-IN"/>
        </w:rPr>
        <w:t xml:space="preserve">e </w:t>
      </w:r>
      <w:r>
        <w:rPr>
          <w:rFonts w:eastAsia="Times New Roman" w:cs="Times New Roman" w:ascii="Times New Roman" w:hAnsi="Times New Roman"/>
          <w:b w:val="false"/>
          <w:i w:val="false"/>
          <w:caps w:val="false"/>
          <w:smallCaps w:val="false"/>
          <w:color w:val="000000" w:themeColor="text1" w:themeShade="ff" w:themeTint="ff"/>
          <w:spacing w:val="0"/>
          <w:kern w:val="2"/>
          <w:sz w:val="24"/>
          <w:szCs w:val="24"/>
          <w:lang w:val="et-EE" w:eastAsia="zh-CN" w:bidi="hi-IN"/>
        </w:rPr>
        <w:t>ISBN 9780367871482</w:t>
      </w:r>
      <w:r>
        <w:rPr>
          <w:rFonts w:eastAsia="Times New Roman" w:cs="Times New Roman" w:ascii="Times New Roman" w:hAnsi="Times New Roman"/>
          <w:color w:val="000000" w:themeColor="text1" w:themeShade="ff" w:themeTint="ff"/>
          <w:kern w:val="2"/>
          <w:sz w:val="24"/>
          <w:szCs w:val="24"/>
          <w:lang w:val="et-EE" w:eastAsia="zh-CN" w:bidi="hi-IN"/>
        </w:rPr>
        <w:t xml:space="preserve"> </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n-GB"/>
        </w:rPr>
        <w:t xml:space="preserve">Ay, R. (2013). </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Sufi Shayks and Society in Thirteenth and Fifteenth Century Anatolia: Spiritual Influence and Rivalry</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 xml:space="preserve"> </w:t>
      </w:r>
      <w:r>
        <w:rPr>
          <w:rFonts w:eastAsia="Times New Roman" w:cs="Times New Roman" w:ascii="Times New Roman" w:hAnsi="Times New Roman"/>
          <w:i/>
          <w:iCs/>
          <w:color w:val="000000" w:themeColor="text1" w:themeShade="ff" w:themeTint="ff"/>
          <w:sz w:val="24"/>
          <w:szCs w:val="24"/>
          <w:lang w:val="en-GB"/>
        </w:rPr>
        <w:t>Journal of Islamic Studies</w:t>
      </w:r>
      <w:r>
        <w:rPr>
          <w:rFonts w:eastAsia="Times New Roman" w:cs="Times New Roman" w:ascii="Times New Roman" w:hAnsi="Times New Roman"/>
          <w:color w:val="000000" w:themeColor="text1" w:themeShade="ff" w:themeTint="ff"/>
          <w:sz w:val="24"/>
          <w:szCs w:val="24"/>
          <w:lang w:val="en-GB"/>
        </w:rPr>
        <w:t xml:space="preserve">, </w:t>
      </w:r>
      <w:r>
        <w:rPr>
          <w:rFonts w:eastAsia="Times New Roman" w:cs="Times New Roman" w:ascii="Times New Roman" w:hAnsi="Times New Roman"/>
          <w:i/>
          <w:iCs/>
          <w:color w:val="000000" w:themeColor="text1" w:themeShade="ff" w:themeTint="ff"/>
          <w:sz w:val="24"/>
          <w:szCs w:val="24"/>
          <w:lang w:val="en-GB"/>
        </w:rPr>
        <w:t>24</w:t>
      </w:r>
      <w:r>
        <w:rPr>
          <w:rFonts w:eastAsia="Times New Roman" w:cs="Times New Roman" w:ascii="Times New Roman" w:hAnsi="Times New Roman"/>
          <w:color w:val="000000" w:themeColor="text1" w:themeShade="ff" w:themeTint="ff"/>
          <w:sz w:val="24"/>
          <w:szCs w:val="24"/>
          <w:lang w:val="en-GB"/>
        </w:rPr>
        <w:t xml:space="preserve">(1), 1–24. </w:t>
      </w:r>
      <w:hyperlink r:id="rId2">
        <w:r>
          <w:rPr>
            <w:rStyle w:val="InternetLink"/>
            <w:rFonts w:eastAsia="Times New Roman" w:cs="Times New Roman" w:ascii="Times New Roman" w:hAnsi="Times New Roman"/>
            <w:b w:val="false"/>
            <w:bCs w:val="false"/>
            <w:i w:val="false"/>
            <w:iCs w:val="false"/>
            <w:sz w:val="24"/>
            <w:szCs w:val="24"/>
            <w:lang w:val="et-EE"/>
          </w:rPr>
          <w:t>https://www.jstor.org/stable/26201094</w:t>
        </w:r>
      </w:hyperlink>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olor w:val="000000" w:themeColor="text1" w:themeShade="ff" w:themeTint="ff"/>
          <w:sz w:val="24"/>
          <w:szCs w:val="24"/>
          <w:lang w:val="et-EE"/>
        </w:rPr>
        <w:t xml:space="preserve">Filiz, S., &amp; Nurpeııs, L. (2021). "Sufism as a Turkish Renaissance". </w:t>
      </w:r>
      <w:r>
        <w:rPr>
          <w:rFonts w:eastAsia="Times New Roman" w:cs="Times New Roman" w:ascii="Times New Roman" w:hAnsi="Times New Roman"/>
          <w:b w:val="false"/>
          <w:bCs w:val="false"/>
          <w:i/>
          <w:iCs/>
          <w:color w:val="000000" w:themeColor="text1" w:themeShade="ff" w:themeTint="ff"/>
          <w:sz w:val="24"/>
          <w:szCs w:val="24"/>
          <w:lang w:val="et-EE"/>
        </w:rPr>
        <w:t>Adam Alemi</w:t>
      </w:r>
      <w:r>
        <w:rPr>
          <w:rFonts w:eastAsia="Times New Roman" w:cs="Times New Roman" w:ascii="Times New Roman" w:hAnsi="Times New Roman"/>
          <w:b w:val="false"/>
          <w:bCs w:val="false"/>
          <w:i w:val="false"/>
          <w:iCs w:val="false"/>
          <w:color w:val="000000" w:themeColor="text1" w:themeShade="ff" w:themeTint="ff"/>
          <w:sz w:val="24"/>
          <w:szCs w:val="24"/>
          <w:lang w:val="et-EE"/>
        </w:rPr>
        <w:t xml:space="preserve">, 88(2), 112–121. </w:t>
      </w:r>
      <w:hyperlink r:id="rId3">
        <w:r>
          <w:rPr>
            <w:rStyle w:val="InternetLink"/>
            <w:rFonts w:eastAsia="Times New Roman" w:cs="Times New Roman" w:ascii="Times New Roman" w:hAnsi="Times New Roman"/>
            <w:b w:val="false"/>
            <w:bCs w:val="false"/>
            <w:i w:val="false"/>
            <w:iCs w:val="false"/>
            <w:sz w:val="24"/>
            <w:szCs w:val="24"/>
            <w:lang w:val="et-EE"/>
          </w:rPr>
          <w:t>https://doi.org/10.48010/2021.2/1999-5849.11</w:t>
        </w:r>
      </w:hyperlink>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color w:val="000000" w:themeColor="text1" w:themeShade="ff" w:themeTint="ff"/>
          <w:sz w:val="24"/>
          <w:szCs w:val="24"/>
          <w:lang w:val="et-EE"/>
        </w:rPr>
        <w:t>Helminski, C., Helminski, K. (1994) "Rumi Daylight. A Daybook of Spiritual Guidance", Shambala Publications Inc., eISBN 978-0-8348-2517-8</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t-EE"/>
        </w:rPr>
        <w:t>Helminski, K (1999) "The Knowing Heart. A Sufi Path pf Transformation", Shambala Publications Inc., ISBN 978-1570625664</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color w:val="000000" w:themeColor="text1" w:themeShade="ff" w:themeTint="ff"/>
          <w:sz w:val="24"/>
          <w:szCs w:val="24"/>
          <w:lang w:val="et-EE"/>
        </w:rPr>
        <w:t xml:space="preserve">Helminski, K. (2014) "The Contemporary Relevance of Rumi’s Language of the Soul" from Lewisohn, L. ed </w:t>
      </w:r>
      <w:r>
        <w:rPr>
          <w:rFonts w:eastAsia="Times New Roman" w:cs="Times New Roman" w:ascii="Times New Roman" w:hAnsi="Times New Roman"/>
          <w:b w:val="false"/>
          <w:bCs w:val="false"/>
          <w:i/>
          <w:iCs/>
          <w:color w:val="000000" w:themeColor="text1" w:themeShade="ff" w:themeTint="ff"/>
          <w:sz w:val="24"/>
          <w:szCs w:val="24"/>
          <w:lang w:val="et-EE"/>
        </w:rPr>
        <w:t>The Philosophy Of Ecstasy: Rumi and the Sufi Tradition</w:t>
      </w:r>
      <w:r>
        <w:rPr>
          <w:rFonts w:eastAsia="Times New Roman" w:cs="Times New Roman" w:ascii="Times New Roman" w:hAnsi="Times New Roman"/>
          <w:b w:val="false"/>
          <w:bCs w:val="false"/>
          <w:color w:val="000000" w:themeColor="text1" w:themeShade="ff" w:themeTint="ff"/>
          <w:sz w:val="24"/>
          <w:szCs w:val="24"/>
          <w:lang w:val="et-EE"/>
        </w:rPr>
        <w:t>, World Wisdon Inc. ISBN 978-1-936597-42-0</w:t>
      </w:r>
    </w:p>
    <w:p>
      <w:pPr>
        <w:pStyle w:val="Normal"/>
        <w:shd w:val="clear" w:color="auto" w:fill="FFFFFF" w:themeFill="background1"/>
        <w:bidi w:val="0"/>
        <w:spacing w:lineRule="auto" w:line="480" w:beforeAutospacing="0" w:before="302" w:afterAutospacing="0" w:after="302"/>
        <w:ind w:left="0" w:right="562" w:hanging="0"/>
        <w:jc w:val="left"/>
        <w:rPr>
          <w:rFonts w:ascii="Aptos" w:hAnsi="Aptos" w:eastAsia="Aptos" w:cs="Aptos"/>
          <w:b w:val="false"/>
          <w:b w:val="false"/>
          <w:bCs w:val="false"/>
          <w:i w:val="false"/>
          <w:i w:val="false"/>
          <w:iCs w:val="false"/>
          <w:caps w:val="false"/>
          <w:smallCaps w:val="false"/>
          <w:color w:val="000000" w:themeColor="text1" w:themeShade="ff" w:themeTint="ff"/>
          <w:sz w:val="24"/>
          <w:szCs w:val="24"/>
          <w:lang w:val="en-GB"/>
        </w:rPr>
      </w:pPr>
      <w:r>
        <w:rPr>
          <w:rFonts w:eastAsia="Aptos" w:cs="Aptos"/>
          <w:b w:val="false"/>
          <w:bCs w:val="false"/>
          <w:i w:val="false"/>
          <w:iCs w:val="false"/>
          <w:caps w:val="false"/>
          <w:smallCaps w:val="false"/>
          <w:color w:val="000000" w:themeColor="text1" w:themeShade="ff" w:themeTint="ff"/>
          <w:sz w:val="24"/>
          <w:szCs w:val="24"/>
          <w:lang w:val="en-GB"/>
        </w:rPr>
        <w:t xml:space="preserve">Hermansen, M.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t-EE"/>
        </w:rPr>
        <w:t>"</w:t>
      </w:r>
      <w:r>
        <w:rPr>
          <w:rFonts w:eastAsia="Aptos" w:cs="Aptos"/>
          <w:b w:val="false"/>
          <w:bCs w:val="false"/>
          <w:i w:val="false"/>
          <w:iCs w:val="false"/>
          <w:caps w:val="false"/>
          <w:smallCaps w:val="false"/>
          <w:color w:val="000000" w:themeColor="text1" w:themeShade="ff" w:themeTint="ff"/>
          <w:sz w:val="24"/>
          <w:szCs w:val="24"/>
          <w:lang w:val="en-GB"/>
        </w:rPr>
        <w:t>What’s American about American Sufi Movements.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t-EE"/>
        </w:rPr>
        <w:t>"</w:t>
      </w:r>
      <w:r>
        <w:rPr>
          <w:rFonts w:eastAsia="Aptos" w:cs="Aptos"/>
          <w:b w:val="false"/>
          <w:bCs w:val="false"/>
          <w:i w:val="false"/>
          <w:iCs w:val="false"/>
          <w:caps w:val="false"/>
          <w:smallCaps w:val="false"/>
          <w:color w:val="000000" w:themeColor="text1" w:themeShade="ff" w:themeTint="ff"/>
          <w:sz w:val="24"/>
          <w:szCs w:val="24"/>
          <w:lang w:val="en-GB"/>
        </w:rPr>
        <w:t xml:space="preserve"> from Westerlund, D., &amp; Westerlund, D. (Eds.). (2004).</w:t>
      </w:r>
      <w:r>
        <w:rPr>
          <w:rFonts w:eastAsia="Aptos" w:cs="Aptos"/>
          <w:b w:val="false"/>
          <w:bCs w:val="false"/>
          <w:i/>
          <w:iCs/>
          <w:caps w:val="false"/>
          <w:smallCaps w:val="false"/>
          <w:color w:val="000000" w:themeColor="text1" w:themeShade="ff" w:themeTint="ff"/>
          <w:sz w:val="24"/>
          <w:szCs w:val="24"/>
          <w:lang w:val="en-GB"/>
        </w:rPr>
        <w:t xml:space="preserve"> Sufism in Europe and North America (1st ed.)</w:t>
      </w:r>
      <w:r>
        <w:rPr>
          <w:rFonts w:eastAsia="Aptos" w:cs="Aptos"/>
          <w:b w:val="false"/>
          <w:bCs w:val="false"/>
          <w:i w:val="false"/>
          <w:iCs w:val="false"/>
          <w:caps w:val="false"/>
          <w:smallCaps w:val="false"/>
          <w:color w:val="000000" w:themeColor="text1" w:themeShade="ff" w:themeTint="ff"/>
          <w:sz w:val="24"/>
          <w:szCs w:val="24"/>
          <w:lang w:val="en-GB"/>
        </w:rPr>
        <w:t xml:space="preserve">. Routledge. </w:t>
      </w:r>
      <w:hyperlink r:id="rId4">
        <w:r>
          <w:rPr>
            <w:rStyle w:val="InternetLink"/>
            <w:rFonts w:eastAsia="Aptos" w:cs="Aptos"/>
            <w:b w:val="false"/>
            <w:bCs w:val="false"/>
            <w:i w:val="false"/>
            <w:iCs w:val="false"/>
            <w:caps w:val="false"/>
            <w:smallCaps w:val="false"/>
            <w:sz w:val="24"/>
            <w:szCs w:val="24"/>
            <w:lang w:val="en-GB"/>
          </w:rPr>
          <w:t>https://doi.org/10.4324/9780203346242</w:t>
        </w:r>
      </w:hyperlink>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color w:val="000000" w:themeColor="text1" w:themeShade="ff" w:themeTint="ff"/>
          <w:sz w:val="24"/>
          <w:szCs w:val="24"/>
          <w:lang w:val="et-EE"/>
        </w:rPr>
        <w:t>Irwin, R. (2019) "</w:t>
      </w:r>
      <w:r>
        <w:rPr>
          <w:rFonts w:eastAsia="Times New Roman" w:cs="Times New Roman" w:ascii="Times New Roman" w:hAnsi="Times New Roman"/>
          <w:color w:val="000000" w:themeColor="text1" w:themeShade="ff" w:themeTint="ff"/>
          <w:sz w:val="24"/>
          <w:szCs w:val="24"/>
          <w:lang w:val="en-GB"/>
        </w:rPr>
        <w:t>Global Rumi</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 xml:space="preserve"> from </w:t>
      </w:r>
      <w:r>
        <w:rPr>
          <w:rFonts w:eastAsia="Times New Roman" w:cs="Times New Roman" w:ascii="Times New Roman" w:hAnsi="Times New Roman"/>
          <w:i/>
          <w:iCs/>
          <w:color w:val="000000" w:themeColor="text1" w:themeShade="ff" w:themeTint="ff"/>
          <w:sz w:val="24"/>
          <w:szCs w:val="24"/>
          <w:lang w:val="en-GB"/>
        </w:rPr>
        <w:t>Global Sufism: Boundaries, Structures, and Politics</w:t>
      </w:r>
      <w:r>
        <w:rPr>
          <w:rFonts w:eastAsia="Times New Roman" w:cs="Times New Roman" w:ascii="Times New Roman" w:hAnsi="Times New Roman"/>
          <w:i w:val="false"/>
          <w:iCs w:val="false"/>
          <w:color w:val="000000" w:themeColor="text1" w:themeShade="ff" w:themeTint="ff"/>
          <w:sz w:val="24"/>
          <w:szCs w:val="24"/>
          <w:lang w:val="en-GB"/>
        </w:rPr>
        <w:t xml:space="preserve">, eds F. Piraino and M. Sedgwick, C. Hurst &amp; Co. (Publishers) Ltd., London, ISBN:9781787381346 </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color w:val="000000" w:themeColor="text1" w:themeShade="ff" w:themeTint="ff"/>
          <w:sz w:val="24"/>
          <w:szCs w:val="24"/>
          <w:lang w:val="et-EE"/>
        </w:rPr>
        <w:t xml:space="preserve">James, D. (2019) "Rumi: The Homoerotic Sufi Saint." </w:t>
      </w:r>
      <w:r>
        <w:rPr>
          <w:rFonts w:eastAsia="Times New Roman" w:cs="Times New Roman" w:ascii="Times New Roman" w:hAnsi="Times New Roman"/>
          <w:b w:val="false"/>
          <w:bCs w:val="false"/>
          <w:i/>
          <w:iCs/>
          <w:color w:val="000000" w:themeColor="text1" w:themeShade="ff" w:themeTint="ff"/>
          <w:sz w:val="24"/>
          <w:szCs w:val="24"/>
          <w:lang w:val="et-EE"/>
        </w:rPr>
        <w:t>CrossCurrents</w:t>
      </w:r>
      <w:r>
        <w:rPr>
          <w:rFonts w:eastAsia="Times New Roman" w:cs="Times New Roman" w:ascii="Times New Roman" w:hAnsi="Times New Roman"/>
          <w:b w:val="false"/>
          <w:bCs w:val="false"/>
          <w:color w:val="000000" w:themeColor="text1" w:themeShade="ff" w:themeTint="ff"/>
          <w:sz w:val="24"/>
          <w:szCs w:val="24"/>
          <w:lang w:val="et-EE"/>
        </w:rPr>
        <w:t xml:space="preserve">, vol. 69 no. 4, p. 365-383. </w:t>
      </w:r>
      <w:r>
        <w:rPr>
          <w:rFonts w:eastAsia="Times New Roman" w:cs="Times New Roman" w:ascii="Times New Roman" w:hAnsi="Times New Roman"/>
          <w:b w:val="false"/>
          <w:bCs w:val="false"/>
          <w:i/>
          <w:iCs/>
          <w:color w:val="000000" w:themeColor="text1" w:themeShade="ff" w:themeTint="ff"/>
          <w:sz w:val="24"/>
          <w:szCs w:val="24"/>
          <w:lang w:val="et-EE"/>
        </w:rPr>
        <w:t>Project MUSE</w:t>
      </w:r>
      <w:r>
        <w:rPr>
          <w:rFonts w:eastAsia="Times New Roman" w:cs="Times New Roman" w:ascii="Times New Roman" w:hAnsi="Times New Roman"/>
          <w:b w:val="false"/>
          <w:bCs w:val="false"/>
          <w:color w:val="000000" w:themeColor="text1" w:themeShade="ff" w:themeTint="ff"/>
          <w:sz w:val="24"/>
          <w:szCs w:val="24"/>
          <w:lang w:val="et-EE"/>
        </w:rPr>
        <w:t xml:space="preserve">, </w:t>
      </w:r>
      <w:hyperlink r:id="rId5">
        <w:r>
          <w:rPr>
            <w:rStyle w:val="InternetLink"/>
            <w:rFonts w:eastAsia="Times New Roman" w:cs="Times New Roman" w:ascii="Times New Roman" w:hAnsi="Times New Roman"/>
            <w:b w:val="false"/>
            <w:bCs w:val="false"/>
            <w:strike w:val="false"/>
            <w:dstrike w:val="false"/>
            <w:color w:val="0563C1"/>
            <w:sz w:val="24"/>
            <w:szCs w:val="24"/>
            <w:u w:val="single"/>
            <w:lang w:val="et-EE"/>
          </w:rPr>
          <w:t>https://doi.org/10.1353/cro.2019.a783435</w:t>
        </w:r>
      </w:hyperlink>
      <w:r>
        <w:rPr>
          <w:rFonts w:eastAsia="Times New Roman" w:cs="Times New Roman" w:ascii="Times New Roman" w:hAnsi="Times New Roman"/>
          <w:b w:val="false"/>
          <w:bCs w:val="false"/>
          <w:color w:val="000000" w:themeColor="text1" w:themeShade="ff" w:themeTint="ff"/>
          <w:sz w:val="24"/>
          <w:szCs w:val="24"/>
          <w:lang w:val="et-EE"/>
        </w:rPr>
        <w:t>.</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n-GB"/>
        </w:rPr>
        <w:t xml:space="preserve">Kurniawan, A.F. (2009) </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Intoxication and Sobriety in Sufi tradition</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 xml:space="preserve"> </w:t>
      </w:r>
      <w:r>
        <w:rPr>
          <w:rFonts w:eastAsia="Times New Roman" w:cs="Times New Roman" w:ascii="Times New Roman" w:hAnsi="Times New Roman"/>
          <w:i/>
          <w:iCs/>
          <w:color w:val="000000" w:themeColor="text1" w:themeShade="ff" w:themeTint="ff"/>
          <w:sz w:val="24"/>
          <w:szCs w:val="24"/>
          <w:lang w:val="en-GB"/>
        </w:rPr>
        <w:t xml:space="preserve">Al-Fath </w:t>
      </w:r>
      <w:r>
        <w:rPr>
          <w:rFonts w:eastAsia="Times New Roman" w:cs="Times New Roman" w:ascii="Times New Roman" w:hAnsi="Times New Roman"/>
          <w:i w:val="false"/>
          <w:iCs w:val="false"/>
          <w:color w:val="000000" w:themeColor="text1" w:themeShade="ff" w:themeTint="ff"/>
          <w:sz w:val="24"/>
          <w:szCs w:val="24"/>
          <w:lang w:val="en-GB"/>
        </w:rPr>
        <w:t xml:space="preserve">Vol.03, No.01 (Jan-June) e-ISSN: 2723-7257, published </w:t>
      </w:r>
      <w:r>
        <w:rPr>
          <w:rFonts w:eastAsia="Times New Roman" w:cs="Times New Roman" w:ascii="Times New Roman" w:hAnsi="Times New Roman"/>
          <w:b w:val="false"/>
          <w:bCs w:val="false"/>
          <w:color w:val="000000" w:themeColor="text1" w:themeShade="ff" w:themeTint="ff"/>
          <w:sz w:val="24"/>
          <w:szCs w:val="24"/>
          <w:lang w:val="et-EE"/>
        </w:rPr>
        <w:t>by Ilmu Al-Qur'an and Tafsir Department, Fa</w:t>
      </w:r>
      <w:r>
        <w:rPr>
          <w:rFonts w:eastAsia="Times New Roman" w:cs="Times New Roman" w:ascii="Times New Roman" w:hAnsi="Times New Roman"/>
          <w:color w:val="000000" w:themeColor="text1" w:themeShade="ff" w:themeTint="ff"/>
          <w:sz w:val="24"/>
          <w:szCs w:val="24"/>
          <w:lang w:val="en-GB"/>
        </w:rPr>
        <w:t>culty of Ushuluddin and Adab, Sultan Maulana Hasanuddin State Islamic University of Banten, Indonesia.</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n-GB"/>
        </w:rPr>
        <w:t xml:space="preserve">Lewis, F.D. (2000 ) </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Rumi – Past and Present, East and West</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 xml:space="preserve"> Oneworld Publications, UK. ISBN 1-85168-214-7</w:t>
      </w:r>
    </w:p>
    <w:p>
      <w:pPr>
        <w:pStyle w:val="Normal"/>
        <w:bidi w:val="0"/>
        <w:spacing w:lineRule="auto" w:line="480" w:beforeAutospacing="0" w:before="274" w:afterAutospacing="0" w:after="0"/>
        <w:ind w:left="0" w:right="0" w:hanging="0"/>
        <w:jc w:val="left"/>
        <w:rPr>
          <w:rFonts w:ascii="Times New Roman" w:hAnsi="Times New Roman" w:eastAsia="Times New Roman" w:cs="Times New Roman"/>
          <w:color w:val="000000" w:themeColor="text1" w:themeShade="ff" w:themeTint="ff"/>
          <w:sz w:val="24"/>
          <w:szCs w:val="24"/>
          <w:lang w:val="en-US"/>
        </w:rPr>
      </w:pPr>
      <w:r>
        <w:rPr>
          <w:rFonts w:eastAsia="Times New Roman" w:cs="Times New Roman" w:ascii="Times New Roman" w:hAnsi="Times New Roman"/>
          <w:b w:val="false"/>
          <w:bCs w:val="false"/>
          <w:color w:val="000000" w:themeColor="text1" w:themeShade="ff" w:themeTint="ff"/>
          <w:sz w:val="24"/>
          <w:szCs w:val="24"/>
          <w:lang w:val="en-US"/>
        </w:rPr>
        <w:t xml:space="preserve">Newberg, A. Waldman, M.R. (2010) </w:t>
      </w:r>
      <w:r>
        <w:rPr>
          <w:rFonts w:eastAsia="Times New Roman" w:cs="Times New Roman" w:ascii="Times New Roman" w:hAnsi="Times New Roman"/>
          <w:b w:val="false"/>
          <w:bCs w:val="false"/>
          <w:color w:val="000000" w:themeColor="text1" w:themeShade="ff" w:themeTint="ff"/>
          <w:sz w:val="24"/>
          <w:szCs w:val="24"/>
          <w:lang w:val="et-EE"/>
        </w:rPr>
        <w:t>"</w:t>
      </w:r>
      <w:r>
        <w:rPr>
          <w:rFonts w:eastAsia="Times New Roman" w:cs="Times New Roman" w:ascii="Times New Roman" w:hAnsi="Times New Roman"/>
          <w:b w:val="false"/>
          <w:bCs w:val="false"/>
          <w:color w:val="000000" w:themeColor="text1" w:themeShade="ff" w:themeTint="ff"/>
          <w:sz w:val="24"/>
          <w:szCs w:val="24"/>
          <w:lang w:val="en-US"/>
        </w:rPr>
        <w:t>How God Changes Your Brain: Breakthrough Findings From a Leading Neuroscientist</w:t>
      </w:r>
      <w:r>
        <w:rPr>
          <w:rFonts w:eastAsia="Times New Roman" w:cs="Times New Roman" w:ascii="Times New Roman" w:hAnsi="Times New Roman"/>
          <w:b w:val="false"/>
          <w:bCs w:val="false"/>
          <w:color w:val="000000" w:themeColor="text1" w:themeShade="ff" w:themeTint="ff"/>
          <w:sz w:val="24"/>
          <w:szCs w:val="24"/>
          <w:lang w:val="et-EE"/>
        </w:rPr>
        <w:t>"</w:t>
      </w:r>
      <w:r>
        <w:rPr>
          <w:rFonts w:eastAsia="Times New Roman" w:cs="Times New Roman" w:ascii="Times New Roman" w:hAnsi="Times New Roman"/>
          <w:b w:val="false"/>
          <w:bCs w:val="false"/>
          <w:color w:val="000000" w:themeColor="text1" w:themeShade="ff" w:themeTint="ff"/>
          <w:sz w:val="24"/>
          <w:szCs w:val="24"/>
          <w:lang w:val="en-US"/>
        </w:rPr>
        <w:t xml:space="preserve">. New York: Ballantine Books, ISBN 978-0345503428 </w:t>
      </w:r>
    </w:p>
    <w:p>
      <w:pPr>
        <w:pStyle w:val="Normal"/>
        <w:bidi w:val="0"/>
        <w:spacing w:lineRule="auto" w:line="480" w:beforeAutospacing="0" w:before="274" w:afterAutospacing="0" w:after="0"/>
        <w:ind w:left="0" w:right="0" w:hanging="0"/>
        <w:jc w:val="left"/>
        <w:rPr>
          <w:rFonts w:ascii="Times New Roman" w:hAnsi="Times New Roman" w:eastAsia="Times New Roman" w:cs="Times New Roman"/>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n-GB"/>
        </w:rPr>
        <w:t xml:space="preserve">Nicholson, R.A. (1926) </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The Mathnawi of Jalaluddin Rumi</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 xml:space="preserve"> Cambridge University Press, London, UK.</w:t>
      </w:r>
    </w:p>
    <w:p>
      <w:pPr>
        <w:pStyle w:val="Heading1"/>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color w:val="000000" w:themeColor="text1" w:themeShade="ff" w:themeTint="ff"/>
          <w:sz w:val="24"/>
          <w:szCs w:val="24"/>
          <w:lang w:val="en-GB"/>
        </w:rPr>
        <w:t xml:space="preserve">Roditi, E. &amp; Dino, G. (1987) </w:t>
      </w:r>
      <w:r>
        <w:rPr>
          <w:rFonts w:eastAsia="Times New Roman" w:cs="Times New Roman" w:ascii="Times New Roman" w:hAnsi="Times New Roman"/>
          <w:b w:val="false"/>
          <w:bCs w:val="false"/>
          <w:i w:val="false"/>
          <w:iCs w:val="false"/>
          <w:color w:val="000000" w:themeColor="text1" w:themeShade="ff" w:themeTint="ff"/>
          <w:kern w:val="2"/>
          <w:sz w:val="24"/>
          <w:szCs w:val="24"/>
          <w:lang w:val="et-EE" w:eastAsia="zh-CN" w:bidi="hi-IN"/>
        </w:rPr>
        <w:t>"</w:t>
      </w:r>
      <w:r>
        <w:rPr>
          <w:rFonts w:eastAsia="Times New Roman" w:cs="Times New Roman" w:ascii="Times New Roman" w:hAnsi="Times New Roman"/>
          <w:b w:val="false"/>
          <w:bCs w:val="false"/>
          <w:color w:val="000000" w:themeColor="text1" w:themeShade="ff" w:themeTint="ff"/>
          <w:sz w:val="24"/>
          <w:szCs w:val="24"/>
          <w:lang w:val="en-GB"/>
        </w:rPr>
        <w:t>Yunus Emre: The Wandering Fool, Sufi Poems of a Thirteenth-Century Turkish Dervish</w:t>
      </w:r>
      <w:r>
        <w:rPr>
          <w:rFonts w:eastAsia="Times New Roman" w:cs="Times New Roman" w:ascii="Times New Roman" w:hAnsi="Times New Roman"/>
          <w:b w:val="false"/>
          <w:bCs w:val="false"/>
          <w:color w:val="000000" w:themeColor="text1" w:themeShade="ff" w:themeTint="ff"/>
          <w:sz w:val="24"/>
          <w:szCs w:val="24"/>
          <w:lang w:val="et-EE"/>
        </w:rPr>
        <w:t>"</w:t>
      </w:r>
      <w:r>
        <w:rPr>
          <w:rFonts w:eastAsia="Times New Roman" w:cs="Times New Roman" w:ascii="Times New Roman" w:hAnsi="Times New Roman"/>
          <w:b w:val="false"/>
          <w:bCs w:val="false"/>
          <w:color w:val="000000" w:themeColor="text1" w:themeShade="ff" w:themeTint="ff"/>
          <w:sz w:val="24"/>
          <w:szCs w:val="24"/>
          <w:lang w:val="en-GB"/>
        </w:rPr>
        <w:t xml:space="preserve"> Cadmus Editions, San Francisco, ISBN 13: 9780932274380</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olor w:val="000000" w:themeColor="text1" w:themeShade="ff" w:themeTint="ff"/>
          <w:kern w:val="2"/>
          <w:sz w:val="24"/>
          <w:szCs w:val="24"/>
          <w:lang w:val="en-GB" w:eastAsia="zh-CN" w:bidi="hi-IN"/>
        </w:rPr>
      </w:pPr>
      <w:r>
        <w:rPr>
          <w:rFonts w:eastAsia="Times New Roman" w:cs="Times New Roman" w:ascii="Times New Roman" w:hAnsi="Times New Roman"/>
          <w:b w:val="false"/>
          <w:bCs w:val="false"/>
          <w:i w:val="false"/>
          <w:iCs w:val="false"/>
          <w:color w:val="000000" w:themeColor="text1" w:themeShade="ff" w:themeTint="ff"/>
          <w:kern w:val="2"/>
          <w:sz w:val="24"/>
          <w:szCs w:val="24"/>
          <w:lang w:val="en-GB" w:eastAsia="zh-CN" w:bidi="hi-IN"/>
        </w:rPr>
        <w:t>Sedgwick, M., (2017) “Western Sufism. From the Abbasids to the New Age” Oxford University Press, NY. ISBN 9780199977666</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olor w:val="000000" w:themeColor="text1" w:themeShade="ff" w:themeTint="ff"/>
          <w:sz w:val="24"/>
          <w:szCs w:val="24"/>
          <w:lang w:val="en-US"/>
        </w:rPr>
        <w:t xml:space="preserve">Shaikh Tosun Bayrak al-Jerrahi al-Halveti (1993) </w:t>
      </w:r>
      <w:r>
        <w:rPr>
          <w:rFonts w:eastAsia="Times New Roman" w:cs="Times New Roman" w:ascii="Times New Roman" w:hAnsi="Times New Roman"/>
          <w:b w:val="false"/>
          <w:bCs w:val="false"/>
          <w:i w:val="false"/>
          <w:iCs w:val="false"/>
          <w:color w:val="000000" w:themeColor="text1" w:themeShade="ff" w:themeTint="ff"/>
          <w:sz w:val="24"/>
          <w:szCs w:val="24"/>
          <w:lang w:val="et-EE"/>
        </w:rPr>
        <w:t>"</w:t>
      </w:r>
      <w:r>
        <w:rPr>
          <w:rFonts w:eastAsia="Times New Roman" w:cs="Times New Roman" w:ascii="Times New Roman" w:hAnsi="Times New Roman"/>
          <w:b w:val="false"/>
          <w:bCs w:val="false"/>
          <w:i w:val="false"/>
          <w:iCs w:val="false"/>
          <w:color w:val="000000" w:themeColor="text1" w:themeShade="ff" w:themeTint="ff"/>
          <w:sz w:val="24"/>
          <w:szCs w:val="24"/>
          <w:lang w:val="en-US"/>
        </w:rPr>
        <w:t>Inspirations. On the Path of Blame. Shaikh Badruddin of Simawna</w:t>
      </w:r>
      <w:r>
        <w:rPr>
          <w:rFonts w:eastAsia="Times New Roman" w:cs="Times New Roman" w:ascii="Times New Roman" w:hAnsi="Times New Roman"/>
          <w:b w:val="false"/>
          <w:bCs w:val="false"/>
          <w:i w:val="false"/>
          <w:iCs w:val="false"/>
          <w:color w:val="000000" w:themeColor="text1" w:themeShade="ff" w:themeTint="ff"/>
          <w:sz w:val="24"/>
          <w:szCs w:val="24"/>
          <w:lang w:val="et-EE"/>
        </w:rPr>
        <w:t>"</w:t>
      </w:r>
      <w:r>
        <w:rPr>
          <w:rFonts w:eastAsia="Times New Roman" w:cs="Times New Roman" w:ascii="Times New Roman" w:hAnsi="Times New Roman"/>
          <w:b w:val="false"/>
          <w:bCs w:val="false"/>
          <w:i w:val="false"/>
          <w:iCs w:val="false"/>
          <w:color w:val="000000" w:themeColor="text1" w:themeShade="ff" w:themeTint="ff"/>
          <w:sz w:val="24"/>
          <w:szCs w:val="24"/>
          <w:lang w:val="en-US"/>
        </w:rPr>
        <w:t>, Treshold Books, Putney &amp; Brattleboro, Vermont, USA, ISBN 0-939660-47-4</w:t>
      </w:r>
    </w:p>
    <w:p>
      <w:pPr>
        <w:pStyle w:val="Normal"/>
        <w:bidi w:val="0"/>
        <w:spacing w:lineRule="auto" w:line="480" w:beforeAutospacing="0" w:before="240"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n-GB"/>
        </w:rPr>
        <w:t xml:space="preserve">Sorgenfrei, S. (2020) </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The Mevlevi Order of America</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 xml:space="preserve">, </w:t>
      </w:r>
      <w:r>
        <w:rPr>
          <w:rFonts w:eastAsia="Times New Roman" w:cs="Times New Roman" w:ascii="Times New Roman" w:hAnsi="Times New Roman"/>
          <w:i/>
          <w:iCs/>
          <w:color w:val="000000" w:themeColor="text1" w:themeShade="ff" w:themeTint="ff"/>
          <w:sz w:val="24"/>
          <w:szCs w:val="24"/>
          <w:lang w:val="en-GB"/>
        </w:rPr>
        <w:t xml:space="preserve">from Varieties of American Sufism Islam, Sufi Orders, and Authority in a Time of Transition </w:t>
      </w:r>
      <w:r>
        <w:rPr>
          <w:rFonts w:eastAsia="Times New Roman" w:cs="Times New Roman" w:ascii="Times New Roman" w:hAnsi="Times New Roman"/>
          <w:color w:val="000000" w:themeColor="text1" w:themeShade="ff" w:themeTint="ff"/>
          <w:sz w:val="24"/>
          <w:szCs w:val="24"/>
          <w:lang w:val="en-GB"/>
        </w:rPr>
        <w:t>Edited by Bazzano, E. and Hermansen, M. State University of New York Press,ISBN 9781438477923</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t-EE"/>
        </w:rPr>
        <w:t>Stevenson, D.R. (2016) "An English Translation of Georgius de Hungaria</w:t>
      </w:r>
      <w:r>
        <w:rPr>
          <w:rFonts w:eastAsia="Times New Roman" w:cs="Times New Roman" w:ascii="Times New Roman" w:hAnsi="Times New Roman"/>
          <w:color w:val="000000" w:themeColor="text1" w:themeShade="ff" w:themeTint="ff"/>
          <w:sz w:val="24"/>
          <w:szCs w:val="24"/>
          <w:lang w:val="en-GB"/>
        </w:rPr>
        <w:t xml:space="preserve">’s </w:t>
      </w:r>
      <w:r>
        <w:rPr>
          <w:rFonts w:eastAsia="Times New Roman" w:cs="Times New Roman" w:ascii="Times New Roman" w:hAnsi="Times New Roman"/>
          <w:i/>
          <w:iCs/>
          <w:color w:val="000000" w:themeColor="text1" w:themeShade="ff" w:themeTint="ff"/>
          <w:sz w:val="24"/>
          <w:szCs w:val="24"/>
          <w:lang w:val="en-GB"/>
        </w:rPr>
        <w:t xml:space="preserve">Treatise on the Customs, Living Conditions, and Wickedness of the Turks </w:t>
      </w:r>
      <w:r>
        <w:rPr>
          <w:rFonts w:eastAsia="Times New Roman" w:cs="Times New Roman" w:ascii="Times New Roman" w:hAnsi="Times New Roman"/>
          <w:color w:val="000000" w:themeColor="text1" w:themeShade="ff" w:themeTint="ff"/>
          <w:sz w:val="24"/>
          <w:szCs w:val="24"/>
          <w:lang w:val="en-GB"/>
        </w:rPr>
        <w:t>(1481)</w:t>
      </w:r>
      <w:r>
        <w:rPr>
          <w:rFonts w:eastAsia="Times New Roman" w:cs="Times New Roman" w:ascii="Times New Roman" w:hAnsi="Times New Roman"/>
          <w:color w:val="000000" w:themeColor="text1" w:themeShade="ff" w:themeTint="ff"/>
          <w:sz w:val="24"/>
          <w:szCs w:val="24"/>
          <w:lang w:val="et-EE"/>
        </w:rPr>
        <w:t xml:space="preserve">", Department of Classical Civilizations, Greec and Latin, Emory University, Atlanta, US. </w:t>
      </w:r>
      <w:hyperlink r:id="rId6">
        <w:r>
          <w:rPr>
            <w:rStyle w:val="InternetLink"/>
            <w:rFonts w:eastAsia="Times New Roman" w:cs="Times New Roman" w:ascii="Times New Roman" w:hAnsi="Times New Roman"/>
            <w:b w:val="false"/>
            <w:bCs w:val="false"/>
            <w:i w:val="false"/>
            <w:iCs w:val="false"/>
            <w:sz w:val="24"/>
            <w:szCs w:val="24"/>
            <w:lang w:val="et-EE"/>
          </w:rPr>
          <w:t>https://etd.library.emory.edu/concern/etds/79407x74v?locale=es</w:t>
        </w:r>
      </w:hyperlink>
      <w:r>
        <w:rPr>
          <w:rFonts w:eastAsia="Times New Roman" w:cs="Times New Roman" w:ascii="Times New Roman" w:hAnsi="Times New Roman"/>
          <w:b w:val="false"/>
          <w:bCs w:val="false"/>
          <w:i w:val="false"/>
          <w:iCs w:val="false"/>
          <w:color w:val="0000FF"/>
          <w:sz w:val="24"/>
          <w:szCs w:val="24"/>
          <w:u w:val="single"/>
          <w:lang w:val="et-EE"/>
        </w:rPr>
        <w:t xml:space="preserve"> </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t-EE"/>
        </w:rPr>
        <w:t xml:space="preserve">ed. Walch, J.G. (1888) "Dr. Martin Luthers - Sämmtliche Schriften" </w:t>
      </w:r>
      <w:r>
        <w:rPr>
          <w:rFonts w:eastAsia="Times New Roman" w:cs="Times New Roman" w:ascii="Times New Roman" w:hAnsi="Times New Roman"/>
          <w:i/>
          <w:iCs/>
          <w:color w:val="000000" w:themeColor="text1" w:themeShade="ff" w:themeTint="ff"/>
          <w:sz w:val="24"/>
          <w:szCs w:val="24"/>
          <w:lang w:val="et-EE"/>
        </w:rPr>
        <w:t>(- „Dr. Martin Luther's Complete Writings”)</w:t>
      </w:r>
      <w:r>
        <w:rPr>
          <w:rFonts w:eastAsia="Times New Roman" w:cs="Times New Roman" w:ascii="Times New Roman" w:hAnsi="Times New Roman"/>
          <w:color w:val="000000" w:themeColor="text1" w:themeShade="ff" w:themeTint="ff"/>
          <w:sz w:val="24"/>
          <w:szCs w:val="24"/>
          <w:lang w:val="et-EE"/>
        </w:rPr>
        <w:t xml:space="preserve"> </w:t>
      </w:r>
      <w:r>
        <w:rPr>
          <w:rFonts w:eastAsia="Times New Roman" w:cs="Times New Roman" w:ascii="Times New Roman" w:hAnsi="Times New Roman"/>
          <w:i/>
          <w:iCs/>
          <w:color w:val="000000" w:themeColor="text1" w:themeShade="ff" w:themeTint="ff"/>
          <w:sz w:val="24"/>
          <w:szCs w:val="24"/>
          <w:lang w:val="et-EE"/>
        </w:rPr>
        <w:t xml:space="preserve">Vol 18, </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i/>
          <w:iCs/>
          <w:color w:val="000000" w:themeColor="text1" w:themeShade="ff" w:themeTint="ff"/>
          <w:sz w:val="24"/>
          <w:szCs w:val="24"/>
          <w:lang w:val="et-EE"/>
        </w:rPr>
        <w:t>Reformation writings. Disputes with the Papists</w:t>
      </w:r>
      <w:r>
        <w:rPr>
          <w:rFonts w:eastAsia="Times New Roman" w:cs="Times New Roman" w:ascii="Times New Roman" w:hAnsi="Times New Roman"/>
          <w:color w:val="000000" w:themeColor="text1" w:themeShade="ff" w:themeTint="ff"/>
          <w:sz w:val="24"/>
          <w:szCs w:val="24"/>
          <w:lang w:val="et-EE"/>
        </w:rPr>
        <w:t>." St. Louis, USA. Lutherischer Concordia – Verlag.</w:t>
      </w:r>
    </w:p>
    <w:p>
      <w:pPr>
        <w:pStyle w:val="Normal"/>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color w:val="000000" w:themeColor="text1" w:themeShade="ff" w:themeTint="ff"/>
          <w:sz w:val="24"/>
          <w:szCs w:val="24"/>
          <w:lang w:val="en-GB"/>
        </w:rPr>
        <w:t xml:space="preserve">Williams, S.C. (1991) </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i/>
          <w:iCs/>
          <w:color w:val="000000" w:themeColor="text1" w:themeShade="ff" w:themeTint="ff"/>
          <w:sz w:val="24"/>
          <w:szCs w:val="24"/>
          <w:lang w:val="en-GB"/>
        </w:rPr>
        <w:t>Cronica der Türckey.</w:t>
      </w:r>
      <w:r>
        <w:rPr>
          <w:rFonts w:eastAsia="Times New Roman" w:cs="Times New Roman" w:ascii="Times New Roman" w:hAnsi="Times New Roman"/>
          <w:color w:val="000000" w:themeColor="text1" w:themeShade="ff" w:themeTint="ff"/>
          <w:sz w:val="24"/>
          <w:szCs w:val="24"/>
          <w:lang w:val="en-GB"/>
        </w:rPr>
        <w:t xml:space="preserve"> Sebastian Franck's Translation of the Tractatus de Moribus, </w:t>
      </w:r>
      <w:r>
        <w:rPr>
          <w:rFonts w:eastAsia="Times New Roman" w:cs="Times New Roman" w:ascii="Times New Roman" w:hAnsi="Times New Roman"/>
          <w:i/>
          <w:iCs/>
          <w:color w:val="000000" w:themeColor="text1" w:themeShade="ff" w:themeTint="ff"/>
          <w:sz w:val="24"/>
          <w:szCs w:val="24"/>
          <w:lang w:val="en-GB"/>
        </w:rPr>
        <w:t>Condicionibus et Nequitia Turcorum</w:t>
      </w:r>
      <w:r>
        <w:rPr>
          <w:rFonts w:eastAsia="Times New Roman" w:cs="Times New Roman" w:ascii="Times New Roman" w:hAnsi="Times New Roman"/>
          <w:color w:val="000000" w:themeColor="text1" w:themeShade="ff" w:themeTint="ff"/>
          <w:sz w:val="24"/>
          <w:szCs w:val="24"/>
          <w:lang w:val="en-GB"/>
        </w:rPr>
        <w:t xml:space="preserve"> by Georgius de Hungaria</w:t>
      </w:r>
      <w:r>
        <w:rPr>
          <w:rFonts w:eastAsia="Times New Roman" w:cs="Times New Roman" w:ascii="Times New Roman" w:hAnsi="Times New Roman"/>
          <w:color w:val="000000" w:themeColor="text1" w:themeShade="ff" w:themeTint="ff"/>
          <w:sz w:val="24"/>
          <w:szCs w:val="24"/>
          <w:lang w:val="et-EE"/>
        </w:rPr>
        <w:t>"</w:t>
      </w:r>
      <w:r>
        <w:rPr>
          <w:rFonts w:eastAsia="Times New Roman" w:cs="Times New Roman" w:ascii="Times New Roman" w:hAnsi="Times New Roman"/>
          <w:color w:val="000000" w:themeColor="text1" w:themeShade="ff" w:themeTint="ff"/>
          <w:sz w:val="24"/>
          <w:szCs w:val="24"/>
          <w:lang w:val="en-GB"/>
        </w:rPr>
        <w:t xml:space="preserve">, The University of Leeds, Department of German Language and Literature, UK </w:t>
      </w:r>
      <w:hyperlink r:id="rId7">
        <w:r>
          <w:rPr>
            <w:rStyle w:val="InternetLink"/>
            <w:rFonts w:eastAsia="Times New Roman" w:cs="Times New Roman" w:ascii="Times New Roman" w:hAnsi="Times New Roman"/>
            <w:b w:val="false"/>
            <w:bCs w:val="false"/>
            <w:i w:val="false"/>
            <w:iCs w:val="false"/>
            <w:sz w:val="24"/>
            <w:szCs w:val="24"/>
            <w:lang w:val="et-EE"/>
          </w:rPr>
          <w:t>https://etheses.whiterose.ac.uk/525/</w:t>
        </w:r>
      </w:hyperlink>
    </w:p>
    <w:p>
      <w:pPr>
        <w:pStyle w:val="Normal"/>
        <w:shd w:val="clear" w:fill="FFFFFF"/>
        <w:bidi w:val="0"/>
        <w:spacing w:lineRule="auto" w:line="480" w:beforeAutospacing="0" w:before="274" w:afterAutospacing="0" w:after="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
    </w:p>
    <w:sectPr>
      <w:footnotePr>
        <w:numFmt w:val="decimal"/>
      </w:footnote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roman"/>
    <w:pitch w:val="variable"/>
  </w:font>
  <w:font w:name="Calibri">
    <w:charset w:val="00"/>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bidi w:val="0"/>
        <w:rPr>
          <w:rFonts w:ascii="Aptos" w:hAnsi="Aptos" w:eastAsia="Aptos" w:cs="Aptos"/>
          <w:b w:val="false"/>
          <w:b w:val="false"/>
          <w:bCs w:val="false"/>
          <w:i w:val="false"/>
          <w:i w:val="false"/>
          <w:iCs w:val="false"/>
          <w:caps w:val="false"/>
          <w:smallCaps w:val="false"/>
          <w:color w:val="000000" w:themeColor="text1" w:themeShade="ff" w:themeTint="ff"/>
          <w:sz w:val="20"/>
          <w:szCs w:val="20"/>
          <w:lang w:val="en-GB"/>
        </w:rPr>
      </w:pPr>
      <w:r>
        <w:rPr>
          <w:rStyle w:val="FootnoteCharacters"/>
        </w:rPr>
        <w:footnoteRef/>
      </w:r>
      <w:r>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lang w:val="en-GB"/>
        </w:rPr>
        <w:t>https://ich.unesco.org/en/RL/mevlevi-sema-ceremony-00100 - Accessed 1.06.2024</w:t>
      </w:r>
    </w:p>
  </w:footnote>
  <w:footnote w:id="3">
    <w:p>
      <w:pPr>
        <w:pStyle w:val="Footnote"/>
        <w:bidi w:val="0"/>
        <w:rPr>
          <w:rFonts w:ascii="Calibri" w:hAnsi="Calibri" w:eastAsia="Calibri" w:cs="Calibri"/>
          <w:b w:val="false"/>
          <w:b w:val="false"/>
          <w:bCs w:val="false"/>
          <w:i w:val="false"/>
          <w:i w:val="false"/>
          <w:iCs w:val="false"/>
          <w:caps w:val="false"/>
          <w:smallCaps w:val="false"/>
          <w:color w:val="000000" w:themeColor="text1" w:themeShade="ff" w:themeTint="ff"/>
          <w:sz w:val="20"/>
          <w:szCs w:val="20"/>
          <w:lang w:val="en-GB"/>
        </w:rPr>
      </w:pPr>
      <w:r>
        <w:rPr>
          <w:rStyle w:val="FootnoteCharacters"/>
        </w:rPr>
        <w:footnoteRef/>
      </w:r>
      <w:r>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lang w:val="en-GB"/>
        </w:rPr>
        <w:t>https://news.un.org/en/story/2007/09/230372 – accessed 9 May 2024</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bullet"/>
      <w:lvlText w:val="▫"/>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40"/>
  <w:defaultTabStop w:val="720"/>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Cs w:val="24"/>
        <w:lang w:val="en-GB" w:eastAsia="ja-JP"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6" w:before="0" w:after="160"/>
      <w:jc w:val="left"/>
    </w:pPr>
    <w:rPr>
      <w:rFonts w:ascii="Aptos" w:hAnsi="Aptos" w:eastAsia="" w:cs="" w:asciiTheme="minorHAnsi" w:cstheme="minorBidi" w:eastAsiaTheme="minorEastAsia" w:hAnsiTheme="minorHAnsi"/>
      <w:color w:val="auto"/>
      <w:kern w:val="0"/>
      <w:sz w:val="24"/>
      <w:szCs w:val="24"/>
      <w:lang w:val="en-GB" w:eastAsia="ja-JP" w:bidi="ar-SA"/>
    </w:rPr>
  </w:style>
  <w:style w:type="paragraph" w:styleId="Heading1">
    <w:name w:val="Heading 1"/>
    <w:basedOn w:val="Normal"/>
    <w:next w:val="Normal"/>
    <w:link w:val="Heading1Char"/>
    <w:uiPriority w:val="9"/>
    <w:qFormat/>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unhideWhenUsed/>
    <w:qFormat/>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unhideWhenUsed/>
    <w:qFormat/>
    <w:pPr>
      <w:keepNext w:val="true"/>
      <w:keepLines/>
      <w:spacing w:before="160" w:after="80"/>
      <w:outlineLvl w:val="2"/>
    </w:pPr>
    <w:rPr>
      <w:rFonts w:eastAsia="" w:cs="" w:cstheme="majorBidi" w:eastAsiaTheme="majorEastAsia"/>
      <w:color w:val="0F4761" w:themeColor="accent1" w:themeShade="bf"/>
      <w:sz w:val="28"/>
      <w:szCs w:val="28"/>
    </w:rPr>
  </w:style>
  <w:style w:type="paragraph" w:styleId="Heading4">
    <w:name w:val="Heading 4"/>
    <w:basedOn w:val="Normal"/>
    <w:next w:val="Normal"/>
    <w:link w:val="Heading4Char"/>
    <w:uiPriority w:val="9"/>
    <w:unhideWhenUsed/>
    <w:qFormat/>
    <w:pPr>
      <w:keepNext w:val="true"/>
      <w:keepLines/>
      <w:spacing w:before="80" w:after="40"/>
      <w:outlineLvl w:val="3"/>
    </w:pPr>
    <w:rPr>
      <w:rFonts w:eastAsia="" w:cs="" w:cstheme="majorBidi" w:eastAsiaTheme="majorEastAsia"/>
      <w:i/>
      <w:iCs/>
      <w:color w:val="0F4761" w:themeColor="accent1" w:themeShade="bf"/>
    </w:rPr>
  </w:style>
  <w:style w:type="paragraph" w:styleId="Heading5">
    <w:name w:val="Heading 5"/>
    <w:basedOn w:val="Normal"/>
    <w:next w:val="Normal"/>
    <w:link w:val="Heading5Char"/>
    <w:uiPriority w:val="9"/>
    <w:unhideWhenUsed/>
    <w:qFormat/>
    <w:pPr>
      <w:keepNext w:val="true"/>
      <w:keepLines/>
      <w:spacing w:before="80" w:after="40"/>
      <w:outlineLvl w:val="4"/>
    </w:pPr>
    <w:rPr>
      <w:rFonts w:eastAsia="" w:cs="" w:cstheme="majorBidi" w:eastAsiaTheme="majorEastAsia"/>
      <w:color w:val="0F4761" w:themeColor="accent1" w:themeShade="bf"/>
    </w:rPr>
  </w:style>
  <w:style w:type="paragraph" w:styleId="Heading6">
    <w:name w:val="Heading 6"/>
    <w:basedOn w:val="Normal"/>
    <w:next w:val="Normal"/>
    <w:link w:val="Heading6Char"/>
    <w:uiPriority w:val="9"/>
    <w:unhideWhenUsed/>
    <w:qFormat/>
    <w:pPr>
      <w:keepNext w:val="true"/>
      <w:keepLines/>
      <w:spacing w:before="40" w:after="0"/>
      <w:outlineLvl w:val="5"/>
    </w:pPr>
    <w:rPr>
      <w:rFonts w:eastAsia="" w:cs="" w:cstheme="majorBidi" w:eastAsiaTheme="majorEastAsia"/>
      <w:i/>
      <w:iCs/>
      <w:color w:val="595959" w:themeColor="text1" w:themeTint="a6"/>
    </w:rPr>
  </w:style>
  <w:style w:type="paragraph" w:styleId="Heading7">
    <w:name w:val="Heading 7"/>
    <w:basedOn w:val="Normal"/>
    <w:next w:val="Normal"/>
    <w:link w:val="Heading7Char"/>
    <w:uiPriority w:val="9"/>
    <w:unhideWhenUsed/>
    <w:qFormat/>
    <w:pPr>
      <w:keepNext w:val="true"/>
      <w:keepLines/>
      <w:spacing w:before="40" w:after="0"/>
      <w:outlineLvl w:val="6"/>
    </w:pPr>
    <w:rPr>
      <w:rFonts w:eastAsia="" w:cs="" w:cstheme="majorBidi" w:eastAsiaTheme="majorEastAsia"/>
      <w:color w:val="595959" w:themeColor="text1" w:themeTint="a6"/>
    </w:rPr>
  </w:style>
  <w:style w:type="paragraph" w:styleId="Heading8">
    <w:name w:val="Heading 8"/>
    <w:basedOn w:val="Normal"/>
    <w:next w:val="Normal"/>
    <w:link w:val="Heading8Char"/>
    <w:uiPriority w:val="9"/>
    <w:unhideWhenUsed/>
    <w:qFormat/>
    <w:pPr>
      <w:keepNext w:val="true"/>
      <w:keepLines/>
      <w:spacing w:before="0" w:after="0"/>
      <w:outlineLvl w:val="7"/>
    </w:pPr>
    <w:rPr>
      <w:rFonts w:eastAsia="" w:cs="" w:cstheme="majorBidi" w:eastAsiaTheme="majorEastAsia"/>
      <w:i/>
      <w:iCs/>
      <w:color w:val="272727" w:themeColor="text1" w:themeTint="d8"/>
    </w:rPr>
  </w:style>
  <w:style w:type="paragraph" w:styleId="Heading9">
    <w:name w:val="Heading 9"/>
    <w:basedOn w:val="Normal"/>
    <w:next w:val="Normal"/>
    <w:link w:val="Heading9Char"/>
    <w:uiPriority w:val="9"/>
    <w:unhideWhenUsed/>
    <w:qFormat/>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Aptos Display" w:hAnsi="Aptos Display" w:eastAsia="" w:cs=""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qFormat/>
    <w:rPr>
      <w:rFonts w:ascii="Aptos Display" w:hAnsi="Aptos Display" w:eastAsia="" w:cs=""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qFormat/>
    <w:rPr>
      <w:rFonts w:eastAsia="" w:cs=""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qFormat/>
    <w:rPr>
      <w:rFonts w:eastAsia="" w:cs="" w:cstheme="majorBidi" w:eastAsiaTheme="majorEastAsia"/>
      <w:i/>
      <w:iCs/>
      <w:color w:val="0F4761" w:themeColor="accent1" w:themeShade="bf"/>
    </w:rPr>
  </w:style>
  <w:style w:type="character" w:styleId="Heading5Char" w:customStyle="1">
    <w:name w:val="Heading 5 Char"/>
    <w:basedOn w:val="DefaultParagraphFont"/>
    <w:link w:val="Heading5"/>
    <w:uiPriority w:val="9"/>
    <w:qFormat/>
    <w:rPr>
      <w:rFonts w:eastAsia="" w:cs="" w:cstheme="majorBidi" w:eastAsiaTheme="majorEastAsia"/>
      <w:color w:val="0F4761" w:themeColor="accent1" w:themeShade="bf"/>
    </w:rPr>
  </w:style>
  <w:style w:type="character" w:styleId="Heading6Char" w:customStyle="1">
    <w:name w:val="Heading 6 Char"/>
    <w:basedOn w:val="DefaultParagraphFont"/>
    <w:link w:val="Heading6"/>
    <w:uiPriority w:val="9"/>
    <w:qFormat/>
    <w:rPr>
      <w:rFonts w:eastAsia="" w:cs="" w:cstheme="majorBidi" w:eastAsiaTheme="majorEastAsia"/>
      <w:i/>
      <w:iCs/>
      <w:color w:val="595959" w:themeColor="text1" w:themeTint="a6"/>
    </w:rPr>
  </w:style>
  <w:style w:type="character" w:styleId="Heading7Char" w:customStyle="1">
    <w:name w:val="Heading 7 Char"/>
    <w:basedOn w:val="DefaultParagraphFont"/>
    <w:link w:val="Heading7"/>
    <w:uiPriority w:val="9"/>
    <w:qFormat/>
    <w:rPr>
      <w:rFonts w:eastAsia="" w:cs="" w:cstheme="majorBidi" w:eastAsiaTheme="majorEastAsia"/>
      <w:color w:val="595959" w:themeColor="text1" w:themeTint="a6"/>
    </w:rPr>
  </w:style>
  <w:style w:type="character" w:styleId="Heading8Char" w:customStyle="1">
    <w:name w:val="Heading 8 Char"/>
    <w:basedOn w:val="DefaultParagraphFont"/>
    <w:link w:val="Heading8"/>
    <w:uiPriority w:val="9"/>
    <w:qFormat/>
    <w:rPr>
      <w:rFonts w:eastAsia="" w:cs="" w:cstheme="majorBidi" w:eastAsiaTheme="majorEastAsia"/>
      <w:i/>
      <w:iCs/>
      <w:color w:val="272727" w:themeColor="text1" w:themeTint="d8"/>
    </w:rPr>
  </w:style>
  <w:style w:type="character" w:styleId="Heading9Char" w:customStyle="1">
    <w:name w:val="Heading 9 Char"/>
    <w:basedOn w:val="DefaultParagraphFont"/>
    <w:link w:val="Heading9"/>
    <w:uiPriority w:val="9"/>
    <w:qFormat/>
    <w:rPr>
      <w:rFonts w:eastAsia="" w:cs="" w:cstheme="majorBidi" w:eastAsiaTheme="majorEastAsia"/>
      <w:color w:val="272727" w:themeColor="text1" w:themeTint="d8"/>
    </w:rPr>
  </w:style>
  <w:style w:type="character" w:styleId="TitleChar" w:customStyle="1">
    <w:name w:val="Title Char"/>
    <w:basedOn w:val="DefaultParagraphFont"/>
    <w:link w:val="Title"/>
    <w:uiPriority w:val="10"/>
    <w:qFormat/>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Pr>
      <w:rFonts w:eastAsia="" w:cs="" w:cstheme="majorBidi" w:eastAsiaTheme="majorEastAsia"/>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qFormat/>
    <w:rPr>
      <w:i/>
      <w:iCs/>
      <w:color w:val="404040" w:themeColor="text1" w:themeTint="bf"/>
    </w:rPr>
  </w:style>
  <w:style w:type="character" w:styleId="IntenseQuoteChar" w:customStyle="1">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FootnoteCharacters">
    <w:name w:val="Footnote Characters"/>
    <w:basedOn w:val="DefaultParagraphFont"/>
    <w:uiPriority w:val="99"/>
    <w:semiHidden/>
    <w:unhideWhenUsed/>
    <w:qFormat/>
    <w:rPr>
      <w:vertAlign w:val="superscript"/>
    </w:rPr>
  </w:style>
  <w:style w:type="character" w:styleId="FootnoteAnchor">
    <w:name w:val="Footnote Anchor"/>
    <w:rPr>
      <w:vertAlign w:val="superscript"/>
    </w:rPr>
  </w:style>
  <w:style w:type="character" w:styleId="InternetLink">
    <w:name w:val="Hyperlink"/>
    <w:basedOn w:val="DefaultParagraphFont"/>
    <w:uiPriority w:val="99"/>
    <w:unhideWhenUsed/>
    <w:rPr>
      <w:color w:val="0563C1" w:themeColor="hyperlink"/>
      <w:u w:val="single"/>
    </w:rPr>
  </w:style>
  <w:style w:type="character" w:styleId="FootnoteTextChar" w:customStyle="1">
    <w:name w:val="Footnote Text Char"/>
    <w:basedOn w:val="DefaultParagraphFont"/>
    <w:link w:val="FootnoteText"/>
    <w:uiPriority w:val="99"/>
    <w:semiHidden/>
    <w:qFormat/>
    <w:rPr>
      <w:sz w:val="20"/>
      <w:szCs w:val="20"/>
    </w:rPr>
  </w:style>
  <w:style w:type="character" w:styleId="EndnoteAnchor">
    <w:name w:val="Endnote Anchor"/>
    <w:rPr>
      <w:vertAlign w:val="superscript"/>
    </w:rPr>
  </w:style>
  <w:style w:type="character" w:styleId="EndnoteCharacters">
    <w:name w:val="Endnote Characters"/>
    <w:qFormat/>
    <w:rPr/>
  </w:style>
  <w:style w:type="character" w:styleId="StrongEmphasis">
    <w:name w:val="Strong Emphasis"/>
    <w:qFormat/>
    <w:rPr>
      <w:b/>
      <w:bCs/>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itleChar"/>
    <w:uiPriority w:val="10"/>
    <w:qFormat/>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pPr/>
    <w:rPr>
      <w:rFonts w:eastAsia="" w:c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ListParagraph">
    <w:name w:val="List Paragraph"/>
    <w:basedOn w:val="Normal"/>
    <w:uiPriority w:val="34"/>
    <w:qFormat/>
    <w:pPr>
      <w:spacing w:before="0" w:after="160"/>
      <w:ind w:left="720" w:hanging="0"/>
      <w:contextualSpacing/>
    </w:pPr>
    <w:rPr/>
  </w:style>
  <w:style w:type="paragraph" w:styleId="Footnote">
    <w:name w:val="Footnote Text"/>
    <w:basedOn w:val="Normal"/>
    <w:link w:val="FootnoteTextChar"/>
    <w:uiPriority w:val="99"/>
    <w:semiHidden/>
    <w:unhideWhenUsed/>
    <w:pPr>
      <w:spacing w:lineRule="auto" w:line="240" w:before="0" w:after="0"/>
    </w:pPr>
    <w:rPr>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jstor.org/stable/26201094" TargetMode="External"/><Relationship Id="rId3" Type="http://schemas.openxmlformats.org/officeDocument/2006/relationships/hyperlink" Target="https://doi.org/10.48010/2021.2/1999-5849.11" TargetMode="External"/><Relationship Id="rId4" Type="http://schemas.openxmlformats.org/officeDocument/2006/relationships/hyperlink" Target="https://doi.org/10.4324/9780203346242" TargetMode="External"/><Relationship Id="rId5" Type="http://schemas.openxmlformats.org/officeDocument/2006/relationships/hyperlink" Target="https://doi.org/10.1353/cro.2019.a783435" TargetMode="External"/><Relationship Id="rId6" Type="http://schemas.openxmlformats.org/officeDocument/2006/relationships/hyperlink" Target="https://etd.library.emory.edu/concern/etds/79407x74v?locale=es" TargetMode="External"/><Relationship Id="rId7" Type="http://schemas.openxmlformats.org/officeDocument/2006/relationships/hyperlink" Target="https://etheses.whiterose.ac.uk/525/" TargetMode="Externa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360</TotalTime>
  <Application>LibreOffice/6.4.1.2$Windows_X86_64 LibreOffice_project/4d224e95b98b138af42a64d84056446d09082932</Application>
  <Pages>17</Pages>
  <Words>4057</Words>
  <Characters>22902</Characters>
  <CharactersWithSpaces>26903</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2024-05-27T05:47:21Z</dcterms:created>
  <dc:creator>Paul-Eric Adamson</dc:creator>
  <dc:description/>
  <dc:language>en-US</dc:language>
  <cp:lastModifiedBy/>
  <dcterms:modified xsi:type="dcterms:W3CDTF">2024-06-06T18:00:36Z</dcterms:modified>
  <cp:revision>31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