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0E22" w:rsidRDefault="00CA0E22" w:rsidP="00CA0E22">
      <w:pPr>
        <w:pStyle w:val="StandardWeb"/>
        <w:spacing w:before="0" w:beforeAutospacing="0" w:after="0" w:afterAutospacing="0"/>
        <w:ind w:right="-334"/>
        <w:jc w:val="center"/>
        <w:rPr>
          <w:rFonts w:ascii="Trebuchet MS" w:hAnsi="Trebuchet MS" w:cs="Tahoma"/>
          <w:b/>
          <w:bCs/>
          <w:sz w:val="24"/>
          <w:szCs w:val="24"/>
        </w:rPr>
      </w:pPr>
      <w:r w:rsidRPr="00660924">
        <w:rPr>
          <w:rFonts w:ascii="Trebuchet MS" w:hAnsi="Trebuchet MS" w:cs="Tahoma"/>
          <w:b/>
          <w:bCs/>
          <w:sz w:val="24"/>
          <w:szCs w:val="24"/>
        </w:rPr>
        <w:t>A Critical Comparison of Two JSTOR Papers</w:t>
      </w:r>
    </w:p>
    <w:p w:rsidR="00CA0E22" w:rsidRPr="00ED2277" w:rsidRDefault="00CA0E22" w:rsidP="00CA0E22">
      <w:pPr>
        <w:pStyle w:val="StandardWeb"/>
        <w:spacing w:before="0" w:beforeAutospacing="0" w:after="0" w:afterAutospacing="0"/>
        <w:ind w:right="-334"/>
        <w:jc w:val="center"/>
        <w:rPr>
          <w:rFonts w:ascii="Trebuchet MS" w:hAnsi="Trebuchet MS" w:cs="Tahoma"/>
          <w:bCs/>
          <w:sz w:val="24"/>
          <w:szCs w:val="24"/>
        </w:rPr>
      </w:pPr>
      <w:r w:rsidRPr="00ED2277">
        <w:rPr>
          <w:rFonts w:ascii="Trebuchet MS" w:hAnsi="Trebuchet MS" w:cs="Tahoma"/>
          <w:bCs/>
          <w:sz w:val="24"/>
          <w:szCs w:val="24"/>
        </w:rPr>
        <w:t>Word count: 1</w:t>
      </w:r>
      <w:r>
        <w:rPr>
          <w:rFonts w:ascii="Trebuchet MS" w:hAnsi="Trebuchet MS" w:cs="Tahoma"/>
          <w:bCs/>
          <w:sz w:val="24"/>
          <w:szCs w:val="24"/>
        </w:rPr>
        <w:t>508</w:t>
      </w:r>
    </w:p>
    <w:p w:rsidR="00CA0E22" w:rsidRDefault="00CA0E22" w:rsidP="00CA0E22">
      <w:pPr>
        <w:pStyle w:val="StandardWeb"/>
        <w:spacing w:before="0" w:beforeAutospacing="0" w:after="0" w:afterAutospacing="0"/>
        <w:ind w:right="-334"/>
        <w:jc w:val="center"/>
        <w:rPr>
          <w:rFonts w:ascii="Trebuchet MS" w:hAnsi="Trebuchet MS" w:cs="Tahoma"/>
          <w:b/>
          <w:bCs/>
          <w:sz w:val="24"/>
          <w:szCs w:val="24"/>
        </w:rPr>
      </w:pPr>
    </w:p>
    <w:p w:rsidR="00CA0E22" w:rsidRPr="003634CE" w:rsidRDefault="00CA0E22" w:rsidP="00CA0E22">
      <w:pPr>
        <w:pStyle w:val="StandardWeb"/>
        <w:spacing w:before="0" w:beforeAutospacing="0" w:after="80" w:afterAutospacing="0"/>
        <w:ind w:right="-335"/>
        <w:rPr>
          <w:rFonts w:ascii="Trebuchet MS" w:hAnsi="Trebuchet MS" w:cs="Tahoma"/>
          <w:b/>
          <w:bCs/>
          <w:sz w:val="24"/>
          <w:szCs w:val="24"/>
        </w:rPr>
      </w:pPr>
      <w:r w:rsidRPr="003634CE">
        <w:rPr>
          <w:rFonts w:ascii="Trebuchet MS" w:hAnsi="Trebuchet MS" w:cs="Tahoma"/>
          <w:b/>
          <w:bCs/>
          <w:sz w:val="24"/>
          <w:szCs w:val="24"/>
        </w:rPr>
        <w:t>Introduction</w:t>
      </w:r>
    </w:p>
    <w:p w:rsidR="00CA0E22" w:rsidRPr="003634CE" w:rsidRDefault="00CA0E22" w:rsidP="00CA0E22">
      <w:pPr>
        <w:pStyle w:val="StandardWeb"/>
        <w:spacing w:before="0" w:beforeAutospacing="0" w:after="160" w:afterAutospacing="0"/>
        <w:ind w:right="-335"/>
        <w:rPr>
          <w:rFonts w:ascii="Trebuchet MS" w:hAnsi="Trebuchet MS" w:cs="Tahoma"/>
          <w:bCs/>
          <w:sz w:val="24"/>
          <w:szCs w:val="24"/>
        </w:rPr>
      </w:pPr>
      <w:r w:rsidRPr="003634CE">
        <w:rPr>
          <w:rFonts w:ascii="Trebuchet MS" w:hAnsi="Trebuchet MS" w:cs="Tahoma"/>
          <w:bCs/>
          <w:sz w:val="24"/>
          <w:szCs w:val="24"/>
        </w:rPr>
        <w:t xml:space="preserve">This essay critically compares and contrasts two JSTOR papers, using the search terms ‘Astrology’ and ‘Culture’. The two papers chosen are Robert </w:t>
      </w:r>
      <w:proofErr w:type="spellStart"/>
      <w:r w:rsidRPr="003634CE">
        <w:rPr>
          <w:rFonts w:ascii="Trebuchet MS" w:hAnsi="Trebuchet MS" w:cs="Tahoma"/>
          <w:bCs/>
          <w:sz w:val="24"/>
          <w:szCs w:val="24"/>
        </w:rPr>
        <w:t>Wuthnow</w:t>
      </w:r>
      <w:proofErr w:type="spellEnd"/>
      <w:r w:rsidRPr="003634CE">
        <w:rPr>
          <w:rFonts w:ascii="Trebuchet MS" w:hAnsi="Trebuchet MS" w:cs="Tahoma"/>
          <w:bCs/>
          <w:sz w:val="24"/>
          <w:szCs w:val="24"/>
        </w:rPr>
        <w:t xml:space="preserve">, ‘Astrology and Marginality’, </w:t>
      </w:r>
      <w:r w:rsidRPr="003634CE">
        <w:rPr>
          <w:rFonts w:ascii="Trebuchet MS" w:hAnsi="Trebuchet MS" w:cs="Tahoma"/>
          <w:bCs/>
          <w:i/>
          <w:sz w:val="24"/>
          <w:szCs w:val="24"/>
        </w:rPr>
        <w:t>Journal for the Scientific Study of Religion</w:t>
      </w:r>
      <w:r w:rsidRPr="003634CE">
        <w:rPr>
          <w:rFonts w:ascii="Trebuchet MS" w:hAnsi="Trebuchet MS" w:cs="Tahoma"/>
          <w:bCs/>
          <w:sz w:val="24"/>
          <w:szCs w:val="24"/>
        </w:rPr>
        <w:t>, Vol. 15, No. 2 (1976), pp. 157</w:t>
      </w:r>
      <w:r>
        <w:rPr>
          <w:rFonts w:ascii="Trebuchet MS" w:hAnsi="Trebuchet MS" w:cs="Tahoma"/>
          <w:bCs/>
          <w:sz w:val="24"/>
          <w:szCs w:val="24"/>
        </w:rPr>
        <w:t>–</w:t>
      </w:r>
      <w:r w:rsidRPr="003634CE">
        <w:rPr>
          <w:rFonts w:ascii="Trebuchet MS" w:hAnsi="Trebuchet MS" w:cs="Tahoma"/>
          <w:bCs/>
          <w:sz w:val="24"/>
          <w:szCs w:val="24"/>
        </w:rPr>
        <w:t xml:space="preserve">168, and that of Bart J. Bok and Margaret W. </w:t>
      </w:r>
      <w:proofErr w:type="spellStart"/>
      <w:r w:rsidRPr="003634CE">
        <w:rPr>
          <w:rFonts w:ascii="Trebuchet MS" w:hAnsi="Trebuchet MS" w:cs="Tahoma"/>
          <w:bCs/>
          <w:sz w:val="24"/>
          <w:szCs w:val="24"/>
        </w:rPr>
        <w:t>Mayall</w:t>
      </w:r>
      <w:proofErr w:type="spellEnd"/>
      <w:r w:rsidRPr="003634CE">
        <w:rPr>
          <w:rFonts w:ascii="Trebuchet MS" w:hAnsi="Trebuchet MS" w:cs="Tahoma"/>
          <w:bCs/>
          <w:sz w:val="24"/>
          <w:szCs w:val="24"/>
        </w:rPr>
        <w:t xml:space="preserve">, ‘Scientists Look at Astrology’, </w:t>
      </w:r>
      <w:r w:rsidRPr="003634CE">
        <w:rPr>
          <w:rFonts w:ascii="Trebuchet MS" w:hAnsi="Trebuchet MS" w:cs="Tahoma"/>
          <w:bCs/>
          <w:i/>
          <w:sz w:val="24"/>
          <w:szCs w:val="24"/>
        </w:rPr>
        <w:t>The Scientific Monthly</w:t>
      </w:r>
      <w:r w:rsidRPr="003634CE">
        <w:rPr>
          <w:rFonts w:ascii="Trebuchet MS" w:hAnsi="Trebuchet MS" w:cs="Tahoma"/>
          <w:bCs/>
          <w:sz w:val="24"/>
          <w:szCs w:val="24"/>
        </w:rPr>
        <w:t>, Vol. 52, No. 3 (March 1941), pp. 233</w:t>
      </w:r>
      <w:r>
        <w:rPr>
          <w:rFonts w:ascii="Trebuchet MS" w:hAnsi="Trebuchet MS" w:cs="Tahoma"/>
          <w:bCs/>
          <w:sz w:val="24"/>
          <w:szCs w:val="24"/>
        </w:rPr>
        <w:t>–</w:t>
      </w:r>
      <w:r w:rsidRPr="003634CE">
        <w:rPr>
          <w:rFonts w:ascii="Trebuchet MS" w:hAnsi="Trebuchet MS" w:cs="Tahoma"/>
          <w:bCs/>
          <w:sz w:val="24"/>
          <w:szCs w:val="24"/>
        </w:rPr>
        <w:t>244.</w:t>
      </w:r>
      <w:r w:rsidRPr="003634CE">
        <w:rPr>
          <w:rFonts w:ascii="Trebuchet MS" w:hAnsi="Trebuchet MS" w:cs="Tahoma"/>
          <w:bCs/>
          <w:sz w:val="24"/>
          <w:szCs w:val="24"/>
        </w:rPr>
        <w:br/>
        <w:t xml:space="preserve">The following paragraphs will illustrate the approach taken by the authors, which will be considered in three respects: the </w:t>
      </w:r>
      <w:r w:rsidRPr="00862705">
        <w:rPr>
          <w:rFonts w:ascii="Trebuchet MS" w:hAnsi="Trebuchet MS" w:cs="Tahoma"/>
          <w:bCs/>
          <w:color w:val="000000" w:themeColor="text1"/>
          <w:sz w:val="24"/>
          <w:szCs w:val="24"/>
        </w:rPr>
        <w:t>definitions and general connections of both search terms; the authors’ aims and methods;</w:t>
      </w:r>
      <w:r w:rsidRPr="00862705">
        <w:rPr>
          <w:rFonts w:ascii="Trebuchet MS" w:hAnsi="Trebuchet MS" w:cs="Tahoma"/>
          <w:bCs/>
          <w:sz w:val="24"/>
          <w:szCs w:val="24"/>
        </w:rPr>
        <w:t xml:space="preserve"> and </w:t>
      </w:r>
      <w:r>
        <w:rPr>
          <w:rFonts w:ascii="Trebuchet MS" w:hAnsi="Trebuchet MS" w:cs="Tahoma"/>
          <w:bCs/>
          <w:sz w:val="24"/>
          <w:szCs w:val="24"/>
        </w:rPr>
        <w:t xml:space="preserve">one </w:t>
      </w:r>
      <w:r w:rsidRPr="00862705">
        <w:rPr>
          <w:rFonts w:ascii="Trebuchet MS" w:hAnsi="Trebuchet MS" w:cs="Tahoma"/>
          <w:bCs/>
          <w:color w:val="000000" w:themeColor="text1"/>
          <w:sz w:val="24"/>
          <w:szCs w:val="24"/>
        </w:rPr>
        <w:t>bias</w:t>
      </w:r>
      <w:r w:rsidRPr="00862705">
        <w:rPr>
          <w:rFonts w:ascii="Trebuchet MS" w:hAnsi="Trebuchet MS" w:cs="Tahoma"/>
          <w:bCs/>
          <w:sz w:val="24"/>
          <w:szCs w:val="24"/>
        </w:rPr>
        <w:t xml:space="preserve"> involved in each of the papers.</w:t>
      </w:r>
      <w:r>
        <w:rPr>
          <w:rFonts w:ascii="Trebuchet MS" w:hAnsi="Trebuchet MS" w:cs="Tahoma"/>
          <w:bCs/>
          <w:sz w:val="24"/>
          <w:szCs w:val="24"/>
        </w:rPr>
        <w:t xml:space="preserve"> They</w:t>
      </w:r>
      <w:r w:rsidRPr="003634CE">
        <w:rPr>
          <w:rFonts w:ascii="Trebuchet MS" w:hAnsi="Trebuchet MS" w:cs="Tahoma"/>
          <w:bCs/>
          <w:sz w:val="24"/>
          <w:szCs w:val="24"/>
        </w:rPr>
        <w:t xml:space="preserve"> will </w:t>
      </w:r>
      <w:r>
        <w:rPr>
          <w:rFonts w:ascii="Trebuchet MS" w:hAnsi="Trebuchet MS" w:cs="Tahoma"/>
          <w:bCs/>
          <w:sz w:val="24"/>
          <w:szCs w:val="24"/>
        </w:rPr>
        <w:t>also</w:t>
      </w:r>
      <w:r w:rsidRPr="003634CE">
        <w:rPr>
          <w:rFonts w:ascii="Trebuchet MS" w:hAnsi="Trebuchet MS" w:cs="Tahoma"/>
          <w:bCs/>
          <w:sz w:val="24"/>
          <w:szCs w:val="24"/>
        </w:rPr>
        <w:t xml:space="preserve"> explore the scientific consideration of astrology</w:t>
      </w:r>
      <w:r>
        <w:rPr>
          <w:rFonts w:ascii="Trebuchet MS" w:hAnsi="Trebuchet MS" w:cs="Tahoma"/>
          <w:bCs/>
          <w:sz w:val="24"/>
          <w:szCs w:val="24"/>
        </w:rPr>
        <w:t xml:space="preserve"> used in both articles</w:t>
      </w:r>
      <w:r w:rsidRPr="003634CE">
        <w:rPr>
          <w:rFonts w:ascii="Trebuchet MS" w:hAnsi="Trebuchet MS" w:cs="Tahoma"/>
          <w:bCs/>
          <w:sz w:val="24"/>
          <w:szCs w:val="24"/>
        </w:rPr>
        <w:t xml:space="preserve"> </w:t>
      </w:r>
      <w:r>
        <w:rPr>
          <w:rFonts w:ascii="Trebuchet MS" w:hAnsi="Trebuchet MS" w:cs="Tahoma"/>
          <w:bCs/>
          <w:sz w:val="24"/>
          <w:szCs w:val="24"/>
        </w:rPr>
        <w:t xml:space="preserve">in the light of </w:t>
      </w:r>
      <w:r w:rsidRPr="003634CE">
        <w:rPr>
          <w:rFonts w:ascii="Trebuchet MS" w:hAnsi="Trebuchet MS" w:cs="Tahoma"/>
          <w:bCs/>
          <w:sz w:val="24"/>
          <w:szCs w:val="24"/>
        </w:rPr>
        <w:t xml:space="preserve">science as a cultural orthodoxy, and </w:t>
      </w:r>
      <w:r>
        <w:rPr>
          <w:rFonts w:ascii="Trebuchet MS" w:hAnsi="Trebuchet MS" w:cs="Tahoma"/>
          <w:bCs/>
          <w:sz w:val="24"/>
          <w:szCs w:val="24"/>
        </w:rPr>
        <w:t xml:space="preserve">the question of </w:t>
      </w:r>
      <w:r w:rsidRPr="003634CE">
        <w:rPr>
          <w:rFonts w:ascii="Trebuchet MS" w:hAnsi="Trebuchet MS" w:cs="Tahoma"/>
          <w:bCs/>
          <w:sz w:val="24"/>
          <w:szCs w:val="24"/>
        </w:rPr>
        <w:t>scientific integrity</w:t>
      </w:r>
      <w:r>
        <w:rPr>
          <w:rFonts w:ascii="Trebuchet MS" w:hAnsi="Trebuchet MS" w:cs="Tahoma"/>
          <w:bCs/>
          <w:sz w:val="24"/>
          <w:szCs w:val="24"/>
        </w:rPr>
        <w:t xml:space="preserve"> on the side of the scientists when they looked at the</w:t>
      </w:r>
      <w:r w:rsidRPr="003634CE">
        <w:rPr>
          <w:rFonts w:ascii="Trebuchet MS" w:hAnsi="Trebuchet MS" w:cs="Tahoma"/>
          <w:bCs/>
          <w:sz w:val="24"/>
          <w:szCs w:val="24"/>
        </w:rPr>
        <w:t xml:space="preserve"> popularity of astrology</w:t>
      </w:r>
      <w:r>
        <w:rPr>
          <w:rFonts w:ascii="Trebuchet MS" w:hAnsi="Trebuchet MS" w:cs="Tahoma"/>
          <w:bCs/>
          <w:sz w:val="24"/>
          <w:szCs w:val="24"/>
        </w:rPr>
        <w:t xml:space="preserve"> in their work</w:t>
      </w:r>
      <w:r w:rsidRPr="003634CE">
        <w:rPr>
          <w:rFonts w:ascii="Trebuchet MS" w:hAnsi="Trebuchet MS" w:cs="Tahoma"/>
          <w:bCs/>
          <w:sz w:val="24"/>
          <w:szCs w:val="24"/>
        </w:rPr>
        <w:t>.</w:t>
      </w:r>
    </w:p>
    <w:p w:rsidR="00CA0E22" w:rsidRPr="003634CE" w:rsidRDefault="00CA0E22" w:rsidP="00CA0E22">
      <w:pPr>
        <w:pStyle w:val="StandardWeb"/>
        <w:spacing w:before="0" w:beforeAutospacing="0" w:after="80" w:afterAutospacing="0"/>
        <w:ind w:right="-335"/>
        <w:rPr>
          <w:rFonts w:ascii="Trebuchet MS" w:hAnsi="Trebuchet MS" w:cs="Tahoma"/>
          <w:b/>
          <w:bCs/>
          <w:sz w:val="24"/>
          <w:szCs w:val="24"/>
        </w:rPr>
      </w:pPr>
      <w:r w:rsidRPr="003634CE">
        <w:rPr>
          <w:rFonts w:ascii="Trebuchet MS" w:hAnsi="Trebuchet MS" w:cs="Tahoma"/>
          <w:b/>
          <w:bCs/>
          <w:sz w:val="24"/>
          <w:szCs w:val="24"/>
        </w:rPr>
        <w:t>Definition and general connection of both search terms</w:t>
      </w:r>
    </w:p>
    <w:p w:rsidR="00CA0E22" w:rsidRPr="003634CE" w:rsidRDefault="00CA0E22" w:rsidP="00CA0E22">
      <w:pPr>
        <w:pStyle w:val="StandardWeb"/>
        <w:spacing w:before="0" w:beforeAutospacing="0" w:after="80" w:afterAutospacing="0"/>
        <w:ind w:right="-335"/>
        <w:rPr>
          <w:rFonts w:ascii="Trebuchet MS" w:hAnsi="Trebuchet MS" w:cs="Tahoma"/>
          <w:bCs/>
          <w:color w:val="000000" w:themeColor="text1"/>
          <w:sz w:val="24"/>
          <w:szCs w:val="24"/>
        </w:rPr>
      </w:pPr>
      <w:r w:rsidRPr="003634CE">
        <w:rPr>
          <w:rFonts w:ascii="Trebuchet MS" w:hAnsi="Trebuchet MS" w:cs="Tahoma"/>
          <w:bCs/>
          <w:color w:val="000000" w:themeColor="text1"/>
          <w:sz w:val="24"/>
          <w:szCs w:val="24"/>
        </w:rPr>
        <w:t xml:space="preserve">In comparing the two papers, it is suitable to begin with how the search terms ‘astrology’ and ‘culture’ are defined, and how they are approached by the authors. None of the authors give an explicit definition of astrology; rather, they mainly provide some indication of an outsider’s perspective. So as a substitute, and in order to provide a working basis to this essay, an insider’s definition is given. Curry states that astrology is ‘the practice of relating the heavenly bodies to lives and events on earth, and the tradition that has thus been generated’. Bok and </w:t>
      </w:r>
      <w:proofErr w:type="spellStart"/>
      <w:r w:rsidRPr="003634CE">
        <w:rPr>
          <w:rFonts w:ascii="Trebuchet MS" w:hAnsi="Trebuchet MS" w:cs="Tahoma"/>
          <w:bCs/>
          <w:color w:val="000000" w:themeColor="text1"/>
          <w:sz w:val="24"/>
          <w:szCs w:val="24"/>
        </w:rPr>
        <w:t>Mayall</w:t>
      </w:r>
      <w:proofErr w:type="spellEnd"/>
      <w:r w:rsidRPr="003634CE">
        <w:rPr>
          <w:rFonts w:ascii="Trebuchet MS" w:hAnsi="Trebuchet MS" w:cs="Tahoma"/>
          <w:bCs/>
          <w:color w:val="000000" w:themeColor="text1"/>
          <w:sz w:val="24"/>
          <w:szCs w:val="24"/>
        </w:rPr>
        <w:t xml:space="preserve"> clearly point out what, in their view, astrology is not. To them, it is not a science and they describe it as a ‘current fad’ by which its practitioners make ‘</w:t>
      </w:r>
      <w:proofErr w:type="spellStart"/>
      <w:r w:rsidRPr="003634CE">
        <w:rPr>
          <w:rFonts w:ascii="Trebuchet MS" w:hAnsi="Trebuchet MS" w:cs="Tahoma"/>
          <w:bCs/>
          <w:color w:val="000000" w:themeColor="text1"/>
          <w:sz w:val="24"/>
          <w:szCs w:val="24"/>
        </w:rPr>
        <w:t>skillful</w:t>
      </w:r>
      <w:proofErr w:type="spellEnd"/>
      <w:r w:rsidRPr="003634CE">
        <w:rPr>
          <w:rFonts w:ascii="Trebuchet MS" w:hAnsi="Trebuchet MS" w:cs="Tahoma"/>
          <w:bCs/>
          <w:color w:val="000000" w:themeColor="text1"/>
          <w:sz w:val="24"/>
          <w:szCs w:val="24"/>
        </w:rPr>
        <w:t xml:space="preserve"> use’ of a ‘general misapprehension’, which is harmful and threatening both historically and currently</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1"/>
      </w:r>
      <w:r w:rsidRPr="003634CE">
        <w:rPr>
          <w:rFonts w:ascii="Trebuchet MS" w:hAnsi="Trebuchet MS" w:cs="Tahoma"/>
          <w:bCs/>
          <w:color w:val="000000" w:themeColor="text1"/>
          <w:sz w:val="24"/>
          <w:szCs w:val="24"/>
        </w:rPr>
        <w:t xml:space="preserve"> Phillipson argues that such aggressive criticism of astrology by scientists may be nurtured ‘by scientism’s need for a construction to define itself against’</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2"/>
      </w:r>
      <w:r w:rsidRPr="003634CE">
        <w:rPr>
          <w:rFonts w:ascii="Trebuchet MS" w:hAnsi="Trebuchet MS" w:cs="Tahoma"/>
          <w:bCs/>
          <w:color w:val="000000" w:themeColor="text1"/>
          <w:sz w:val="24"/>
          <w:szCs w:val="24"/>
        </w:rPr>
        <w:t xml:space="preserve"> ‘Scientism’ is used here as a term for ‘the irrational belief in the omnicompetence of science’</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3"/>
      </w:r>
    </w:p>
    <w:p w:rsidR="00CA0E22" w:rsidRPr="003634CE" w:rsidRDefault="00CA0E22" w:rsidP="00CA0E22">
      <w:pPr>
        <w:pStyle w:val="StandardWeb"/>
        <w:spacing w:before="0" w:beforeAutospacing="0" w:after="80" w:afterAutospacing="0"/>
        <w:ind w:right="-335"/>
        <w:rPr>
          <w:rFonts w:ascii="Trebuchet MS" w:hAnsi="Trebuchet MS" w:cs="Tahoma"/>
          <w:bCs/>
          <w:color w:val="000000" w:themeColor="text1"/>
          <w:sz w:val="24"/>
          <w:szCs w:val="24"/>
        </w:rPr>
      </w:pPr>
      <w:proofErr w:type="spellStart"/>
      <w:r w:rsidRPr="003634CE">
        <w:rPr>
          <w:rFonts w:ascii="Trebuchet MS" w:hAnsi="Trebuchet MS" w:cs="Tahoma"/>
          <w:bCs/>
          <w:color w:val="000000" w:themeColor="text1"/>
          <w:sz w:val="24"/>
          <w:szCs w:val="24"/>
        </w:rPr>
        <w:t>Wuthnow</w:t>
      </w:r>
      <w:proofErr w:type="spellEnd"/>
      <w:r w:rsidRPr="003634CE">
        <w:rPr>
          <w:rFonts w:ascii="Trebuchet MS" w:hAnsi="Trebuchet MS" w:cs="Tahoma"/>
          <w:bCs/>
          <w:color w:val="000000" w:themeColor="text1"/>
          <w:sz w:val="24"/>
          <w:szCs w:val="24"/>
        </w:rPr>
        <w:t xml:space="preserve"> also gives no definition of astrology and in his examination merely </w:t>
      </w:r>
      <w:proofErr w:type="spellStart"/>
      <w:r w:rsidRPr="003634CE">
        <w:rPr>
          <w:rFonts w:ascii="Trebuchet MS" w:hAnsi="Trebuchet MS" w:cs="Tahoma"/>
          <w:bCs/>
          <w:color w:val="000000" w:themeColor="text1"/>
          <w:sz w:val="24"/>
          <w:szCs w:val="24"/>
        </w:rPr>
        <w:t>inquires</w:t>
      </w:r>
      <w:proofErr w:type="spellEnd"/>
      <w:r w:rsidRPr="003634CE">
        <w:rPr>
          <w:rFonts w:ascii="Trebuchet MS" w:hAnsi="Trebuchet MS" w:cs="Tahoma"/>
          <w:bCs/>
          <w:color w:val="000000" w:themeColor="text1"/>
          <w:sz w:val="24"/>
          <w:szCs w:val="24"/>
        </w:rPr>
        <w:t xml:space="preserve"> into current notions about the interest in astrology in its social correlations, although by implication—especially in his choice of questions for the survey—he refers to astrology as something to believe in or not.</w:t>
      </w:r>
      <w:r>
        <w:rPr>
          <w:rStyle w:val="Funotenzeichen"/>
          <w:rFonts w:ascii="Trebuchet MS" w:hAnsi="Trebuchet MS" w:cs="Tahoma"/>
          <w:bCs/>
          <w:color w:val="000000" w:themeColor="text1"/>
          <w:sz w:val="24"/>
          <w:szCs w:val="24"/>
        </w:rPr>
        <w:footnoteReference w:id="4"/>
      </w:r>
      <w:r>
        <w:rPr>
          <w:rFonts w:ascii="Trebuchet MS" w:hAnsi="Trebuchet MS" w:cs="Tahoma"/>
          <w:bCs/>
          <w:color w:val="000000" w:themeColor="text1"/>
          <w:sz w:val="24"/>
          <w:szCs w:val="24"/>
        </w:rPr>
        <w:t xml:space="preserve"> </w:t>
      </w:r>
      <w:r w:rsidRPr="003634CE">
        <w:rPr>
          <w:rFonts w:ascii="Trebuchet MS" w:hAnsi="Trebuchet MS" w:cs="Tahoma"/>
          <w:bCs/>
          <w:color w:val="000000" w:themeColor="text1"/>
          <w:sz w:val="24"/>
          <w:szCs w:val="24"/>
        </w:rPr>
        <w:t xml:space="preserve">In this manner, </w:t>
      </w:r>
      <w:proofErr w:type="spellStart"/>
      <w:r w:rsidRPr="003634CE">
        <w:rPr>
          <w:rFonts w:ascii="Trebuchet MS" w:hAnsi="Trebuchet MS" w:cs="Tahoma"/>
          <w:bCs/>
          <w:color w:val="000000" w:themeColor="text1"/>
          <w:sz w:val="24"/>
          <w:szCs w:val="24"/>
        </w:rPr>
        <w:t>Wuthnow</w:t>
      </w:r>
      <w:proofErr w:type="spellEnd"/>
      <w:r w:rsidRPr="003634CE">
        <w:rPr>
          <w:rFonts w:ascii="Trebuchet MS" w:hAnsi="Trebuchet MS" w:cs="Tahoma"/>
          <w:bCs/>
          <w:color w:val="000000" w:themeColor="text1"/>
          <w:sz w:val="24"/>
          <w:szCs w:val="24"/>
        </w:rPr>
        <w:t xml:space="preserve"> draws astrology closer to religion and excludes other possible approaches. However, as part of his survey, besides inquiring whether astrology is a surrogate for religion, </w:t>
      </w:r>
      <w:proofErr w:type="spellStart"/>
      <w:r w:rsidRPr="003634CE">
        <w:rPr>
          <w:rFonts w:ascii="Trebuchet MS" w:hAnsi="Trebuchet MS" w:cs="Tahoma"/>
          <w:bCs/>
          <w:color w:val="000000" w:themeColor="text1"/>
          <w:sz w:val="24"/>
          <w:szCs w:val="24"/>
        </w:rPr>
        <w:t>Wuthnow</w:t>
      </w:r>
      <w:proofErr w:type="spellEnd"/>
      <w:r w:rsidRPr="003634CE">
        <w:rPr>
          <w:rFonts w:ascii="Trebuchet MS" w:hAnsi="Trebuchet MS" w:cs="Tahoma"/>
          <w:bCs/>
          <w:color w:val="000000" w:themeColor="text1"/>
          <w:sz w:val="24"/>
          <w:szCs w:val="24"/>
        </w:rPr>
        <w:t xml:space="preserve"> refers to an interest in astrology in connection with social ‘marginality’ and the current ‘counter-culture’</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5"/>
      </w:r>
    </w:p>
    <w:p w:rsidR="00CA0E22" w:rsidRPr="003634CE" w:rsidRDefault="00CA0E22" w:rsidP="00CA0E22">
      <w:pPr>
        <w:pStyle w:val="StandardWeb"/>
        <w:spacing w:before="0" w:beforeAutospacing="0" w:after="80" w:afterAutospacing="0"/>
        <w:ind w:right="-335"/>
        <w:rPr>
          <w:rFonts w:ascii="Trebuchet MS" w:hAnsi="Trebuchet MS" w:cs="Tahoma"/>
          <w:bCs/>
          <w:color w:val="000000" w:themeColor="text1"/>
          <w:sz w:val="24"/>
          <w:szCs w:val="24"/>
        </w:rPr>
      </w:pPr>
      <w:r w:rsidRPr="003634CE">
        <w:rPr>
          <w:rFonts w:ascii="Trebuchet MS" w:hAnsi="Trebuchet MS" w:cs="Tahoma"/>
          <w:bCs/>
          <w:color w:val="000000" w:themeColor="text1"/>
          <w:sz w:val="24"/>
          <w:szCs w:val="24"/>
        </w:rPr>
        <w:t>Neither do any of the authors give a definition of culture. Because of its complexity,</w:t>
      </w:r>
      <w:r w:rsidRPr="003634CE" w:rsidDel="00957504">
        <w:rPr>
          <w:rFonts w:ascii="Trebuchet MS" w:hAnsi="Trebuchet MS" w:cs="Tahoma"/>
          <w:bCs/>
          <w:color w:val="000000" w:themeColor="text1"/>
          <w:sz w:val="24"/>
          <w:szCs w:val="24"/>
        </w:rPr>
        <w:t xml:space="preserve"> </w:t>
      </w:r>
      <w:r w:rsidRPr="003634CE">
        <w:rPr>
          <w:rFonts w:ascii="Trebuchet MS" w:hAnsi="Trebuchet MS" w:cs="Tahoma"/>
          <w:bCs/>
          <w:color w:val="000000" w:themeColor="text1"/>
          <w:sz w:val="24"/>
          <w:szCs w:val="24"/>
        </w:rPr>
        <w:t>as a term in itself culture may be difficult to define, which Eagleton</w:t>
      </w:r>
      <w:r>
        <w:rPr>
          <w:rFonts w:ascii="Trebuchet MS" w:hAnsi="Trebuchet MS" w:cs="Tahoma"/>
          <w:bCs/>
          <w:color w:val="000000" w:themeColor="text1"/>
          <w:sz w:val="24"/>
          <w:szCs w:val="24"/>
        </w:rPr>
        <w:t xml:space="preserve"> </w:t>
      </w:r>
      <w:r w:rsidRPr="003634CE">
        <w:rPr>
          <w:rFonts w:ascii="Trebuchet MS" w:hAnsi="Trebuchet MS" w:cs="Tahoma"/>
          <w:bCs/>
          <w:color w:val="000000" w:themeColor="text1"/>
          <w:sz w:val="24"/>
          <w:szCs w:val="24"/>
        </w:rPr>
        <w:t>confirms</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6"/>
      </w:r>
      <w:r w:rsidRPr="003634CE">
        <w:rPr>
          <w:rFonts w:ascii="Trebuchet MS" w:hAnsi="Trebuchet MS" w:cs="Tahoma"/>
          <w:bCs/>
          <w:color w:val="000000" w:themeColor="text1"/>
          <w:sz w:val="24"/>
          <w:szCs w:val="24"/>
        </w:rPr>
        <w:t xml:space="preserve"> One aspect of culture, however, stands out here: it is the indication of </w:t>
      </w:r>
      <w:r>
        <w:rPr>
          <w:rFonts w:ascii="Trebuchet MS" w:hAnsi="Trebuchet MS" w:cs="Tahoma"/>
          <w:bCs/>
          <w:color w:val="000000" w:themeColor="text1"/>
          <w:sz w:val="24"/>
          <w:szCs w:val="24"/>
        </w:rPr>
        <w:t xml:space="preserve">the </w:t>
      </w:r>
      <w:r w:rsidRPr="003634CE">
        <w:rPr>
          <w:rFonts w:ascii="Trebuchet MS" w:hAnsi="Trebuchet MS" w:cs="Tahoma"/>
          <w:bCs/>
          <w:color w:val="000000" w:themeColor="text1"/>
          <w:sz w:val="24"/>
          <w:szCs w:val="24"/>
        </w:rPr>
        <w:t xml:space="preserve">sacredness of </w:t>
      </w:r>
      <w:r w:rsidRPr="003634CE">
        <w:rPr>
          <w:rFonts w:ascii="Trebuchet MS" w:hAnsi="Trebuchet MS" w:cs="Tahoma"/>
          <w:bCs/>
          <w:color w:val="000000" w:themeColor="text1"/>
          <w:sz w:val="24"/>
          <w:szCs w:val="24"/>
        </w:rPr>
        <w:lastRenderedPageBreak/>
        <w:t>cultural truths in terms of tradition</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7"/>
      </w:r>
      <w:r w:rsidRPr="003634CE">
        <w:rPr>
          <w:rFonts w:ascii="Trebuchet MS" w:hAnsi="Trebuchet MS" w:cs="Tahoma"/>
          <w:bCs/>
          <w:color w:val="000000" w:themeColor="text1"/>
          <w:sz w:val="24"/>
          <w:szCs w:val="24"/>
        </w:rPr>
        <w:t xml:space="preserve"> In defending the tradition of science, Bok and </w:t>
      </w:r>
      <w:proofErr w:type="spellStart"/>
      <w:r w:rsidRPr="003634CE">
        <w:rPr>
          <w:rFonts w:ascii="Trebuchet MS" w:hAnsi="Trebuchet MS" w:cs="Tahoma"/>
          <w:bCs/>
          <w:color w:val="000000" w:themeColor="text1"/>
          <w:sz w:val="24"/>
          <w:szCs w:val="24"/>
        </w:rPr>
        <w:t>Mayall’s</w:t>
      </w:r>
      <w:proofErr w:type="spellEnd"/>
      <w:r w:rsidRPr="003634CE">
        <w:rPr>
          <w:rFonts w:ascii="Trebuchet MS" w:hAnsi="Trebuchet MS" w:cs="Tahoma"/>
          <w:bCs/>
          <w:color w:val="000000" w:themeColor="text1"/>
          <w:sz w:val="24"/>
          <w:szCs w:val="24"/>
        </w:rPr>
        <w:t xml:space="preserve"> approach to astrology demonstrates what, in Phillipson’s terms, is called ‘the pursuit of a universal orthodoxy based on science’, and the ‘condemnation of divergent views as if they are heresies against science’</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8"/>
      </w:r>
      <w:r>
        <w:rPr>
          <w:rFonts w:ascii="Trebuchet MS" w:hAnsi="Trebuchet MS" w:cs="Tahoma"/>
          <w:bCs/>
          <w:color w:val="000000" w:themeColor="text1"/>
          <w:sz w:val="24"/>
          <w:szCs w:val="24"/>
        </w:rPr>
        <w:t xml:space="preserve"> </w:t>
      </w:r>
      <w:r w:rsidRPr="003634CE">
        <w:rPr>
          <w:rFonts w:ascii="Trebuchet MS" w:hAnsi="Trebuchet MS" w:cs="Tahoma"/>
          <w:bCs/>
          <w:color w:val="000000" w:themeColor="text1"/>
          <w:sz w:val="24"/>
          <w:szCs w:val="24"/>
        </w:rPr>
        <w:t xml:space="preserve">In </w:t>
      </w:r>
      <w:proofErr w:type="spellStart"/>
      <w:r w:rsidRPr="003634CE">
        <w:rPr>
          <w:rFonts w:ascii="Trebuchet MS" w:hAnsi="Trebuchet MS" w:cs="Tahoma"/>
          <w:bCs/>
          <w:color w:val="000000" w:themeColor="text1"/>
          <w:sz w:val="24"/>
          <w:szCs w:val="24"/>
        </w:rPr>
        <w:t>Wuthnow’s</w:t>
      </w:r>
      <w:proofErr w:type="spellEnd"/>
      <w:r w:rsidRPr="003634CE">
        <w:rPr>
          <w:rFonts w:ascii="Trebuchet MS" w:hAnsi="Trebuchet MS" w:cs="Tahoma"/>
          <w:bCs/>
          <w:color w:val="000000" w:themeColor="text1"/>
          <w:sz w:val="24"/>
          <w:szCs w:val="24"/>
        </w:rPr>
        <w:t xml:space="preserve"> examination, this may seem less obvious. However, considering the bias demonstrated later in this essay, it could be argued that instead of following the rule book of scientific practice, he too made use of what Phillipson calls ‘scientism’</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9"/>
      </w:r>
    </w:p>
    <w:p w:rsidR="00CA0E22" w:rsidRPr="003634CE" w:rsidRDefault="00CA0E22" w:rsidP="00CA0E22">
      <w:pPr>
        <w:pStyle w:val="StandardWeb"/>
        <w:spacing w:before="0" w:beforeAutospacing="0" w:after="160" w:afterAutospacing="0"/>
        <w:ind w:right="-335"/>
        <w:rPr>
          <w:rFonts w:ascii="Trebuchet MS" w:hAnsi="Trebuchet MS" w:cs="Tahoma"/>
          <w:bCs/>
          <w:color w:val="000000" w:themeColor="text1"/>
          <w:sz w:val="24"/>
          <w:szCs w:val="24"/>
        </w:rPr>
      </w:pPr>
      <w:r w:rsidRPr="003634CE">
        <w:rPr>
          <w:rFonts w:ascii="Trebuchet MS" w:hAnsi="Trebuchet MS" w:cs="Tahoma"/>
          <w:bCs/>
          <w:color w:val="000000" w:themeColor="text1"/>
          <w:sz w:val="24"/>
          <w:szCs w:val="24"/>
        </w:rPr>
        <w:t xml:space="preserve">It is clear from this that without definitions of astrology and culture there is little </w:t>
      </w:r>
      <w:r>
        <w:rPr>
          <w:rFonts w:ascii="Trebuchet MS" w:hAnsi="Trebuchet MS" w:cs="Tahoma"/>
          <w:bCs/>
          <w:color w:val="000000" w:themeColor="text1"/>
          <w:sz w:val="24"/>
          <w:szCs w:val="24"/>
        </w:rPr>
        <w:t xml:space="preserve">common </w:t>
      </w:r>
      <w:r w:rsidRPr="003634CE">
        <w:rPr>
          <w:rFonts w:ascii="Trebuchet MS" w:hAnsi="Trebuchet MS" w:cs="Tahoma"/>
          <w:bCs/>
          <w:color w:val="000000" w:themeColor="text1"/>
          <w:sz w:val="24"/>
          <w:szCs w:val="24"/>
        </w:rPr>
        <w:t>basis for discussing them. Much must be left open, so Curry’s inclusive definition may serve</w:t>
      </w:r>
      <w:r>
        <w:rPr>
          <w:rFonts w:ascii="Trebuchet MS" w:hAnsi="Trebuchet MS" w:cs="Tahoma"/>
          <w:bCs/>
          <w:color w:val="000000" w:themeColor="text1"/>
          <w:sz w:val="24"/>
          <w:szCs w:val="24"/>
        </w:rPr>
        <w:t>,</w:t>
      </w:r>
      <w:r w:rsidRPr="003634CE">
        <w:rPr>
          <w:rFonts w:ascii="Trebuchet MS" w:hAnsi="Trebuchet MS" w:cs="Tahoma"/>
          <w:bCs/>
          <w:color w:val="000000" w:themeColor="text1"/>
          <w:sz w:val="24"/>
          <w:szCs w:val="24"/>
        </w:rPr>
        <w:t xml:space="preserve"> whether or not the authors equate astrology with sun sign columns, judgmental horoscope analysis or weather prediction.</w:t>
      </w:r>
    </w:p>
    <w:p w:rsidR="00CA0E22" w:rsidRPr="003634CE" w:rsidRDefault="00CA0E22" w:rsidP="00CA0E22">
      <w:pPr>
        <w:pStyle w:val="StandardWeb"/>
        <w:spacing w:before="0" w:beforeAutospacing="0" w:after="80" w:afterAutospacing="0"/>
        <w:ind w:right="-335"/>
        <w:rPr>
          <w:rFonts w:ascii="Trebuchet MS" w:hAnsi="Trebuchet MS" w:cs="Tahoma"/>
          <w:b/>
          <w:bCs/>
          <w:color w:val="000000" w:themeColor="text1"/>
          <w:sz w:val="24"/>
          <w:szCs w:val="24"/>
          <w:highlight w:val="green"/>
        </w:rPr>
      </w:pPr>
      <w:r w:rsidRPr="003634CE">
        <w:rPr>
          <w:rFonts w:ascii="Trebuchet MS" w:hAnsi="Trebuchet MS" w:cs="Tahoma"/>
          <w:b/>
          <w:bCs/>
          <w:color w:val="000000" w:themeColor="text1"/>
          <w:sz w:val="24"/>
          <w:szCs w:val="24"/>
        </w:rPr>
        <w:t>Aims and methods</w:t>
      </w:r>
    </w:p>
    <w:p w:rsidR="00CA0E22" w:rsidRPr="003634CE" w:rsidRDefault="00CA0E22" w:rsidP="00CA0E22">
      <w:pPr>
        <w:pStyle w:val="StandardWeb"/>
        <w:spacing w:before="0" w:beforeAutospacing="0" w:after="160" w:afterAutospacing="0"/>
        <w:ind w:right="-335"/>
        <w:rPr>
          <w:rFonts w:ascii="Trebuchet MS" w:hAnsi="Trebuchet MS" w:cs="Tahoma"/>
          <w:bCs/>
          <w:color w:val="000000" w:themeColor="text1"/>
          <w:sz w:val="24"/>
          <w:szCs w:val="24"/>
        </w:rPr>
      </w:pPr>
      <w:r w:rsidRPr="003634CE">
        <w:rPr>
          <w:rFonts w:ascii="Trebuchet MS" w:hAnsi="Trebuchet MS" w:cs="Tahoma"/>
          <w:bCs/>
          <w:color w:val="000000" w:themeColor="text1"/>
          <w:sz w:val="24"/>
          <w:szCs w:val="24"/>
        </w:rPr>
        <w:t xml:space="preserve">Whereas both articles respond to a current widespread interest in astrology of their time and place, what differentiates them </w:t>
      </w:r>
      <w:r>
        <w:rPr>
          <w:rFonts w:ascii="Trebuchet MS" w:hAnsi="Trebuchet MS" w:cs="Tahoma"/>
          <w:bCs/>
          <w:color w:val="000000" w:themeColor="text1"/>
          <w:sz w:val="24"/>
          <w:szCs w:val="24"/>
        </w:rPr>
        <w:t xml:space="preserve">next to their time and relation to the subject </w:t>
      </w:r>
      <w:r w:rsidRPr="003634CE">
        <w:rPr>
          <w:rFonts w:ascii="Trebuchet MS" w:hAnsi="Trebuchet MS" w:cs="Tahoma"/>
          <w:bCs/>
          <w:color w:val="000000" w:themeColor="text1"/>
          <w:sz w:val="24"/>
          <w:szCs w:val="24"/>
        </w:rPr>
        <w:t xml:space="preserve">are the chosen targets. Bok and </w:t>
      </w:r>
      <w:proofErr w:type="spellStart"/>
      <w:r w:rsidRPr="003634CE">
        <w:rPr>
          <w:rFonts w:ascii="Trebuchet MS" w:hAnsi="Trebuchet MS" w:cs="Tahoma"/>
          <w:bCs/>
          <w:color w:val="000000" w:themeColor="text1"/>
          <w:sz w:val="24"/>
          <w:szCs w:val="24"/>
        </w:rPr>
        <w:t>Mayall</w:t>
      </w:r>
      <w:proofErr w:type="spellEnd"/>
      <w:r w:rsidRPr="003634CE">
        <w:rPr>
          <w:rFonts w:ascii="Trebuchet MS" w:hAnsi="Trebuchet MS" w:cs="Tahoma"/>
          <w:bCs/>
          <w:color w:val="000000" w:themeColor="text1"/>
          <w:sz w:val="24"/>
          <w:szCs w:val="24"/>
        </w:rPr>
        <w:t xml:space="preserve"> address the claims of astrology and its practitioners</w:t>
      </w:r>
      <w:r>
        <w:rPr>
          <w:rFonts w:ascii="Trebuchet MS" w:hAnsi="Trebuchet MS" w:cs="Tahoma"/>
          <w:bCs/>
          <w:color w:val="000000" w:themeColor="text1"/>
          <w:sz w:val="24"/>
          <w:szCs w:val="24"/>
        </w:rPr>
        <w:t>,</w:t>
      </w:r>
      <w:r w:rsidRPr="003634CE">
        <w:rPr>
          <w:rFonts w:ascii="Trebuchet MS" w:hAnsi="Trebuchet MS" w:cs="Tahoma"/>
          <w:bCs/>
          <w:color w:val="000000" w:themeColor="text1"/>
          <w:sz w:val="24"/>
          <w:szCs w:val="24"/>
        </w:rPr>
        <w:t xml:space="preserve"> whereas </w:t>
      </w:r>
      <w:proofErr w:type="spellStart"/>
      <w:r w:rsidRPr="003634CE">
        <w:rPr>
          <w:rFonts w:ascii="Trebuchet MS" w:hAnsi="Trebuchet MS" w:cs="Tahoma"/>
          <w:bCs/>
          <w:color w:val="000000" w:themeColor="text1"/>
          <w:sz w:val="24"/>
          <w:szCs w:val="24"/>
        </w:rPr>
        <w:t>Wuthnow</w:t>
      </w:r>
      <w:proofErr w:type="spellEnd"/>
      <w:r w:rsidRPr="003634CE">
        <w:rPr>
          <w:rFonts w:ascii="Trebuchet MS" w:hAnsi="Trebuchet MS" w:cs="Tahoma"/>
          <w:bCs/>
          <w:color w:val="000000" w:themeColor="text1"/>
          <w:sz w:val="24"/>
          <w:szCs w:val="24"/>
        </w:rPr>
        <w:t xml:space="preserve"> focuses on subjects within a general population that are more loosely related to astrology.</w:t>
      </w:r>
      <w:r w:rsidRPr="003634CE">
        <w:rPr>
          <w:rFonts w:ascii="Trebuchet MS" w:hAnsi="Trebuchet MS" w:cs="Tahoma"/>
          <w:bCs/>
          <w:color w:val="000000" w:themeColor="text1"/>
          <w:sz w:val="24"/>
          <w:szCs w:val="24"/>
        </w:rPr>
        <w:br/>
        <w:t>In both cases, the common aim was to clarify and confirm the rank of astrology and to locate the social position of its adherents. Both articles assert that especially those in weak positions, either socially or in terms of life challenges, find their way to astrology.</w:t>
      </w:r>
      <w:r w:rsidRPr="003634CE">
        <w:rPr>
          <w:rFonts w:ascii="Trebuchet MS" w:hAnsi="Trebuchet MS" w:cs="Tahoma"/>
          <w:bCs/>
          <w:color w:val="000000" w:themeColor="text1"/>
          <w:sz w:val="24"/>
          <w:szCs w:val="24"/>
        </w:rPr>
        <w:br/>
      </w:r>
      <w:proofErr w:type="spellStart"/>
      <w:r w:rsidRPr="003634CE">
        <w:rPr>
          <w:rFonts w:ascii="Trebuchet MS" w:hAnsi="Trebuchet MS" w:cs="Tahoma"/>
          <w:bCs/>
          <w:color w:val="000000" w:themeColor="text1"/>
          <w:sz w:val="24"/>
          <w:szCs w:val="24"/>
        </w:rPr>
        <w:t>Wuthnow</w:t>
      </w:r>
      <w:proofErr w:type="spellEnd"/>
      <w:r>
        <w:rPr>
          <w:rFonts w:ascii="Trebuchet MS" w:hAnsi="Trebuchet MS" w:cs="Tahoma"/>
          <w:bCs/>
          <w:color w:val="000000" w:themeColor="text1"/>
          <w:sz w:val="24"/>
          <w:szCs w:val="24"/>
        </w:rPr>
        <w:t>, a sociologist basically looking at religious concepts</w:t>
      </w:r>
      <w:r w:rsidRPr="003634CE">
        <w:rPr>
          <w:rFonts w:ascii="Trebuchet MS" w:hAnsi="Trebuchet MS" w:cs="Tahoma"/>
          <w:bCs/>
          <w:color w:val="000000" w:themeColor="text1"/>
          <w:sz w:val="24"/>
          <w:szCs w:val="24"/>
        </w:rPr>
        <w:t xml:space="preserve"> </w:t>
      </w:r>
      <w:r>
        <w:rPr>
          <w:rFonts w:ascii="Trebuchet MS" w:hAnsi="Trebuchet MS" w:cs="Tahoma"/>
          <w:bCs/>
          <w:color w:val="000000" w:themeColor="text1"/>
          <w:sz w:val="24"/>
          <w:szCs w:val="24"/>
        </w:rPr>
        <w:t xml:space="preserve">in young people at the San Francisco Bay area in the 1970s, </w:t>
      </w:r>
      <w:r w:rsidRPr="003634CE">
        <w:rPr>
          <w:rFonts w:ascii="Trebuchet MS" w:hAnsi="Trebuchet MS" w:cs="Tahoma"/>
          <w:bCs/>
          <w:color w:val="000000" w:themeColor="text1"/>
          <w:sz w:val="24"/>
          <w:szCs w:val="24"/>
        </w:rPr>
        <w:t>determines the major commitment to astrology to be what he calls the ‘socially marginal’, or less privileged and less powerful members of society</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10"/>
      </w:r>
      <w:r w:rsidRPr="003634CE">
        <w:rPr>
          <w:rFonts w:ascii="Trebuchet MS" w:hAnsi="Trebuchet MS" w:cs="Tahoma"/>
          <w:bCs/>
          <w:color w:val="000000" w:themeColor="text1"/>
          <w:sz w:val="24"/>
          <w:szCs w:val="24"/>
        </w:rPr>
        <w:t xml:space="preserve"> </w:t>
      </w:r>
      <w:r>
        <w:rPr>
          <w:rFonts w:ascii="Trebuchet MS" w:hAnsi="Trebuchet MS" w:cs="Tahoma"/>
          <w:bCs/>
          <w:color w:val="000000" w:themeColor="text1"/>
          <w:sz w:val="24"/>
          <w:szCs w:val="24"/>
        </w:rPr>
        <w:t>He</w:t>
      </w:r>
      <w:r w:rsidRPr="003634CE">
        <w:rPr>
          <w:rFonts w:ascii="Trebuchet MS" w:hAnsi="Trebuchet MS" w:cs="Tahoma"/>
          <w:bCs/>
          <w:color w:val="000000" w:themeColor="text1"/>
          <w:sz w:val="24"/>
          <w:szCs w:val="24"/>
        </w:rPr>
        <w:t xml:space="preserve"> arrives at this determination </w:t>
      </w:r>
      <w:r>
        <w:rPr>
          <w:rFonts w:ascii="Trebuchet MS" w:hAnsi="Trebuchet MS" w:cs="Tahoma"/>
          <w:bCs/>
          <w:color w:val="000000" w:themeColor="text1"/>
          <w:sz w:val="24"/>
          <w:szCs w:val="24"/>
        </w:rPr>
        <w:t>using</w:t>
      </w:r>
      <w:r w:rsidRPr="003634CE">
        <w:rPr>
          <w:rFonts w:ascii="Trebuchet MS" w:hAnsi="Trebuchet MS" w:cs="Tahoma"/>
          <w:bCs/>
          <w:color w:val="000000" w:themeColor="text1"/>
          <w:sz w:val="24"/>
          <w:szCs w:val="24"/>
        </w:rPr>
        <w:t xml:space="preserve"> quantitative research. On the other hand, Bok and </w:t>
      </w:r>
      <w:proofErr w:type="spellStart"/>
      <w:r w:rsidRPr="003634CE">
        <w:rPr>
          <w:rFonts w:ascii="Trebuchet MS" w:hAnsi="Trebuchet MS" w:cs="Tahoma"/>
          <w:bCs/>
          <w:color w:val="000000" w:themeColor="text1"/>
          <w:sz w:val="24"/>
          <w:szCs w:val="24"/>
        </w:rPr>
        <w:t>Mayall</w:t>
      </w:r>
      <w:proofErr w:type="spellEnd"/>
      <w:r>
        <w:rPr>
          <w:rFonts w:ascii="Trebuchet MS" w:hAnsi="Trebuchet MS" w:cs="Tahoma"/>
          <w:bCs/>
          <w:color w:val="000000" w:themeColor="text1"/>
          <w:sz w:val="24"/>
          <w:szCs w:val="24"/>
        </w:rPr>
        <w:t xml:space="preserve"> - </w:t>
      </w:r>
      <w:r w:rsidRPr="003634CE">
        <w:rPr>
          <w:rFonts w:ascii="Trebuchet MS" w:hAnsi="Trebuchet MS" w:cs="Tahoma"/>
          <w:bCs/>
          <w:color w:val="000000" w:themeColor="text1"/>
          <w:sz w:val="24"/>
          <w:szCs w:val="24"/>
        </w:rPr>
        <w:t>a Harvard professor of astronomy and his research assistant</w:t>
      </w:r>
      <w:r>
        <w:rPr>
          <w:rFonts w:ascii="Trebuchet MS" w:hAnsi="Trebuchet MS" w:cs="Tahoma"/>
          <w:bCs/>
          <w:color w:val="000000" w:themeColor="text1"/>
          <w:sz w:val="24"/>
          <w:szCs w:val="24"/>
        </w:rPr>
        <w:t xml:space="preserve"> –</w:t>
      </w:r>
      <w:r w:rsidRPr="003634CE">
        <w:rPr>
          <w:rFonts w:ascii="Trebuchet MS" w:hAnsi="Trebuchet MS" w:cs="Tahoma"/>
          <w:bCs/>
          <w:color w:val="000000" w:themeColor="text1"/>
          <w:sz w:val="24"/>
          <w:szCs w:val="24"/>
        </w:rPr>
        <w:t xml:space="preserve"> go to great efforts to limit astrology’s </w:t>
      </w:r>
      <w:r>
        <w:rPr>
          <w:rFonts w:ascii="Trebuchet MS" w:hAnsi="Trebuchet MS" w:cs="Tahoma"/>
          <w:bCs/>
          <w:color w:val="000000" w:themeColor="text1"/>
          <w:sz w:val="24"/>
          <w:szCs w:val="24"/>
        </w:rPr>
        <w:t>rising popularity</w:t>
      </w:r>
      <w:r w:rsidRPr="003634CE">
        <w:rPr>
          <w:rFonts w:ascii="Trebuchet MS" w:hAnsi="Trebuchet MS" w:cs="Tahoma"/>
          <w:bCs/>
          <w:color w:val="000000" w:themeColor="text1"/>
          <w:sz w:val="24"/>
          <w:szCs w:val="24"/>
        </w:rPr>
        <w:t xml:space="preserve"> and warn the public against its threats. </w:t>
      </w:r>
      <w:r>
        <w:rPr>
          <w:rFonts w:ascii="Trebuchet MS" w:hAnsi="Trebuchet MS" w:cs="Tahoma"/>
          <w:bCs/>
          <w:color w:val="000000" w:themeColor="text1"/>
          <w:sz w:val="24"/>
          <w:szCs w:val="24"/>
        </w:rPr>
        <w:t>For their article in 1941 they in</w:t>
      </w:r>
      <w:r w:rsidRPr="003634CE">
        <w:rPr>
          <w:rFonts w:ascii="Trebuchet MS" w:hAnsi="Trebuchet MS" w:cs="Tahoma"/>
          <w:bCs/>
          <w:color w:val="000000" w:themeColor="text1"/>
          <w:sz w:val="24"/>
          <w:szCs w:val="24"/>
        </w:rPr>
        <w:t xml:space="preserve">vited the renowned psychologist G. W. </w:t>
      </w:r>
      <w:proofErr w:type="spellStart"/>
      <w:r w:rsidRPr="003634CE">
        <w:rPr>
          <w:rFonts w:ascii="Trebuchet MS" w:hAnsi="Trebuchet MS" w:cs="Tahoma"/>
          <w:bCs/>
          <w:color w:val="000000" w:themeColor="text1"/>
          <w:sz w:val="24"/>
          <w:szCs w:val="24"/>
        </w:rPr>
        <w:t>Allport</w:t>
      </w:r>
      <w:proofErr w:type="spellEnd"/>
      <w:r w:rsidRPr="003634CE">
        <w:rPr>
          <w:rFonts w:ascii="Trebuchet MS" w:hAnsi="Trebuchet MS" w:cs="Tahoma"/>
          <w:bCs/>
          <w:color w:val="000000" w:themeColor="text1"/>
          <w:sz w:val="24"/>
          <w:szCs w:val="24"/>
        </w:rPr>
        <w:t xml:space="preserve"> to contribute his view on the matter. In his assessment, it is because of a lack of resources in finding solutions for serious personal problems in life that people ‘turn to astrology and to kindred superstitions’</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11"/>
      </w:r>
      <w:r>
        <w:rPr>
          <w:rFonts w:ascii="Trebuchet MS" w:hAnsi="Trebuchet MS" w:cs="Tahoma"/>
          <w:bCs/>
          <w:color w:val="000000" w:themeColor="text1"/>
          <w:sz w:val="24"/>
          <w:szCs w:val="24"/>
        </w:rPr>
        <w:t xml:space="preserve"> </w:t>
      </w:r>
      <w:r w:rsidRPr="003634CE">
        <w:rPr>
          <w:rFonts w:ascii="Trebuchet MS" w:hAnsi="Trebuchet MS" w:cs="Tahoma"/>
          <w:bCs/>
          <w:color w:val="000000" w:themeColor="text1"/>
          <w:sz w:val="24"/>
          <w:szCs w:val="24"/>
        </w:rPr>
        <w:t>Phillipson explained this as the exercise of power, nurtured by a ‘universal orthodoxy based on science’ and manifesting as the ‘condemnation of divergent views as if they are heresies against science’</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12"/>
      </w:r>
      <w:r w:rsidRPr="003634CE">
        <w:rPr>
          <w:rFonts w:ascii="Trebuchet MS" w:hAnsi="Trebuchet MS" w:cs="Tahoma"/>
          <w:bCs/>
          <w:color w:val="000000" w:themeColor="text1"/>
          <w:sz w:val="24"/>
          <w:szCs w:val="24"/>
        </w:rPr>
        <w:t xml:space="preserve"> In Eagleton’s terms, their concern about public misconception of astrology puts them in the place of agents for the political state, ultimately to maintain order. As Eagleton puts it, ‘For the state to flourish, it must inculcate in its citizens the proper sorts of spiritual disposition</w:t>
      </w:r>
      <w:r>
        <w:rPr>
          <w:rFonts w:ascii="Trebuchet MS" w:hAnsi="Trebuchet MS" w:cs="Tahoma"/>
          <w:bCs/>
          <w:color w:val="000000" w:themeColor="text1"/>
          <w:sz w:val="24"/>
          <w:szCs w:val="24"/>
        </w:rPr>
        <w:t>’, whereby he points at a religious dimension even in the management of worldly affairs.</w:t>
      </w:r>
      <w:r>
        <w:rPr>
          <w:rStyle w:val="Funotenzeichen"/>
          <w:rFonts w:ascii="Trebuchet MS" w:hAnsi="Trebuchet MS" w:cs="Tahoma"/>
          <w:bCs/>
          <w:color w:val="000000" w:themeColor="text1"/>
          <w:sz w:val="24"/>
          <w:szCs w:val="24"/>
        </w:rPr>
        <w:footnoteReference w:id="13"/>
      </w:r>
      <w:r w:rsidRPr="003634CE">
        <w:rPr>
          <w:rFonts w:ascii="Trebuchet MS" w:hAnsi="Trebuchet MS" w:cs="Tahoma"/>
          <w:bCs/>
          <w:color w:val="000000" w:themeColor="text1"/>
          <w:sz w:val="24"/>
          <w:szCs w:val="24"/>
        </w:rPr>
        <w:t xml:space="preserve"> The notions of science, scientism and the dynamics of orthodoxy and heresy connect very closely here and, depending on context and perspective, they may even change roles.</w:t>
      </w:r>
    </w:p>
    <w:p w:rsidR="00CA0E22" w:rsidRPr="003634CE" w:rsidRDefault="00CA0E22" w:rsidP="00CA0E22">
      <w:pPr>
        <w:pStyle w:val="StandardWeb"/>
        <w:spacing w:before="0" w:beforeAutospacing="0" w:after="80" w:afterAutospacing="0"/>
        <w:ind w:right="-335"/>
        <w:rPr>
          <w:rFonts w:ascii="Trebuchet MS" w:hAnsi="Trebuchet MS" w:cs="Tahoma"/>
          <w:bCs/>
          <w:sz w:val="24"/>
          <w:szCs w:val="24"/>
        </w:rPr>
      </w:pPr>
      <w:r w:rsidRPr="003634CE">
        <w:rPr>
          <w:rFonts w:ascii="Trebuchet MS" w:hAnsi="Trebuchet MS" w:cs="Tahoma"/>
          <w:b/>
          <w:bCs/>
          <w:color w:val="000000" w:themeColor="text1"/>
          <w:sz w:val="24"/>
          <w:szCs w:val="24"/>
        </w:rPr>
        <w:t>The bias involved</w:t>
      </w:r>
    </w:p>
    <w:p w:rsidR="00CA0E22" w:rsidRPr="003634CE" w:rsidRDefault="00CA0E22" w:rsidP="00CA0E22">
      <w:pPr>
        <w:pStyle w:val="StandardWeb"/>
        <w:spacing w:before="0" w:beforeAutospacing="0" w:after="0" w:afterAutospacing="0"/>
        <w:ind w:right="-334"/>
        <w:rPr>
          <w:rFonts w:ascii="Trebuchet MS" w:hAnsi="Trebuchet MS" w:cs="Tahoma"/>
          <w:bCs/>
          <w:sz w:val="24"/>
          <w:szCs w:val="24"/>
        </w:rPr>
      </w:pPr>
      <w:r>
        <w:rPr>
          <w:rFonts w:ascii="Trebuchet MS" w:hAnsi="Trebuchet MS" w:cs="Tahoma"/>
          <w:bCs/>
          <w:sz w:val="24"/>
          <w:szCs w:val="24"/>
        </w:rPr>
        <w:lastRenderedPageBreak/>
        <w:t>E</w:t>
      </w:r>
      <w:r w:rsidRPr="003634CE">
        <w:rPr>
          <w:rFonts w:ascii="Trebuchet MS" w:hAnsi="Trebuchet MS" w:cs="Tahoma"/>
          <w:bCs/>
          <w:sz w:val="24"/>
          <w:szCs w:val="24"/>
        </w:rPr>
        <w:t xml:space="preserve">ach paper has </w:t>
      </w:r>
      <w:r>
        <w:rPr>
          <w:rFonts w:ascii="Trebuchet MS" w:hAnsi="Trebuchet MS" w:cs="Tahoma"/>
          <w:bCs/>
          <w:sz w:val="24"/>
          <w:szCs w:val="24"/>
        </w:rPr>
        <w:t xml:space="preserve">a degree of bias </w:t>
      </w:r>
      <w:r w:rsidRPr="003634CE">
        <w:rPr>
          <w:rFonts w:ascii="Trebuchet MS" w:hAnsi="Trebuchet MS" w:cs="Tahoma"/>
          <w:bCs/>
          <w:sz w:val="24"/>
          <w:szCs w:val="24"/>
        </w:rPr>
        <w:t>according to its cultural context, and each of these biases result</w:t>
      </w:r>
      <w:r>
        <w:rPr>
          <w:rFonts w:ascii="Trebuchet MS" w:hAnsi="Trebuchet MS" w:cs="Tahoma"/>
          <w:bCs/>
          <w:sz w:val="24"/>
          <w:szCs w:val="24"/>
        </w:rPr>
        <w:t>s</w:t>
      </w:r>
      <w:r w:rsidRPr="003634CE">
        <w:rPr>
          <w:rFonts w:ascii="Trebuchet MS" w:hAnsi="Trebuchet MS" w:cs="Tahoma"/>
          <w:bCs/>
          <w:sz w:val="24"/>
          <w:szCs w:val="24"/>
        </w:rPr>
        <w:t xml:space="preserve"> in a further bias related to their approach to astrology.</w:t>
      </w:r>
      <w:r>
        <w:rPr>
          <w:rFonts w:ascii="Trebuchet MS" w:hAnsi="Trebuchet MS" w:cs="Tahoma"/>
          <w:bCs/>
          <w:sz w:val="24"/>
          <w:szCs w:val="24"/>
        </w:rPr>
        <w:t xml:space="preserve"> For each article, one outstanding bias shall be mentioned here.</w:t>
      </w:r>
    </w:p>
    <w:p w:rsidR="00CA0E22" w:rsidRPr="003634CE" w:rsidRDefault="00CA0E22" w:rsidP="00CA0E22">
      <w:pPr>
        <w:pStyle w:val="StandardWeb"/>
        <w:spacing w:before="0" w:beforeAutospacing="0" w:after="160" w:afterAutospacing="0"/>
        <w:ind w:right="-335"/>
        <w:rPr>
          <w:rFonts w:ascii="Trebuchet MS" w:hAnsi="Trebuchet MS" w:cs="Tahoma"/>
          <w:bCs/>
          <w:sz w:val="24"/>
          <w:szCs w:val="24"/>
        </w:rPr>
      </w:pPr>
      <w:r w:rsidRPr="003634CE">
        <w:rPr>
          <w:rFonts w:ascii="Trebuchet MS" w:hAnsi="Trebuchet MS" w:cs="Tahoma"/>
          <w:bCs/>
          <w:sz w:val="24"/>
          <w:szCs w:val="24"/>
        </w:rPr>
        <w:t>Because of their sense of duty ‘to inform the public about the nature and background of a current fad, such as astrology, even though to do so may be unpleasant’</w:t>
      </w:r>
      <w:r>
        <w:rPr>
          <w:rFonts w:ascii="Trebuchet MS" w:hAnsi="Trebuchet MS" w:cs="Tahoma"/>
          <w:bCs/>
          <w:sz w:val="24"/>
          <w:szCs w:val="24"/>
        </w:rPr>
        <w:t xml:space="preserve">, </w:t>
      </w:r>
      <w:r w:rsidRPr="003634CE">
        <w:rPr>
          <w:rFonts w:ascii="Trebuchet MS" w:hAnsi="Trebuchet MS" w:cs="Tahoma"/>
          <w:bCs/>
          <w:sz w:val="24"/>
          <w:szCs w:val="24"/>
        </w:rPr>
        <w:t xml:space="preserve">Bok and </w:t>
      </w:r>
      <w:proofErr w:type="spellStart"/>
      <w:r w:rsidRPr="003634CE">
        <w:rPr>
          <w:rFonts w:ascii="Trebuchet MS" w:hAnsi="Trebuchet MS" w:cs="Tahoma"/>
          <w:bCs/>
          <w:sz w:val="24"/>
          <w:szCs w:val="24"/>
        </w:rPr>
        <w:t>Mayall</w:t>
      </w:r>
      <w:proofErr w:type="spellEnd"/>
      <w:r w:rsidRPr="003634CE">
        <w:rPr>
          <w:rFonts w:ascii="Trebuchet MS" w:hAnsi="Trebuchet MS" w:cs="Tahoma"/>
          <w:bCs/>
          <w:sz w:val="24"/>
          <w:szCs w:val="24"/>
        </w:rPr>
        <w:t xml:space="preserve"> could not avoid their bias.</w:t>
      </w:r>
      <w:r>
        <w:rPr>
          <w:rStyle w:val="Funotenzeichen"/>
          <w:rFonts w:ascii="Trebuchet MS" w:hAnsi="Trebuchet MS" w:cs="Tahoma"/>
          <w:bCs/>
          <w:sz w:val="24"/>
          <w:szCs w:val="24"/>
        </w:rPr>
        <w:footnoteReference w:id="14"/>
      </w:r>
      <w:r w:rsidRPr="003634CE">
        <w:rPr>
          <w:rFonts w:ascii="Trebuchet MS" w:hAnsi="Trebuchet MS" w:cs="Tahoma"/>
          <w:bCs/>
          <w:sz w:val="24"/>
          <w:szCs w:val="24"/>
        </w:rPr>
        <w:t xml:space="preserve"> In assuming the role of authority, in their article they left behind scientific integrity in order to ‘defend, sometimes at high personal cost, what they perceive to be a genuine threat to what is considered sacred’</w:t>
      </w:r>
      <w:r>
        <w:rPr>
          <w:rFonts w:ascii="Trebuchet MS" w:hAnsi="Trebuchet MS" w:cs="Tahoma"/>
          <w:bCs/>
          <w:sz w:val="24"/>
          <w:szCs w:val="24"/>
        </w:rPr>
        <w:t>, as Phillipson is citing Kurtz.</w:t>
      </w:r>
      <w:r>
        <w:rPr>
          <w:rStyle w:val="Funotenzeichen"/>
          <w:rFonts w:ascii="Trebuchet MS" w:hAnsi="Trebuchet MS" w:cs="Tahoma"/>
          <w:bCs/>
          <w:sz w:val="24"/>
          <w:szCs w:val="24"/>
        </w:rPr>
        <w:footnoteReference w:id="15"/>
      </w:r>
      <w:r w:rsidRPr="003634CE">
        <w:rPr>
          <w:rFonts w:ascii="Trebuchet MS" w:hAnsi="Trebuchet MS" w:cs="Tahoma"/>
          <w:bCs/>
          <w:sz w:val="24"/>
          <w:szCs w:val="24"/>
        </w:rPr>
        <w:t xml:space="preserve"> Their use of language, which resembles the rhetoric of war rather than that of scientific objectivity, together with a complete lack of evidence throughout the entire article, only serve as evidence for the bias. As a consequence, there could be no balanced view </w:t>
      </w:r>
      <w:r>
        <w:rPr>
          <w:rFonts w:ascii="Trebuchet MS" w:hAnsi="Trebuchet MS" w:cs="Tahoma"/>
          <w:bCs/>
          <w:sz w:val="24"/>
          <w:szCs w:val="24"/>
        </w:rPr>
        <w:t>of</w:t>
      </w:r>
      <w:r w:rsidRPr="003634CE">
        <w:rPr>
          <w:rFonts w:ascii="Trebuchet MS" w:hAnsi="Trebuchet MS" w:cs="Tahoma"/>
          <w:bCs/>
          <w:sz w:val="24"/>
          <w:szCs w:val="24"/>
        </w:rPr>
        <w:t xml:space="preserve"> astrology here, and the work also does not show any indication of the inclusion of an insider’s view in the debate.</w:t>
      </w:r>
      <w:r w:rsidRPr="003634CE">
        <w:rPr>
          <w:rFonts w:ascii="Trebuchet MS" w:hAnsi="Trebuchet MS" w:cs="Tahoma"/>
          <w:bCs/>
          <w:sz w:val="24"/>
          <w:szCs w:val="24"/>
        </w:rPr>
        <w:br/>
        <w:t xml:space="preserve">Neither does </w:t>
      </w:r>
      <w:proofErr w:type="spellStart"/>
      <w:r w:rsidRPr="003634CE">
        <w:rPr>
          <w:rFonts w:ascii="Trebuchet MS" w:hAnsi="Trebuchet MS" w:cs="Tahoma"/>
          <w:bCs/>
          <w:sz w:val="24"/>
          <w:szCs w:val="24"/>
        </w:rPr>
        <w:t>Wuthnow</w:t>
      </w:r>
      <w:proofErr w:type="spellEnd"/>
      <w:r w:rsidRPr="003634CE">
        <w:rPr>
          <w:rFonts w:ascii="Trebuchet MS" w:hAnsi="Trebuchet MS" w:cs="Tahoma"/>
          <w:bCs/>
          <w:sz w:val="24"/>
          <w:szCs w:val="24"/>
        </w:rPr>
        <w:t xml:space="preserve"> provide a balanced view </w:t>
      </w:r>
      <w:r>
        <w:rPr>
          <w:rFonts w:ascii="Trebuchet MS" w:hAnsi="Trebuchet MS" w:cs="Tahoma"/>
          <w:bCs/>
          <w:sz w:val="24"/>
          <w:szCs w:val="24"/>
        </w:rPr>
        <w:t>of</w:t>
      </w:r>
      <w:r w:rsidRPr="003634CE">
        <w:rPr>
          <w:rFonts w:ascii="Trebuchet MS" w:hAnsi="Trebuchet MS" w:cs="Tahoma"/>
          <w:bCs/>
          <w:sz w:val="24"/>
          <w:szCs w:val="24"/>
        </w:rPr>
        <w:t xml:space="preserve"> astrology. </w:t>
      </w:r>
      <w:r>
        <w:rPr>
          <w:rFonts w:ascii="Trebuchet MS" w:hAnsi="Trebuchet MS" w:cs="Tahoma"/>
          <w:bCs/>
          <w:sz w:val="24"/>
          <w:szCs w:val="24"/>
        </w:rPr>
        <w:t>It could however be speculated if there is</w:t>
      </w:r>
      <w:r w:rsidRPr="003634CE">
        <w:rPr>
          <w:rFonts w:ascii="Trebuchet MS" w:hAnsi="Trebuchet MS" w:cs="Tahoma"/>
          <w:bCs/>
          <w:sz w:val="24"/>
          <w:szCs w:val="24"/>
        </w:rPr>
        <w:t xml:space="preserve"> another reason for one major bias in his piece. This consists of his b</w:t>
      </w:r>
      <w:r w:rsidRPr="003634CE">
        <w:rPr>
          <w:rFonts w:ascii="Trebuchet MS" w:hAnsi="Trebuchet MS" w:cs="Tahoma"/>
          <w:bCs/>
          <w:color w:val="000000" w:themeColor="text1"/>
          <w:sz w:val="24"/>
          <w:szCs w:val="24"/>
        </w:rPr>
        <w:t>eing a young scientist with a fresh doctorate and setting out for a prolific academic career.</w:t>
      </w:r>
      <w:r>
        <w:rPr>
          <w:rFonts w:ascii="Trebuchet MS" w:hAnsi="Trebuchet MS" w:cs="Tahoma"/>
          <w:bCs/>
          <w:color w:val="000000" w:themeColor="text1"/>
          <w:sz w:val="24"/>
          <w:szCs w:val="24"/>
        </w:rPr>
        <w:t xml:space="preserve"> Using existing data from another survey that was not focused on astrology may not have produced in-depth results, but it may have served</w:t>
      </w:r>
      <w:r w:rsidRPr="003634CE">
        <w:rPr>
          <w:rFonts w:ascii="Trebuchet MS" w:hAnsi="Trebuchet MS" w:cs="Tahoma"/>
          <w:bCs/>
          <w:color w:val="000000" w:themeColor="text1"/>
          <w:sz w:val="24"/>
          <w:szCs w:val="24"/>
        </w:rPr>
        <w:t xml:space="preserve"> </w:t>
      </w:r>
      <w:r>
        <w:rPr>
          <w:rFonts w:ascii="Trebuchet MS" w:hAnsi="Trebuchet MS" w:cs="Tahoma"/>
          <w:bCs/>
          <w:color w:val="000000" w:themeColor="text1"/>
          <w:sz w:val="24"/>
          <w:szCs w:val="24"/>
        </w:rPr>
        <w:t>to deliver</w:t>
      </w:r>
      <w:r w:rsidRPr="003634CE">
        <w:rPr>
          <w:rFonts w:ascii="Trebuchet MS" w:hAnsi="Trebuchet MS" w:cs="Tahoma"/>
          <w:bCs/>
          <w:color w:val="000000" w:themeColor="text1"/>
          <w:sz w:val="24"/>
          <w:szCs w:val="24"/>
        </w:rPr>
        <w:t xml:space="preserve"> </w:t>
      </w:r>
      <w:r>
        <w:rPr>
          <w:rFonts w:ascii="Trebuchet MS" w:hAnsi="Trebuchet MS" w:cs="Tahoma"/>
          <w:bCs/>
          <w:color w:val="000000" w:themeColor="text1"/>
          <w:sz w:val="24"/>
          <w:szCs w:val="24"/>
        </w:rPr>
        <w:t xml:space="preserve">more output on </w:t>
      </w:r>
      <w:r w:rsidRPr="003634CE">
        <w:rPr>
          <w:rFonts w:ascii="Trebuchet MS" w:hAnsi="Trebuchet MS" w:cs="Tahoma"/>
          <w:bCs/>
          <w:color w:val="000000" w:themeColor="text1"/>
          <w:sz w:val="24"/>
          <w:szCs w:val="24"/>
        </w:rPr>
        <w:t>publication with little effort</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16"/>
      </w:r>
      <w:r>
        <w:rPr>
          <w:rFonts w:ascii="Trebuchet MS" w:hAnsi="Trebuchet MS" w:cs="Tahoma"/>
          <w:bCs/>
          <w:color w:val="000000" w:themeColor="text1"/>
          <w:sz w:val="24"/>
          <w:szCs w:val="24"/>
        </w:rPr>
        <w:t xml:space="preserve"> </w:t>
      </w:r>
      <w:r w:rsidRPr="003634CE">
        <w:rPr>
          <w:rFonts w:ascii="Trebuchet MS" w:hAnsi="Trebuchet MS" w:cs="Tahoma"/>
          <w:bCs/>
          <w:color w:val="000000" w:themeColor="text1"/>
          <w:sz w:val="24"/>
          <w:szCs w:val="24"/>
        </w:rPr>
        <w:t xml:space="preserve">This aspect of scientific culture and practice is subsumed by </w:t>
      </w:r>
      <w:proofErr w:type="spellStart"/>
      <w:r w:rsidRPr="003634CE">
        <w:rPr>
          <w:rFonts w:ascii="Trebuchet MS" w:hAnsi="Trebuchet MS" w:cs="Tahoma"/>
          <w:bCs/>
          <w:color w:val="000000" w:themeColor="text1"/>
          <w:sz w:val="24"/>
          <w:szCs w:val="24"/>
        </w:rPr>
        <w:t>Gigerenzer</w:t>
      </w:r>
      <w:proofErr w:type="spellEnd"/>
      <w:r w:rsidRPr="003634CE">
        <w:rPr>
          <w:rFonts w:ascii="Trebuchet MS" w:hAnsi="Trebuchet MS" w:cs="Tahoma"/>
          <w:bCs/>
          <w:color w:val="000000" w:themeColor="text1"/>
          <w:sz w:val="24"/>
          <w:szCs w:val="24"/>
        </w:rPr>
        <w:t xml:space="preserve"> and </w:t>
      </w:r>
      <w:proofErr w:type="spellStart"/>
      <w:r w:rsidRPr="003634CE">
        <w:rPr>
          <w:rFonts w:ascii="Trebuchet MS" w:hAnsi="Trebuchet MS" w:cs="Tahoma"/>
          <w:bCs/>
          <w:color w:val="000000" w:themeColor="text1"/>
          <w:sz w:val="24"/>
          <w:szCs w:val="24"/>
        </w:rPr>
        <w:t>Marewski</w:t>
      </w:r>
      <w:proofErr w:type="spellEnd"/>
      <w:r w:rsidRPr="003634CE">
        <w:rPr>
          <w:rFonts w:ascii="Trebuchet MS" w:hAnsi="Trebuchet MS" w:cs="Tahoma"/>
          <w:bCs/>
          <w:color w:val="000000" w:themeColor="text1"/>
          <w:sz w:val="24"/>
          <w:szCs w:val="24"/>
        </w:rPr>
        <w:t xml:space="preserve"> under the heading ‘Quantity as Surrogate for Quality’, where it is argued </w:t>
      </w:r>
      <w:r>
        <w:rPr>
          <w:rFonts w:ascii="Trebuchet MS" w:hAnsi="Trebuchet MS" w:cs="Tahoma"/>
          <w:bCs/>
          <w:color w:val="000000" w:themeColor="text1"/>
          <w:sz w:val="24"/>
          <w:szCs w:val="24"/>
        </w:rPr>
        <w:t xml:space="preserve">that </w:t>
      </w:r>
      <w:r w:rsidRPr="003634CE">
        <w:rPr>
          <w:rFonts w:ascii="Trebuchet MS" w:hAnsi="Trebuchet MS" w:cs="Tahoma"/>
          <w:bCs/>
          <w:color w:val="000000" w:themeColor="text1"/>
          <w:sz w:val="24"/>
          <w:szCs w:val="24"/>
        </w:rPr>
        <w:t>to make multiple use of their research as far as possible</w:t>
      </w:r>
      <w:r>
        <w:rPr>
          <w:rFonts w:ascii="Trebuchet MS" w:hAnsi="Trebuchet MS" w:cs="Tahoma"/>
          <w:bCs/>
          <w:color w:val="000000" w:themeColor="text1"/>
          <w:sz w:val="24"/>
          <w:szCs w:val="24"/>
        </w:rPr>
        <w:t>,</w:t>
      </w:r>
      <w:r w:rsidRPr="003634CE">
        <w:rPr>
          <w:rFonts w:ascii="Trebuchet MS" w:hAnsi="Trebuchet MS" w:cs="Tahoma"/>
          <w:bCs/>
          <w:color w:val="000000" w:themeColor="text1"/>
          <w:sz w:val="24"/>
          <w:szCs w:val="24"/>
        </w:rPr>
        <w:t xml:space="preserve"> the mere concern for the quantity of citations could lead scientists to neglect quality.</w:t>
      </w:r>
      <w:r>
        <w:rPr>
          <w:rStyle w:val="Funotenzeichen"/>
          <w:rFonts w:ascii="Trebuchet MS" w:hAnsi="Trebuchet MS" w:cs="Tahoma"/>
          <w:bCs/>
          <w:color w:val="000000" w:themeColor="text1"/>
          <w:sz w:val="24"/>
          <w:szCs w:val="24"/>
        </w:rPr>
        <w:footnoteReference w:id="17"/>
      </w:r>
      <w:r w:rsidRPr="003634CE">
        <w:rPr>
          <w:rFonts w:ascii="Trebuchet MS" w:hAnsi="Trebuchet MS" w:cs="Tahoma"/>
          <w:bCs/>
          <w:color w:val="000000" w:themeColor="text1"/>
          <w:sz w:val="24"/>
          <w:szCs w:val="24"/>
        </w:rPr>
        <w:t xml:space="preserve"> </w:t>
      </w:r>
      <w:r>
        <w:rPr>
          <w:rFonts w:ascii="Trebuchet MS" w:hAnsi="Trebuchet MS" w:cs="Tahoma"/>
          <w:bCs/>
          <w:color w:val="000000" w:themeColor="text1"/>
          <w:sz w:val="24"/>
          <w:szCs w:val="24"/>
        </w:rPr>
        <w:t xml:space="preserve">So </w:t>
      </w:r>
      <w:proofErr w:type="spellStart"/>
      <w:r w:rsidRPr="003634CE">
        <w:rPr>
          <w:rFonts w:ascii="Trebuchet MS" w:hAnsi="Trebuchet MS" w:cs="Tahoma"/>
          <w:bCs/>
          <w:color w:val="000000" w:themeColor="text1"/>
          <w:sz w:val="24"/>
          <w:szCs w:val="24"/>
        </w:rPr>
        <w:t>Wuthnow</w:t>
      </w:r>
      <w:proofErr w:type="spellEnd"/>
      <w:r w:rsidRPr="003634CE">
        <w:rPr>
          <w:rFonts w:ascii="Trebuchet MS" w:hAnsi="Trebuchet MS" w:cs="Tahoma"/>
          <w:bCs/>
          <w:color w:val="000000" w:themeColor="text1"/>
          <w:sz w:val="24"/>
          <w:szCs w:val="24"/>
        </w:rPr>
        <w:t xml:space="preserve"> derives findings from what he had</w:t>
      </w:r>
      <w:r>
        <w:rPr>
          <w:rFonts w:ascii="Trebuchet MS" w:hAnsi="Trebuchet MS" w:cs="Tahoma"/>
          <w:bCs/>
          <w:color w:val="000000" w:themeColor="text1"/>
          <w:sz w:val="24"/>
          <w:szCs w:val="24"/>
        </w:rPr>
        <w:t xml:space="preserve">, </w:t>
      </w:r>
      <w:r w:rsidRPr="003634CE">
        <w:rPr>
          <w:rFonts w:ascii="Trebuchet MS" w:hAnsi="Trebuchet MS" w:cs="Tahoma"/>
          <w:bCs/>
          <w:color w:val="000000" w:themeColor="text1"/>
          <w:sz w:val="24"/>
          <w:szCs w:val="24"/>
        </w:rPr>
        <w:t>even if it meant the involvement of weight guessing</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18"/>
      </w:r>
      <w:r>
        <w:rPr>
          <w:rFonts w:ascii="Trebuchet MS" w:hAnsi="Trebuchet MS" w:cs="Tahoma"/>
          <w:bCs/>
          <w:color w:val="FF0000"/>
          <w:sz w:val="24"/>
          <w:szCs w:val="24"/>
        </w:rPr>
        <w:t xml:space="preserve"> </w:t>
      </w:r>
      <w:r w:rsidRPr="003634CE">
        <w:rPr>
          <w:rFonts w:ascii="Trebuchet MS" w:hAnsi="Trebuchet MS" w:cs="Tahoma"/>
          <w:bCs/>
          <w:color w:val="000000" w:themeColor="text1"/>
          <w:sz w:val="24"/>
          <w:szCs w:val="24"/>
        </w:rPr>
        <w:t xml:space="preserve">More differentiated work has been done </w:t>
      </w:r>
      <w:r>
        <w:rPr>
          <w:rFonts w:ascii="Trebuchet MS" w:hAnsi="Trebuchet MS" w:cs="Tahoma"/>
          <w:bCs/>
          <w:color w:val="000000" w:themeColor="text1"/>
          <w:sz w:val="24"/>
          <w:szCs w:val="24"/>
        </w:rPr>
        <w:t xml:space="preserve">later </w:t>
      </w:r>
      <w:r w:rsidRPr="003634CE">
        <w:rPr>
          <w:rFonts w:ascii="Trebuchet MS" w:hAnsi="Trebuchet MS" w:cs="Tahoma"/>
          <w:bCs/>
          <w:color w:val="000000" w:themeColor="text1"/>
          <w:sz w:val="24"/>
          <w:szCs w:val="24"/>
        </w:rPr>
        <w:t xml:space="preserve">by </w:t>
      </w:r>
      <w:proofErr w:type="spellStart"/>
      <w:r w:rsidRPr="003634CE">
        <w:rPr>
          <w:rFonts w:ascii="Trebuchet MS" w:hAnsi="Trebuchet MS" w:cs="Tahoma"/>
          <w:bCs/>
          <w:color w:val="000000" w:themeColor="text1"/>
          <w:sz w:val="24"/>
          <w:szCs w:val="24"/>
        </w:rPr>
        <w:t>Feher</w:t>
      </w:r>
      <w:proofErr w:type="spellEnd"/>
      <w:r>
        <w:rPr>
          <w:rFonts w:ascii="Trebuchet MS" w:hAnsi="Trebuchet MS" w:cs="Tahoma"/>
          <w:bCs/>
          <w:color w:val="000000" w:themeColor="text1"/>
          <w:sz w:val="24"/>
          <w:szCs w:val="24"/>
        </w:rPr>
        <w:t>,</w:t>
      </w:r>
      <w:r w:rsidRPr="003634CE">
        <w:rPr>
          <w:rFonts w:ascii="Trebuchet MS" w:hAnsi="Trebuchet MS" w:cs="Tahoma"/>
          <w:bCs/>
          <w:color w:val="000000" w:themeColor="text1"/>
          <w:sz w:val="24"/>
          <w:szCs w:val="24"/>
        </w:rPr>
        <w:t xml:space="preserve"> wh</w:t>
      </w:r>
      <w:r>
        <w:rPr>
          <w:rFonts w:ascii="Trebuchet MS" w:hAnsi="Trebuchet MS" w:cs="Tahoma"/>
          <w:bCs/>
          <w:color w:val="000000" w:themeColor="text1"/>
          <w:sz w:val="24"/>
          <w:szCs w:val="24"/>
        </w:rPr>
        <w:t>o -</w:t>
      </w:r>
      <w:r w:rsidRPr="003634CE">
        <w:rPr>
          <w:rFonts w:ascii="Trebuchet MS" w:hAnsi="Trebuchet MS" w:cs="Tahoma"/>
          <w:bCs/>
          <w:color w:val="000000" w:themeColor="text1"/>
          <w:sz w:val="24"/>
          <w:szCs w:val="24"/>
        </w:rPr>
        <w:t xml:space="preserve"> </w:t>
      </w:r>
      <w:r>
        <w:rPr>
          <w:rFonts w:ascii="Trebuchet MS" w:hAnsi="Trebuchet MS" w:cs="Tahoma"/>
          <w:bCs/>
          <w:color w:val="000000" w:themeColor="text1"/>
          <w:sz w:val="24"/>
          <w:szCs w:val="24"/>
        </w:rPr>
        <w:t xml:space="preserve">in contrast to </w:t>
      </w:r>
      <w:proofErr w:type="spellStart"/>
      <w:r>
        <w:rPr>
          <w:rFonts w:ascii="Trebuchet MS" w:hAnsi="Trebuchet MS" w:cs="Tahoma"/>
          <w:bCs/>
          <w:color w:val="000000" w:themeColor="text1"/>
          <w:sz w:val="24"/>
          <w:szCs w:val="24"/>
        </w:rPr>
        <w:t>Wuthnow</w:t>
      </w:r>
      <w:proofErr w:type="spellEnd"/>
      <w:r>
        <w:rPr>
          <w:rFonts w:ascii="Trebuchet MS" w:hAnsi="Trebuchet MS" w:cs="Tahoma"/>
          <w:bCs/>
          <w:color w:val="000000" w:themeColor="text1"/>
          <w:sz w:val="24"/>
          <w:szCs w:val="24"/>
        </w:rPr>
        <w:t xml:space="preserve"> - </w:t>
      </w:r>
      <w:r w:rsidRPr="003634CE">
        <w:rPr>
          <w:rFonts w:ascii="Trebuchet MS" w:hAnsi="Trebuchet MS" w:cs="Tahoma"/>
          <w:bCs/>
          <w:color w:val="000000" w:themeColor="text1"/>
          <w:sz w:val="24"/>
          <w:szCs w:val="24"/>
        </w:rPr>
        <w:t xml:space="preserve">showed </w:t>
      </w:r>
      <w:r>
        <w:rPr>
          <w:rFonts w:ascii="Trebuchet MS" w:hAnsi="Trebuchet MS" w:cs="Tahoma"/>
          <w:bCs/>
          <w:color w:val="000000" w:themeColor="text1"/>
          <w:sz w:val="24"/>
          <w:szCs w:val="24"/>
        </w:rPr>
        <w:t xml:space="preserve">different results in one similar group, namely </w:t>
      </w:r>
      <w:r w:rsidRPr="003634CE">
        <w:rPr>
          <w:rFonts w:ascii="Trebuchet MS" w:hAnsi="Trebuchet MS" w:cs="Tahoma"/>
          <w:bCs/>
          <w:color w:val="000000" w:themeColor="text1"/>
          <w:sz w:val="24"/>
          <w:szCs w:val="24"/>
        </w:rPr>
        <w:t>no signs of marginality among the social group most committed to astrology</w:t>
      </w:r>
      <w:r>
        <w:rPr>
          <w:rFonts w:ascii="Trebuchet MS" w:hAnsi="Trebuchet MS" w:cs="Tahoma"/>
          <w:bCs/>
          <w:color w:val="000000" w:themeColor="text1"/>
          <w:sz w:val="24"/>
          <w:szCs w:val="24"/>
        </w:rPr>
        <w:t>.</w:t>
      </w:r>
      <w:r>
        <w:rPr>
          <w:rStyle w:val="Funotenzeichen"/>
          <w:rFonts w:ascii="Trebuchet MS" w:hAnsi="Trebuchet MS" w:cs="Tahoma"/>
          <w:bCs/>
          <w:color w:val="000000" w:themeColor="text1"/>
          <w:sz w:val="24"/>
          <w:szCs w:val="24"/>
        </w:rPr>
        <w:footnoteReference w:id="19"/>
      </w:r>
      <w:r w:rsidRPr="003634CE">
        <w:rPr>
          <w:rFonts w:ascii="Trebuchet MS" w:hAnsi="Trebuchet MS" w:cs="Tahoma"/>
          <w:bCs/>
          <w:sz w:val="24"/>
          <w:szCs w:val="24"/>
        </w:rPr>
        <w:br/>
        <w:t xml:space="preserve">These two examples give an impression of how cultural </w:t>
      </w:r>
      <w:r>
        <w:rPr>
          <w:rFonts w:ascii="Trebuchet MS" w:hAnsi="Trebuchet MS" w:cs="Tahoma"/>
          <w:bCs/>
          <w:sz w:val="24"/>
          <w:szCs w:val="24"/>
        </w:rPr>
        <w:t>contexts</w:t>
      </w:r>
      <w:r w:rsidRPr="003634CE">
        <w:rPr>
          <w:rFonts w:ascii="Trebuchet MS" w:hAnsi="Trebuchet MS" w:cs="Tahoma"/>
          <w:bCs/>
          <w:sz w:val="24"/>
          <w:szCs w:val="24"/>
        </w:rPr>
        <w:t xml:space="preserve"> </w:t>
      </w:r>
      <w:r>
        <w:rPr>
          <w:rFonts w:ascii="Trebuchet MS" w:hAnsi="Trebuchet MS" w:cs="Tahoma"/>
          <w:bCs/>
          <w:sz w:val="24"/>
          <w:szCs w:val="24"/>
        </w:rPr>
        <w:t xml:space="preserve">may have </w:t>
      </w:r>
      <w:r w:rsidRPr="003634CE">
        <w:rPr>
          <w:rFonts w:ascii="Trebuchet MS" w:hAnsi="Trebuchet MS" w:cs="Tahoma"/>
          <w:bCs/>
          <w:sz w:val="24"/>
          <w:szCs w:val="24"/>
        </w:rPr>
        <w:t>produce</w:t>
      </w:r>
      <w:r>
        <w:rPr>
          <w:rFonts w:ascii="Trebuchet MS" w:hAnsi="Trebuchet MS" w:cs="Tahoma"/>
          <w:bCs/>
          <w:sz w:val="24"/>
          <w:szCs w:val="24"/>
        </w:rPr>
        <w:t>d</w:t>
      </w:r>
      <w:r w:rsidRPr="003634CE">
        <w:rPr>
          <w:rFonts w:ascii="Trebuchet MS" w:hAnsi="Trebuchet MS" w:cs="Tahoma"/>
          <w:bCs/>
          <w:sz w:val="24"/>
          <w:szCs w:val="24"/>
        </w:rPr>
        <w:t xml:space="preserve"> bias that influence</w:t>
      </w:r>
      <w:r>
        <w:rPr>
          <w:rFonts w:ascii="Trebuchet MS" w:hAnsi="Trebuchet MS" w:cs="Tahoma"/>
          <w:bCs/>
          <w:sz w:val="24"/>
          <w:szCs w:val="24"/>
        </w:rPr>
        <w:t>d</w:t>
      </w:r>
      <w:r w:rsidRPr="003634CE">
        <w:rPr>
          <w:rFonts w:ascii="Trebuchet MS" w:hAnsi="Trebuchet MS" w:cs="Tahoma"/>
          <w:bCs/>
          <w:sz w:val="24"/>
          <w:szCs w:val="24"/>
        </w:rPr>
        <w:t xml:space="preserve"> the process and outcome of </w:t>
      </w:r>
      <w:r>
        <w:rPr>
          <w:rFonts w:ascii="Trebuchet MS" w:hAnsi="Trebuchet MS" w:cs="Tahoma"/>
          <w:bCs/>
          <w:sz w:val="24"/>
          <w:szCs w:val="24"/>
        </w:rPr>
        <w:t>their</w:t>
      </w:r>
      <w:r w:rsidRPr="003634CE">
        <w:rPr>
          <w:rFonts w:ascii="Trebuchet MS" w:hAnsi="Trebuchet MS" w:cs="Tahoma"/>
          <w:bCs/>
          <w:sz w:val="24"/>
          <w:szCs w:val="24"/>
        </w:rPr>
        <w:t xml:space="preserve"> </w:t>
      </w:r>
      <w:r>
        <w:rPr>
          <w:rFonts w:ascii="Trebuchet MS" w:hAnsi="Trebuchet MS" w:cs="Tahoma"/>
          <w:bCs/>
          <w:sz w:val="24"/>
          <w:szCs w:val="24"/>
        </w:rPr>
        <w:t>statements on</w:t>
      </w:r>
      <w:r w:rsidRPr="003634CE">
        <w:rPr>
          <w:rFonts w:ascii="Trebuchet MS" w:hAnsi="Trebuchet MS" w:cs="Tahoma"/>
          <w:bCs/>
          <w:sz w:val="24"/>
          <w:szCs w:val="24"/>
        </w:rPr>
        <w:t xml:space="preserve"> astrology.</w:t>
      </w:r>
      <w:r>
        <w:rPr>
          <w:rFonts w:ascii="Trebuchet MS" w:hAnsi="Trebuchet MS" w:cs="Tahoma"/>
          <w:bCs/>
          <w:sz w:val="24"/>
          <w:szCs w:val="24"/>
        </w:rPr>
        <w:t xml:space="preserve"> </w:t>
      </w:r>
    </w:p>
    <w:p w:rsidR="00CA0E22" w:rsidRPr="003634CE" w:rsidRDefault="00CA0E22" w:rsidP="00CA0E22">
      <w:pPr>
        <w:pStyle w:val="StandardWeb"/>
        <w:spacing w:before="0" w:beforeAutospacing="0" w:after="80" w:afterAutospacing="0"/>
        <w:ind w:right="-335"/>
        <w:rPr>
          <w:rFonts w:ascii="Trebuchet MS" w:hAnsi="Trebuchet MS" w:cs="Tahoma"/>
          <w:b/>
          <w:bCs/>
          <w:color w:val="000000" w:themeColor="text1"/>
          <w:sz w:val="24"/>
          <w:szCs w:val="24"/>
        </w:rPr>
      </w:pPr>
      <w:r w:rsidRPr="003634CE">
        <w:rPr>
          <w:rFonts w:ascii="Trebuchet MS" w:hAnsi="Trebuchet MS" w:cs="Tahoma"/>
          <w:b/>
          <w:bCs/>
          <w:color w:val="000000" w:themeColor="text1"/>
          <w:sz w:val="24"/>
          <w:szCs w:val="24"/>
        </w:rPr>
        <w:t>Conclusion</w:t>
      </w:r>
    </w:p>
    <w:p w:rsidR="00CA0E22" w:rsidRDefault="00CA0E22" w:rsidP="00CA0E22">
      <w:pPr>
        <w:pStyle w:val="StandardWeb"/>
        <w:spacing w:before="0" w:beforeAutospacing="0" w:after="0" w:afterAutospacing="0"/>
        <w:ind w:right="-334"/>
        <w:rPr>
          <w:rFonts w:ascii="Trebuchet MS" w:hAnsi="Trebuchet MS" w:cs="Tahoma"/>
          <w:bCs/>
          <w:color w:val="000000" w:themeColor="text1"/>
          <w:sz w:val="24"/>
          <w:szCs w:val="24"/>
        </w:rPr>
      </w:pPr>
      <w:r w:rsidRPr="003634CE">
        <w:rPr>
          <w:rFonts w:ascii="Trebuchet MS" w:hAnsi="Trebuchet MS" w:cs="Tahoma"/>
          <w:bCs/>
          <w:color w:val="000000" w:themeColor="text1"/>
          <w:sz w:val="24"/>
          <w:szCs w:val="24"/>
        </w:rPr>
        <w:t>This essay has compared and contrasted two papers that each contained the subject matters of ‘Astrology’ and ‘Culture’. It has considered these two articles via the themes of</w:t>
      </w:r>
      <w:r w:rsidRPr="003634CE">
        <w:rPr>
          <w:rFonts w:ascii="Trebuchet MS" w:hAnsi="Trebuchet MS" w:cs="Tahoma"/>
          <w:b/>
          <w:bCs/>
          <w:color w:val="000000" w:themeColor="text1"/>
          <w:sz w:val="24"/>
          <w:szCs w:val="24"/>
        </w:rPr>
        <w:t xml:space="preserve"> </w:t>
      </w:r>
      <w:r w:rsidRPr="003634CE">
        <w:rPr>
          <w:rFonts w:ascii="Trebuchet MS" w:hAnsi="Trebuchet MS" w:cs="Tahoma"/>
          <w:bCs/>
          <w:color w:val="000000" w:themeColor="text1"/>
          <w:sz w:val="24"/>
          <w:szCs w:val="24"/>
        </w:rPr>
        <w:t xml:space="preserve">definitions and general connections, aims and methods, and bias. </w:t>
      </w:r>
      <w:r w:rsidRPr="003634CE">
        <w:rPr>
          <w:rFonts w:ascii="Trebuchet MS" w:hAnsi="Trebuchet MS" w:cs="Tahoma"/>
          <w:bCs/>
          <w:sz w:val="24"/>
          <w:szCs w:val="24"/>
        </w:rPr>
        <w:t>In investigating the evidence, this essay has found that astrology, as well as culture, are complex terms</w:t>
      </w:r>
      <w:r>
        <w:rPr>
          <w:rFonts w:ascii="Trebuchet MS" w:hAnsi="Trebuchet MS" w:cs="Tahoma"/>
          <w:bCs/>
          <w:sz w:val="24"/>
          <w:szCs w:val="24"/>
        </w:rPr>
        <w:t>, and its generalisation by the authors make a more detailed comparison difficult</w:t>
      </w:r>
      <w:r w:rsidRPr="003634CE">
        <w:rPr>
          <w:rFonts w:ascii="Trebuchet MS" w:hAnsi="Trebuchet MS" w:cs="Tahoma"/>
          <w:bCs/>
          <w:sz w:val="24"/>
          <w:szCs w:val="24"/>
        </w:rPr>
        <w:t>. Furthermore,</w:t>
      </w:r>
      <w:r w:rsidRPr="003634CE" w:rsidDel="003F3CA0">
        <w:rPr>
          <w:rFonts w:ascii="Trebuchet MS" w:hAnsi="Trebuchet MS" w:cs="Tahoma"/>
          <w:bCs/>
          <w:sz w:val="24"/>
          <w:szCs w:val="24"/>
        </w:rPr>
        <w:t xml:space="preserve"> </w:t>
      </w:r>
      <w:r w:rsidRPr="003634CE">
        <w:rPr>
          <w:rFonts w:ascii="Trebuchet MS" w:hAnsi="Trebuchet MS" w:cs="Tahoma"/>
          <w:bCs/>
          <w:sz w:val="24"/>
          <w:szCs w:val="24"/>
        </w:rPr>
        <w:t>the essay has considered the scientists’ outlook on astrology with regard to the ideas of scientism, orthodoxy and heresy, and science. Finally, the essay has explored two versions of culturally-based bias and its connection to astrology.</w:t>
      </w:r>
      <w:r w:rsidRPr="003634CE">
        <w:rPr>
          <w:rFonts w:ascii="Trebuchet MS" w:hAnsi="Trebuchet MS" w:cs="Tahoma"/>
          <w:bCs/>
          <w:sz w:val="24"/>
          <w:szCs w:val="24"/>
        </w:rPr>
        <w:br/>
      </w:r>
      <w:r>
        <w:rPr>
          <w:rFonts w:ascii="Trebuchet MS" w:hAnsi="Trebuchet MS" w:cs="Tahoma"/>
          <w:bCs/>
          <w:color w:val="000000" w:themeColor="text1"/>
          <w:sz w:val="24"/>
          <w:szCs w:val="24"/>
        </w:rPr>
        <w:t>What remains is the notion that astrology has called forth belief questions in scientists, and that there is more than one way to prove astrology wrong, whatever it might be.</w:t>
      </w:r>
    </w:p>
    <w:p w:rsidR="000A0AFD" w:rsidRPr="00CA0E22" w:rsidRDefault="004C677B">
      <w:pPr>
        <w:rPr>
          <w:lang w:val="en-GB"/>
        </w:rPr>
      </w:pPr>
      <w:bookmarkStart w:id="0" w:name="_GoBack"/>
      <w:bookmarkEnd w:id="0"/>
    </w:p>
    <w:sectPr w:rsidR="000A0AFD" w:rsidRPr="00CA0E22" w:rsidSect="00F34DD6">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677B" w:rsidRDefault="004C677B" w:rsidP="00CA0E22">
      <w:r>
        <w:separator/>
      </w:r>
    </w:p>
  </w:endnote>
  <w:endnote w:type="continuationSeparator" w:id="0">
    <w:p w:rsidR="004C677B" w:rsidRDefault="004C677B" w:rsidP="00CA0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677B" w:rsidRDefault="004C677B" w:rsidP="00CA0E22">
      <w:r>
        <w:separator/>
      </w:r>
    </w:p>
  </w:footnote>
  <w:footnote w:type="continuationSeparator" w:id="0">
    <w:p w:rsidR="004C677B" w:rsidRDefault="004C677B" w:rsidP="00CA0E22">
      <w:r>
        <w:continuationSeparator/>
      </w:r>
    </w:p>
  </w:footnote>
  <w:footnote w:id="1">
    <w:p w:rsidR="00CA0E22" w:rsidRPr="00706B0E"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&lt;EndNote&gt;&lt;Cite&gt;&lt;Author&gt;Bok&lt;/Author&gt;&lt;Year&gt;1941&lt;/Year&gt;&lt;RecNum&gt;36&lt;/RecNum&gt;&lt;Pages&gt;235-237&lt;/Pages&gt;&lt;DisplayText&gt;Bart J. Bok and Margaret W. Mayall, &amp;apos;Scientists Look at Astrology&amp;apos;, &lt;style face="italic"&gt;The Scientific Monthly. &lt;/style&gt;52 (1941), 235-37.&lt;/DisplayText&gt;&lt;record&gt;&lt;rec-number&gt;36&lt;/rec-number&gt;&lt;foreign-keys&gt;&lt;key app="EN" db-id="aervswptvfs2d5etd04xe2z10rf9wxssrvxd" timestamp="1573147838"&gt;36&lt;/key&gt;&lt;/foreign-keys&gt;&lt;ref-type name="Journal Article"&gt;17&lt;/ref-type&gt;&lt;contributors&gt;&lt;authors&gt;&lt;author&gt;Bok, Bart J.&lt;/author&gt;&lt;author&gt;Mayall, Margaret W.&lt;/author&gt;&lt;/authors&gt;&lt;/contributors&gt;&lt;titles&gt;&lt;title&gt;Scientists Look at Astrology&lt;/title&gt;&lt;secondary-title&gt;The Scientific Monthly&lt;/secondary-title&gt;&lt;/titles&gt;&lt;periodical&gt;&lt;full-title&gt;The Scientific Monthly&lt;/full-title&gt;&lt;/periodical&gt;&lt;pages&gt;233-244&lt;/pages&gt;&lt;volume&gt;52&lt;/volume&gt;&lt;number&gt;3&lt;/number&gt;&lt;dates&gt;&lt;year&gt;1941&lt;/year&gt;&lt;/dates&gt;&lt;publisher&gt;American Association for the Advancement of Science&lt;/publisher&gt;&lt;isbn&gt;00963771&lt;/isbn&gt;&lt;urls&gt;&lt;related-urls&gt;&lt;url&gt;http://www.jstor.org.ezproxy.uwtsd.ac.uk/stable/17231&lt;/url&gt;&lt;/related-urls&gt;&lt;/urls&gt;&lt;custom1&gt;Full publication date: Mar., 1941&lt;/custom1&gt;&lt;remote-database-name&gt;JSTOR&lt;/remote-database-name&gt;&lt;/record&gt;&lt;/Cite&gt;&lt;/EndNote&gt;</w:instrText>
      </w:r>
      <w:r>
        <w:fldChar w:fldCharType="separate"/>
      </w:r>
      <w:r>
        <w:rPr>
          <w:noProof/>
        </w:rPr>
        <w:t xml:space="preserve">Bart J. Bok and Margaret W. Mayall, 'Scientists Look at Astrology', </w:t>
      </w:r>
      <w:r w:rsidRPr="00E97E47">
        <w:rPr>
          <w:i/>
          <w:noProof/>
        </w:rPr>
        <w:t xml:space="preserve">The Scientific Monthly. </w:t>
      </w:r>
      <w:r>
        <w:rPr>
          <w:noProof/>
        </w:rPr>
        <w:t>52 (1941), 235-37.</w:t>
      </w:r>
      <w:r>
        <w:fldChar w:fldCharType="end"/>
      </w:r>
    </w:p>
  </w:footnote>
  <w:footnote w:id="2">
    <w:p w:rsidR="00CA0E22" w:rsidRPr="00C7603A"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&lt;EndNote&gt;&lt;Cite&gt;&lt;Author&gt;Phillipson&lt;/Author&gt;&lt;Year&gt;2019&lt;/Year&gt;&lt;RecNum&gt;39&lt;/RecNum&gt;&lt;Pages&gt;12&lt;/Pages&gt;&lt;DisplayText&gt;Garry Phillipson, &amp;apos;Astrology as Heresy in Contemporary Belief&amp;apos;, &lt;style face="italic"&gt;Journal for the Study of Religion, Nature and Culture. &lt;/style&gt;13 (2019), 12.&lt;/DisplayText&gt;&lt;record&gt;&lt;rec-number&gt;39&lt;/rec-number&gt;&lt;foreign-keys&gt;&lt;key app="EN" db-id="aervswptvfs2d5etd04xe2z10rf9wxssrvxd" timestamp="1573461840"&gt;39&lt;/key&gt;&lt;/foreign-keys&gt;&lt;ref-type name="Journal Article"&gt;17&lt;/ref-type&gt;&lt;contributors&gt;&lt;authors&gt;&lt;author&gt;Phillipson, Garry&lt;/author&gt;&lt;/authors&gt;&lt;/contributors&gt;&lt;titles&gt;&lt;title&gt;Astrology as Heresy in Contemporary Belief&lt;/title&gt;&lt;secondary-title&gt;Journal for the Study of Religion, Nature and Culture&lt;/secondary-title&gt;&lt;/titles&gt;&lt;periodical&gt;&lt;full-title&gt;Journal for the Study of Religion, Nature and Culture&lt;/full-title&gt;&lt;/periodical&gt;&lt;pages&gt;12-30&lt;/pages&gt;&lt;volume&gt;13&lt;/volume&gt;&lt;number&gt;1&lt;/number&gt;&lt;edition&gt;8 May 2019&lt;/edition&gt;&lt;dates&gt;&lt;year&gt;2019&lt;/year&gt;&lt;pub-dates&gt;&lt;date&gt;8 May 2019&lt;/date&gt;&lt;/pub-dates&gt;&lt;/dates&gt;&lt;isbn&gt;1749-4915&lt;/isbn&gt;&lt;label&gt;Equinox Publishing Ltd&lt;/label&gt;&lt;urls&gt;&lt;/urls&gt;&lt;/record&gt;&lt;/Cite&gt;&lt;/EndNote&gt;</w:instrText>
      </w:r>
      <w:r>
        <w:fldChar w:fldCharType="separate"/>
      </w:r>
      <w:r>
        <w:rPr>
          <w:noProof/>
        </w:rPr>
        <w:t xml:space="preserve">Garry Phillipson, 'Astrology as Heresy in Contemporary Belief', </w:t>
      </w:r>
      <w:r w:rsidRPr="00E97E47">
        <w:rPr>
          <w:i/>
          <w:noProof/>
        </w:rPr>
        <w:t xml:space="preserve">Journal for the Study of Religion, Nature and Culture. </w:t>
      </w:r>
      <w:r>
        <w:rPr>
          <w:noProof/>
        </w:rPr>
        <w:t>13 (2019), 12.</w:t>
      </w:r>
      <w:r>
        <w:fldChar w:fldCharType="end"/>
      </w:r>
    </w:p>
  </w:footnote>
  <w:footnote w:id="3">
    <w:p w:rsidR="00CA0E22" w:rsidRPr="00706B0E"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&lt;EndNote&gt;&lt;Cite&gt;&lt;Author&gt;Phillipson&lt;/Author&gt;&lt;Year&gt;2019&lt;/Year&gt;&lt;RecNum&gt;39&lt;/RecNum&gt;&lt;Pages&gt;13&lt;/Pages&gt;&lt;DisplayText&gt;Phillipson, &amp;apos;Astrology as Heresy in Contemporary Belief&amp;apos;, 13.&lt;/DisplayText&gt;&lt;record&gt;&lt;rec-number&gt;39&lt;/rec-number&gt;&lt;foreign-keys&gt;&lt;key app="EN" db-id="aervswptvfs2d5etd04xe2z10rf9wxssrvxd" timestamp="1573461840"&gt;39&lt;/key&gt;&lt;/foreign-keys&gt;&lt;ref-type name="Journal Article"&gt;17&lt;/ref-type&gt;&lt;contributors&gt;&lt;authors&gt;&lt;author&gt;Phillipson, Garry&lt;/author&gt;&lt;/authors&gt;&lt;/contributors&gt;&lt;titles&gt;&lt;title&gt;Astrology as Heresy in Contemporary Belief&lt;/title&gt;&lt;secondary-title&gt;Journal for the Study of Religion, Nature and Culture&lt;/secondary-title&gt;&lt;/titles&gt;&lt;periodical&gt;&lt;full-title&gt;Journal for the Study of Religion, Nature and Culture&lt;/full-title&gt;&lt;/periodical&gt;&lt;pages&gt;12-30&lt;/pages&gt;&lt;volume&gt;13&lt;/volume&gt;&lt;number&gt;1&lt;/number&gt;&lt;edition&gt;8 May 2019&lt;/edition&gt;&lt;dates&gt;&lt;year&gt;2019&lt;/year&gt;&lt;pub-dates&gt;&lt;date&gt;8 May 2019&lt;/date&gt;&lt;/pub-dates&gt;&lt;/dates&gt;&lt;isbn&gt;1749-4915&lt;/isbn&gt;&lt;label&gt;Equinox Publishing Ltd&lt;/label&gt;&lt;urls&gt;&lt;/urls&gt;&lt;/record&gt;&lt;/Cite&gt;&lt;/EndNote&gt;</w:instrText>
      </w:r>
      <w:r>
        <w:fldChar w:fldCharType="separate"/>
      </w:r>
      <w:r>
        <w:rPr>
          <w:noProof/>
        </w:rPr>
        <w:t>Phillipson, 'Astrology as Heresy in Contemporary Belief', 13.</w:t>
      </w:r>
      <w:r>
        <w:fldChar w:fldCharType="end"/>
      </w:r>
    </w:p>
  </w:footnote>
  <w:footnote w:id="4">
    <w:p w:rsidR="00CA0E22" w:rsidRPr="00EF6236"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&lt;EndNote&gt;&lt;Cite&gt;&lt;Author&gt;Wuthnow&lt;/Author&gt;&lt;Year&gt;1976&lt;/Year&gt;&lt;RecNum&gt;9&lt;/RecNum&gt;&lt;Pages&gt;158&lt;/Pages&gt;&lt;DisplayText&gt;Robert Wuthnow, &amp;apos;Astrology and Marginality&amp;apos;, &lt;style face="italic"&gt;Journal for the Scientific Study of Religion. &lt;/style&gt;15 (1976), 158.&lt;/DisplayText&gt;&lt;record&gt;&lt;rec-number&gt;9&lt;/rec-number&gt;&lt;foreign-keys&gt;&lt;key app="EN" db-id="aervswptvfs2d5etd04xe2z10rf9wxssrvxd" timestamp="1571648393"&gt;9&lt;/key&gt;&lt;/foreign-keys&gt;&lt;ref-type name="Journal Article"&gt;17&lt;/ref-type&gt;&lt;contributors&gt;&lt;authors&gt;&lt;author&gt;Wuthnow, Robert&lt;/author&gt;&lt;/authors&gt;&lt;/contributors&gt;&lt;titles&gt;&lt;title&gt;Astrology and Marginality&lt;/title&gt;&lt;secondary-title&gt;Journal for the Scientific Study of Religion&lt;/secondary-title&gt;&lt;/titles&gt;&lt;periodical&gt;&lt;full-title&gt;Journal for the Scientific Study of Religion&lt;/full-title&gt;&lt;/periodical&gt;&lt;pages&gt;157-168&lt;/pages&gt;&lt;volume&gt;15&lt;/volume&gt;&lt;number&gt;2&lt;/number&gt;&lt;dates&gt;&lt;year&gt;1976&lt;/year&gt;&lt;/dates&gt;&lt;publisher&gt;[Society for the Scientific Study of Religion, Wiley]&lt;/publisher&gt;&lt;isbn&gt;00218294, 14685906&lt;/isbn&gt;&lt;urls&gt;&lt;related-urls&gt;&lt;url&gt;http://www.jstor.org.ezproxy.uwtsd.ac.uk/stable/1385359&lt;/url&gt;&lt;/related-urls&gt;&lt;/urls&gt;&lt;custom1&gt;Full publication date: Jun., 1976&lt;/custom1&gt;&lt;electronic-resource-num&gt;10.2307/1385359&lt;/electronic-resource-num&gt;&lt;remote-database-name&gt;JSTOR&lt;/remote-database-name&gt;&lt;/record&gt;&lt;/Cite&gt;&lt;/EndNote&gt;</w:instrText>
      </w:r>
      <w:r>
        <w:fldChar w:fldCharType="separate"/>
      </w:r>
      <w:r>
        <w:rPr>
          <w:noProof/>
        </w:rPr>
        <w:t xml:space="preserve">Robert Wuthnow, 'Astrology and Marginality', </w:t>
      </w:r>
      <w:r w:rsidRPr="00E97E47">
        <w:rPr>
          <w:i/>
          <w:noProof/>
        </w:rPr>
        <w:t xml:space="preserve">Journal for the Scientific Study of Religion. </w:t>
      </w:r>
      <w:r>
        <w:rPr>
          <w:noProof/>
        </w:rPr>
        <w:t>15 (1976), 158.</w:t>
      </w:r>
      <w:r>
        <w:fldChar w:fldCharType="end"/>
      </w:r>
    </w:p>
  </w:footnote>
  <w:footnote w:id="5">
    <w:p w:rsidR="00CA0E22" w:rsidRPr="00706B0E"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&lt;EndNote&gt;&lt;Cite&gt;&lt;Author&gt;Wuthnow&lt;/Author&gt;&lt;Year&gt;1976&lt;/Year&gt;&lt;RecNum&gt;9&lt;/RecNum&gt;&lt;Pages&gt;157&lt;/Pages&gt;&lt;DisplayText&gt;Wuthnow, &amp;apos;Astrology and Marginality&amp;apos;, 157.&lt;/DisplayText&gt;&lt;record&gt;&lt;rec-number&gt;9&lt;/rec-number&gt;&lt;foreign-keys&gt;&lt;key app="EN" db-id="aervswptvfs2d5etd04xe2z10rf9wxssrvxd" timestamp="1571648393"&gt;9&lt;/key&gt;&lt;/foreign-keys&gt;&lt;ref-type name="Journal Article"&gt;17&lt;/ref-type&gt;&lt;contributors&gt;&lt;authors&gt;&lt;author&gt;Wuthnow, Robert&lt;/author&gt;&lt;/authors&gt;&lt;/contributors&gt;&lt;titles&gt;&lt;title&gt;Astrology and Marginality&lt;/title&gt;&lt;secondary-title&gt;Journal for the Scientific Study of Religion&lt;/secondary-title&gt;&lt;/titles&gt;&lt;periodical&gt;&lt;full-title&gt;Journal for the Scientific Study of Religion&lt;/full-title&gt;&lt;/periodical&gt;&lt;pages&gt;157-168&lt;/pages&gt;&lt;volume&gt;15&lt;/volume&gt;&lt;number&gt;2&lt;/number&gt;&lt;dates&gt;&lt;year&gt;1976&lt;/year&gt;&lt;/dates&gt;&lt;publisher&gt;[Society for the Scientific Study of Religion, Wiley]&lt;/publisher&gt;&lt;isbn&gt;00218294, 14685906&lt;/isbn&gt;&lt;urls&gt;&lt;related-urls&gt;&lt;url&gt;http://www.jstor.org.ezproxy.uwtsd.ac.uk/stable/1385359&lt;/url&gt;&lt;/related-urls&gt;&lt;/urls&gt;&lt;custom1&gt;Full publication date: Jun., 1976&lt;/custom1&gt;&lt;electronic-resource-num&gt;10.2307/1385359&lt;/electronic-resource-num&gt;&lt;remote-database-name&gt;JSTOR&lt;/remote-database-name&gt;&lt;/record&gt;&lt;/Cite&gt;&lt;/EndNote&gt;</w:instrText>
      </w:r>
      <w:r>
        <w:fldChar w:fldCharType="separate"/>
      </w:r>
      <w:r>
        <w:rPr>
          <w:noProof/>
        </w:rPr>
        <w:t>Wuthnow, 'Astrology and Marginality', 157.</w:t>
      </w:r>
      <w:r>
        <w:fldChar w:fldCharType="end"/>
      </w:r>
    </w:p>
  </w:footnote>
  <w:footnote w:id="6">
    <w:p w:rsidR="00CA0E22" w:rsidRPr="005A22F5"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&lt;EndNote&gt;&lt;Cite&gt;&lt;Author&gt;Eagleton&lt;/Author&gt;&lt;Year&gt;2000&lt;/Year&gt;&lt;RecNum&gt;40&lt;/RecNum&gt;&lt;Pages&gt;1&lt;/Pages&gt;&lt;DisplayText&gt;Terry Eagleton, &lt;style face="italic"&gt;The Idea of Culture&lt;/style&gt;,  (Oxford: Blackwell Publishers Ltd., 2000), p. 1.&lt;/DisplayText&gt;&lt;record&gt;&lt;rec-number&gt;40&lt;/rec-number&gt;&lt;foreign-keys&gt;&lt;key app="EN" db-id="aervswptvfs2d5etd04xe2z10rf9wxssrvxd" timestamp="1573485924"&gt;40&lt;/key&gt;&lt;/foreign-keys&gt;&lt;ref-type name="Book"&gt;6&lt;/ref-type&gt;&lt;contributors&gt;&lt;authors&gt;&lt;author&gt;Eagleton, Terry&lt;/author&gt;&lt;/authors&gt;&lt;/contributors&gt;&lt;titles&gt;&lt;title&gt;The Idea of Culture&lt;/title&gt;&lt;/titles&gt;&lt;pages&gt;168&lt;/pages&gt;&lt;dates&gt;&lt;year&gt;2000&lt;/year&gt;&lt;/dates&gt;&lt;pub-location&gt;Oxford&lt;/pub-location&gt;&lt;publisher&gt;Blackwell Publishers Ltd.&lt;/publisher&gt;&lt;urls&gt;&lt;/urls&gt;&lt;/record&gt;&lt;/Cite&gt;&lt;/EndNote&gt;</w:instrText>
      </w:r>
      <w:r>
        <w:fldChar w:fldCharType="separate"/>
      </w:r>
      <w:r>
        <w:rPr>
          <w:noProof/>
        </w:rPr>
        <w:t xml:space="preserve">Terry Eagleton, </w:t>
      </w:r>
      <w:r w:rsidRPr="00204F4F">
        <w:rPr>
          <w:i/>
          <w:noProof/>
        </w:rPr>
        <w:t>The Idea of Culture</w:t>
      </w:r>
      <w:r>
        <w:rPr>
          <w:noProof/>
        </w:rPr>
        <w:t>,  (Oxford: Blackwell Publishers Ltd., 2000), p. 1.</w:t>
      </w:r>
      <w:r>
        <w:fldChar w:fldCharType="end"/>
      </w:r>
    </w:p>
  </w:footnote>
  <w:footnote w:id="7">
    <w:p w:rsidR="00CA0E22" w:rsidRPr="005A22F5" w:rsidRDefault="00CA0E22" w:rsidP="00CA0E22">
      <w:pPr>
        <w:pStyle w:val="Funotentext"/>
      </w:pPr>
      <w:r>
        <w:rPr>
          <w:rStyle w:val="Funotenzeichen"/>
        </w:rPr>
        <w:footnoteRef/>
      </w:r>
      <w:r>
        <w:t xml:space="preserve"> </w:t>
      </w:r>
      <w:r>
        <w:fldChar w:fldCharType="begin"/>
      </w:r>
      <w:r>
        <w:instrText xml:space="preserve"> ADDIN EN.CITE &lt;EndNote&gt;&lt;Cite&gt;&lt;Author&gt;Eagleton&lt;/Author&gt;&lt;Year&gt;2000&lt;/Year&gt;&lt;RecNum&gt;40&lt;/RecNum&gt;&lt;Pages&gt;2&lt;/Pages&gt;&lt;DisplayText&gt;Eagleton, &lt;style face="italic"&gt;The Idea of Culture&lt;/style&gt;, p. 2.&lt;/DisplayText&gt;&lt;record&gt;&lt;rec-number&gt;40&lt;/rec-number&gt;&lt;foreign-keys&gt;&lt;key app="EN" db-id="aervswptvfs2d5etd04xe2z10rf9wxssrvxd" timestamp="1573485924"&gt;40&lt;/key&gt;&lt;/foreign-keys&gt;&lt;ref-type name="Book"&gt;6&lt;/ref-type&gt;&lt;contributors&gt;&lt;authors&gt;&lt;author&gt;Eagleton, Terry&lt;/author&gt;&lt;/authors&gt;&lt;/contributors&gt;&lt;titles&gt;&lt;title&gt;The Idea of Culture&lt;/title&gt;&lt;/titles&gt;&lt;pages&gt;168&lt;/pages&gt;&lt;dates&gt;&lt;year&gt;2000&lt;/year&gt;&lt;/dates&gt;&lt;pub-location&gt;Oxford&lt;/pub-location&gt;&lt;publisher&gt;Blackwell Publishers Ltd.&lt;/publisher&gt;&lt;urls&gt;&lt;/urls&gt;&lt;/record&gt;&lt;/Cite&gt;&lt;/EndNote&gt;</w:instrText>
      </w:r>
      <w:r>
        <w:fldChar w:fldCharType="separate"/>
      </w:r>
      <w:r>
        <w:rPr>
          <w:noProof/>
        </w:rPr>
        <w:t xml:space="preserve">Eagleton, </w:t>
      </w:r>
      <w:r w:rsidRPr="005A22F5">
        <w:rPr>
          <w:i/>
          <w:noProof/>
        </w:rPr>
        <w:t>The Idea of Culture</w:t>
      </w:r>
      <w:r>
        <w:rPr>
          <w:noProof/>
        </w:rPr>
        <w:t>, p. 2.</w:t>
      </w:r>
      <w:r>
        <w:fldChar w:fldCharType="end"/>
      </w:r>
    </w:p>
  </w:footnote>
  <w:footnote w:id="8">
    <w:p w:rsidR="00CA0E22" w:rsidRPr="00706B0E"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&lt;EndNote&gt;&lt;Cite&gt;&lt;Author&gt;Phillipson&lt;/Author&gt;&lt;Year&gt;2019&lt;/Year&gt;&lt;RecNum&gt;39&lt;/RecNum&gt;&lt;Pages&gt;13&lt;/Pages&gt;&lt;DisplayText&gt;Phillipson, &amp;apos;Astrology as Heresy in Contemporary Belief&amp;apos;, 13.&lt;/DisplayText&gt;&lt;record&gt;&lt;rec-number&gt;39&lt;/rec-number&gt;&lt;foreign-keys&gt;&lt;key app="EN" db-id="aervswptvfs2d5etd04xe2z10rf9wxssrvxd" timestamp="1573461840"&gt;39&lt;/key&gt;&lt;/foreign-keys&gt;&lt;ref-type name="Journal Article"&gt;17&lt;/ref-type&gt;&lt;contributors&gt;&lt;authors&gt;&lt;author&gt;Phillipson, Garry&lt;/author&gt;&lt;/authors&gt;&lt;/contributors&gt;&lt;titles&gt;&lt;title&gt;Astrology as Heresy in Contemporary Belief&lt;/title&gt;&lt;secondary-title&gt;Journal for the Study of Religion, Nature and Culture&lt;/secondary-title&gt;&lt;/titles&gt;&lt;periodical&gt;&lt;full-title&gt;Journal for the Study of Religion, Nature and Culture&lt;/full-title&gt;&lt;/periodical&gt;&lt;pages&gt;12-30&lt;/pages&gt;&lt;volume&gt;13&lt;/volume&gt;&lt;number&gt;1&lt;/number&gt;&lt;edition&gt;8 May 2019&lt;/edition&gt;&lt;dates&gt;&lt;year&gt;2019&lt;/year&gt;&lt;pub-dates&gt;&lt;date&gt;8 May 2019&lt;/date&gt;&lt;/pub-dates&gt;&lt;/dates&gt;&lt;isbn&gt;1749-4915&lt;/isbn&gt;&lt;label&gt;Equinox Publishing Ltd&lt;/label&gt;&lt;urls&gt;&lt;/urls&gt;&lt;/record&gt;&lt;/Cite&gt;&lt;/EndNote&gt;</w:instrText>
      </w:r>
      <w:r>
        <w:fldChar w:fldCharType="separate"/>
      </w:r>
      <w:r>
        <w:rPr>
          <w:noProof/>
        </w:rPr>
        <w:t>Phillipson, 'Astrology as Heresy in Contemporary Belief', 13.</w:t>
      </w:r>
      <w:r>
        <w:fldChar w:fldCharType="end"/>
      </w:r>
    </w:p>
  </w:footnote>
  <w:footnote w:id="9">
    <w:p w:rsidR="00CA0E22" w:rsidRPr="00706B0E"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&lt;EndNote&gt;&lt;Cite&gt;&lt;Author&gt;Phillipson&lt;/Author&gt;&lt;Year&gt;2019&lt;/Year&gt;&lt;RecNum&gt;39&lt;/RecNum&gt;&lt;Pages&gt;13&lt;/Pages&gt;&lt;DisplayText&gt;Phillipson, &amp;apos;Astrology as Heresy in Contemporary Belief&amp;apos;, 13.&lt;/DisplayText&gt;&lt;record&gt;&lt;rec-number&gt;39&lt;/rec-number&gt;&lt;foreign-keys&gt;&lt;key app="EN" db-id="aervswptvfs2d5etd04xe2z10rf9wxssrvxd" timestamp="1573461840"&gt;39&lt;/key&gt;&lt;/foreign-keys&gt;&lt;ref-type name="Journal Article"&gt;17&lt;/ref-type&gt;&lt;contributors&gt;&lt;authors&gt;&lt;author&gt;Phillipson, Garry&lt;/author&gt;&lt;/authors&gt;&lt;/contributors&gt;&lt;titles&gt;&lt;title&gt;Astrology as Heresy in Contemporary Belief&lt;/title&gt;&lt;secondary-title&gt;Journal for the Study of Religion, Nature and Culture&lt;/secondary-title&gt;&lt;/titles&gt;&lt;periodical&gt;&lt;full-title&gt;Journal for the Study of Religion, Nature and Culture&lt;/full-title&gt;&lt;/periodical&gt;&lt;pages&gt;12-30&lt;/pages&gt;&lt;volume&gt;13&lt;/volume&gt;&lt;number&gt;1&lt;/number&gt;&lt;edition&gt;8 May 2019&lt;/edition&gt;&lt;dates&gt;&lt;year&gt;2019&lt;/year&gt;&lt;pub-dates&gt;&lt;date&gt;8 May 2019&lt;/date&gt;&lt;/pub-dates&gt;&lt;/dates&gt;&lt;isbn&gt;1749-4915&lt;/isbn&gt;&lt;label&gt;Equinox Publishing Ltd&lt;/label&gt;&lt;urls&gt;&lt;/urls&gt;&lt;/record&gt;&lt;/Cite&gt;&lt;/EndNote&gt;</w:instrText>
      </w:r>
      <w:r>
        <w:fldChar w:fldCharType="separate"/>
      </w:r>
      <w:r>
        <w:rPr>
          <w:noProof/>
        </w:rPr>
        <w:t>Phillipson, 'Astrology as Heresy in Contemporary Belief', 13.</w:t>
      </w:r>
      <w:r>
        <w:fldChar w:fldCharType="end"/>
      </w:r>
    </w:p>
  </w:footnote>
  <w:footnote w:id="10">
    <w:p w:rsidR="00CA0E22" w:rsidRPr="00706B0E"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&lt;EndNote&gt;&lt;Cite&gt;&lt;Author&gt;Wuthnow&lt;/Author&gt;&lt;Year&gt;1976&lt;/Year&gt;&lt;RecNum&gt;9&lt;/RecNum&gt;&lt;Pages&gt;164&lt;/Pages&gt;&lt;DisplayText&gt;Wuthnow, &amp;apos;Astrology and Marginality&amp;apos;, 164.&lt;/DisplayText&gt;&lt;record&gt;&lt;rec-number&gt;9&lt;/rec-number&gt;&lt;foreign-keys&gt;&lt;key app="EN" db-id="aervswptvfs2d5etd04xe2z10rf9wxssrvxd" timestamp="1571648393"&gt;9&lt;/key&gt;&lt;/foreign-keys&gt;&lt;ref-type name="Journal Article"&gt;17&lt;/ref-type&gt;&lt;contributors&gt;&lt;authors&gt;&lt;author&gt;Wuthnow, Robert&lt;/author&gt;&lt;/authors&gt;&lt;/contributors&gt;&lt;titles&gt;&lt;title&gt;Astrology and Marginality&lt;/title&gt;&lt;secondary-title&gt;Journal for the Scientific Study of Religion&lt;/secondary-title&gt;&lt;/titles&gt;&lt;periodical&gt;&lt;full-title&gt;Journal for the Scientific Study of Religion&lt;/full-title&gt;&lt;/periodical&gt;&lt;pages&gt;157-168&lt;/pages&gt;&lt;volume&gt;15&lt;/volume&gt;&lt;number&gt;2&lt;/number&gt;&lt;dates&gt;&lt;year&gt;1976&lt;/year&gt;&lt;/dates&gt;&lt;publisher&gt;[Society for the Scientific Study of Religion, Wiley]&lt;/publisher&gt;&lt;isbn&gt;00218294, 14685906&lt;/isbn&gt;&lt;urls&gt;&lt;related-urls&gt;&lt;url&gt;http://www.jstor.org.ezproxy.uwtsd.ac.uk/stable/1385359&lt;/url&gt;&lt;/related-urls&gt;&lt;/urls&gt;&lt;custom1&gt;Full publication date: Jun., 1976&lt;/custom1&gt;&lt;electronic-resource-num&gt;10.2307/1385359&lt;/electronic-resource-num&gt;&lt;remote-database-name&gt;JSTOR&lt;/remote-database-name&gt;&lt;/record&gt;&lt;/Cite&gt;&lt;/EndNote&gt;</w:instrText>
      </w:r>
      <w:r>
        <w:fldChar w:fldCharType="separate"/>
      </w:r>
      <w:r>
        <w:rPr>
          <w:noProof/>
        </w:rPr>
        <w:t>Wuthnow, 'Astrology and Marginality', 164.</w:t>
      </w:r>
      <w:r>
        <w:fldChar w:fldCharType="end"/>
      </w:r>
    </w:p>
  </w:footnote>
  <w:footnote w:id="11">
    <w:p w:rsidR="00CA0E22" w:rsidRPr="00706B0E"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&lt;EndNote&gt;&lt;Cite&gt;&lt;Author&gt;Bok&lt;/Author&gt;&lt;Year&gt;1941&lt;/Year&gt;&lt;RecNum&gt;36&lt;/RecNum&gt;&lt;Pages&gt;244&lt;/Pages&gt;&lt;DisplayText&gt;Bok and Mayall, &amp;apos;Scientists Look at Astrology&amp;apos;, 244.&lt;/DisplayText&gt;&lt;record&gt;&lt;rec-number&gt;36&lt;/rec-number&gt;&lt;foreign-keys&gt;&lt;key app="EN" db-id="aervswptvfs2d5etd04xe2z10rf9wxssrvxd" timestamp="1573147838"&gt;36&lt;/key&gt;&lt;/foreign-keys&gt;&lt;ref-type name="Journal Article"&gt;17&lt;/ref-type&gt;&lt;contributors&gt;&lt;authors&gt;&lt;author&gt;Bok, Bart J.&lt;/author&gt;&lt;author&gt;Mayall, Margaret W.&lt;/author&gt;&lt;/authors&gt;&lt;/contributors&gt;&lt;titles&gt;&lt;title&gt;Scientists Look at Astrology&lt;/title&gt;&lt;secondary-title&gt;The Scientific Monthly&lt;/secondary-title&gt;&lt;/titles&gt;&lt;periodical&gt;&lt;full-title&gt;The Scientific Monthly&lt;/full-title&gt;&lt;/periodical&gt;&lt;pages&gt;233-244&lt;/pages&gt;&lt;volume&gt;52&lt;/volume&gt;&lt;number&gt;3&lt;/number&gt;&lt;dates&gt;&lt;year&gt;1941&lt;/year&gt;&lt;/dates&gt;&lt;publisher&gt;American Association for the Advancement of Science&lt;/publisher&gt;&lt;isbn&gt;00963771&lt;/isbn&gt;&lt;urls&gt;&lt;related-urls&gt;&lt;url&gt;http://www.jstor.org.ezproxy.uwtsd.ac.uk/stable/17231&lt;/url&gt;&lt;/related-urls&gt;&lt;/urls&gt;&lt;custom1&gt;Full publication date: Mar., 1941&lt;/custom1&gt;&lt;remote-database-name&gt;JSTOR&lt;/remote-database-name&gt;&lt;/record&gt;&lt;/Cite&gt;&lt;/EndNote&gt;</w:instrText>
      </w:r>
      <w:r>
        <w:fldChar w:fldCharType="separate"/>
      </w:r>
      <w:r>
        <w:rPr>
          <w:noProof/>
        </w:rPr>
        <w:t>Bok and Mayall, 'Scientists Look at Astrology', 244.</w:t>
      </w:r>
      <w:r>
        <w:fldChar w:fldCharType="end"/>
      </w:r>
    </w:p>
  </w:footnote>
  <w:footnote w:id="12">
    <w:p w:rsidR="00CA0E22" w:rsidRPr="00706B0E"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&lt;EndNote&gt;&lt;Cite&gt;&lt;Author&gt;Phillipson&lt;/Author&gt;&lt;Year&gt;2019&lt;/Year&gt;&lt;RecNum&gt;39&lt;/RecNum&gt;&lt;Pages&gt;13&lt;/Pages&gt;&lt;DisplayText&gt;Phillipson, &amp;apos;Astrology as Heresy in Contemporary Belief&amp;apos;, 13.&lt;/DisplayText&gt;&lt;record&gt;&lt;rec-number&gt;39&lt;/rec-number&gt;&lt;foreign-keys&gt;&lt;key app="EN" db-id="aervswptvfs2d5etd04xe2z10rf9wxssrvxd" timestamp="1573461840"&gt;39&lt;/key&gt;&lt;/foreign-keys&gt;&lt;ref-type name="Journal Article"&gt;17&lt;/ref-type&gt;&lt;contributors&gt;&lt;authors&gt;&lt;author&gt;Phillipson, Garry&lt;/author&gt;&lt;/authors&gt;&lt;/contributors&gt;&lt;titles&gt;&lt;title&gt;Astrology as Heresy in Contemporary Belief&lt;/title&gt;&lt;secondary-title&gt;Journal for the Study of Religion, Nature and Culture&lt;/secondary-title&gt;&lt;/titles&gt;&lt;periodical&gt;&lt;full-title&gt;Journal for the Study of Religion, Nature and Culture&lt;/full-title&gt;&lt;/periodical&gt;&lt;pages&gt;12-30&lt;/pages&gt;&lt;volume&gt;13&lt;/volume&gt;&lt;number&gt;1&lt;/number&gt;&lt;edition&gt;8 May 2019&lt;/edition&gt;&lt;dates&gt;&lt;year&gt;2019&lt;/year&gt;&lt;pub-dates&gt;&lt;date&gt;8 May 2019&lt;/date&gt;&lt;/pub-dates&gt;&lt;/dates&gt;&lt;isbn&gt;1749-4915&lt;/isbn&gt;&lt;label&gt;Equinox Publishing Ltd&lt;/label&gt;&lt;urls&gt;&lt;/urls&gt;&lt;/record&gt;&lt;/Cite&gt;&lt;/EndNote&gt;</w:instrText>
      </w:r>
      <w:r>
        <w:fldChar w:fldCharType="separate"/>
      </w:r>
      <w:r>
        <w:rPr>
          <w:noProof/>
        </w:rPr>
        <w:t>Phillipson, 'Astrology as Heresy in Contemporary Belief', 13.</w:t>
      </w:r>
      <w:r>
        <w:fldChar w:fldCharType="end"/>
      </w:r>
    </w:p>
  </w:footnote>
  <w:footnote w:id="13">
    <w:p w:rsidR="00CA0E22" w:rsidRPr="00B32A5C" w:rsidRDefault="00CA0E22" w:rsidP="00CA0E22">
      <w:pPr>
        <w:pStyle w:val="Funotentext"/>
      </w:pPr>
      <w:r>
        <w:rPr>
          <w:rStyle w:val="Funotenzeichen"/>
        </w:rPr>
        <w:footnoteRef/>
      </w:r>
      <w:r>
        <w:t xml:space="preserve"> </w:t>
      </w:r>
      <w:r>
        <w:fldChar w:fldCharType="begin"/>
      </w:r>
      <w:r>
        <w:instrText xml:space="preserve"> ADDIN EN.CITE &lt;EndNote&gt;&lt;Cite&gt;&lt;Author&gt;Eagleton&lt;/Author&gt;&lt;Year&gt;2000&lt;/Year&gt;&lt;RecNum&gt;40&lt;/RecNum&gt;&lt;Pages&gt;6&lt;/Pages&gt;&lt;DisplayText&gt;Eagleton, &lt;style face="italic"&gt;The Idea of Culture&lt;/style&gt;, p. 6.&lt;/DisplayText&gt;&lt;record&gt;&lt;rec-number&gt;40&lt;/rec-number&gt;&lt;foreign-keys&gt;&lt;key app="EN" db-id="aervswptvfs2d5etd04xe2z10rf9wxssrvxd" timestamp="1573485924"&gt;40&lt;/key&gt;&lt;/foreign-keys&gt;&lt;ref-type name="Book"&gt;6&lt;/ref-type&gt;&lt;contributors&gt;&lt;authors&gt;&lt;author&gt;Eagleton, Terry&lt;/author&gt;&lt;/authors&gt;&lt;/contributors&gt;&lt;titles&gt;&lt;title&gt;The Idea of Culture&lt;/title&gt;&lt;/titles&gt;&lt;pages&gt;168&lt;/pages&gt;&lt;dates&gt;&lt;year&gt;2000&lt;/year&gt;&lt;/dates&gt;&lt;pub-location&gt;Oxford&lt;/pub-location&gt;&lt;publisher&gt;Blackwell Publishers Ltd.&lt;/publisher&gt;&lt;urls&gt;&lt;/urls&gt;&lt;/record&gt;&lt;/Cite&gt;&lt;/EndNote&gt;</w:instrText>
      </w:r>
      <w:r>
        <w:fldChar w:fldCharType="separate"/>
      </w:r>
      <w:r>
        <w:rPr>
          <w:noProof/>
        </w:rPr>
        <w:t xml:space="preserve">Eagleton, </w:t>
      </w:r>
      <w:r w:rsidRPr="00B32A5C">
        <w:rPr>
          <w:i/>
          <w:noProof/>
        </w:rPr>
        <w:t>The Idea of Culture</w:t>
      </w:r>
      <w:r>
        <w:rPr>
          <w:noProof/>
        </w:rPr>
        <w:t>, p. 6.</w:t>
      </w:r>
      <w:r>
        <w:fldChar w:fldCharType="end"/>
      </w:r>
    </w:p>
  </w:footnote>
  <w:footnote w:id="14">
    <w:p w:rsidR="00CA0E22" w:rsidRPr="00CA12A4" w:rsidRDefault="00CA0E22" w:rsidP="00CA0E22">
      <w:pPr>
        <w:pStyle w:val="Funotentext"/>
      </w:pPr>
      <w:r>
        <w:rPr>
          <w:rStyle w:val="Funotenzeichen"/>
        </w:rPr>
        <w:footnoteRef/>
      </w:r>
      <w:r>
        <w:t xml:space="preserve"> </w:t>
      </w:r>
      <w:r>
        <w:fldChar w:fldCharType="begin"/>
      </w:r>
      <w:r>
        <w:instrText xml:space="preserve"> ADDIN EN.CITE &lt;EndNote&gt;&lt;Cite&gt;&lt;Author&gt;Bok&lt;/Author&gt;&lt;Year&gt;1941&lt;/Year&gt;&lt;RecNum&gt;36&lt;/RecNum&gt;&lt;Pages&gt;233&lt;/Pages&gt;&lt;DisplayText&gt;Bok and Mayall, &amp;apos;Scientists Look at Astrology&amp;apos;, 233.&lt;/DisplayText&gt;&lt;record&gt;&lt;rec-number&gt;36&lt;/rec-number&gt;&lt;foreign-keys&gt;&lt;key app="EN" db-id="aervswptvfs2d5etd04xe2z10rf9wxssrvxd" timestamp="1573147838"&gt;36&lt;/key&gt;&lt;/foreign-keys&gt;&lt;ref-type name="Journal Article"&gt;17&lt;/ref-type&gt;&lt;contributors&gt;&lt;authors&gt;&lt;author&gt;Bok, Bart J.&lt;/author&gt;&lt;author&gt;Mayall, Margaret W.&lt;/author&gt;&lt;/authors&gt;&lt;/contributors&gt;&lt;titles&gt;&lt;title&gt;Scientists Look at Astrology&lt;/title&gt;&lt;secondary-title&gt;The Scientific Monthly&lt;/secondary-title&gt;&lt;/titles&gt;&lt;periodical&gt;&lt;full-title&gt;The Scientific Monthly&lt;/full-title&gt;&lt;/periodical&gt;&lt;pages&gt;233-244&lt;/pages&gt;&lt;volume&gt;52&lt;/volume&gt;&lt;number&gt;3&lt;/number&gt;&lt;dates&gt;&lt;year&gt;1941&lt;/year&gt;&lt;/dates&gt;&lt;publisher&gt;American Association for the Advancement of Science&lt;/publisher&gt;&lt;isbn&gt;00963771&lt;/isbn&gt;&lt;urls&gt;&lt;related-urls&gt;&lt;url&gt;http://www.jstor.org.ezproxy.uwtsd.ac.uk/stable/17231&lt;/url&gt;&lt;/related-urls&gt;&lt;/urls&gt;&lt;custom1&gt;Full publication date: Mar., 1941&lt;/custom1&gt;&lt;remote-database-name&gt;JSTOR&lt;/remote-database-name&gt;&lt;/record&gt;&lt;/Cite&gt;&lt;/EndNote&gt;</w:instrText>
      </w:r>
      <w:r>
        <w:fldChar w:fldCharType="separate"/>
      </w:r>
      <w:r>
        <w:rPr>
          <w:noProof/>
        </w:rPr>
        <w:t>Bok and Mayall, 'Scientists Look at Astrology', 233.</w:t>
      </w:r>
      <w:r>
        <w:fldChar w:fldCharType="end"/>
      </w:r>
    </w:p>
  </w:footnote>
  <w:footnote w:id="15">
    <w:p w:rsidR="00CA0E22" w:rsidRPr="00706B0E"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&lt;EndNote&gt;&lt;Cite&gt;&lt;Author&gt;Phillipson&lt;/Author&gt;&lt;Year&gt;2019&lt;/Year&gt;&lt;RecNum&gt;39&lt;/RecNum&gt;&lt;Pages&gt;18&lt;/Pages&gt;&lt;DisplayText&gt;Phillipson, &amp;apos;Astrology as Heresy in Contemporary Belief&amp;apos;, 18.&lt;/DisplayText&gt;&lt;record&gt;&lt;rec-number&gt;39&lt;/rec-number&gt;&lt;foreign-keys&gt;&lt;key app="EN" db-id="aervswptvfs2d5etd04xe2z10rf9wxssrvxd" timestamp="1573461840"&gt;39&lt;/key&gt;&lt;/foreign-keys&gt;&lt;ref-type name="Journal Article"&gt;17&lt;/ref-type&gt;&lt;contributors&gt;&lt;authors&gt;&lt;author&gt;Phillipson, Garry&lt;/author&gt;&lt;/authors&gt;&lt;/contributors&gt;&lt;titles&gt;&lt;title&gt;Astrology as Heresy in Contemporary Belief&lt;/title&gt;&lt;secondary-title&gt;Journal for the Study of Religion, Nature and Culture&lt;/secondary-title&gt;&lt;/titles&gt;&lt;periodical&gt;&lt;full-title&gt;Journal for the Study of Religion, Nature and Culture&lt;/full-title&gt;&lt;/periodical&gt;&lt;pages&gt;12-30&lt;/pages&gt;&lt;volume&gt;13&lt;/volume&gt;&lt;number&gt;1&lt;/number&gt;&lt;edition&gt;8 May 2019&lt;/edition&gt;&lt;dates&gt;&lt;year&gt;2019&lt;/year&gt;&lt;pub-dates&gt;&lt;date&gt;8 May 2019&lt;/date&gt;&lt;/pub-dates&gt;&lt;/dates&gt;&lt;isbn&gt;1749-4915&lt;/isbn&gt;&lt;label&gt;Equinox Publishing Ltd&lt;/label&gt;&lt;urls&gt;&lt;/urls&gt;&lt;/record&gt;&lt;/Cite&gt;&lt;/EndNote&gt;</w:instrText>
      </w:r>
      <w:r>
        <w:fldChar w:fldCharType="separate"/>
      </w:r>
      <w:r>
        <w:rPr>
          <w:noProof/>
        </w:rPr>
        <w:t>Phillipson, 'Astrology as Heresy in Contemporary Belief', 18.</w:t>
      </w:r>
      <w:r>
        <w:fldChar w:fldCharType="end"/>
      </w:r>
    </w:p>
  </w:footnote>
  <w:footnote w:id="16">
    <w:p w:rsidR="00CA0E22" w:rsidRPr="00E11F37" w:rsidRDefault="00CA0E22" w:rsidP="00CA0E22">
      <w:pPr>
        <w:pStyle w:val="Funotentext"/>
      </w:pPr>
      <w:r>
        <w:rPr>
          <w:rStyle w:val="Funotenzeichen"/>
        </w:rPr>
        <w:footnoteRef/>
      </w:r>
      <w:r>
        <w:t xml:space="preserve"> </w:t>
      </w:r>
      <w:r>
        <w:fldChar w:fldCharType="begin"/>
      </w:r>
      <w:r>
        <w:instrText xml:space="preserve"> ADDIN EN.CITE &lt;EndNote&gt;&lt;Cite&gt;&lt;Author&gt;Wuthnow&lt;/Author&gt;&lt;Year&gt;1976&lt;/Year&gt;&lt;RecNum&gt;9&lt;/RecNum&gt;&lt;Pages&gt;158&lt;/Pages&gt;&lt;DisplayText&gt;Wuthnow, &amp;apos;Astrology and Marginality&amp;apos;, 158.&lt;/DisplayText&gt;&lt;record&gt;&lt;rec-number&gt;9&lt;/rec-number&gt;&lt;foreign-keys&gt;&lt;key app="EN" db-id="aervswptvfs2d5etd04xe2z10rf9wxssrvxd" timestamp="1571648393"&gt;9&lt;/key&gt;&lt;/foreign-keys&gt;&lt;ref-type name="Journal Article"&gt;17&lt;/ref-type&gt;&lt;contributors&gt;&lt;authors&gt;&lt;author&gt;Wuthnow, Robert&lt;/author&gt;&lt;/authors&gt;&lt;/contributors&gt;&lt;titles&gt;&lt;title&gt;Astrology and Marginality&lt;/title&gt;&lt;secondary-title&gt;Journal for the Scientific Study of Religion&lt;/secondary-title&gt;&lt;/titles&gt;&lt;periodical&gt;&lt;full-title&gt;Journal for the Scientific Study of Religion&lt;/full-title&gt;&lt;/periodical&gt;&lt;pages&gt;157-168&lt;/pages&gt;&lt;volume&gt;15&lt;/volume&gt;&lt;number&gt;2&lt;/number&gt;&lt;dates&gt;&lt;year&gt;1976&lt;/year&gt;&lt;/dates&gt;&lt;publisher&gt;[Society for the Scientific Study of Religion, Wiley]&lt;/publisher&gt;&lt;isbn&gt;00218294, 14685906&lt;/isbn&gt;&lt;urls&gt;&lt;related-urls&gt;&lt;url&gt;http://www.jstor.org.ezproxy.uwtsd.ac.uk/stable/1385359&lt;/url&gt;&lt;/related-urls&gt;&lt;/urls&gt;&lt;custom1&gt;Full publication date: Jun., 1976&lt;/custom1&gt;&lt;electronic-resource-num&gt;10.2307/1385359&lt;/electronic-resource-num&gt;&lt;remote-database-name&gt;JSTOR&lt;/remote-database-name&gt;&lt;/record&gt;&lt;/Cite&gt;&lt;/EndNote&gt;</w:instrText>
      </w:r>
      <w:r>
        <w:fldChar w:fldCharType="separate"/>
      </w:r>
      <w:r>
        <w:rPr>
          <w:noProof/>
        </w:rPr>
        <w:t>Wuthnow, 'Astrology and Marginality', 158.</w:t>
      </w:r>
      <w:r>
        <w:fldChar w:fldCharType="end"/>
      </w:r>
    </w:p>
  </w:footnote>
  <w:footnote w:id="17">
    <w:p w:rsidR="00CA0E22" w:rsidRPr="00B03A2E" w:rsidRDefault="00CA0E22" w:rsidP="00CA0E22">
      <w:pPr>
        <w:pStyle w:val="Funotentext"/>
      </w:pPr>
      <w:r>
        <w:rPr>
          <w:rStyle w:val="Funotenzeichen"/>
        </w:rPr>
        <w:footnoteRef/>
      </w:r>
      <w:r>
        <w:t xml:space="preserve"> </w:t>
      </w:r>
      <w:r>
        <w:fldChar w:fldCharType="begin"/>
      </w:r>
      <w:r>
        <w:instrText xml:space="preserve"> ADDIN EN.CITE &lt;EndNote&gt;&lt;Cite&gt;&lt;Author&gt;Gigerenzer&lt;/Author&gt;&lt;Year&gt;2015&lt;/Year&gt;&lt;RecNum&gt;28&lt;/RecNum&gt;&lt;Pages&gt;436&lt;/Pages&gt;&lt;DisplayText&gt;Gerd Gigerenzer and Julian N. Marewski, &amp;apos;Surrogate Science: The Idol of a Universal Method for Scientific Inference&amp;apos;, &lt;style face="italic"&gt;Journal of Management. &lt;/style&gt;41 (2015), 436.&lt;/DisplayText&gt;&lt;record&gt;&lt;rec-number&gt;28&lt;/rec-number&gt;&lt;foreign-keys&gt;&lt;key app="EN" db-id="aervswptvfs2d5etd04xe2z10rf9wxssrvxd" timestamp="1572828918"&gt;28&lt;/key&gt;&lt;/foreign-keys&gt;&lt;ref-type name="Journal Article"&gt;17&lt;/ref-type&gt;&lt;contributors&gt;&lt;authors&gt;&lt;author&gt;Gigerenzer, Gerd&lt;/author&gt;&lt;author&gt;Marewski, Julian N.&lt;/author&gt;&lt;/authors&gt;&lt;secondary-authors&gt;&lt;author&gt;Zyphur, Michael J.&lt;/author&gt;&lt;author&gt;Oswald, Frederick L.&lt;/author&gt;&lt;author&gt;Rupp, Deborah E.&lt;/author&gt;&lt;/secondary-authors&gt;&lt;/contributors&gt;&lt;titles&gt;&lt;title&gt;Surrogate Science: The Idol of a Universal Method for Scientific Inference&lt;/title&gt;&lt;secondary-title&gt;Journal of Management&lt;/secondary-title&gt;&lt;/titles&gt;&lt;periodical&gt;&lt;full-title&gt;Journal of Management&lt;/full-title&gt;&lt;/periodical&gt;&lt;pages&gt;421-440&lt;/pages&gt;&lt;volume&gt;41&lt;/volume&gt;&lt;number&gt;2&lt;/number&gt;&lt;keywords&gt;&lt;keyword&gt;Research Methods&lt;/keyword&gt;&lt;keyword&gt;Regression Analysis&lt;/keyword&gt;&lt;keyword&gt;Psychometrics&lt;/keyword&gt;&lt;keyword&gt;Bayesian Methods&lt;/keyword&gt;&lt;keyword&gt;Business&lt;/keyword&gt;&lt;/keywords&gt;&lt;dates&gt;&lt;year&gt;2015&lt;/year&gt;&lt;/dates&gt;&lt;pub-location&gt;Los Angeles, CA&lt;/pub-location&gt;&lt;isbn&gt;0149-2063&lt;/isbn&gt;&lt;urls&gt;&lt;/urls&gt;&lt;electronic-resource-num&gt;10.1177/0149206314547522&lt;/electronic-resource-num&gt;&lt;/record&gt;&lt;/Cite&gt;&lt;/EndNote&gt;</w:instrText>
      </w:r>
      <w:r>
        <w:fldChar w:fldCharType="separate"/>
      </w:r>
      <w:r>
        <w:rPr>
          <w:noProof/>
        </w:rPr>
        <w:t xml:space="preserve">Gerd Gigerenzer and Julian N. Marewski, 'Surrogate Science: The Idol of a Universal Method for Scientific Inference', </w:t>
      </w:r>
      <w:r w:rsidRPr="00EC79C0">
        <w:rPr>
          <w:i/>
          <w:noProof/>
        </w:rPr>
        <w:t xml:space="preserve">Journal of Management. </w:t>
      </w:r>
      <w:r>
        <w:rPr>
          <w:noProof/>
        </w:rPr>
        <w:t>41 (2015), 436.</w:t>
      </w:r>
      <w:r>
        <w:fldChar w:fldCharType="end"/>
      </w:r>
    </w:p>
  </w:footnote>
  <w:footnote w:id="18">
    <w:p w:rsidR="00CA0E22" w:rsidRPr="00706B0E"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&lt;EndNote&gt;&lt;Cite&gt;&lt;Author&gt;Wuthnow&lt;/Author&gt;&lt;Year&gt;1976&lt;/Year&gt;&lt;RecNum&gt;9&lt;/RecNum&gt;&lt;Pages&gt;162&lt;/Pages&gt;&lt;DisplayText&gt;Wuthnow, &amp;apos;Astrology and Marginality&amp;apos;, 162.&lt;/DisplayText&gt;&lt;record&gt;&lt;rec-number&gt;9&lt;/rec-number&gt;&lt;foreign-keys&gt;&lt;key app="EN" db-id="aervswptvfs2d5etd04xe2z10rf9wxssrvxd" timestamp="1571648393"&gt;9&lt;/key&gt;&lt;/foreign-keys&gt;&lt;ref-type name="Journal Article"&gt;17&lt;/ref-type&gt;&lt;contributors&gt;&lt;authors&gt;&lt;author&gt;Wuthnow, Robert&lt;/author&gt;&lt;/authors&gt;&lt;/contributors&gt;&lt;titles&gt;&lt;title&gt;Astrology and Marginality&lt;/title&gt;&lt;secondary-title&gt;Journal for the Scientific Study of Religion&lt;/secondary-title&gt;&lt;/titles&gt;&lt;periodical&gt;&lt;full-title&gt;Journal for the Scientific Study of Religion&lt;/full-title&gt;&lt;/periodical&gt;&lt;pages&gt;157-168&lt;/pages&gt;&lt;volume&gt;15&lt;/volume&gt;&lt;number&gt;2&lt;/number&gt;&lt;dates&gt;&lt;year&gt;1976&lt;/year&gt;&lt;/dates&gt;&lt;publisher&gt;[Society for the Scientific Study of Religion, Wiley]&lt;/publisher&gt;&lt;isbn&gt;00218294, 14685906&lt;/isbn&gt;&lt;urls&gt;&lt;related-urls&gt;&lt;url&gt;http://www.jstor.org.ezproxy.uwtsd.ac.uk/stable/1385359&lt;/url&gt;&lt;/related-urls&gt;&lt;/urls&gt;&lt;custom1&gt;Full publication date: Jun., 1976&lt;/custom1&gt;&lt;electronic-resource-num&gt;10.2307/1385359&lt;/electronic-resource-num&gt;&lt;remote-database-name&gt;JSTOR&lt;/remote-database-name&gt;&lt;/record&gt;&lt;/Cite&gt;&lt;/EndNote&gt;</w:instrText>
      </w:r>
      <w:r>
        <w:fldChar w:fldCharType="separate"/>
      </w:r>
      <w:r>
        <w:rPr>
          <w:noProof/>
        </w:rPr>
        <w:t>Wuthnow, 'Astrology and Marginality', 162.</w:t>
      </w:r>
      <w:r>
        <w:fldChar w:fldCharType="end"/>
      </w:r>
    </w:p>
  </w:footnote>
  <w:footnote w:id="19">
    <w:p w:rsidR="00CA0E22" w:rsidRPr="00706B0E" w:rsidRDefault="00CA0E22" w:rsidP="00CA0E22">
      <w:pPr>
        <w:pStyle w:val="Funotentext"/>
        <w:rPr>
          <w:lang w:val="en-US"/>
        </w:rPr>
      </w:pPr>
      <w:r>
        <w:rPr>
          <w:rStyle w:val="Funotenzeichen"/>
        </w:rPr>
        <w:footnoteRef/>
      </w:r>
      <w:r>
        <w:t xml:space="preserve"> </w:t>
      </w:r>
      <w:r>
        <w:fldChar w:fldCharType="begin"/>
      </w:r>
      <w:r>
        <w:instrText xml:space="preserve"> ADDIN EN.CITE &lt;EndNote&gt;&lt;Cite&gt;&lt;Author&gt;Feher&lt;/Author&gt;&lt;Year&gt;1992&lt;/Year&gt;&lt;RecNum&gt;26&lt;/RecNum&gt;&lt;Pages&gt;91&lt;/Pages&gt;&lt;DisplayText&gt;Shoshanah Feher, &amp;apos;Who Looks to the Stars? Astrology and Its Constituency&amp;apos;, &lt;style face="italic"&gt;Journal for the Scientific Study of Religion. &lt;/style&gt;31 (1992), 91.&lt;/DisplayText&gt;&lt;record&gt;&lt;rec-number&gt;26&lt;/rec-number&gt;&lt;foreign-keys&gt;&lt;key app="EN" db-id="aervswptvfs2d5etd04xe2z10rf9wxssrvxd" timestamp="1572799870"&gt;26&lt;/key&gt;&lt;/foreign-keys&gt;&lt;ref-type name="Journal Article"&gt;17&lt;/ref-type&gt;&lt;contributors&gt;&lt;authors&gt;&lt;author&gt;Feher, Shoshanah&lt;/author&gt;&lt;/authors&gt;&lt;/contributors&gt;&lt;titles&gt;&lt;title&gt;Who Looks to the Stars? Astrology and Its Constituency&lt;/title&gt;&lt;secondary-title&gt;Journal for the Scientific Study of Religion&lt;/secondary-title&gt;&lt;/titles&gt;&lt;periodical&gt;&lt;full-title&gt;Journal for the Scientific Study of Religion&lt;/full-title&gt;&lt;/periodical&gt;&lt;pages&gt;88-93&lt;/pages&gt;&lt;volume&gt;31&lt;/volume&gt;&lt;number&gt;1&lt;/number&gt;&lt;dates&gt;&lt;year&gt;1992&lt;/year&gt;&lt;/dates&gt;&lt;publisher&gt;[Society for the Scientific Study of Religion, Wiley]&lt;/publisher&gt;&lt;isbn&gt;00218294, 14685906&lt;/isbn&gt;&lt;urls&gt;&lt;related-urls&gt;&lt;url&gt;http://www.jstor.org.ezproxy.uwtsd.ac.uk/stable/1386834&lt;/url&gt;&lt;/related-urls&gt;&lt;/urls&gt;&lt;custom1&gt;Full publication date: Mar., 1992&lt;/custom1&gt;&lt;electronic-resource-num&gt;10.2307/1386834&lt;/electronic-resource-num&gt;&lt;remote-database-name&gt;JSTOR&lt;/remote-database-name&gt;&lt;/record&gt;&lt;/Cite&gt;&lt;/EndNote&gt;</w:instrText>
      </w:r>
      <w:r>
        <w:fldChar w:fldCharType="separate"/>
      </w:r>
      <w:r>
        <w:rPr>
          <w:noProof/>
        </w:rPr>
        <w:t xml:space="preserve">Shoshanah Feher, 'Who Looks to the Stars? Astrology and Its Constituency', </w:t>
      </w:r>
      <w:r w:rsidRPr="00E97E47">
        <w:rPr>
          <w:i/>
          <w:noProof/>
        </w:rPr>
        <w:t xml:space="preserve">Journal for the Scientific Study of Religion. </w:t>
      </w:r>
      <w:r>
        <w:rPr>
          <w:noProof/>
        </w:rPr>
        <w:t>31 (1992), 91.</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22"/>
    <w:rsid w:val="0001370B"/>
    <w:rsid w:val="00066011"/>
    <w:rsid w:val="000F3BDC"/>
    <w:rsid w:val="002373B0"/>
    <w:rsid w:val="002B754E"/>
    <w:rsid w:val="002E5877"/>
    <w:rsid w:val="002F6615"/>
    <w:rsid w:val="00327EF1"/>
    <w:rsid w:val="00355E02"/>
    <w:rsid w:val="00364466"/>
    <w:rsid w:val="003B72DF"/>
    <w:rsid w:val="003D4E1C"/>
    <w:rsid w:val="00410333"/>
    <w:rsid w:val="00485384"/>
    <w:rsid w:val="004C677B"/>
    <w:rsid w:val="00554C75"/>
    <w:rsid w:val="006213DA"/>
    <w:rsid w:val="0072056D"/>
    <w:rsid w:val="007302C9"/>
    <w:rsid w:val="007C3878"/>
    <w:rsid w:val="008802F8"/>
    <w:rsid w:val="008C6F9A"/>
    <w:rsid w:val="008F0283"/>
    <w:rsid w:val="009E0D13"/>
    <w:rsid w:val="00C00E0C"/>
    <w:rsid w:val="00C2475A"/>
    <w:rsid w:val="00CA0E22"/>
    <w:rsid w:val="00CE77E8"/>
    <w:rsid w:val="00EE6DAF"/>
    <w:rsid w:val="00F34DD6"/>
    <w:rsid w:val="00F84FD4"/>
    <w:rsid w:val="00FA7E5E"/>
    <w:rsid w:val="00FC798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C9F12382-6C3F-D041-865B-16E0E31F2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rsid w:val="00CA0E22"/>
    <w:pPr>
      <w:spacing w:before="100" w:beforeAutospacing="1" w:after="100" w:afterAutospacing="1"/>
    </w:pPr>
    <w:rPr>
      <w:rFonts w:ascii="Georgia" w:eastAsia="SimSun" w:hAnsi="Georgia" w:cs="Times New Roman"/>
      <w:color w:val="000000"/>
      <w:sz w:val="21"/>
      <w:szCs w:val="21"/>
      <w:lang w:val="en-GB" w:eastAsia="zh-CN"/>
    </w:rPr>
  </w:style>
  <w:style w:type="paragraph" w:styleId="Funotentext">
    <w:name w:val="footnote text"/>
    <w:basedOn w:val="Standard"/>
    <w:link w:val="FunotentextZchn"/>
    <w:rsid w:val="00CA0E22"/>
    <w:rPr>
      <w:rFonts w:ascii="Times New Roman" w:eastAsia="SimSun" w:hAnsi="Times New Roman" w:cs="Times New Roman"/>
      <w:sz w:val="20"/>
      <w:szCs w:val="20"/>
      <w:lang w:val="en-GB" w:eastAsia="zh-CN"/>
    </w:rPr>
  </w:style>
  <w:style w:type="character" w:customStyle="1" w:styleId="FunotentextZchn">
    <w:name w:val="Fußnotentext Zchn"/>
    <w:basedOn w:val="Absatz-Standardschriftart"/>
    <w:link w:val="Funotentext"/>
    <w:rsid w:val="00CA0E22"/>
    <w:rPr>
      <w:rFonts w:ascii="Times New Roman" w:eastAsia="SimSun" w:hAnsi="Times New Roman" w:cs="Times New Roman"/>
      <w:sz w:val="20"/>
      <w:szCs w:val="20"/>
      <w:lang w:val="en-GB" w:eastAsia="zh-CN"/>
    </w:rPr>
  </w:style>
  <w:style w:type="character" w:styleId="Funotenzeichen">
    <w:name w:val="footnote reference"/>
    <w:basedOn w:val="Absatz-Standardschriftart"/>
    <w:rsid w:val="00CA0E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1511</Words>
  <Characters>7858</Characters>
  <Application>Microsoft Office Word</Application>
  <DocSecurity>0</DocSecurity>
  <Lines>122</Lines>
  <Paragraphs>17</Paragraphs>
  <ScaleCrop>false</ScaleCrop>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Konrad</dc:creator>
  <cp:keywords/>
  <dc:description/>
  <cp:lastModifiedBy>Andrea Konrad</cp:lastModifiedBy>
  <cp:revision>1</cp:revision>
  <dcterms:created xsi:type="dcterms:W3CDTF">2019-11-11T20:59:00Z</dcterms:created>
  <dcterms:modified xsi:type="dcterms:W3CDTF">2019-11-11T20:59:00Z</dcterms:modified>
</cp:coreProperties>
</file>