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471CF"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Freya Washbourne</w:t>
      </w:r>
    </w:p>
    <w:p w14:paraId="772ED1A9"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2134531</w:t>
      </w:r>
    </w:p>
    <w:p w14:paraId="5A2E3AD3" w14:textId="77777777" w:rsidR="00BE3302" w:rsidRPr="00BE3302" w:rsidRDefault="00BE3302" w:rsidP="00BE3302">
      <w:pPr>
        <w:jc w:val="both"/>
        <w:rPr>
          <w:rFonts w:asciiTheme="majorHAnsi" w:hAnsiTheme="majorHAnsi" w:cstheme="majorHAnsi"/>
        </w:rPr>
      </w:pPr>
    </w:p>
    <w:p w14:paraId="3A93A95D" w14:textId="77777777" w:rsidR="00BE3302" w:rsidRPr="00BE3302" w:rsidRDefault="00BE3302" w:rsidP="00BE3302">
      <w:pPr>
        <w:jc w:val="both"/>
        <w:rPr>
          <w:rFonts w:asciiTheme="majorHAnsi" w:hAnsiTheme="majorHAnsi" w:cstheme="majorHAnsi"/>
          <w:b/>
          <w:bCs/>
          <w:u w:val="single"/>
        </w:rPr>
      </w:pPr>
      <w:r w:rsidRPr="00BE3302">
        <w:rPr>
          <w:rFonts w:asciiTheme="majorHAnsi" w:hAnsiTheme="majorHAnsi" w:cstheme="majorHAnsi"/>
          <w:b/>
          <w:bCs/>
          <w:u w:val="single"/>
        </w:rPr>
        <w:t>Essay one:</w:t>
      </w:r>
    </w:p>
    <w:p w14:paraId="4DD5202A"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How has the organisational culture in policing changed due to professionalisation, and how can organisational culture affect officers’ wellbeing and resilience?</w:t>
      </w:r>
    </w:p>
    <w:p w14:paraId="043FBAC3"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Your answer must be based on academic research rather than personal experience.</w:t>
      </w:r>
    </w:p>
    <w:p w14:paraId="1BEC739A"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 xml:space="preserve">Word limit: 1000 words. </w:t>
      </w:r>
    </w:p>
    <w:p w14:paraId="591BAD97" w14:textId="77777777" w:rsidR="00BE3302" w:rsidRPr="00BE3302" w:rsidRDefault="00BE3302" w:rsidP="00BE3302">
      <w:pPr>
        <w:jc w:val="both"/>
        <w:rPr>
          <w:rFonts w:asciiTheme="majorHAnsi" w:hAnsiTheme="majorHAnsi" w:cstheme="majorHAnsi"/>
        </w:rPr>
      </w:pPr>
    </w:p>
    <w:p w14:paraId="15DF611C"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This essay will discuss how the organisational culture in policing has changed due to professionalisation. It will also discuss how organisational culture can affect officers’ wellbeing and resilience when conducting their roles. Defining organisational culture within the police is considered as values and opinions shared by officers which influences the view on their role and decision making (Chan, 2009). This means that whether the opinion is good or bad, this can influence the effective decision making or view of an officer, albeit the believed perception of the public.</w:t>
      </w:r>
    </w:p>
    <w:p w14:paraId="359D2E30" w14:textId="77777777" w:rsidR="00BE3302" w:rsidRPr="00BE3302" w:rsidRDefault="00BE3302" w:rsidP="00BE3302">
      <w:pPr>
        <w:jc w:val="both"/>
        <w:rPr>
          <w:rFonts w:asciiTheme="majorHAnsi" w:hAnsiTheme="majorHAnsi" w:cstheme="majorHAnsi"/>
        </w:rPr>
      </w:pPr>
    </w:p>
    <w:p w14:paraId="6A01B80F"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Officers are encouraged to promote the “right culture”, and this is by ensuring that officers take the steps that enable contact with colleagues, partners, and the public to build trust and confidence by using fair and reasonable decision making and treatment (College of Policing, 2021). Due to a series of high-profile cases whereby incidents of gross misconduct and wrongful behaviour of police officers has been reported, both governmental and policing bodies have recognised a decline in public trust and confidence of the police (Tudor, 2023). This has meant that the stigma of police culture has had to adapt as professionalisation has meant that action had to be taken for the organisational culture to change. This is evident from reviews conducted by the Home Office and the HMICFRS. </w:t>
      </w:r>
    </w:p>
    <w:p w14:paraId="5EFF025F" w14:textId="77777777" w:rsidR="00BE3302" w:rsidRPr="00BE3302" w:rsidRDefault="00BE3302" w:rsidP="00BE3302">
      <w:pPr>
        <w:jc w:val="both"/>
        <w:rPr>
          <w:rFonts w:asciiTheme="majorHAnsi" w:hAnsiTheme="majorHAnsi" w:cstheme="majorHAnsi"/>
        </w:rPr>
      </w:pPr>
    </w:p>
    <w:p w14:paraId="780AD811"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However, the issue of unconscious bias and the stigma connected with policing is evident (Spencer et al, 2016). Members of the public are unwilling to serve as police officers who are constantly the subject of conversation and blame when occurrences do not have a satisfactory or preferred outcome. They do not assist in the apprehending of suspects in criminal cases or engage with local communities. They do, however, hold officers accountable and utilise blame as a tactic when social media and the news defame police forces for failing to do enough or for having insufficient cops commit acts for which they are held responsible. The force does not shy away from police being careless since officers are held to a higher standard than most others, and this "blame culture" has an influence on officers' wellbeing and resilience (Police Executive Research Forum, 2016).</w:t>
      </w:r>
    </w:p>
    <w:p w14:paraId="530FF10C" w14:textId="77777777" w:rsidR="00BE3302" w:rsidRPr="00BE3302" w:rsidRDefault="00BE3302" w:rsidP="00BE3302">
      <w:pPr>
        <w:jc w:val="both"/>
        <w:rPr>
          <w:rFonts w:asciiTheme="majorHAnsi" w:hAnsiTheme="majorHAnsi" w:cstheme="majorHAnsi"/>
        </w:rPr>
      </w:pPr>
    </w:p>
    <w:p w14:paraId="259F305A" w14:textId="3265D195"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A key example of conducted reviews is the Home Office review in January 2023. This review was conducted whereby the police disciplinary system was assessed. The review examined the consistency of decision making, disproportionality of dismissals, the existing model, effective use of regulations and the effectiveness of the performance system (GOV.UK, 2023). It was argued that this was a way in which the government could tackle “police culture and standards”. The Home Office made it evident within </w:t>
      </w:r>
      <w:r w:rsidRPr="00BE3302">
        <w:rPr>
          <w:rFonts w:asciiTheme="majorHAnsi" w:hAnsiTheme="majorHAnsi" w:cstheme="majorHAnsi"/>
        </w:rPr>
        <w:lastRenderedPageBreak/>
        <w:t>this review that “there is no place for officers who fall seriously short of the acceptable standards of behaviour” (Tudor, 2023). Arguably, most police forces agree with this. However, a review in 2022 was conducted by HMICFRS. It was reported that systematic failings and inadequate maintenance of standards in the police service were at the forefront of the investigation (HMICFRS, 2022). The report made approximately 43 recommendations, and this triangulated from pre-employment checks and the force vetting process not being scrutinised enough. If the system is at fault and this is proven, why are officers individualised and penalised for a “culture” that is only just changing?</w:t>
      </w:r>
    </w:p>
    <w:p w14:paraId="670EC21D" w14:textId="77777777" w:rsidR="00BE3302" w:rsidRPr="00BE3302" w:rsidRDefault="00BE3302" w:rsidP="00BE3302">
      <w:pPr>
        <w:jc w:val="both"/>
        <w:rPr>
          <w:rFonts w:asciiTheme="majorHAnsi" w:hAnsiTheme="majorHAnsi" w:cstheme="majorHAnsi"/>
        </w:rPr>
      </w:pPr>
    </w:p>
    <w:p w14:paraId="3C39AF12" w14:textId="5A1F4233" w:rsidR="00BE3302" w:rsidRPr="00BE3302" w:rsidRDefault="00BE3302" w:rsidP="00BE3302">
      <w:pPr>
        <w:jc w:val="both"/>
        <w:rPr>
          <w:rFonts w:asciiTheme="majorHAnsi" w:hAnsiTheme="majorHAnsi" w:cstheme="majorHAnsi"/>
        </w:rPr>
      </w:pPr>
      <w:r w:rsidRPr="00BE3302">
        <w:rPr>
          <w:rFonts w:asciiTheme="majorHAnsi" w:hAnsiTheme="majorHAnsi" w:cstheme="majorHAnsi"/>
        </w:rPr>
        <w:t>Officers can argue that organisational culture has an effect to well-being and resilience when support is not in place to protect them from the “cop culture” proforma that the public believe officers have. This responsibility should be outlined by the Chief Constables of each force in their ideology or the force plan. Three things that are the sole responsibility of a Chief Constable of a police force are to lead the force, create vision and set direction and culture that provides trust to the public, confidence, and an effective and efficient service of policing (College of Policing, 2022). If direction and culture are not set and there is no trust nor respect in the service portrayed by fellow officers to each other than the change to organisational culture to professionalism cannot take place as officers will not hold the respect of the public, whom we police with the consent of. This is why a standard was set, whereby the Code of Ethics was introduced, as a form of professionalisation (College of Policing, 2014).</w:t>
      </w:r>
    </w:p>
    <w:p w14:paraId="0BFE2BE5" w14:textId="77777777" w:rsidR="00BE3302" w:rsidRPr="00BE3302" w:rsidRDefault="00BE3302" w:rsidP="00BE3302">
      <w:pPr>
        <w:jc w:val="both"/>
        <w:rPr>
          <w:rFonts w:asciiTheme="majorHAnsi" w:hAnsiTheme="majorHAnsi" w:cstheme="majorHAnsi"/>
        </w:rPr>
      </w:pPr>
    </w:p>
    <w:p w14:paraId="30E6A850"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Metcalf argues that police forces must shift from a “blame culture” where both mistakes and crises are acted upon and encourage a cultural change, whereby failure is not at the forefront and development of learning organisations is encouraged to remove the precedent of “blame” (Metcalfe, 2017). Similarly mimicking that of the ideology of the Code of Ethics, whereby principles and standards of professional behaviour for England and Wales were outlined (College of Policing, 2023). Arguably, the reviews being made are affecting the wellbeing and resilience of officers when conducting their roles, as it appears that blame must be pinpointed, and officers appear to be that point.</w:t>
      </w:r>
    </w:p>
    <w:p w14:paraId="1BD3E0C7" w14:textId="77777777" w:rsidR="00BE3302" w:rsidRPr="00BE3302" w:rsidRDefault="00BE3302" w:rsidP="00BE3302">
      <w:pPr>
        <w:jc w:val="both"/>
        <w:rPr>
          <w:rFonts w:asciiTheme="majorHAnsi" w:hAnsiTheme="majorHAnsi" w:cstheme="majorHAnsi"/>
        </w:rPr>
      </w:pPr>
    </w:p>
    <w:p w14:paraId="2A62F25C"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In conclusion, the organisational culture in policing has adapted due to professionalisation, but at the cost of affect against officers’ wellbeing and resilience. By introducing documents such as the Code of Ethics where they outline a behaviour and characteristics that officers should have, officers are held to a higher standard by fellow colleagues and the community. Arguably, the “blame culture” and the “cop” culture had to change within the police, or officers would and still not be held accountable for their actions. However, this higher standard does then impact the wellbeing and resilience of officers as some lose trust and communication with colleagues. Whereas other officers do not try to fight for the reason they joined a police force.</w:t>
      </w:r>
    </w:p>
    <w:p w14:paraId="30F87283" w14:textId="77777777" w:rsidR="00BE3302" w:rsidRPr="00BE3302" w:rsidRDefault="00BE3302" w:rsidP="00BE3302">
      <w:pPr>
        <w:jc w:val="both"/>
        <w:rPr>
          <w:rFonts w:asciiTheme="majorHAnsi" w:hAnsiTheme="majorHAnsi" w:cstheme="majorHAnsi"/>
        </w:rPr>
      </w:pPr>
    </w:p>
    <w:p w14:paraId="464DE32E"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Words: 938 words </w:t>
      </w:r>
    </w:p>
    <w:p w14:paraId="35114283" w14:textId="77777777" w:rsidR="00BE3302" w:rsidRDefault="00BE3302" w:rsidP="00BE3302"/>
    <w:p w14:paraId="72317D85" w14:textId="77777777" w:rsidR="00BE3302" w:rsidRDefault="00BE3302" w:rsidP="00BE3302"/>
    <w:p w14:paraId="6FA940AA" w14:textId="77777777" w:rsidR="00BE3302" w:rsidRDefault="00BE3302" w:rsidP="00BE3302"/>
    <w:p w14:paraId="4B22A295" w14:textId="77777777" w:rsidR="00BE3302" w:rsidRDefault="00BE3302" w:rsidP="00BE3302"/>
    <w:p w14:paraId="0AC40C78" w14:textId="77777777" w:rsidR="00BE3302" w:rsidRPr="00BE3302" w:rsidRDefault="00BE3302" w:rsidP="00BE3302">
      <w:pPr>
        <w:jc w:val="both"/>
        <w:rPr>
          <w:rFonts w:asciiTheme="majorHAnsi" w:hAnsiTheme="majorHAnsi" w:cstheme="majorHAnsi"/>
          <w:b/>
          <w:bCs/>
          <w:u w:val="single"/>
        </w:rPr>
      </w:pPr>
      <w:r w:rsidRPr="00BE3302">
        <w:rPr>
          <w:rFonts w:asciiTheme="majorHAnsi" w:hAnsiTheme="majorHAnsi" w:cstheme="majorHAnsi"/>
          <w:b/>
          <w:bCs/>
          <w:u w:val="single"/>
        </w:rPr>
        <w:lastRenderedPageBreak/>
        <w:t>Essay two:</w:t>
      </w:r>
    </w:p>
    <w:p w14:paraId="1E1EFF02"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Response policing – In a recent survey by HMICFRS, 65% of respondents agreed “that police in their local area treat people fairly and with respect” (Justice Inspectorates, 2019). Evaluate the impact of public perception on response policing.</w:t>
      </w:r>
    </w:p>
    <w:p w14:paraId="2629B809"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Your answer must be based on academic research.</w:t>
      </w:r>
    </w:p>
    <w:p w14:paraId="2985EF9D"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Word limit: 1000 words.</w:t>
      </w:r>
    </w:p>
    <w:p w14:paraId="1246124F" w14:textId="77777777" w:rsidR="00BE3302" w:rsidRPr="00BE3302" w:rsidRDefault="00BE3302" w:rsidP="00BE3302">
      <w:pPr>
        <w:jc w:val="both"/>
        <w:rPr>
          <w:rFonts w:asciiTheme="majorHAnsi" w:hAnsiTheme="majorHAnsi" w:cstheme="majorHAnsi"/>
        </w:rPr>
      </w:pPr>
    </w:p>
    <w:p w14:paraId="253923FD"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This essay will evaluate the impact of public perception on response policing. Response policing is where teams of police officers attend and respond to emergent and non-emergent calls from members of the public and other front facing departments who need officer attendance (College of Policing, 2023). Response officers are expected to protect the public, manage critical incidents, identify, and obtain support for vulnerable people and proactively patrol communities (College of Policing, 2023). This means that the public see more of response policing in their daily lives than other departments such as the Criminal Investigation Department (CID), Major Crime and other valuable departments. It also means that the impact on the public from response officers must be greater than other departments as response is at the forefront and first on scene to most incidents. Also, response policing impacts public perception dependant on how officers deal with incidents as they develop and in turn public perception can aid or detriment response.</w:t>
      </w:r>
    </w:p>
    <w:p w14:paraId="1C2658BC" w14:textId="77777777" w:rsidR="00BE3302" w:rsidRPr="00BE3302" w:rsidRDefault="00BE3302" w:rsidP="00BE3302">
      <w:pPr>
        <w:jc w:val="both"/>
        <w:rPr>
          <w:rFonts w:asciiTheme="majorHAnsi" w:hAnsiTheme="majorHAnsi" w:cstheme="majorHAnsi"/>
        </w:rPr>
      </w:pPr>
    </w:p>
    <w:p w14:paraId="0626E424"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Policing in the UK has been governed following the introduction of the Peel principles. This means that officers and police forces follow the concept of policing by consent (Home Office, 2023). Rosenbaum argues that police are a major part of communities but without their trust and confidence, officers are limited on the ability to do the job effectively (Rosenbaum, 2005). This means that the public are impacted by the decision making of response officers, as often quick decisions must be made when incidents are developing. This also suggests that the public perception may be altered dependant on the outcome of response officers’ attendance and decision-making. Arguably, when incidents are developing in a fast-paced environment, should response be considering the impact on public perception and take it in to account? Or should officers consider the incident on its individual merits and use their discretion and judgement to make decision without fear of backlash from perception such as the public?</w:t>
      </w:r>
    </w:p>
    <w:p w14:paraId="1D0AE344" w14:textId="77777777" w:rsidR="00BE3302" w:rsidRPr="00BE3302" w:rsidRDefault="00BE3302" w:rsidP="00BE3302">
      <w:pPr>
        <w:jc w:val="both"/>
        <w:rPr>
          <w:rFonts w:asciiTheme="majorHAnsi" w:hAnsiTheme="majorHAnsi" w:cstheme="majorHAnsi"/>
        </w:rPr>
      </w:pPr>
    </w:p>
    <w:p w14:paraId="45BD654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A survey from the HMICFRS regarding public perceptions of policing in England and Wales was conducted in 2018. It focused on specific impact factors that the public felt were important within policing. This included police conduct, public confidence in police, crime, and police visibility (HMICFRS, 2019). This report exposed factors that can impact public perception, and this is evident in the 3% rise from 2017 to 2018 where response officers were responding to and dealing with emergency calls. This meant that the effective response and dealing with emergency calls has created a positive public perception for the community and has demonstrated a positive impact that response policing has. This positive impact helps response officers as it aids in officers feeling valued whilst conducting their daily roles, responding to emergency calls.</w:t>
      </w:r>
    </w:p>
    <w:p w14:paraId="0DE3D3ED" w14:textId="77777777" w:rsidR="00BE3302" w:rsidRPr="00BE3302" w:rsidRDefault="00BE3302" w:rsidP="00BE3302">
      <w:pPr>
        <w:jc w:val="both"/>
        <w:rPr>
          <w:rFonts w:asciiTheme="majorHAnsi" w:hAnsiTheme="majorHAnsi" w:cstheme="majorHAnsi"/>
        </w:rPr>
      </w:pPr>
    </w:p>
    <w:p w14:paraId="7845F13A"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lastRenderedPageBreak/>
        <w:t>Another factor to consider is communication. Communication plays a role between response policing and public perception as good communication can create a positive image of the police and offers a better level of support in the community (Bain, 2016). This benefits the public perception of response policing as communication can aid in building trust and trust aids response officers as it helps in developing both repour and support in investigations. Support from the public means that response officers have a level of confidence alongside the department and police in general and this confidence is considered a “basic imperative and concern in every force across England and Wales” (Javid and Morrell, 2019). Meaning that response policing can be positively impacted by public perception as long as communication stays constant and concise. This suggests that the public like to understand what response are dealing with and investigating so that they can feel safe and knowledgeable.</w:t>
      </w:r>
    </w:p>
    <w:p w14:paraId="2E443EE0" w14:textId="77777777" w:rsidR="00BE3302" w:rsidRPr="00BE3302" w:rsidRDefault="00BE3302" w:rsidP="00BE3302">
      <w:pPr>
        <w:jc w:val="both"/>
        <w:rPr>
          <w:rFonts w:asciiTheme="majorHAnsi" w:hAnsiTheme="majorHAnsi" w:cstheme="majorHAnsi"/>
        </w:rPr>
      </w:pPr>
    </w:p>
    <w:p w14:paraId="0B2CD425"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Members of the public who have had a negative experience with police officers can have a negative impact on response policing and can utilise the experience by sharing it with other members of the public. Members of the public, who also have been victims of crime with a negative experience can be considered more influential with their opinion than victims of crime with positive experiences (Miller and D’Souza, 2016; Wedlock and Tapley, 2016). Suggesting, that a negative impact can outweigh the positive. This suggests that response policing is impacted by public perception, as a victim of crime may become more hesitant to report another incident to response due to lack of trust. Or the victim may have been impacted by a lack of communication and has shared that opinion with friends or family. </w:t>
      </w:r>
    </w:p>
    <w:p w14:paraId="51D34ED4" w14:textId="77777777" w:rsidR="00BE3302" w:rsidRPr="00BE3302" w:rsidRDefault="00BE3302" w:rsidP="00BE3302">
      <w:pPr>
        <w:jc w:val="both"/>
        <w:rPr>
          <w:rFonts w:asciiTheme="majorHAnsi" w:hAnsiTheme="majorHAnsi" w:cstheme="majorHAnsi"/>
        </w:rPr>
      </w:pPr>
    </w:p>
    <w:p w14:paraId="32840E7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When the policing model focuses on public trust and confidence, a decline in this from the public due to varying experiences and lack of trust does not aid the public perception on response policing (Brown, 2023). This negatively impacts the perception of response policing as there is a lack of trust and building confidence. Brown argues that research indicates that trust links with the perception of fairness and effectiveness when dealing with crime (Brown, 2023). If officers show fair and effective attitudes, then a level of trust and rapport is built which can in term help improve the public perception which impacts response policing. The impact that public perception has on response policing is increasing both positively and negatively because more supervisors and media are reviewing the actions of response officers and report on the actions taken, again with a positive and negative attitude.</w:t>
      </w:r>
    </w:p>
    <w:p w14:paraId="0F2C5B01" w14:textId="77777777" w:rsidR="00BE3302" w:rsidRPr="00BE3302" w:rsidRDefault="00BE3302" w:rsidP="00BE3302">
      <w:pPr>
        <w:jc w:val="both"/>
        <w:rPr>
          <w:rFonts w:asciiTheme="majorHAnsi" w:hAnsiTheme="majorHAnsi" w:cstheme="majorHAnsi"/>
        </w:rPr>
      </w:pPr>
    </w:p>
    <w:p w14:paraId="33ABF26E"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In conclusion, public perception can have both a positive and negative impact on response policing. It relies on how officers attend and deal with incidents. However, it also looks at both trust and communication with members of the public. The positive impact of public perception on response policing does not outweigh the negative, but if officers and the public can work together to improve the relationships, then one will not be impacted directly by the other. Even though some victims of crime may have had a negative experience in the past, does not mean that another response officer could not change the original negative impact and turn it into a positive one. </w:t>
      </w:r>
    </w:p>
    <w:p w14:paraId="66804139" w14:textId="77777777" w:rsidR="00BE3302" w:rsidRPr="00BE3302" w:rsidRDefault="00BE3302" w:rsidP="00BE3302">
      <w:pPr>
        <w:jc w:val="both"/>
        <w:rPr>
          <w:rFonts w:asciiTheme="majorHAnsi" w:hAnsiTheme="majorHAnsi" w:cstheme="majorHAnsi"/>
        </w:rPr>
      </w:pPr>
    </w:p>
    <w:p w14:paraId="61530AB0"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Words: 989 words</w:t>
      </w:r>
    </w:p>
    <w:p w14:paraId="49CDD9C1" w14:textId="77777777" w:rsidR="00BE3302" w:rsidRDefault="00BE3302" w:rsidP="00BE3302"/>
    <w:p w14:paraId="79279674" w14:textId="77777777" w:rsidR="00BE3302" w:rsidRDefault="00BE3302" w:rsidP="00BE3302"/>
    <w:p w14:paraId="7EC3DC12" w14:textId="77777777" w:rsidR="00BE3302" w:rsidRDefault="00BE3302" w:rsidP="00BE3302"/>
    <w:p w14:paraId="3ADE892A" w14:textId="77777777" w:rsidR="00BE3302" w:rsidRPr="00BE3302" w:rsidRDefault="00BE3302" w:rsidP="00BE3302">
      <w:pPr>
        <w:jc w:val="both"/>
        <w:rPr>
          <w:rFonts w:asciiTheme="majorHAnsi" w:hAnsiTheme="majorHAnsi" w:cstheme="majorHAnsi"/>
          <w:b/>
          <w:bCs/>
          <w:u w:val="single"/>
        </w:rPr>
      </w:pPr>
      <w:r w:rsidRPr="00BE3302">
        <w:rPr>
          <w:rFonts w:asciiTheme="majorHAnsi" w:hAnsiTheme="majorHAnsi" w:cstheme="majorHAnsi"/>
          <w:b/>
          <w:bCs/>
          <w:u w:val="single"/>
        </w:rPr>
        <w:lastRenderedPageBreak/>
        <w:t>Essay three:</w:t>
      </w:r>
    </w:p>
    <w:p w14:paraId="0640D605"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Evaluate the effectiveness of cognitive interviews as a strategy for obtaining initial accounts from victims and witnesses.</w:t>
      </w:r>
    </w:p>
    <w:p w14:paraId="005F356B"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Your answer must be based on academic research.</w:t>
      </w:r>
    </w:p>
    <w:p w14:paraId="5F90F4CE"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Word limit: 1000 words.</w:t>
      </w:r>
    </w:p>
    <w:p w14:paraId="570C5FBF" w14:textId="77777777" w:rsidR="00BE3302" w:rsidRPr="00BE3302" w:rsidRDefault="00BE3302" w:rsidP="00BE3302">
      <w:pPr>
        <w:jc w:val="both"/>
        <w:rPr>
          <w:rFonts w:asciiTheme="majorHAnsi" w:hAnsiTheme="majorHAnsi" w:cstheme="majorHAnsi"/>
        </w:rPr>
      </w:pPr>
    </w:p>
    <w:p w14:paraId="10C2139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This essay will evaluate the effectiveness of cognitive interviews as a strategy for obtaining initial accounts from both victims and witnesses. A cognitive interview is a strategy used by police officers to obtain accounts from persons involved in investigations and enhance the retrieval of information from a person’s memory (Simply Psychology, 2023). The cognitive interview was developed as an alternative method of interview to the “standard”. It considers the psychological element and uses a four-stage process (Geiselman et al, 1985).</w:t>
      </w:r>
    </w:p>
    <w:p w14:paraId="0076E666" w14:textId="77777777" w:rsidR="00BE3302" w:rsidRPr="00BE3302" w:rsidRDefault="00BE3302" w:rsidP="00BE3302">
      <w:pPr>
        <w:jc w:val="both"/>
        <w:rPr>
          <w:rFonts w:asciiTheme="majorHAnsi" w:hAnsiTheme="majorHAnsi" w:cstheme="majorHAnsi"/>
        </w:rPr>
      </w:pPr>
    </w:p>
    <w:p w14:paraId="57D437FF" w14:textId="088108E6" w:rsidR="00BE3302" w:rsidRDefault="00BE3302" w:rsidP="00BE3302">
      <w:pPr>
        <w:jc w:val="both"/>
        <w:rPr>
          <w:rFonts w:asciiTheme="majorHAnsi" w:hAnsiTheme="majorHAnsi" w:cstheme="majorHAnsi"/>
        </w:rPr>
      </w:pPr>
      <w:r w:rsidRPr="00BE3302">
        <w:rPr>
          <w:rFonts w:asciiTheme="majorHAnsi" w:hAnsiTheme="majorHAnsi" w:cstheme="majorHAnsi"/>
        </w:rPr>
        <w:t>Witness and victim accounts can be considered to direct the investigation dependent on the evidence they provide (Ridley, Gabbert, &amp; La Rooy, 2013; Shepherd &amp; Griffiths, 2013), meaning that the evidence in initial accounts must be as correct and valuable as possible to direct the investigation.</w:t>
      </w:r>
      <w:r w:rsidR="00723AF3">
        <w:rPr>
          <w:rFonts w:asciiTheme="majorHAnsi" w:hAnsiTheme="majorHAnsi" w:cstheme="majorHAnsi"/>
        </w:rPr>
        <w:t xml:space="preserve"> </w:t>
      </w:r>
      <w:r w:rsidR="002E474F">
        <w:rPr>
          <w:rFonts w:asciiTheme="majorHAnsi" w:hAnsiTheme="majorHAnsi" w:cstheme="majorHAnsi"/>
        </w:rPr>
        <w:t xml:space="preserve">Thus, the cognitive interview follows a psychological related process, whereby officers can draw </w:t>
      </w:r>
      <w:proofErr w:type="gramStart"/>
      <w:r w:rsidR="002E474F">
        <w:rPr>
          <w:rFonts w:asciiTheme="majorHAnsi" w:hAnsiTheme="majorHAnsi" w:cstheme="majorHAnsi"/>
        </w:rPr>
        <w:t>factual information</w:t>
      </w:r>
      <w:proofErr w:type="gramEnd"/>
      <w:r w:rsidR="002E474F">
        <w:rPr>
          <w:rFonts w:asciiTheme="majorHAnsi" w:hAnsiTheme="majorHAnsi" w:cstheme="majorHAnsi"/>
        </w:rPr>
        <w:t xml:space="preserve"> from a critical event to inform the investigation (Ericson and Simon, 1980).</w:t>
      </w:r>
    </w:p>
    <w:p w14:paraId="66DAA845" w14:textId="77777777" w:rsidR="002E474F" w:rsidRDefault="002E474F" w:rsidP="00BE3302">
      <w:pPr>
        <w:jc w:val="both"/>
        <w:rPr>
          <w:rFonts w:asciiTheme="majorHAnsi" w:hAnsiTheme="majorHAnsi" w:cstheme="majorHAnsi"/>
        </w:rPr>
      </w:pPr>
    </w:p>
    <w:p w14:paraId="6F40621C" w14:textId="7FF09363" w:rsidR="002E474F" w:rsidRDefault="002E474F" w:rsidP="00BE3302">
      <w:pPr>
        <w:jc w:val="both"/>
        <w:rPr>
          <w:rFonts w:asciiTheme="majorHAnsi" w:hAnsiTheme="majorHAnsi" w:cstheme="majorHAnsi"/>
        </w:rPr>
      </w:pPr>
      <w:r>
        <w:rPr>
          <w:rFonts w:asciiTheme="majorHAnsi" w:hAnsiTheme="majorHAnsi" w:cstheme="majorHAnsi"/>
        </w:rPr>
        <w:t>Alpert, Rojek and Noble believe that officers and interviewees must work together to be able to conduct their roles effectively</w:t>
      </w:r>
      <w:r w:rsidR="00DA34F7">
        <w:rPr>
          <w:rFonts w:asciiTheme="majorHAnsi" w:hAnsiTheme="majorHAnsi" w:cstheme="majorHAnsi"/>
        </w:rPr>
        <w:t>. If the roles work in unison and respond to each other in interview, then the interview process can be successful (Alpert, Rojek and Noble, 2012). Thus, demonstrating that the cognitive interview strategy can be an effective tool for obtaining initial accounts of both victims and witnesses</w:t>
      </w:r>
      <w:r w:rsidR="004479A9">
        <w:rPr>
          <w:rFonts w:asciiTheme="majorHAnsi" w:hAnsiTheme="majorHAnsi" w:cstheme="majorHAnsi"/>
        </w:rPr>
        <w:t>, a</w:t>
      </w:r>
      <w:r w:rsidR="00DA34F7">
        <w:rPr>
          <w:rFonts w:asciiTheme="majorHAnsi" w:hAnsiTheme="majorHAnsi" w:cstheme="majorHAnsi"/>
        </w:rPr>
        <w:t>s long as both counterparts work together.</w:t>
      </w:r>
      <w:r w:rsidR="004479A9">
        <w:rPr>
          <w:rFonts w:asciiTheme="majorHAnsi" w:hAnsiTheme="majorHAnsi" w:cstheme="majorHAnsi"/>
        </w:rPr>
        <w:t xml:space="preserve"> The process of a cognitive interview provides an opportunity to recall facts from a subject more effectively and efficiently (Patton, 1987). By using the cognitive interview strategy, the officer conducting the process can identify any potential inconsistency</w:t>
      </w:r>
      <w:r w:rsidR="002261DC">
        <w:rPr>
          <w:rFonts w:asciiTheme="majorHAnsi" w:hAnsiTheme="majorHAnsi" w:cstheme="majorHAnsi"/>
        </w:rPr>
        <w:t xml:space="preserve"> and later investigate if needed. Further suggesting that the cognitive interview strategy for obtaining initial accounts of victims and witnesses is</w:t>
      </w:r>
      <w:r w:rsidR="004D309B">
        <w:rPr>
          <w:rFonts w:asciiTheme="majorHAnsi" w:hAnsiTheme="majorHAnsi" w:cstheme="majorHAnsi"/>
        </w:rPr>
        <w:t xml:space="preserve"> predominantly</w:t>
      </w:r>
      <w:r w:rsidR="002261DC">
        <w:rPr>
          <w:rFonts w:asciiTheme="majorHAnsi" w:hAnsiTheme="majorHAnsi" w:cstheme="majorHAnsi"/>
        </w:rPr>
        <w:t xml:space="preserve"> effective as it provides the opportunity to avoid inconsistencies and preserves facts from the incident.</w:t>
      </w:r>
    </w:p>
    <w:p w14:paraId="037516B8" w14:textId="77777777" w:rsidR="00BE3302" w:rsidRPr="00BE3302" w:rsidRDefault="00BE3302" w:rsidP="00BE3302">
      <w:pPr>
        <w:jc w:val="both"/>
        <w:rPr>
          <w:rFonts w:asciiTheme="majorHAnsi" w:hAnsiTheme="majorHAnsi" w:cstheme="majorHAnsi"/>
        </w:rPr>
      </w:pPr>
    </w:p>
    <w:p w14:paraId="3DF54598" w14:textId="29B06C53" w:rsidR="00BE3302" w:rsidRDefault="00BE3302" w:rsidP="00BE3302">
      <w:pPr>
        <w:jc w:val="both"/>
        <w:rPr>
          <w:rFonts w:asciiTheme="majorHAnsi" w:hAnsiTheme="majorHAnsi" w:cstheme="majorHAnsi"/>
        </w:rPr>
      </w:pPr>
      <w:r w:rsidRPr="00BE3302">
        <w:rPr>
          <w:rFonts w:asciiTheme="majorHAnsi" w:hAnsiTheme="majorHAnsi" w:cstheme="majorHAnsi"/>
        </w:rPr>
        <w:t>Verkampt and Ginet found that in a study of the effectiveness of the cognitive interview for children’s recall that the cognitive interview approach was more effective to recall information and they provided more correct details using this method of interview (Verkampt and Ginet, 2010). Thus, demonstrating a level of effectiveness whereby if applicable to interview a child using the cognitive interview, it is most effective to recall information</w:t>
      </w:r>
      <w:r w:rsidR="002261DC">
        <w:rPr>
          <w:rFonts w:asciiTheme="majorHAnsi" w:hAnsiTheme="majorHAnsi" w:cstheme="majorHAnsi"/>
        </w:rPr>
        <w:t xml:space="preserve"> using this method</w:t>
      </w:r>
      <w:r w:rsidRPr="00BE3302">
        <w:rPr>
          <w:rFonts w:asciiTheme="majorHAnsi" w:hAnsiTheme="majorHAnsi" w:cstheme="majorHAnsi"/>
        </w:rPr>
        <w:t xml:space="preserve"> </w:t>
      </w:r>
      <w:r w:rsidR="002261DC">
        <w:rPr>
          <w:rFonts w:asciiTheme="majorHAnsi" w:hAnsiTheme="majorHAnsi" w:cstheme="majorHAnsi"/>
        </w:rPr>
        <w:t>to obtain</w:t>
      </w:r>
      <w:r w:rsidRPr="00BE3302">
        <w:rPr>
          <w:rFonts w:asciiTheme="majorHAnsi" w:hAnsiTheme="majorHAnsi" w:cstheme="majorHAnsi"/>
        </w:rPr>
        <w:t xml:space="preserve"> an initial account.</w:t>
      </w:r>
    </w:p>
    <w:p w14:paraId="439031E9" w14:textId="77777777" w:rsidR="002261DC" w:rsidRDefault="002261DC" w:rsidP="00BE3302">
      <w:pPr>
        <w:jc w:val="both"/>
        <w:rPr>
          <w:rFonts w:asciiTheme="majorHAnsi" w:hAnsiTheme="majorHAnsi" w:cstheme="majorHAnsi"/>
        </w:rPr>
      </w:pPr>
    </w:p>
    <w:p w14:paraId="22B88AED" w14:textId="5F707A4E" w:rsidR="002261DC" w:rsidRPr="00BE3302" w:rsidRDefault="002261DC" w:rsidP="00BE3302">
      <w:pPr>
        <w:jc w:val="both"/>
        <w:rPr>
          <w:rFonts w:asciiTheme="majorHAnsi" w:hAnsiTheme="majorHAnsi" w:cstheme="majorHAnsi"/>
        </w:rPr>
      </w:pPr>
      <w:r>
        <w:rPr>
          <w:rFonts w:asciiTheme="majorHAnsi" w:hAnsiTheme="majorHAnsi" w:cstheme="majorHAnsi"/>
        </w:rPr>
        <w:t xml:space="preserve">The cognitive interview strategy uses the opportunity to ask a singular question multiple times in order </w:t>
      </w:r>
      <w:r w:rsidR="00565FFC">
        <w:rPr>
          <w:rFonts w:asciiTheme="majorHAnsi" w:hAnsiTheme="majorHAnsi" w:cstheme="majorHAnsi"/>
        </w:rPr>
        <w:t xml:space="preserve">emphasise different aspects of the singular question.  This is to ensure that the details provided from the victim or witness is recalling details and not guesses of information (Koriat and Goldsmith, 1996). By asking the same question and focusing on different aspects of the question, investigators </w:t>
      </w:r>
      <w:proofErr w:type="gramStart"/>
      <w:r w:rsidR="00565FFC">
        <w:rPr>
          <w:rFonts w:asciiTheme="majorHAnsi" w:hAnsiTheme="majorHAnsi" w:cstheme="majorHAnsi"/>
        </w:rPr>
        <w:t>are able to</w:t>
      </w:r>
      <w:proofErr w:type="gramEnd"/>
      <w:r w:rsidR="00565FFC">
        <w:rPr>
          <w:rFonts w:asciiTheme="majorHAnsi" w:hAnsiTheme="majorHAnsi" w:cstheme="majorHAnsi"/>
        </w:rPr>
        <w:t xml:space="preserve"> help the victim or witness to recall information on their own terms without being influenced by the </w:t>
      </w:r>
      <w:r w:rsidR="00565FFC">
        <w:rPr>
          <w:rFonts w:asciiTheme="majorHAnsi" w:hAnsiTheme="majorHAnsi" w:cstheme="majorHAnsi"/>
        </w:rPr>
        <w:lastRenderedPageBreak/>
        <w:t>investigator during interview. This makes the cognitive interview strategy an effective strategy as it prevents false or altered information from being investigated or considered evidential.</w:t>
      </w:r>
    </w:p>
    <w:p w14:paraId="057BAD44" w14:textId="77777777" w:rsidR="00BE3302" w:rsidRPr="00BE3302" w:rsidRDefault="00BE3302" w:rsidP="00BE3302">
      <w:pPr>
        <w:jc w:val="both"/>
        <w:rPr>
          <w:rFonts w:asciiTheme="majorHAnsi" w:hAnsiTheme="majorHAnsi" w:cstheme="majorHAnsi"/>
        </w:rPr>
      </w:pPr>
    </w:p>
    <w:p w14:paraId="08FEF4A7"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Arguably, the lack of effectiveness of a cognitive interview for obtaining an initial account is due to the quality and characteristics of a victim or witness. For example, Sporer, Van Koppen and Lochun believe that descriptions of persons obtained from more challenging witnesses and victims are more likely to be inaccurate as they provide a description that can fit a description of </w:t>
      </w:r>
      <w:proofErr w:type="gramStart"/>
      <w:r w:rsidRPr="00BE3302">
        <w:rPr>
          <w:rFonts w:asciiTheme="majorHAnsi" w:hAnsiTheme="majorHAnsi" w:cstheme="majorHAnsi"/>
        </w:rPr>
        <w:t>a large number of</w:t>
      </w:r>
      <w:proofErr w:type="gramEnd"/>
      <w:r w:rsidRPr="00BE3302">
        <w:rPr>
          <w:rFonts w:asciiTheme="majorHAnsi" w:hAnsiTheme="majorHAnsi" w:cstheme="majorHAnsi"/>
        </w:rPr>
        <w:t xml:space="preserve"> people rather than more distinguishing features to single them out (Sporer, 1996; Van Koppen and Lochun, 1997). Meaning that it becomes more difficult to identify a perpetrator, or a false identification of a suspect could take place. Suggesting that a Cognitive interview approach may not be the main factor of evaluation but the quality of victims or witnesses the accounts are being obtained from.</w:t>
      </w:r>
    </w:p>
    <w:p w14:paraId="37FC60FE" w14:textId="77777777" w:rsidR="00BE3302" w:rsidRPr="00BE3302" w:rsidRDefault="00BE3302" w:rsidP="00BE3302">
      <w:pPr>
        <w:jc w:val="both"/>
        <w:rPr>
          <w:rFonts w:asciiTheme="majorHAnsi" w:hAnsiTheme="majorHAnsi" w:cstheme="majorHAnsi"/>
        </w:rPr>
      </w:pPr>
    </w:p>
    <w:p w14:paraId="287BF772" w14:textId="58D931F2"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Another reason that there is a lack of effectiveness for cognitive interviews of victims and witnesses, is due to the quality of investigative interview skills amongst frontline officers. Dando, Wilcock, and Milne argue that due to a lack of policing experience and training from front line officers, interviewing is a cause for concern (Dando, </w:t>
      </w:r>
      <w:proofErr w:type="gramStart"/>
      <w:r w:rsidRPr="00BE3302">
        <w:rPr>
          <w:rFonts w:asciiTheme="majorHAnsi" w:hAnsiTheme="majorHAnsi" w:cstheme="majorHAnsi"/>
        </w:rPr>
        <w:t>Wilcock</w:t>
      </w:r>
      <w:proofErr w:type="gramEnd"/>
      <w:r w:rsidRPr="00BE3302">
        <w:rPr>
          <w:rFonts w:asciiTheme="majorHAnsi" w:hAnsiTheme="majorHAnsi" w:cstheme="majorHAnsi"/>
        </w:rPr>
        <w:t xml:space="preserve"> and Milne, 2008). Again, the lack of effectiveness is not evident in the cognitive interview strategy but from external factors such as officer experience. This may be due to lacking resources across forces, the time and availability of officers due to call demand or prisoner resourcing. However, the training of officers to conduct the cognitive interview within a short time frame of the incident occurring is one of the reasons why the strategy is less effective. Interviewing is time of officers and witnesses/victims. If the time is not taken with these incidents and investigations, this could be detrimental to the outcome of the incident. Further demonstrating that the lack of effectiveness is not a result of the cognitive interview strategy but the impact factors of response policing.</w:t>
      </w:r>
    </w:p>
    <w:p w14:paraId="36D0A383" w14:textId="77777777" w:rsidR="00BE3302" w:rsidRPr="00BE3302" w:rsidRDefault="00BE3302" w:rsidP="00BE3302">
      <w:pPr>
        <w:jc w:val="both"/>
        <w:rPr>
          <w:rFonts w:asciiTheme="majorHAnsi" w:hAnsiTheme="majorHAnsi" w:cstheme="majorHAnsi"/>
        </w:rPr>
      </w:pPr>
    </w:p>
    <w:p w14:paraId="7419FCBF" w14:textId="53139EF1" w:rsidR="00BE3302" w:rsidRPr="00BE3302" w:rsidRDefault="00AB3424" w:rsidP="00D86DCF">
      <w:pPr>
        <w:jc w:val="both"/>
        <w:rPr>
          <w:rFonts w:asciiTheme="majorHAnsi" w:hAnsiTheme="majorHAnsi" w:cstheme="majorHAnsi"/>
        </w:rPr>
      </w:pPr>
      <w:r>
        <w:rPr>
          <w:rFonts w:asciiTheme="majorHAnsi" w:hAnsiTheme="majorHAnsi" w:cstheme="majorHAnsi"/>
        </w:rPr>
        <w:t xml:space="preserve">In summary </w:t>
      </w:r>
      <w:r w:rsidR="00B65ADF">
        <w:rPr>
          <w:rFonts w:asciiTheme="majorHAnsi" w:hAnsiTheme="majorHAnsi" w:cstheme="majorHAnsi"/>
        </w:rPr>
        <w:t xml:space="preserve">the use of </w:t>
      </w:r>
      <w:r w:rsidR="002D5AA3">
        <w:rPr>
          <w:rFonts w:asciiTheme="majorHAnsi" w:hAnsiTheme="majorHAnsi" w:cstheme="majorHAnsi"/>
        </w:rPr>
        <w:t>a cognitive</w:t>
      </w:r>
      <w:r w:rsidR="00B65ADF">
        <w:rPr>
          <w:rFonts w:asciiTheme="majorHAnsi" w:hAnsiTheme="majorHAnsi" w:cstheme="majorHAnsi"/>
        </w:rPr>
        <w:t xml:space="preserve"> interview for obtaining initial accounts from victims and witn</w:t>
      </w:r>
      <w:r w:rsidR="003B1431">
        <w:rPr>
          <w:rFonts w:asciiTheme="majorHAnsi" w:hAnsiTheme="majorHAnsi" w:cstheme="majorHAnsi"/>
        </w:rPr>
        <w:t>esses is a predominantly effective strategy for obtaining different accounts from both</w:t>
      </w:r>
      <w:r w:rsidR="00D2661A">
        <w:rPr>
          <w:rFonts w:asciiTheme="majorHAnsi" w:hAnsiTheme="majorHAnsi" w:cstheme="majorHAnsi"/>
        </w:rPr>
        <w:t xml:space="preserve"> vi</w:t>
      </w:r>
      <w:r w:rsidR="00226B34">
        <w:rPr>
          <w:rFonts w:asciiTheme="majorHAnsi" w:hAnsiTheme="majorHAnsi" w:cstheme="majorHAnsi"/>
        </w:rPr>
        <w:t>ctims and witnesses.</w:t>
      </w:r>
      <w:r w:rsidR="00481E0D">
        <w:rPr>
          <w:rFonts w:asciiTheme="majorHAnsi" w:hAnsiTheme="majorHAnsi" w:cstheme="majorHAnsi"/>
        </w:rPr>
        <w:t xml:space="preserve"> The cognitive interview strategy is utilised to </w:t>
      </w:r>
      <w:r w:rsidR="00775216">
        <w:rPr>
          <w:rFonts w:asciiTheme="majorHAnsi" w:hAnsiTheme="majorHAnsi" w:cstheme="majorHAnsi"/>
        </w:rPr>
        <w:t xml:space="preserve">direct the investigation and for both victims and witnesses to recall </w:t>
      </w:r>
      <w:proofErr w:type="gramStart"/>
      <w:r w:rsidR="00775216">
        <w:rPr>
          <w:rFonts w:asciiTheme="majorHAnsi" w:hAnsiTheme="majorHAnsi" w:cstheme="majorHAnsi"/>
        </w:rPr>
        <w:t>factual information</w:t>
      </w:r>
      <w:proofErr w:type="gramEnd"/>
      <w:r w:rsidR="00775216">
        <w:rPr>
          <w:rFonts w:asciiTheme="majorHAnsi" w:hAnsiTheme="majorHAnsi" w:cstheme="majorHAnsi"/>
        </w:rPr>
        <w:t xml:space="preserve">. </w:t>
      </w:r>
      <w:r w:rsidR="00917BD4">
        <w:rPr>
          <w:rFonts w:asciiTheme="majorHAnsi" w:hAnsiTheme="majorHAnsi" w:cstheme="majorHAnsi"/>
        </w:rPr>
        <w:t xml:space="preserve">There are factors that mean that the cognitive interview strategy is not a fully effective strategy due to </w:t>
      </w:r>
      <w:r w:rsidR="00D86DCF">
        <w:rPr>
          <w:rFonts w:asciiTheme="majorHAnsi" w:hAnsiTheme="majorHAnsi" w:cstheme="majorHAnsi"/>
        </w:rPr>
        <w:t xml:space="preserve">several external </w:t>
      </w:r>
      <w:r w:rsidR="008C1177">
        <w:rPr>
          <w:rFonts w:asciiTheme="majorHAnsi" w:hAnsiTheme="majorHAnsi" w:cstheme="majorHAnsi"/>
        </w:rPr>
        <w:t>factors,</w:t>
      </w:r>
      <w:r w:rsidR="00D86DCF">
        <w:rPr>
          <w:rFonts w:asciiTheme="majorHAnsi" w:hAnsiTheme="majorHAnsi" w:cstheme="majorHAnsi"/>
        </w:rPr>
        <w:t xml:space="preserve"> including </w:t>
      </w:r>
      <w:r w:rsidR="00371821">
        <w:rPr>
          <w:rFonts w:asciiTheme="majorHAnsi" w:hAnsiTheme="majorHAnsi" w:cstheme="majorHAnsi"/>
        </w:rPr>
        <w:t>lack of experience of trained officers and time management and officers resourcing</w:t>
      </w:r>
      <w:r w:rsidR="008C1177">
        <w:rPr>
          <w:rFonts w:asciiTheme="majorHAnsi" w:hAnsiTheme="majorHAnsi" w:cstheme="majorHAnsi"/>
        </w:rPr>
        <w:t xml:space="preserve">. However, </w:t>
      </w:r>
      <w:r w:rsidR="004D309B">
        <w:rPr>
          <w:rFonts w:asciiTheme="majorHAnsi" w:hAnsiTheme="majorHAnsi" w:cstheme="majorHAnsi"/>
        </w:rPr>
        <w:t xml:space="preserve">as the cognitive interview strategy helps in avoiding inconsistency, makes victims recall information in their own version of events and attempts to prevent victims and witnesses from being encouraged to provide details not relating to the offence. </w:t>
      </w:r>
      <w:r w:rsidR="00772AD0">
        <w:rPr>
          <w:rFonts w:asciiTheme="majorHAnsi" w:hAnsiTheme="majorHAnsi" w:cstheme="majorHAnsi"/>
        </w:rPr>
        <w:t>Thus, demonstrating that the cognitive interview strategy is predominantly effective for obtaining initial accounts from victims and witnesses.</w:t>
      </w:r>
    </w:p>
    <w:p w14:paraId="240224B3" w14:textId="77777777" w:rsidR="00BE3302" w:rsidRPr="00BE3302" w:rsidRDefault="00BE3302" w:rsidP="00BE3302">
      <w:pPr>
        <w:rPr>
          <w:rFonts w:asciiTheme="majorHAnsi" w:hAnsiTheme="majorHAnsi" w:cstheme="majorHAnsi"/>
        </w:rPr>
      </w:pPr>
    </w:p>
    <w:p w14:paraId="0D15135E" w14:textId="647536E1" w:rsidR="00BE3302" w:rsidRPr="00BE3302" w:rsidRDefault="00BE3302" w:rsidP="00BE3302">
      <w:pPr>
        <w:rPr>
          <w:rFonts w:asciiTheme="majorHAnsi" w:hAnsiTheme="majorHAnsi" w:cstheme="majorHAnsi"/>
        </w:rPr>
      </w:pPr>
    </w:p>
    <w:p w14:paraId="6D829BBB" w14:textId="1ACB72DE" w:rsidR="00BE3302" w:rsidRPr="00BE3302" w:rsidRDefault="00BE3302" w:rsidP="00BE3302">
      <w:pPr>
        <w:rPr>
          <w:rFonts w:asciiTheme="majorHAnsi" w:hAnsiTheme="majorHAnsi" w:cstheme="majorHAnsi"/>
        </w:rPr>
      </w:pPr>
      <w:r w:rsidRPr="00BE3302">
        <w:rPr>
          <w:rFonts w:asciiTheme="majorHAnsi" w:hAnsiTheme="majorHAnsi" w:cstheme="majorHAnsi"/>
        </w:rPr>
        <w:t xml:space="preserve">Words: </w:t>
      </w:r>
      <w:r w:rsidR="004D309B">
        <w:rPr>
          <w:rFonts w:asciiTheme="majorHAnsi" w:hAnsiTheme="majorHAnsi" w:cstheme="majorHAnsi"/>
        </w:rPr>
        <w:t>9</w:t>
      </w:r>
      <w:r w:rsidR="00772AD0">
        <w:rPr>
          <w:rFonts w:asciiTheme="majorHAnsi" w:hAnsiTheme="majorHAnsi" w:cstheme="majorHAnsi"/>
        </w:rPr>
        <w:t>35</w:t>
      </w:r>
      <w:r w:rsidRPr="00BE3302">
        <w:rPr>
          <w:rFonts w:asciiTheme="majorHAnsi" w:hAnsiTheme="majorHAnsi" w:cstheme="majorHAnsi"/>
        </w:rPr>
        <w:t xml:space="preserve"> words </w:t>
      </w:r>
    </w:p>
    <w:p w14:paraId="469D3BF6" w14:textId="729D17CB" w:rsidR="00BE3302" w:rsidRDefault="00BE3302" w:rsidP="00BE3302"/>
    <w:p w14:paraId="32935959" w14:textId="77777777" w:rsidR="00BE3302" w:rsidRDefault="00BE3302" w:rsidP="00BE3302"/>
    <w:p w14:paraId="2D2B55B8" w14:textId="77777777" w:rsidR="004D309B" w:rsidRDefault="004D309B" w:rsidP="00BE3302">
      <w:pPr>
        <w:jc w:val="both"/>
        <w:rPr>
          <w:rFonts w:asciiTheme="majorHAnsi" w:hAnsiTheme="majorHAnsi" w:cstheme="majorHAnsi"/>
          <w:b/>
          <w:bCs/>
          <w:u w:val="single"/>
        </w:rPr>
      </w:pPr>
    </w:p>
    <w:p w14:paraId="38874F96" w14:textId="77777777" w:rsidR="004D309B" w:rsidRDefault="004D309B" w:rsidP="00BE3302">
      <w:pPr>
        <w:jc w:val="both"/>
        <w:rPr>
          <w:rFonts w:asciiTheme="majorHAnsi" w:hAnsiTheme="majorHAnsi" w:cstheme="majorHAnsi"/>
          <w:b/>
          <w:bCs/>
          <w:u w:val="single"/>
        </w:rPr>
      </w:pPr>
    </w:p>
    <w:p w14:paraId="6DD1BB3B" w14:textId="77777777" w:rsidR="004D309B" w:rsidRDefault="004D309B" w:rsidP="00BE3302">
      <w:pPr>
        <w:jc w:val="both"/>
        <w:rPr>
          <w:rFonts w:asciiTheme="majorHAnsi" w:hAnsiTheme="majorHAnsi" w:cstheme="majorHAnsi"/>
          <w:b/>
          <w:bCs/>
          <w:u w:val="single"/>
        </w:rPr>
      </w:pPr>
    </w:p>
    <w:p w14:paraId="59D78279" w14:textId="3A05065C" w:rsidR="00BE3302" w:rsidRPr="00BE3302" w:rsidRDefault="00BE3302" w:rsidP="00BE3302">
      <w:pPr>
        <w:jc w:val="both"/>
        <w:rPr>
          <w:rFonts w:asciiTheme="majorHAnsi" w:hAnsiTheme="majorHAnsi" w:cstheme="majorHAnsi"/>
          <w:b/>
          <w:bCs/>
          <w:u w:val="single"/>
        </w:rPr>
      </w:pPr>
      <w:r w:rsidRPr="00BE3302">
        <w:rPr>
          <w:rFonts w:asciiTheme="majorHAnsi" w:hAnsiTheme="majorHAnsi" w:cstheme="majorHAnsi"/>
          <w:b/>
          <w:bCs/>
          <w:u w:val="single"/>
        </w:rPr>
        <w:t xml:space="preserve">Essay four: </w:t>
      </w:r>
    </w:p>
    <w:p w14:paraId="3BB53F50"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Examine the positive and negative aspects of media attention when dealing with public protection incidents.</w:t>
      </w:r>
    </w:p>
    <w:p w14:paraId="334AB45C"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 xml:space="preserve">Your answer must be based on academic research rather than personal experience. </w:t>
      </w:r>
    </w:p>
    <w:p w14:paraId="53F5EE29" w14:textId="77777777" w:rsidR="00BE3302" w:rsidRPr="00BE3302" w:rsidRDefault="00BE3302" w:rsidP="00BE3302">
      <w:pPr>
        <w:jc w:val="both"/>
        <w:rPr>
          <w:rFonts w:asciiTheme="majorHAnsi" w:hAnsiTheme="majorHAnsi" w:cstheme="majorHAnsi"/>
          <w:b/>
          <w:bCs/>
        </w:rPr>
      </w:pPr>
      <w:r w:rsidRPr="00BE3302">
        <w:rPr>
          <w:rFonts w:asciiTheme="majorHAnsi" w:hAnsiTheme="majorHAnsi" w:cstheme="majorHAnsi"/>
          <w:b/>
          <w:bCs/>
        </w:rPr>
        <w:t>Word limit: 1000 words.</w:t>
      </w:r>
    </w:p>
    <w:p w14:paraId="1CBE7257" w14:textId="77777777" w:rsidR="00BE3302" w:rsidRPr="00BE3302" w:rsidRDefault="00BE3302" w:rsidP="00BE3302">
      <w:pPr>
        <w:jc w:val="both"/>
        <w:rPr>
          <w:rFonts w:asciiTheme="majorHAnsi" w:hAnsiTheme="majorHAnsi" w:cstheme="majorHAnsi"/>
        </w:rPr>
      </w:pPr>
    </w:p>
    <w:p w14:paraId="5135261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The College of Policing believe that a successful relationship between the media and the police can aid in solving crimes, bringing offenders to justice and by keeping communities safe (College of Policing, 2022). However, how does this affect public protection incidents when they grab media attention? Public protection incidents are considered as a variety of both incidents and offences including mental health and adults at risk, female genital mutilation and forced marriages, child abuse and sexual exploitations and a multitude of others (College of Policing, 2023). This essay will explore and examine the positive and negatives aspects of media attention when dealing with public protection incidents.</w:t>
      </w:r>
    </w:p>
    <w:p w14:paraId="7F03C3FA" w14:textId="77777777" w:rsidR="00BE3302" w:rsidRPr="00BE3302" w:rsidRDefault="00BE3302" w:rsidP="00BE3302">
      <w:pPr>
        <w:jc w:val="both"/>
        <w:rPr>
          <w:rFonts w:asciiTheme="majorHAnsi" w:hAnsiTheme="majorHAnsi" w:cstheme="majorHAnsi"/>
        </w:rPr>
      </w:pPr>
    </w:p>
    <w:p w14:paraId="4E825CC8"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The police believe the media is an effective source for keeping members of the public UpToDate on issues in the area, holding police accountability and community engagement (Myles, 2017). However, should this be the reason that the media has a foot in the door regarding policing incidents and more importantly, public protection incidents? Public protections incidents vary in severity and risk and risk can be pose by the aspect of media attention whether positive or negative. For example, incidents involving children. They attract both positive and negative aspects of media attention. </w:t>
      </w:r>
    </w:p>
    <w:p w14:paraId="7A2E545F" w14:textId="77777777" w:rsidR="00BE3302" w:rsidRPr="00BE3302" w:rsidRDefault="00BE3302" w:rsidP="00BE3302">
      <w:pPr>
        <w:jc w:val="both"/>
        <w:rPr>
          <w:rFonts w:asciiTheme="majorHAnsi" w:hAnsiTheme="majorHAnsi" w:cstheme="majorHAnsi"/>
        </w:rPr>
      </w:pPr>
    </w:p>
    <w:p w14:paraId="5E67BA0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The Youth Justice Board (YJB) are governed by Welsh government guidance for both child protection and safeguarding within local areas (Youth Justice Board, 2014). The YJB are required to share and promote good practice involving youth justice (YJB,2017). When a child has been charged with a serious offence, they need to be made aware to deal with any preparation, including potential media attention it may cause on a local or national level (YJB, 2017). This is important as the YJB must ensure that the child involved is safeguarded no matter their age or the offence committed. Media attention can be positive involving children if its due to be considered a missing person and it helps locate them. However, children who have committed more serious offences can have their names and personal details shared and this can have a negative aspect on the family, because of the child’s actions. Children involved in public protection incidents need to be safeguarded and looked after, not criminalised from the offset when an investigation needs to take place and the facts need to be established. How can the public be confident that the information they are reading or viewing in relation to an offence has not been dramatized or exaggerated? However, regarding children and young offenders, there is both positive and negative aspects of media attention when reporting on public protection incidents.</w:t>
      </w:r>
    </w:p>
    <w:p w14:paraId="4C5929D0" w14:textId="77777777" w:rsidR="00BE3302" w:rsidRPr="00BE3302" w:rsidRDefault="00BE3302" w:rsidP="00BE3302">
      <w:pPr>
        <w:jc w:val="both"/>
        <w:rPr>
          <w:rFonts w:asciiTheme="majorHAnsi" w:hAnsiTheme="majorHAnsi" w:cstheme="majorHAnsi"/>
        </w:rPr>
      </w:pPr>
    </w:p>
    <w:p w14:paraId="13A5E708"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A negative aspect of media attention involving public protection incidents is in relation to sex offenders. Sexual offenders “attract” media attention due to the type of offence that they are involved with. The offence or offender can cause alarm and distress to the public when it is reported which could lead to disorder (College of Policing, 2020). However, even though the nature of the incident could have a </w:t>
      </w:r>
      <w:r w:rsidRPr="00BE3302">
        <w:rPr>
          <w:rFonts w:asciiTheme="majorHAnsi" w:hAnsiTheme="majorHAnsi" w:cstheme="majorHAnsi"/>
        </w:rPr>
        <w:lastRenderedPageBreak/>
        <w:t>negative effect, does not necessarily mean that the media attention that follows is negative. The introduction of multi-agency public protection arrangements (MAPPA) guidance meant that there are arrangements in place to manage violent and sexual offenders. The guidance sets protocols in place to manage the individual’s between services and provides guidance on confidentiality and information sharing (GOV.UK, 2014). This means that any information shared should be considered confidential unless public protection takes precedent. This is why forces are encouraged to communicate to create media strategies following the guidance. Demonstrating that media attention can have a positive aspect when dealing with public protection incidents if correct procedure is followed and it is not a detriment to the incident. If it has a detriment to the incident or the person involved, such as a sexual offender, then the use of media attention and sharing personal information could cause distress and encourage members of the public to act out on the information.</w:t>
      </w:r>
    </w:p>
    <w:p w14:paraId="5E9CE8E8" w14:textId="77777777" w:rsidR="00BE3302" w:rsidRPr="00BE3302" w:rsidRDefault="00BE3302" w:rsidP="00BE3302">
      <w:pPr>
        <w:jc w:val="both"/>
        <w:rPr>
          <w:rFonts w:asciiTheme="majorHAnsi" w:hAnsiTheme="majorHAnsi" w:cstheme="majorHAnsi"/>
        </w:rPr>
      </w:pPr>
    </w:p>
    <w:p w14:paraId="44A005AA"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In comparison, a positive aspect of media attention when dealing with public protection incidents is the media attention following stalking incidents. Especially involving women. Statistics from a crime survey for England and Wales notes that one in five women will be stalked in their lifetime (Office for National Statistics, 2019). The media attention surrounding public protection incidents such as domestic abuse and stalking has made women fearful of walking alone at night or going out with people they do not know. However, the impact of the murder of Sarah Everard led to wider media sharing of concern for women’s safety on the streets in the UK (Mellins, 2022). The wider sharing meant that the public were being informed that incidents such as stalking do occur, and they can be dangerous. The media can educate the public when incidents of a violent and detrimental nature occur. A positive aspect came from this media attention of this public protection incident, as it meant that women are more cautious about walking alone in dark evenings and down paths that are not well seen. It also educates that incidents like Everard’s do occur and that education through media attention is a good tool, when given the right and accurate information. However, the negative aspect of this incident involving the media and a public protection incident is that the police have been shown in a negative light and have been held accountable for a single officers’ actions.</w:t>
      </w:r>
    </w:p>
    <w:p w14:paraId="4A062E7D" w14:textId="77777777" w:rsidR="00BE3302" w:rsidRPr="00BE3302" w:rsidRDefault="00BE3302" w:rsidP="00BE3302">
      <w:pPr>
        <w:jc w:val="both"/>
        <w:rPr>
          <w:rFonts w:asciiTheme="majorHAnsi" w:hAnsiTheme="majorHAnsi" w:cstheme="majorHAnsi"/>
        </w:rPr>
      </w:pPr>
    </w:p>
    <w:p w14:paraId="6A32422E"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In conclusion, there are both positive and negative aspects of media attention when dealing with public protection incidents. The above public protection incidents are not an exhaustive list but just a select few types of incidents that attract both positive and negative aspects of media attention. Arguably, media attention is a positive tool to utilise if the correct information is being shared and no information is being manipulated to exaggerate the incident in question. Dependant on the type of incident, media attention should air on the side of caution to ensure that safety remains a priority in terms of sexual offenders and children suffering from abuse or child offenders. However, media attention is a positive as it can show the severity of an incident such as stalking and domestic abuse and raise awareness for safety and for educational purposes.</w:t>
      </w:r>
    </w:p>
    <w:p w14:paraId="2521D792" w14:textId="77777777" w:rsidR="00BE3302" w:rsidRPr="00BE3302" w:rsidRDefault="00BE3302" w:rsidP="00BE3302">
      <w:pPr>
        <w:jc w:val="both"/>
        <w:rPr>
          <w:rFonts w:asciiTheme="majorHAnsi" w:hAnsiTheme="majorHAnsi" w:cstheme="majorHAnsi"/>
        </w:rPr>
      </w:pPr>
    </w:p>
    <w:p w14:paraId="1E57D55B" w14:textId="77777777" w:rsidR="00BE3302" w:rsidRPr="00BE3302" w:rsidRDefault="00BE3302" w:rsidP="00BE3302">
      <w:pPr>
        <w:jc w:val="both"/>
        <w:rPr>
          <w:rFonts w:asciiTheme="majorHAnsi" w:hAnsiTheme="majorHAnsi" w:cstheme="majorHAnsi"/>
        </w:rPr>
      </w:pPr>
      <w:r w:rsidRPr="00BE3302">
        <w:rPr>
          <w:rFonts w:asciiTheme="majorHAnsi" w:hAnsiTheme="majorHAnsi" w:cstheme="majorHAnsi"/>
        </w:rPr>
        <w:t xml:space="preserve">Words: 1032 words </w:t>
      </w:r>
    </w:p>
    <w:p w14:paraId="2AA0CB51" w14:textId="77777777" w:rsidR="00BE3302" w:rsidRDefault="00BE3302" w:rsidP="00BE3302"/>
    <w:p w14:paraId="75A4B24C" w14:textId="77777777" w:rsidR="00BE3302" w:rsidRDefault="00BE3302" w:rsidP="00BE3302"/>
    <w:p w14:paraId="4A58FF93" w14:textId="77777777" w:rsidR="00BE3302" w:rsidRDefault="00BE3302" w:rsidP="00BE3302"/>
    <w:p w14:paraId="53518EE1" w14:textId="77777777" w:rsidR="00BE3302" w:rsidRDefault="00BE3302" w:rsidP="00BE3302"/>
    <w:p w14:paraId="7AE33DD4" w14:textId="77777777" w:rsidR="00BE3302" w:rsidRDefault="00BE3302" w:rsidP="00BE3302"/>
    <w:p w14:paraId="7AC7E406" w14:textId="77777777" w:rsidR="00BE3302" w:rsidRPr="00BE3302" w:rsidRDefault="00BE3302" w:rsidP="00BE3302">
      <w:pPr>
        <w:jc w:val="both"/>
        <w:rPr>
          <w:rFonts w:asciiTheme="majorHAnsi" w:hAnsiTheme="majorHAnsi" w:cstheme="majorHAnsi"/>
          <w:b/>
          <w:bCs/>
          <w:u w:val="single"/>
        </w:rPr>
      </w:pPr>
      <w:r w:rsidRPr="00BE3302">
        <w:rPr>
          <w:rFonts w:asciiTheme="majorHAnsi" w:hAnsiTheme="majorHAnsi" w:cstheme="majorHAnsi"/>
          <w:b/>
          <w:bCs/>
          <w:u w:val="single"/>
        </w:rPr>
        <w:t xml:space="preserve">Bibliography </w:t>
      </w:r>
    </w:p>
    <w:p w14:paraId="6AFDF4FA" w14:textId="3D5FAB94" w:rsidR="002D5AA3" w:rsidRDefault="002D5AA3" w:rsidP="004D309B">
      <w:pPr>
        <w:jc w:val="both"/>
        <w:rPr>
          <w:rFonts w:asciiTheme="majorHAnsi" w:hAnsiTheme="majorHAnsi" w:cstheme="majorHAnsi"/>
        </w:rPr>
      </w:pPr>
      <w:r w:rsidRPr="004D309B">
        <w:rPr>
          <w:rFonts w:asciiTheme="majorHAnsi" w:hAnsiTheme="majorHAnsi" w:cstheme="majorHAnsi"/>
        </w:rPr>
        <w:t>Alpert</w:t>
      </w:r>
      <w:r w:rsidR="00772AD0">
        <w:rPr>
          <w:rFonts w:asciiTheme="majorHAnsi" w:hAnsiTheme="majorHAnsi" w:cstheme="majorHAnsi"/>
        </w:rPr>
        <w:t>.</w:t>
      </w:r>
      <w:r w:rsidRPr="004D309B">
        <w:rPr>
          <w:rFonts w:asciiTheme="majorHAnsi" w:hAnsiTheme="majorHAnsi" w:cstheme="majorHAnsi"/>
        </w:rPr>
        <w:t xml:space="preserve"> G, Rivera J</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and</w:t>
      </w:r>
      <w:r w:rsidRPr="004D309B">
        <w:rPr>
          <w:rFonts w:asciiTheme="majorHAnsi" w:hAnsiTheme="majorHAnsi" w:cstheme="majorHAnsi"/>
        </w:rPr>
        <w:t xml:space="preserve"> Lott</w:t>
      </w:r>
      <w:r w:rsidR="00772AD0">
        <w:rPr>
          <w:rFonts w:asciiTheme="majorHAnsi" w:hAnsiTheme="majorHAnsi" w:cstheme="majorHAnsi"/>
        </w:rPr>
        <w:t>,</w:t>
      </w:r>
      <w:r w:rsidRPr="004D309B">
        <w:rPr>
          <w:rFonts w:asciiTheme="majorHAnsi" w:hAnsiTheme="majorHAnsi" w:cstheme="majorHAnsi"/>
        </w:rPr>
        <w:t xml:space="preserve"> L</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2012</w:t>
      </w:r>
      <w:r w:rsidR="00772AD0">
        <w:rPr>
          <w:rFonts w:asciiTheme="majorHAnsi" w:hAnsiTheme="majorHAnsi" w:cstheme="majorHAnsi"/>
        </w:rPr>
        <w:t>)</w:t>
      </w:r>
      <w:r w:rsidRPr="004D309B">
        <w:rPr>
          <w:rFonts w:asciiTheme="majorHAnsi" w:hAnsiTheme="majorHAnsi" w:cstheme="majorHAnsi"/>
        </w:rPr>
        <w:t xml:space="preserve">. </w:t>
      </w:r>
      <w:r w:rsidRPr="00772AD0">
        <w:rPr>
          <w:rFonts w:asciiTheme="majorHAnsi" w:hAnsiTheme="majorHAnsi" w:cstheme="majorHAnsi"/>
          <w:i/>
          <w:iCs/>
        </w:rPr>
        <w:t>Working toward the Truth in Officer-Involved Shootings</w:t>
      </w:r>
      <w:r w:rsidRPr="004D309B">
        <w:rPr>
          <w:rFonts w:asciiTheme="majorHAnsi" w:hAnsiTheme="majorHAnsi" w:cstheme="majorHAnsi"/>
        </w:rPr>
        <w:t>. FBI Law Enforcement Bulletin 81:1-7</w:t>
      </w:r>
      <w:r w:rsidR="00772AD0">
        <w:rPr>
          <w:rFonts w:asciiTheme="majorHAnsi" w:hAnsiTheme="majorHAnsi" w:cstheme="majorHAnsi"/>
        </w:rPr>
        <w:t>.</w:t>
      </w:r>
    </w:p>
    <w:p w14:paraId="21513A61" w14:textId="77777777" w:rsidR="004D309B" w:rsidRDefault="004D309B" w:rsidP="004D309B">
      <w:pPr>
        <w:jc w:val="both"/>
        <w:rPr>
          <w:rFonts w:asciiTheme="majorHAnsi" w:hAnsiTheme="majorHAnsi" w:cstheme="majorHAnsi"/>
        </w:rPr>
      </w:pPr>
    </w:p>
    <w:p w14:paraId="6062F7C1" w14:textId="2E7AF041" w:rsidR="004D309B" w:rsidRPr="004D309B" w:rsidRDefault="004D309B" w:rsidP="004D309B">
      <w:pPr>
        <w:jc w:val="both"/>
        <w:rPr>
          <w:rFonts w:asciiTheme="majorHAnsi" w:hAnsiTheme="majorHAnsi" w:cstheme="majorHAnsi"/>
        </w:rPr>
      </w:pPr>
      <w:r>
        <w:rPr>
          <w:rFonts w:asciiTheme="majorHAnsi" w:hAnsiTheme="majorHAnsi" w:cstheme="majorHAnsi"/>
        </w:rPr>
        <w:t>Alpert, G. Rojek, J. and Noble, J.</w:t>
      </w:r>
      <w:r w:rsidR="00772AD0">
        <w:rPr>
          <w:rFonts w:asciiTheme="majorHAnsi" w:hAnsiTheme="majorHAnsi" w:cstheme="majorHAnsi"/>
        </w:rPr>
        <w:t xml:space="preserve"> (2012).</w:t>
      </w:r>
      <w:r>
        <w:rPr>
          <w:rFonts w:asciiTheme="majorHAnsi" w:hAnsiTheme="majorHAnsi" w:cstheme="majorHAnsi"/>
        </w:rPr>
        <w:t xml:space="preserve"> The cognitive interview in Policing: Negotiating Control. </w:t>
      </w:r>
      <w:r w:rsidR="00772AD0">
        <w:rPr>
          <w:rFonts w:asciiTheme="majorHAnsi" w:hAnsiTheme="majorHAnsi" w:cstheme="majorHAnsi"/>
        </w:rPr>
        <w:t>ARC Centre of Excellence in Policing and Security Briefing Paper 13.</w:t>
      </w:r>
    </w:p>
    <w:p w14:paraId="039B721B" w14:textId="77777777" w:rsidR="002D5AA3" w:rsidRPr="004D309B" w:rsidRDefault="002D5AA3" w:rsidP="004D309B">
      <w:pPr>
        <w:jc w:val="both"/>
        <w:rPr>
          <w:rFonts w:asciiTheme="majorHAnsi" w:hAnsiTheme="majorHAnsi" w:cstheme="majorHAnsi"/>
        </w:rPr>
      </w:pPr>
    </w:p>
    <w:p w14:paraId="6183BDAD" w14:textId="2C910E87"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Bain, A. (2016). </w:t>
      </w:r>
      <w:r w:rsidR="00772AD0">
        <w:rPr>
          <w:rFonts w:asciiTheme="majorHAnsi" w:hAnsiTheme="majorHAnsi" w:cstheme="majorHAnsi"/>
        </w:rPr>
        <w:t>‘</w:t>
      </w:r>
      <w:r w:rsidRPr="004D309B">
        <w:rPr>
          <w:rFonts w:asciiTheme="majorHAnsi" w:hAnsiTheme="majorHAnsi" w:cstheme="majorHAnsi"/>
        </w:rPr>
        <w:t>Positive Policing: Communication and the Public</w:t>
      </w:r>
      <w:r w:rsidR="00772AD0">
        <w:rPr>
          <w:rFonts w:asciiTheme="majorHAnsi" w:hAnsiTheme="majorHAnsi" w:cstheme="majorHAnsi"/>
        </w:rPr>
        <w:t>’</w:t>
      </w:r>
      <w:r w:rsidRPr="004D309B">
        <w:rPr>
          <w:rFonts w:asciiTheme="majorHAnsi" w:hAnsiTheme="majorHAnsi" w:cstheme="majorHAnsi"/>
        </w:rPr>
        <w:t>. In: Bain, A. (eds) Law Enforcement and Technology. Palgrave Pivot, London, pp. 47 to 61</w:t>
      </w:r>
      <w:r w:rsidR="00772AD0">
        <w:rPr>
          <w:rFonts w:asciiTheme="majorHAnsi" w:hAnsiTheme="majorHAnsi" w:cstheme="majorHAnsi"/>
        </w:rPr>
        <w:t>.</w:t>
      </w:r>
    </w:p>
    <w:p w14:paraId="16108DA9" w14:textId="77777777" w:rsidR="00BE3302" w:rsidRPr="004D309B" w:rsidRDefault="00BE3302" w:rsidP="004D309B">
      <w:pPr>
        <w:jc w:val="both"/>
        <w:rPr>
          <w:rFonts w:asciiTheme="majorHAnsi" w:hAnsiTheme="majorHAnsi" w:cstheme="majorHAnsi"/>
        </w:rPr>
      </w:pPr>
    </w:p>
    <w:p w14:paraId="141750E2" w14:textId="53E72796" w:rsidR="00BE3302" w:rsidRPr="004D309B" w:rsidRDefault="00BE3302" w:rsidP="004D309B">
      <w:pPr>
        <w:jc w:val="both"/>
        <w:rPr>
          <w:rFonts w:asciiTheme="majorHAnsi" w:hAnsiTheme="majorHAnsi" w:cstheme="majorHAnsi"/>
        </w:rPr>
      </w:pPr>
      <w:r w:rsidRPr="004D309B">
        <w:rPr>
          <w:rFonts w:asciiTheme="majorHAnsi" w:hAnsiTheme="majorHAnsi" w:cstheme="majorHAnsi"/>
        </w:rPr>
        <w:t>Brown, R. (2023)</w:t>
      </w:r>
      <w:r w:rsidR="00772AD0">
        <w:rPr>
          <w:rFonts w:asciiTheme="majorHAnsi" w:hAnsiTheme="majorHAnsi" w:cstheme="majorHAnsi"/>
        </w:rPr>
        <w:t>.</w:t>
      </w:r>
      <w:r w:rsidRPr="004D309B">
        <w:rPr>
          <w:rFonts w:asciiTheme="majorHAnsi" w:hAnsiTheme="majorHAnsi" w:cstheme="majorHAnsi"/>
        </w:rPr>
        <w:t xml:space="preserve"> </w:t>
      </w:r>
      <w:r w:rsidRPr="00772AD0">
        <w:rPr>
          <w:rFonts w:asciiTheme="majorHAnsi" w:hAnsiTheme="majorHAnsi" w:cstheme="majorHAnsi"/>
          <w:i/>
          <w:iCs/>
        </w:rPr>
        <w:t>Trust in the police</w:t>
      </w:r>
      <w:r w:rsidRPr="004D309B">
        <w:rPr>
          <w:rFonts w:asciiTheme="majorHAnsi" w:hAnsiTheme="majorHAnsi" w:cstheme="majorHAnsi"/>
        </w:rPr>
        <w:t xml:space="preserve">. Available at: </w:t>
      </w:r>
      <w:hyperlink r:id="rId7" w:history="1">
        <w:r w:rsidRPr="004D309B">
          <w:rPr>
            <w:rStyle w:val="Hyperlink"/>
            <w:rFonts w:asciiTheme="majorHAnsi" w:hAnsiTheme="majorHAnsi" w:cstheme="majorHAnsi"/>
          </w:rPr>
          <w:t>https://researchbriefings.files.parliament.uk/documents/POST-PN-0693/POST-PN-0693.pdf</w:t>
        </w:r>
      </w:hyperlink>
      <w:r w:rsidRPr="004D309B">
        <w:rPr>
          <w:rFonts w:asciiTheme="majorHAnsi" w:hAnsiTheme="majorHAnsi" w:cstheme="majorHAnsi"/>
        </w:rPr>
        <w:t xml:space="preserve">  (Accessed: January 29, 2024).</w:t>
      </w:r>
    </w:p>
    <w:p w14:paraId="5D86A253" w14:textId="77777777" w:rsidR="00BE3302" w:rsidRPr="004D309B" w:rsidRDefault="00BE3302" w:rsidP="004D309B">
      <w:pPr>
        <w:jc w:val="both"/>
        <w:rPr>
          <w:rFonts w:asciiTheme="majorHAnsi" w:hAnsiTheme="majorHAnsi" w:cstheme="majorHAnsi"/>
        </w:rPr>
      </w:pPr>
    </w:p>
    <w:p w14:paraId="110E3B26"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Chan, J. (2009) 'Culture', in Wakefield, A. and Fleming, F. (eds.) The SAGE Dictionary of Policing. London: Sage</w:t>
      </w:r>
    </w:p>
    <w:p w14:paraId="69FFD0FB" w14:textId="77777777" w:rsidR="00BE3302" w:rsidRPr="004D309B" w:rsidRDefault="00BE3302" w:rsidP="004D309B">
      <w:pPr>
        <w:jc w:val="both"/>
        <w:rPr>
          <w:rFonts w:asciiTheme="majorHAnsi" w:hAnsiTheme="majorHAnsi" w:cstheme="majorHAnsi"/>
        </w:rPr>
      </w:pPr>
    </w:p>
    <w:p w14:paraId="16012585" w14:textId="4CF970E9"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(2014). </w:t>
      </w:r>
      <w:r w:rsidRPr="00772AD0">
        <w:rPr>
          <w:rFonts w:asciiTheme="majorHAnsi" w:hAnsiTheme="majorHAnsi" w:cstheme="majorHAnsi"/>
          <w:i/>
          <w:iCs/>
        </w:rPr>
        <w:t>Code of Ethics.</w:t>
      </w:r>
      <w:r w:rsidRPr="004D309B">
        <w:rPr>
          <w:rFonts w:asciiTheme="majorHAnsi" w:hAnsiTheme="majorHAnsi" w:cstheme="majorHAnsi"/>
        </w:rPr>
        <w:t xml:space="preserve"> Available at: </w:t>
      </w:r>
      <w:hyperlink r:id="rId8" w:history="1">
        <w:r w:rsidRPr="004D309B">
          <w:rPr>
            <w:rStyle w:val="Hyperlink"/>
            <w:rFonts w:asciiTheme="majorHAnsi" w:hAnsiTheme="majorHAnsi" w:cstheme="majorHAnsi"/>
          </w:rPr>
          <w:t>https://assets.college.police.uk/s3fs-public/2021-02/code_of_ethics.pdf</w:t>
        </w:r>
      </w:hyperlink>
      <w:r w:rsidRPr="004D309B">
        <w:rPr>
          <w:rFonts w:asciiTheme="majorHAnsi" w:hAnsiTheme="majorHAnsi" w:cstheme="majorHAnsi"/>
        </w:rPr>
        <w:t xml:space="preserve"> (Accessed January 23, 2024).</w:t>
      </w:r>
    </w:p>
    <w:p w14:paraId="45092E37" w14:textId="77777777" w:rsidR="00BE3302" w:rsidRPr="004D309B" w:rsidRDefault="00BE3302" w:rsidP="004D309B">
      <w:pPr>
        <w:jc w:val="both"/>
        <w:rPr>
          <w:rFonts w:asciiTheme="majorHAnsi" w:hAnsiTheme="majorHAnsi" w:cstheme="majorHAnsi"/>
        </w:rPr>
      </w:pPr>
    </w:p>
    <w:p w14:paraId="0C3ED817" w14:textId="1484AD84"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(2023). </w:t>
      </w:r>
      <w:r w:rsidRPr="00772AD0">
        <w:rPr>
          <w:rFonts w:asciiTheme="majorHAnsi" w:hAnsiTheme="majorHAnsi" w:cstheme="majorHAnsi"/>
          <w:i/>
          <w:iCs/>
        </w:rPr>
        <w:t>Code of Ethics</w:t>
      </w:r>
      <w:r w:rsidRPr="004D309B">
        <w:rPr>
          <w:rFonts w:asciiTheme="majorHAnsi" w:hAnsiTheme="majorHAnsi" w:cstheme="majorHAnsi"/>
        </w:rPr>
        <w:t xml:space="preserve">. Available at: </w:t>
      </w:r>
      <w:hyperlink r:id="rId9" w:history="1">
        <w:r w:rsidRPr="004D309B">
          <w:rPr>
            <w:rStyle w:val="Hyperlink"/>
            <w:rFonts w:asciiTheme="majorHAnsi" w:hAnsiTheme="majorHAnsi" w:cstheme="majorHAnsi"/>
          </w:rPr>
          <w:t>https://www.college.police.uk/ethics/code-of-ethics</w:t>
        </w:r>
      </w:hyperlink>
      <w:r w:rsidRPr="004D309B">
        <w:rPr>
          <w:rFonts w:asciiTheme="majorHAnsi" w:hAnsiTheme="majorHAnsi" w:cstheme="majorHAnsi"/>
        </w:rPr>
        <w:t xml:space="preserve"> (Accessed January 23, 2024).</w:t>
      </w:r>
    </w:p>
    <w:p w14:paraId="61F4913E" w14:textId="77777777" w:rsidR="00BE3302" w:rsidRPr="004D309B" w:rsidRDefault="00BE3302" w:rsidP="004D309B">
      <w:pPr>
        <w:jc w:val="both"/>
        <w:rPr>
          <w:rFonts w:asciiTheme="majorHAnsi" w:hAnsiTheme="majorHAnsi" w:cstheme="majorHAnsi"/>
        </w:rPr>
      </w:pPr>
    </w:p>
    <w:p w14:paraId="7E74DBC6" w14:textId="64962397"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(2020). </w:t>
      </w:r>
      <w:r w:rsidRPr="00772AD0">
        <w:rPr>
          <w:rFonts w:asciiTheme="majorHAnsi" w:hAnsiTheme="majorHAnsi" w:cstheme="majorHAnsi"/>
          <w:i/>
          <w:iCs/>
        </w:rPr>
        <w:t>Communication and media considerations</w:t>
      </w:r>
      <w:r w:rsidRPr="004D309B">
        <w:rPr>
          <w:rFonts w:asciiTheme="majorHAnsi" w:hAnsiTheme="majorHAnsi" w:cstheme="majorHAnsi"/>
        </w:rPr>
        <w:t xml:space="preserve">. Available at: </w:t>
      </w:r>
      <w:hyperlink r:id="rId10" w:history="1">
        <w:r w:rsidRPr="004D309B">
          <w:rPr>
            <w:rStyle w:val="Hyperlink"/>
            <w:rFonts w:asciiTheme="majorHAnsi" w:hAnsiTheme="majorHAnsi" w:cstheme="majorHAnsi"/>
          </w:rPr>
          <w:t>https://www.college.police.uk/app/major-investigation-and-public-protection/managing-sexual-offenders-and-violent-offenders/communication-and-media-consideration</w:t>
        </w:r>
      </w:hyperlink>
      <w:r w:rsidRPr="004D309B">
        <w:rPr>
          <w:rFonts w:asciiTheme="majorHAnsi" w:hAnsiTheme="majorHAnsi" w:cstheme="majorHAnsi"/>
        </w:rPr>
        <w:t xml:space="preserve"> (Accessed: January 31, 2024)</w:t>
      </w:r>
    </w:p>
    <w:p w14:paraId="64203C7B" w14:textId="77777777" w:rsidR="00BE3302" w:rsidRPr="004D309B" w:rsidRDefault="00BE3302" w:rsidP="004D309B">
      <w:pPr>
        <w:jc w:val="both"/>
        <w:rPr>
          <w:rFonts w:asciiTheme="majorHAnsi" w:hAnsiTheme="majorHAnsi" w:cstheme="majorHAnsi"/>
        </w:rPr>
      </w:pPr>
    </w:p>
    <w:p w14:paraId="43BD16C5" w14:textId="2CF1D7DA"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(2022). </w:t>
      </w:r>
      <w:r w:rsidRPr="00772AD0">
        <w:rPr>
          <w:rFonts w:asciiTheme="majorHAnsi" w:hAnsiTheme="majorHAnsi" w:cstheme="majorHAnsi"/>
          <w:i/>
          <w:iCs/>
        </w:rPr>
        <w:t>Culture and Capacity.</w:t>
      </w:r>
      <w:r w:rsidRPr="004D309B">
        <w:rPr>
          <w:rFonts w:asciiTheme="majorHAnsi" w:hAnsiTheme="majorHAnsi" w:cstheme="majorHAnsi"/>
        </w:rPr>
        <w:t xml:space="preserve"> Available at: </w:t>
      </w:r>
      <w:hyperlink r:id="rId11" w:history="1">
        <w:r w:rsidRPr="004D309B">
          <w:rPr>
            <w:rStyle w:val="Hyperlink"/>
            <w:rFonts w:asciiTheme="majorHAnsi" w:hAnsiTheme="majorHAnsi" w:cstheme="majorHAnsi"/>
          </w:rPr>
          <w:t>https://www.college.police.uk/guidance/effective-supervision/culture-and-capacity</w:t>
        </w:r>
      </w:hyperlink>
      <w:r w:rsidRPr="004D309B">
        <w:rPr>
          <w:rFonts w:asciiTheme="majorHAnsi" w:hAnsiTheme="majorHAnsi" w:cstheme="majorHAnsi"/>
        </w:rPr>
        <w:t xml:space="preserve"> (Accessed: January 23, 2024).</w:t>
      </w:r>
    </w:p>
    <w:p w14:paraId="481F6679" w14:textId="77777777" w:rsidR="00BE3302" w:rsidRPr="004D309B" w:rsidRDefault="00BE3302" w:rsidP="004D309B">
      <w:pPr>
        <w:jc w:val="both"/>
        <w:rPr>
          <w:rFonts w:asciiTheme="majorHAnsi" w:hAnsiTheme="majorHAnsi" w:cstheme="majorHAnsi"/>
        </w:rPr>
      </w:pPr>
    </w:p>
    <w:p w14:paraId="77AB00CD" w14:textId="48CE86BB" w:rsidR="00BE3302" w:rsidRPr="004D309B" w:rsidRDefault="00BE3302" w:rsidP="004D309B">
      <w:pPr>
        <w:jc w:val="both"/>
        <w:rPr>
          <w:rFonts w:asciiTheme="majorHAnsi" w:hAnsiTheme="majorHAnsi" w:cstheme="majorHAnsi"/>
        </w:rPr>
      </w:pPr>
      <w:r w:rsidRPr="004D309B">
        <w:rPr>
          <w:rFonts w:asciiTheme="majorHAnsi" w:hAnsiTheme="majorHAnsi" w:cstheme="majorHAnsi"/>
        </w:rPr>
        <w:lastRenderedPageBreak/>
        <w:t xml:space="preserve">College of Policing (2023). </w:t>
      </w:r>
      <w:r w:rsidRPr="00772AD0">
        <w:rPr>
          <w:rFonts w:asciiTheme="majorHAnsi" w:hAnsiTheme="majorHAnsi" w:cstheme="majorHAnsi"/>
          <w:i/>
          <w:iCs/>
        </w:rPr>
        <w:t>Major investigations and Public Protection</w:t>
      </w:r>
      <w:r w:rsidRPr="004D309B">
        <w:rPr>
          <w:rFonts w:asciiTheme="majorHAnsi" w:hAnsiTheme="majorHAnsi" w:cstheme="majorHAnsi"/>
        </w:rPr>
        <w:t xml:space="preserve">. Available at </w:t>
      </w:r>
      <w:hyperlink r:id="rId12" w:history="1">
        <w:r w:rsidRPr="004D309B">
          <w:rPr>
            <w:rStyle w:val="Hyperlink"/>
            <w:rFonts w:asciiTheme="majorHAnsi" w:hAnsiTheme="majorHAnsi" w:cstheme="majorHAnsi"/>
          </w:rPr>
          <w:t>https://www.college.police.uk/app/major-investigation-and-public-protection</w:t>
        </w:r>
      </w:hyperlink>
      <w:r w:rsidRPr="004D309B">
        <w:rPr>
          <w:rFonts w:asciiTheme="majorHAnsi" w:hAnsiTheme="majorHAnsi" w:cstheme="majorHAnsi"/>
        </w:rPr>
        <w:t xml:space="preserve"> (Accessed: January 29, 2024).</w:t>
      </w:r>
    </w:p>
    <w:p w14:paraId="764AB84C" w14:textId="77777777" w:rsidR="00BE3302" w:rsidRPr="004D309B" w:rsidRDefault="00BE3302" w:rsidP="004D309B">
      <w:pPr>
        <w:jc w:val="both"/>
        <w:rPr>
          <w:rFonts w:asciiTheme="majorHAnsi" w:hAnsiTheme="majorHAnsi" w:cstheme="majorHAnsi"/>
        </w:rPr>
      </w:pPr>
    </w:p>
    <w:p w14:paraId="2B8D3751" w14:textId="3C2B5BF4"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(2022). </w:t>
      </w:r>
      <w:r w:rsidRPr="00772AD0">
        <w:rPr>
          <w:rFonts w:asciiTheme="majorHAnsi" w:hAnsiTheme="majorHAnsi" w:cstheme="majorHAnsi"/>
          <w:i/>
          <w:iCs/>
        </w:rPr>
        <w:t>Media relations.</w:t>
      </w:r>
      <w:r w:rsidRPr="004D309B">
        <w:rPr>
          <w:rFonts w:asciiTheme="majorHAnsi" w:hAnsiTheme="majorHAnsi" w:cstheme="majorHAnsi"/>
        </w:rPr>
        <w:t xml:space="preserve"> Available at: </w:t>
      </w:r>
      <w:hyperlink r:id="rId13" w:history="1">
        <w:r w:rsidRPr="004D309B">
          <w:rPr>
            <w:rStyle w:val="Hyperlink"/>
            <w:rFonts w:asciiTheme="majorHAnsi" w:hAnsiTheme="majorHAnsi" w:cstheme="majorHAnsi"/>
          </w:rPr>
          <w:t>https://www.college.police.uk/app/engagement-and-communication/media-relations</w:t>
        </w:r>
      </w:hyperlink>
      <w:r w:rsidRPr="004D309B">
        <w:rPr>
          <w:rFonts w:asciiTheme="majorHAnsi" w:hAnsiTheme="majorHAnsi" w:cstheme="majorHAnsi"/>
        </w:rPr>
        <w:t xml:space="preserve"> (Accessed: January 29, 2024) </w:t>
      </w:r>
    </w:p>
    <w:p w14:paraId="638FF411" w14:textId="77777777" w:rsidR="00BE3302" w:rsidRPr="004D309B" w:rsidRDefault="00BE3302" w:rsidP="004D309B">
      <w:pPr>
        <w:jc w:val="both"/>
        <w:rPr>
          <w:rFonts w:asciiTheme="majorHAnsi" w:hAnsiTheme="majorHAnsi" w:cstheme="majorHAnsi"/>
        </w:rPr>
      </w:pPr>
    </w:p>
    <w:p w14:paraId="2493219F" w14:textId="76046E7E"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(2021). </w:t>
      </w:r>
      <w:r w:rsidRPr="00772AD0">
        <w:rPr>
          <w:rFonts w:asciiTheme="majorHAnsi" w:hAnsiTheme="majorHAnsi" w:cstheme="majorHAnsi"/>
          <w:i/>
          <w:iCs/>
        </w:rPr>
        <w:t>Promoting the right culture</w:t>
      </w:r>
      <w:r w:rsidRPr="004D309B">
        <w:rPr>
          <w:rFonts w:asciiTheme="majorHAnsi" w:hAnsiTheme="majorHAnsi" w:cstheme="majorHAnsi"/>
        </w:rPr>
        <w:t xml:space="preserve">. Available at: </w:t>
      </w:r>
      <w:hyperlink r:id="rId14" w:history="1">
        <w:r w:rsidRPr="004D309B">
          <w:rPr>
            <w:rStyle w:val="Hyperlink"/>
            <w:rFonts w:asciiTheme="majorHAnsi" w:hAnsiTheme="majorHAnsi" w:cstheme="majorHAnsi"/>
          </w:rPr>
          <w:t>https://www.college.police.uk/guidance/neighbourhood-policing/promoting-right-culture</w:t>
        </w:r>
      </w:hyperlink>
      <w:r w:rsidRPr="004D309B">
        <w:rPr>
          <w:rFonts w:asciiTheme="majorHAnsi" w:hAnsiTheme="majorHAnsi" w:cstheme="majorHAnsi"/>
        </w:rPr>
        <w:t xml:space="preserve"> (Accessed: January 23, 2024).</w:t>
      </w:r>
    </w:p>
    <w:p w14:paraId="3B7D8463" w14:textId="77777777" w:rsidR="00BE3302" w:rsidRPr="004D309B" w:rsidRDefault="00BE3302" w:rsidP="004D309B">
      <w:pPr>
        <w:jc w:val="both"/>
        <w:rPr>
          <w:rFonts w:asciiTheme="majorHAnsi" w:hAnsiTheme="majorHAnsi" w:cstheme="majorHAnsi"/>
        </w:rPr>
      </w:pPr>
    </w:p>
    <w:p w14:paraId="594CA992" w14:textId="2E957643"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College of Policing (2023). </w:t>
      </w:r>
      <w:r w:rsidRPr="00772AD0">
        <w:rPr>
          <w:rFonts w:asciiTheme="majorHAnsi" w:hAnsiTheme="majorHAnsi" w:cstheme="majorHAnsi"/>
          <w:i/>
          <w:iCs/>
        </w:rPr>
        <w:t>Response Policing Career Pathway</w:t>
      </w:r>
      <w:r w:rsidRPr="004D309B">
        <w:rPr>
          <w:rFonts w:asciiTheme="majorHAnsi" w:hAnsiTheme="majorHAnsi" w:cstheme="majorHAnsi"/>
        </w:rPr>
        <w:t xml:space="preserve">. Available at: </w:t>
      </w:r>
      <w:hyperlink r:id="rId15" w:history="1">
        <w:r w:rsidRPr="004D309B">
          <w:rPr>
            <w:rStyle w:val="Hyperlink"/>
            <w:rFonts w:asciiTheme="majorHAnsi" w:hAnsiTheme="majorHAnsi" w:cstheme="majorHAnsi"/>
          </w:rPr>
          <w:t>https://www.college.police.uk/career-learning/career-development/career-pathways/response-policing</w:t>
        </w:r>
      </w:hyperlink>
      <w:r w:rsidRPr="004D309B">
        <w:rPr>
          <w:rFonts w:asciiTheme="majorHAnsi" w:hAnsiTheme="majorHAnsi" w:cstheme="majorHAnsi"/>
        </w:rPr>
        <w:t xml:space="preserve">  (Accessed January 29, 2024).</w:t>
      </w:r>
    </w:p>
    <w:p w14:paraId="6D123D8C" w14:textId="77777777" w:rsidR="00BE3302" w:rsidRPr="004D309B" w:rsidRDefault="00BE3302" w:rsidP="004D309B">
      <w:pPr>
        <w:jc w:val="both"/>
        <w:rPr>
          <w:rFonts w:asciiTheme="majorHAnsi" w:hAnsiTheme="majorHAnsi" w:cstheme="majorHAnsi"/>
        </w:rPr>
      </w:pPr>
    </w:p>
    <w:p w14:paraId="6FD01932" w14:textId="3A93906D"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Dando, C. J., Wilcock, R., &amp; Milne, R. (2008). </w:t>
      </w:r>
      <w:r w:rsidR="00772AD0">
        <w:rPr>
          <w:rFonts w:asciiTheme="majorHAnsi" w:hAnsiTheme="majorHAnsi" w:cstheme="majorHAnsi"/>
        </w:rPr>
        <w:t>‘</w:t>
      </w:r>
      <w:r w:rsidRPr="004D309B">
        <w:rPr>
          <w:rFonts w:asciiTheme="majorHAnsi" w:hAnsiTheme="majorHAnsi" w:cstheme="majorHAnsi"/>
        </w:rPr>
        <w:t>The cognitive interview: Inexperienced police officers’ perceptions of their witness interviewing behaviour</w:t>
      </w:r>
      <w:r w:rsidR="00772AD0">
        <w:rPr>
          <w:rFonts w:asciiTheme="majorHAnsi" w:hAnsiTheme="majorHAnsi" w:cstheme="majorHAnsi"/>
        </w:rPr>
        <w:t>’</w:t>
      </w:r>
      <w:r w:rsidRPr="004D309B">
        <w:rPr>
          <w:rFonts w:asciiTheme="majorHAnsi" w:hAnsiTheme="majorHAnsi" w:cstheme="majorHAnsi"/>
        </w:rPr>
        <w:t>. Legal and Criminological Psychology, 13, pp. 59 to 70.</w:t>
      </w:r>
    </w:p>
    <w:p w14:paraId="1D637E64" w14:textId="77777777" w:rsidR="00BE3302" w:rsidRPr="004D309B" w:rsidRDefault="00BE3302" w:rsidP="004D309B">
      <w:pPr>
        <w:jc w:val="both"/>
        <w:rPr>
          <w:rFonts w:asciiTheme="majorHAnsi" w:hAnsiTheme="majorHAnsi" w:cstheme="majorHAnsi"/>
        </w:rPr>
      </w:pPr>
    </w:p>
    <w:p w14:paraId="23A67255" w14:textId="77B3C3B8" w:rsidR="00822E49" w:rsidRPr="004D309B" w:rsidRDefault="00822E49" w:rsidP="004D309B">
      <w:pPr>
        <w:jc w:val="both"/>
        <w:rPr>
          <w:rFonts w:asciiTheme="majorHAnsi" w:hAnsiTheme="majorHAnsi" w:cstheme="majorHAnsi"/>
        </w:rPr>
      </w:pPr>
      <w:r w:rsidRPr="004D309B">
        <w:rPr>
          <w:rFonts w:asciiTheme="majorHAnsi" w:hAnsiTheme="majorHAnsi" w:cstheme="majorHAnsi"/>
        </w:rPr>
        <w:t>Ericson</w:t>
      </w:r>
      <w:r w:rsidR="00772AD0">
        <w:rPr>
          <w:rFonts w:asciiTheme="majorHAnsi" w:hAnsiTheme="majorHAnsi" w:cstheme="majorHAnsi"/>
        </w:rPr>
        <w:t>,</w:t>
      </w:r>
      <w:r w:rsidRPr="004D309B">
        <w:rPr>
          <w:rFonts w:asciiTheme="majorHAnsi" w:hAnsiTheme="majorHAnsi" w:cstheme="majorHAnsi"/>
        </w:rPr>
        <w:t xml:space="preserve"> KA</w:t>
      </w:r>
      <w:r w:rsidR="00772AD0">
        <w:rPr>
          <w:rFonts w:asciiTheme="majorHAnsi" w:hAnsiTheme="majorHAnsi" w:cstheme="majorHAnsi"/>
        </w:rPr>
        <w:t>. and</w:t>
      </w:r>
      <w:r w:rsidR="00772AD0" w:rsidRPr="004D309B">
        <w:rPr>
          <w:rFonts w:asciiTheme="majorHAnsi" w:hAnsiTheme="majorHAnsi" w:cstheme="majorHAnsi"/>
        </w:rPr>
        <w:t xml:space="preserve"> Simon</w:t>
      </w:r>
      <w:r w:rsidR="00772AD0">
        <w:rPr>
          <w:rFonts w:asciiTheme="majorHAnsi" w:hAnsiTheme="majorHAnsi" w:cstheme="majorHAnsi"/>
        </w:rPr>
        <w:t>,</w:t>
      </w:r>
      <w:r w:rsidRPr="004D309B">
        <w:rPr>
          <w:rFonts w:asciiTheme="majorHAnsi" w:hAnsiTheme="majorHAnsi" w:cstheme="majorHAnsi"/>
        </w:rPr>
        <w:t xml:space="preserve"> H</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1980</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Verbal Reports as Data</w:t>
      </w:r>
      <w:r w:rsidR="00772AD0">
        <w:rPr>
          <w:rFonts w:asciiTheme="majorHAnsi" w:hAnsiTheme="majorHAnsi" w:cstheme="majorHAnsi"/>
        </w:rPr>
        <w:t>’</w:t>
      </w:r>
      <w:r w:rsidRPr="004D309B">
        <w:rPr>
          <w:rFonts w:asciiTheme="majorHAnsi" w:hAnsiTheme="majorHAnsi" w:cstheme="majorHAnsi"/>
        </w:rPr>
        <w:t>. Psychological Review 87: 215 - 250</w:t>
      </w:r>
    </w:p>
    <w:p w14:paraId="2D6086B7" w14:textId="77777777" w:rsidR="00822E49" w:rsidRPr="004D309B" w:rsidRDefault="00822E49" w:rsidP="004D309B">
      <w:pPr>
        <w:jc w:val="both"/>
        <w:rPr>
          <w:rFonts w:asciiTheme="majorHAnsi" w:hAnsiTheme="majorHAnsi" w:cstheme="majorHAnsi"/>
        </w:rPr>
      </w:pPr>
    </w:p>
    <w:p w14:paraId="0CF4731C" w14:textId="5ABD19BB"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GOV.UK (2014). </w:t>
      </w:r>
      <w:r w:rsidRPr="00772AD0">
        <w:rPr>
          <w:rFonts w:asciiTheme="majorHAnsi" w:hAnsiTheme="majorHAnsi" w:cstheme="majorHAnsi"/>
          <w:i/>
          <w:iCs/>
        </w:rPr>
        <w:t>Multi-agency public protection arrangements (MAPPA): Guidance</w:t>
      </w:r>
      <w:r w:rsidRPr="004D309B">
        <w:rPr>
          <w:rFonts w:asciiTheme="majorHAnsi" w:hAnsiTheme="majorHAnsi" w:cstheme="majorHAnsi"/>
        </w:rPr>
        <w:t xml:space="preserve">. Available at: </w:t>
      </w:r>
      <w:hyperlink r:id="rId16" w:history="1">
        <w:r w:rsidRPr="004D309B">
          <w:rPr>
            <w:rStyle w:val="Hyperlink"/>
            <w:rFonts w:asciiTheme="majorHAnsi" w:hAnsiTheme="majorHAnsi" w:cstheme="majorHAnsi"/>
          </w:rPr>
          <w:t>https://www.gov.uk/government/publications/multi-agency-public-protection-arrangements-mappa-guidance</w:t>
        </w:r>
      </w:hyperlink>
      <w:r w:rsidRPr="004D309B">
        <w:rPr>
          <w:rFonts w:asciiTheme="majorHAnsi" w:hAnsiTheme="majorHAnsi" w:cstheme="majorHAnsi"/>
        </w:rPr>
        <w:t xml:space="preserve">  (Accessed January 31, 2024).</w:t>
      </w:r>
    </w:p>
    <w:p w14:paraId="18F0B62B" w14:textId="77777777" w:rsidR="00BE3302" w:rsidRPr="004D309B" w:rsidRDefault="00BE3302" w:rsidP="004D309B">
      <w:pPr>
        <w:jc w:val="both"/>
        <w:rPr>
          <w:rFonts w:asciiTheme="majorHAnsi" w:hAnsiTheme="majorHAnsi" w:cstheme="majorHAnsi"/>
        </w:rPr>
      </w:pPr>
    </w:p>
    <w:p w14:paraId="65893D8D" w14:textId="67983DC8"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GOV.UK (2023). </w:t>
      </w:r>
      <w:r w:rsidRPr="00772AD0">
        <w:rPr>
          <w:rFonts w:asciiTheme="majorHAnsi" w:hAnsiTheme="majorHAnsi" w:cstheme="majorHAnsi"/>
          <w:i/>
          <w:iCs/>
        </w:rPr>
        <w:t>Review of Police dismissals launched.</w:t>
      </w:r>
      <w:r w:rsidRPr="004D309B">
        <w:rPr>
          <w:rFonts w:asciiTheme="majorHAnsi" w:hAnsiTheme="majorHAnsi" w:cstheme="majorHAnsi"/>
        </w:rPr>
        <w:t xml:space="preserve"> Available at: </w:t>
      </w:r>
      <w:hyperlink r:id="rId17" w:history="1">
        <w:r w:rsidRPr="004D309B">
          <w:rPr>
            <w:rStyle w:val="Hyperlink"/>
            <w:rFonts w:asciiTheme="majorHAnsi" w:hAnsiTheme="majorHAnsi" w:cstheme="majorHAnsi"/>
          </w:rPr>
          <w:t>https://www.gov.uk/government/news/review-of-police-dismissals-launched</w:t>
        </w:r>
      </w:hyperlink>
      <w:proofErr w:type="gramStart"/>
      <w:r w:rsidRPr="004D309B">
        <w:rPr>
          <w:rFonts w:asciiTheme="majorHAnsi" w:hAnsiTheme="majorHAnsi" w:cstheme="majorHAnsi"/>
        </w:rPr>
        <w:t xml:space="preserve">   (</w:t>
      </w:r>
      <w:proofErr w:type="gramEnd"/>
      <w:r w:rsidRPr="004D309B">
        <w:rPr>
          <w:rFonts w:asciiTheme="majorHAnsi" w:hAnsiTheme="majorHAnsi" w:cstheme="majorHAnsi"/>
        </w:rPr>
        <w:t>Accessed January 23, 2024).</w:t>
      </w:r>
    </w:p>
    <w:p w14:paraId="5D0B3153" w14:textId="77777777" w:rsidR="00BE3302" w:rsidRPr="004D309B" w:rsidRDefault="00BE3302" w:rsidP="004D309B">
      <w:pPr>
        <w:jc w:val="both"/>
        <w:rPr>
          <w:rFonts w:asciiTheme="majorHAnsi" w:hAnsiTheme="majorHAnsi" w:cstheme="majorHAnsi"/>
        </w:rPr>
      </w:pPr>
    </w:p>
    <w:p w14:paraId="11701499" w14:textId="18EDEA1E"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HMICFRS (2019). </w:t>
      </w:r>
      <w:r w:rsidRPr="00772AD0">
        <w:rPr>
          <w:rFonts w:asciiTheme="majorHAnsi" w:hAnsiTheme="majorHAnsi" w:cstheme="majorHAnsi"/>
          <w:i/>
          <w:iCs/>
        </w:rPr>
        <w:t>Public perceptions of policing in England and Wales 2018.</w:t>
      </w:r>
      <w:r w:rsidRPr="004D309B">
        <w:rPr>
          <w:rFonts w:asciiTheme="majorHAnsi" w:hAnsiTheme="majorHAnsi" w:cstheme="majorHAnsi"/>
        </w:rPr>
        <w:t xml:space="preserve"> Available at: </w:t>
      </w:r>
      <w:hyperlink r:id="rId18" w:history="1">
        <w:r w:rsidRPr="004D309B">
          <w:rPr>
            <w:rStyle w:val="Hyperlink"/>
            <w:rFonts w:asciiTheme="majorHAnsi" w:hAnsiTheme="majorHAnsi" w:cstheme="majorHAnsi"/>
          </w:rPr>
          <w:t>https://hmicfrs.justiceinspectorates.gov.uk/publications/public-perceptions-of-policing-in-england-and-wales-2018/</w:t>
        </w:r>
      </w:hyperlink>
      <w:r w:rsidRPr="004D309B">
        <w:rPr>
          <w:rFonts w:asciiTheme="majorHAnsi" w:hAnsiTheme="majorHAnsi" w:cstheme="majorHAnsi"/>
        </w:rPr>
        <w:t xml:space="preserve">  (Accessed January 29, 2024).</w:t>
      </w:r>
    </w:p>
    <w:p w14:paraId="13D2E416" w14:textId="77777777" w:rsidR="00BE3302" w:rsidRPr="004D309B" w:rsidRDefault="00BE3302" w:rsidP="004D309B">
      <w:pPr>
        <w:jc w:val="both"/>
        <w:rPr>
          <w:rFonts w:asciiTheme="majorHAnsi" w:hAnsiTheme="majorHAnsi" w:cstheme="majorHAnsi"/>
        </w:rPr>
      </w:pPr>
    </w:p>
    <w:p w14:paraId="1C84E3CE" w14:textId="7EC07A8F"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HMICFRS (2022). </w:t>
      </w:r>
      <w:r w:rsidRPr="00772AD0">
        <w:rPr>
          <w:rFonts w:asciiTheme="majorHAnsi" w:hAnsiTheme="majorHAnsi" w:cstheme="majorHAnsi"/>
          <w:i/>
          <w:iCs/>
        </w:rPr>
        <w:t>An inspection of vetting, misconduct, and misogyny in the police service</w:t>
      </w:r>
      <w:r w:rsidRPr="004D309B">
        <w:rPr>
          <w:rFonts w:asciiTheme="majorHAnsi" w:hAnsiTheme="majorHAnsi" w:cstheme="majorHAnsi"/>
        </w:rPr>
        <w:t xml:space="preserve">. Available at: </w:t>
      </w:r>
      <w:hyperlink r:id="rId19" w:history="1">
        <w:r w:rsidRPr="004D309B">
          <w:rPr>
            <w:rStyle w:val="Hyperlink"/>
            <w:rFonts w:asciiTheme="majorHAnsi" w:hAnsiTheme="majorHAnsi" w:cstheme="majorHAnsi"/>
          </w:rPr>
          <w:t>https://assets-hmicfrs.justiceinspectorates.gov.uk/uploads/inspection-of-vetting-misconduct-and-misogyny-in-the-police.pdf</w:t>
        </w:r>
      </w:hyperlink>
      <w:r w:rsidRPr="004D309B">
        <w:rPr>
          <w:rFonts w:asciiTheme="majorHAnsi" w:hAnsiTheme="majorHAnsi" w:cstheme="majorHAnsi"/>
        </w:rPr>
        <w:t xml:space="preserve">  (Accessed January 23, 2024).</w:t>
      </w:r>
    </w:p>
    <w:p w14:paraId="31241813" w14:textId="77777777" w:rsidR="00BE3302" w:rsidRPr="004D309B" w:rsidRDefault="00BE3302" w:rsidP="004D309B">
      <w:pPr>
        <w:jc w:val="both"/>
        <w:rPr>
          <w:rFonts w:asciiTheme="majorHAnsi" w:hAnsiTheme="majorHAnsi" w:cstheme="majorHAnsi"/>
        </w:rPr>
      </w:pPr>
    </w:p>
    <w:p w14:paraId="50BC5A42" w14:textId="3C744215"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Home Office (2023). </w:t>
      </w:r>
      <w:r w:rsidRPr="00772AD0">
        <w:rPr>
          <w:rFonts w:asciiTheme="majorHAnsi" w:hAnsiTheme="majorHAnsi" w:cstheme="majorHAnsi"/>
          <w:i/>
          <w:iCs/>
        </w:rPr>
        <w:t>Public perceptions of policing: A review of research and literature</w:t>
      </w:r>
      <w:r w:rsidRPr="004D309B">
        <w:rPr>
          <w:rFonts w:asciiTheme="majorHAnsi" w:hAnsiTheme="majorHAnsi" w:cstheme="majorHAnsi"/>
        </w:rPr>
        <w:t xml:space="preserve">. Available at: </w:t>
      </w:r>
      <w:hyperlink r:id="rId20" w:history="1">
        <w:r w:rsidRPr="004D309B">
          <w:rPr>
            <w:rStyle w:val="Hyperlink"/>
            <w:rFonts w:asciiTheme="majorHAnsi" w:hAnsiTheme="majorHAnsi" w:cstheme="majorHAnsi"/>
          </w:rPr>
          <w:t>https://www.gov.uk/government/publications/public-perceptions-of-policing-a-review-of-research-and-literature/public-perceptions-of-policing-a-review-of-research-and-literature</w:t>
        </w:r>
      </w:hyperlink>
      <w:r w:rsidRPr="004D309B">
        <w:rPr>
          <w:rFonts w:asciiTheme="majorHAnsi" w:hAnsiTheme="majorHAnsi" w:cstheme="majorHAnsi"/>
        </w:rPr>
        <w:t xml:space="preserve"> (Accessed January 29, 2024).</w:t>
      </w:r>
    </w:p>
    <w:p w14:paraId="64DF6925" w14:textId="77777777" w:rsidR="00BE3302" w:rsidRPr="004D309B" w:rsidRDefault="00BE3302" w:rsidP="004D309B">
      <w:pPr>
        <w:jc w:val="both"/>
        <w:rPr>
          <w:rFonts w:asciiTheme="majorHAnsi" w:hAnsiTheme="majorHAnsi" w:cstheme="majorHAnsi"/>
        </w:rPr>
      </w:pPr>
    </w:p>
    <w:p w14:paraId="69D1A21B" w14:textId="0D56F6ED" w:rsidR="00BE3302" w:rsidRPr="004D309B" w:rsidRDefault="00BE3302" w:rsidP="004D309B">
      <w:pPr>
        <w:jc w:val="both"/>
        <w:rPr>
          <w:rFonts w:asciiTheme="majorHAnsi" w:hAnsiTheme="majorHAnsi" w:cstheme="majorHAnsi"/>
        </w:rPr>
      </w:pPr>
      <w:r w:rsidRPr="004D309B">
        <w:rPr>
          <w:rFonts w:asciiTheme="majorHAnsi" w:hAnsiTheme="majorHAnsi" w:cstheme="majorHAnsi"/>
        </w:rPr>
        <w:t>Javid, B. and Morrell, K. (2019)</w:t>
      </w:r>
      <w:r w:rsidR="00772AD0">
        <w:rPr>
          <w:rFonts w:asciiTheme="majorHAnsi" w:hAnsiTheme="majorHAnsi" w:cstheme="majorHAnsi"/>
        </w:rPr>
        <w:t>.</w:t>
      </w:r>
      <w:r w:rsidRPr="004D309B">
        <w:rPr>
          <w:rFonts w:asciiTheme="majorHAnsi" w:hAnsiTheme="majorHAnsi" w:cstheme="majorHAnsi"/>
        </w:rPr>
        <w:t xml:space="preserve"> ‘Public confidence in the police: A critical review and interrogation of construct clarity’. Critical Perspectives on the Management and Organization of Emergency services, pp. 254 to 269.</w:t>
      </w:r>
    </w:p>
    <w:p w14:paraId="2A44D4B4" w14:textId="77777777" w:rsidR="00BE3302" w:rsidRPr="004D309B" w:rsidRDefault="00BE3302" w:rsidP="004D309B">
      <w:pPr>
        <w:jc w:val="both"/>
        <w:rPr>
          <w:rFonts w:asciiTheme="majorHAnsi" w:hAnsiTheme="majorHAnsi" w:cstheme="majorHAnsi"/>
        </w:rPr>
      </w:pPr>
    </w:p>
    <w:p w14:paraId="231D1FCA" w14:textId="7620B1F8" w:rsidR="00797C3A" w:rsidRPr="004D309B" w:rsidRDefault="00797C3A" w:rsidP="004D309B">
      <w:pPr>
        <w:jc w:val="both"/>
        <w:rPr>
          <w:rFonts w:asciiTheme="majorHAnsi" w:hAnsiTheme="majorHAnsi" w:cstheme="majorHAnsi"/>
        </w:rPr>
      </w:pPr>
      <w:r w:rsidRPr="004D309B">
        <w:rPr>
          <w:rFonts w:asciiTheme="majorHAnsi" w:hAnsiTheme="majorHAnsi" w:cstheme="majorHAnsi"/>
        </w:rPr>
        <w:t>Koriat</w:t>
      </w:r>
      <w:r w:rsidR="00772AD0">
        <w:rPr>
          <w:rFonts w:asciiTheme="majorHAnsi" w:hAnsiTheme="majorHAnsi" w:cstheme="majorHAnsi"/>
        </w:rPr>
        <w:t>,</w:t>
      </w:r>
      <w:r w:rsidRPr="004D309B">
        <w:rPr>
          <w:rFonts w:asciiTheme="majorHAnsi" w:hAnsiTheme="majorHAnsi" w:cstheme="majorHAnsi"/>
        </w:rPr>
        <w:t xml:space="preserve"> A</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and</w:t>
      </w:r>
      <w:r w:rsidRPr="004D309B">
        <w:rPr>
          <w:rFonts w:asciiTheme="majorHAnsi" w:hAnsiTheme="majorHAnsi" w:cstheme="majorHAnsi"/>
        </w:rPr>
        <w:t xml:space="preserve"> Goldsmith</w:t>
      </w:r>
      <w:r w:rsidR="00772AD0">
        <w:rPr>
          <w:rFonts w:asciiTheme="majorHAnsi" w:hAnsiTheme="majorHAnsi" w:cstheme="majorHAnsi"/>
        </w:rPr>
        <w:t>,</w:t>
      </w:r>
      <w:r w:rsidRPr="004D309B">
        <w:rPr>
          <w:rFonts w:asciiTheme="majorHAnsi" w:hAnsiTheme="majorHAnsi" w:cstheme="majorHAnsi"/>
        </w:rPr>
        <w:t xml:space="preserve"> M</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1996</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Monitoring and control processes in the strategic regulation of memory accuracy</w:t>
      </w:r>
      <w:r w:rsidR="00772AD0">
        <w:rPr>
          <w:rFonts w:asciiTheme="majorHAnsi" w:hAnsiTheme="majorHAnsi" w:cstheme="majorHAnsi"/>
        </w:rPr>
        <w:t>’</w:t>
      </w:r>
      <w:r w:rsidRPr="004D309B">
        <w:rPr>
          <w:rFonts w:asciiTheme="majorHAnsi" w:hAnsiTheme="majorHAnsi" w:cstheme="majorHAnsi"/>
        </w:rPr>
        <w:t>. Psychological Review 103:</w:t>
      </w:r>
      <w:r w:rsidR="00772AD0">
        <w:rPr>
          <w:rFonts w:asciiTheme="majorHAnsi" w:hAnsiTheme="majorHAnsi" w:cstheme="majorHAnsi"/>
        </w:rPr>
        <w:t xml:space="preserve"> pp.</w:t>
      </w:r>
      <w:r w:rsidRPr="004D309B">
        <w:rPr>
          <w:rFonts w:asciiTheme="majorHAnsi" w:hAnsiTheme="majorHAnsi" w:cstheme="majorHAnsi"/>
        </w:rPr>
        <w:t xml:space="preserve"> 490</w:t>
      </w:r>
      <w:r w:rsidR="00772AD0">
        <w:rPr>
          <w:rFonts w:asciiTheme="majorHAnsi" w:hAnsiTheme="majorHAnsi" w:cstheme="majorHAnsi"/>
        </w:rPr>
        <w:t xml:space="preserve"> to </w:t>
      </w:r>
      <w:r w:rsidRPr="004D309B">
        <w:rPr>
          <w:rFonts w:asciiTheme="majorHAnsi" w:hAnsiTheme="majorHAnsi" w:cstheme="majorHAnsi"/>
        </w:rPr>
        <w:t>517</w:t>
      </w:r>
      <w:r w:rsidR="00772AD0">
        <w:rPr>
          <w:rFonts w:asciiTheme="majorHAnsi" w:hAnsiTheme="majorHAnsi" w:cstheme="majorHAnsi"/>
        </w:rPr>
        <w:t>.</w:t>
      </w:r>
    </w:p>
    <w:p w14:paraId="0DA2155D" w14:textId="77777777" w:rsidR="00797C3A" w:rsidRPr="004D309B" w:rsidRDefault="00797C3A" w:rsidP="004D309B">
      <w:pPr>
        <w:jc w:val="both"/>
        <w:rPr>
          <w:rFonts w:asciiTheme="majorHAnsi" w:hAnsiTheme="majorHAnsi" w:cstheme="majorHAnsi"/>
        </w:rPr>
      </w:pPr>
    </w:p>
    <w:p w14:paraId="2DA0D0A3" w14:textId="3FA1A60D"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Mcleod, S. (2023). </w:t>
      </w:r>
      <w:r w:rsidRPr="00772AD0">
        <w:rPr>
          <w:rFonts w:asciiTheme="majorHAnsi" w:hAnsiTheme="majorHAnsi" w:cstheme="majorHAnsi"/>
          <w:i/>
          <w:iCs/>
        </w:rPr>
        <w:t>Cognitive interview technique.</w:t>
      </w:r>
      <w:r w:rsidRPr="004D309B">
        <w:rPr>
          <w:rFonts w:asciiTheme="majorHAnsi" w:hAnsiTheme="majorHAnsi" w:cstheme="majorHAnsi"/>
        </w:rPr>
        <w:t xml:space="preserve"> Available at: </w:t>
      </w:r>
      <w:hyperlink r:id="rId21" w:history="1">
        <w:r w:rsidRPr="004D309B">
          <w:rPr>
            <w:rStyle w:val="Hyperlink"/>
            <w:rFonts w:asciiTheme="majorHAnsi" w:hAnsiTheme="majorHAnsi" w:cstheme="majorHAnsi"/>
          </w:rPr>
          <w:t>https://www.simplypsychology.org/cognitive-interview.html</w:t>
        </w:r>
      </w:hyperlink>
      <w:r w:rsidRPr="004D309B">
        <w:rPr>
          <w:rFonts w:asciiTheme="majorHAnsi" w:hAnsiTheme="majorHAnsi" w:cstheme="majorHAnsi"/>
        </w:rPr>
        <w:t xml:space="preserve">  (Accessed January 29, 2024).</w:t>
      </w:r>
    </w:p>
    <w:p w14:paraId="0D70CF7D" w14:textId="77777777" w:rsidR="00BE3302" w:rsidRPr="004D309B" w:rsidRDefault="00BE3302" w:rsidP="004D309B">
      <w:pPr>
        <w:jc w:val="both"/>
        <w:rPr>
          <w:rFonts w:asciiTheme="majorHAnsi" w:hAnsiTheme="majorHAnsi" w:cstheme="majorHAnsi"/>
        </w:rPr>
      </w:pPr>
    </w:p>
    <w:p w14:paraId="3BD4B2D2"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Mellins, M. (2021). ‘Stalking, the Media and Raising Public Awareness’. Critiquing Violent Crime in the Media, pp. 167 to 199.</w:t>
      </w:r>
    </w:p>
    <w:p w14:paraId="69DCF5E8" w14:textId="77777777" w:rsidR="00BE3302" w:rsidRPr="004D309B" w:rsidRDefault="00BE3302" w:rsidP="004D309B">
      <w:pPr>
        <w:jc w:val="both"/>
        <w:rPr>
          <w:rFonts w:asciiTheme="majorHAnsi" w:hAnsiTheme="majorHAnsi" w:cstheme="majorHAnsi"/>
        </w:rPr>
      </w:pPr>
    </w:p>
    <w:p w14:paraId="5CD2BA65"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Metcalfe, T. (2017). Shifting the blame: towards a self-reforming police service in England and Wales. International journal of Emergency Services, 2017.</w:t>
      </w:r>
    </w:p>
    <w:p w14:paraId="1B458ADD" w14:textId="77777777" w:rsidR="00BE3302" w:rsidRPr="004D309B" w:rsidRDefault="00BE3302" w:rsidP="004D309B">
      <w:pPr>
        <w:jc w:val="both"/>
        <w:rPr>
          <w:rFonts w:asciiTheme="majorHAnsi" w:hAnsiTheme="majorHAnsi" w:cstheme="majorHAnsi"/>
        </w:rPr>
      </w:pPr>
    </w:p>
    <w:p w14:paraId="55ECEF6A"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Miller, J. and D’Souza, A. (2016) ‘Indirect effects of police searches on community attitudes to the police: resentment or reassurance?’ The British Journal of Criminology, 56(3), pp. 456 to 478.</w:t>
      </w:r>
    </w:p>
    <w:p w14:paraId="7DA99902" w14:textId="77777777" w:rsidR="00BE3302" w:rsidRPr="004D309B" w:rsidRDefault="00BE3302" w:rsidP="004D309B">
      <w:pPr>
        <w:jc w:val="both"/>
        <w:rPr>
          <w:rFonts w:asciiTheme="majorHAnsi" w:hAnsiTheme="majorHAnsi" w:cstheme="majorHAnsi"/>
        </w:rPr>
      </w:pPr>
    </w:p>
    <w:p w14:paraId="6E5FEA51" w14:textId="15B3A91E"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Myles, H (2017). </w:t>
      </w:r>
      <w:r w:rsidRPr="00772AD0">
        <w:rPr>
          <w:rFonts w:asciiTheme="majorHAnsi" w:hAnsiTheme="majorHAnsi" w:cstheme="majorHAnsi"/>
          <w:i/>
          <w:iCs/>
        </w:rPr>
        <w:t>The police and Social media: Increased accountability from a more informed public sphere?</w:t>
      </w:r>
      <w:r w:rsidRPr="004D309B">
        <w:rPr>
          <w:rFonts w:asciiTheme="majorHAnsi" w:hAnsiTheme="majorHAnsi" w:cstheme="majorHAnsi"/>
        </w:rPr>
        <w:t xml:space="preserve"> Available at: </w:t>
      </w:r>
      <w:hyperlink r:id="rId22" w:history="1">
        <w:r w:rsidRPr="004D309B">
          <w:rPr>
            <w:rStyle w:val="Hyperlink"/>
            <w:rFonts w:asciiTheme="majorHAnsi" w:hAnsiTheme="majorHAnsi" w:cstheme="majorHAnsi"/>
          </w:rPr>
          <w:t>https://www.researchgate.net/publication/322244302_The_police_and_social_media_Increased_accountability_from_a_more_informed_public_sphere</w:t>
        </w:r>
      </w:hyperlink>
      <w:r w:rsidRPr="004D309B">
        <w:rPr>
          <w:rFonts w:asciiTheme="majorHAnsi" w:hAnsiTheme="majorHAnsi" w:cstheme="majorHAnsi"/>
        </w:rPr>
        <w:t xml:space="preserve">   (Accessed January 31, 2024).</w:t>
      </w:r>
    </w:p>
    <w:p w14:paraId="70AD2AB8" w14:textId="77777777" w:rsidR="00BE3302" w:rsidRPr="004D309B" w:rsidRDefault="00BE3302" w:rsidP="004D309B">
      <w:pPr>
        <w:jc w:val="both"/>
        <w:rPr>
          <w:rFonts w:asciiTheme="majorHAnsi" w:hAnsiTheme="majorHAnsi" w:cstheme="majorHAnsi"/>
        </w:rPr>
      </w:pPr>
    </w:p>
    <w:p w14:paraId="3E4CDA71" w14:textId="6568622F"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Office for National Statistics (2019). </w:t>
      </w:r>
      <w:r w:rsidRPr="00772AD0">
        <w:rPr>
          <w:rFonts w:asciiTheme="majorHAnsi" w:hAnsiTheme="majorHAnsi" w:cstheme="majorHAnsi"/>
          <w:i/>
          <w:iCs/>
        </w:rPr>
        <w:t>Stalking: findings from the crime survey for England and Wales.</w:t>
      </w:r>
      <w:r w:rsidRPr="004D309B">
        <w:rPr>
          <w:rFonts w:asciiTheme="majorHAnsi" w:hAnsiTheme="majorHAnsi" w:cstheme="majorHAnsi"/>
        </w:rPr>
        <w:t xml:space="preserve"> Available at: </w:t>
      </w:r>
      <w:hyperlink r:id="rId23" w:history="1">
        <w:r w:rsidRPr="004D309B">
          <w:rPr>
            <w:rStyle w:val="Hyperlink"/>
            <w:rFonts w:asciiTheme="majorHAnsi" w:hAnsiTheme="majorHAnsi" w:cstheme="majorHAnsi"/>
          </w:rPr>
          <w:t>https://www.ons.gov.uk/peoplepopulationandcommunity/crimeandjustice/datasets/stalkingfindingsfromthecrimesurveyforenglandandwales</w:t>
        </w:r>
      </w:hyperlink>
      <w:r w:rsidRPr="004D309B">
        <w:rPr>
          <w:rFonts w:asciiTheme="majorHAnsi" w:hAnsiTheme="majorHAnsi" w:cstheme="majorHAnsi"/>
        </w:rPr>
        <w:t xml:space="preserve">   (Accessed January 31, 2024).</w:t>
      </w:r>
    </w:p>
    <w:p w14:paraId="2564F5CC" w14:textId="77777777" w:rsidR="00BE3302" w:rsidRPr="004D309B" w:rsidRDefault="00BE3302" w:rsidP="004D309B">
      <w:pPr>
        <w:jc w:val="both"/>
        <w:rPr>
          <w:rFonts w:asciiTheme="majorHAnsi" w:hAnsiTheme="majorHAnsi" w:cstheme="majorHAnsi"/>
        </w:rPr>
      </w:pPr>
    </w:p>
    <w:p w14:paraId="084306C8" w14:textId="1B03B473" w:rsidR="0091642A" w:rsidRPr="004D309B" w:rsidRDefault="0091642A" w:rsidP="004D309B">
      <w:pPr>
        <w:jc w:val="both"/>
        <w:rPr>
          <w:rFonts w:asciiTheme="majorHAnsi" w:hAnsiTheme="majorHAnsi" w:cstheme="majorHAnsi"/>
        </w:rPr>
      </w:pPr>
      <w:r w:rsidRPr="004D309B">
        <w:rPr>
          <w:rFonts w:asciiTheme="majorHAnsi" w:hAnsiTheme="majorHAnsi" w:cstheme="majorHAnsi"/>
        </w:rPr>
        <w:t>Patton</w:t>
      </w:r>
      <w:r w:rsidR="00772AD0">
        <w:rPr>
          <w:rFonts w:asciiTheme="majorHAnsi" w:hAnsiTheme="majorHAnsi" w:cstheme="majorHAnsi"/>
        </w:rPr>
        <w:t>,</w:t>
      </w:r>
      <w:r w:rsidRPr="004D309B">
        <w:rPr>
          <w:rFonts w:asciiTheme="majorHAnsi" w:hAnsiTheme="majorHAnsi" w:cstheme="majorHAnsi"/>
        </w:rPr>
        <w:t xml:space="preserve"> M</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1987</w:t>
      </w:r>
      <w:r w:rsidR="00772AD0">
        <w:rPr>
          <w:rFonts w:asciiTheme="majorHAnsi" w:hAnsiTheme="majorHAnsi" w:cstheme="majorHAnsi"/>
        </w:rPr>
        <w:t>)</w:t>
      </w:r>
      <w:r w:rsidRPr="004D309B">
        <w:rPr>
          <w:rFonts w:asciiTheme="majorHAnsi" w:hAnsiTheme="majorHAnsi" w:cstheme="majorHAnsi"/>
        </w:rPr>
        <w:t xml:space="preserve">. </w:t>
      </w:r>
      <w:r w:rsidR="00772AD0">
        <w:rPr>
          <w:rFonts w:asciiTheme="majorHAnsi" w:hAnsiTheme="majorHAnsi" w:cstheme="majorHAnsi"/>
        </w:rPr>
        <w:t>‘</w:t>
      </w:r>
      <w:r w:rsidRPr="004D309B">
        <w:rPr>
          <w:rFonts w:asciiTheme="majorHAnsi" w:hAnsiTheme="majorHAnsi" w:cstheme="majorHAnsi"/>
        </w:rPr>
        <w:t>How to Use Qualitative Methods in Evaluation</w:t>
      </w:r>
      <w:r w:rsidR="00772AD0">
        <w:rPr>
          <w:rFonts w:asciiTheme="majorHAnsi" w:hAnsiTheme="majorHAnsi" w:cstheme="majorHAnsi"/>
        </w:rPr>
        <w:t>’</w:t>
      </w:r>
      <w:r w:rsidRPr="004D309B">
        <w:rPr>
          <w:rFonts w:asciiTheme="majorHAnsi" w:hAnsiTheme="majorHAnsi" w:cstheme="majorHAnsi"/>
        </w:rPr>
        <w:t>. Beverly Hills, CA: Sage Publications, Inc</w:t>
      </w:r>
      <w:r w:rsidR="00772AD0">
        <w:rPr>
          <w:rFonts w:asciiTheme="majorHAnsi" w:hAnsiTheme="majorHAnsi" w:cstheme="majorHAnsi"/>
        </w:rPr>
        <w:t>.</w:t>
      </w:r>
    </w:p>
    <w:p w14:paraId="3F818F09" w14:textId="77777777" w:rsidR="0091642A" w:rsidRPr="004D309B" w:rsidRDefault="0091642A" w:rsidP="004D309B">
      <w:pPr>
        <w:jc w:val="both"/>
        <w:rPr>
          <w:rFonts w:asciiTheme="majorHAnsi" w:hAnsiTheme="majorHAnsi" w:cstheme="majorHAnsi"/>
        </w:rPr>
      </w:pPr>
    </w:p>
    <w:p w14:paraId="2D36574C" w14:textId="5D215922"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Police Executive Research Forum (2016). </w:t>
      </w:r>
      <w:r w:rsidRPr="00772AD0">
        <w:rPr>
          <w:rFonts w:asciiTheme="majorHAnsi" w:hAnsiTheme="majorHAnsi" w:cstheme="majorHAnsi"/>
          <w:i/>
          <w:iCs/>
        </w:rPr>
        <w:t>Use of Force: Taking Policing to a Higher Standard</w:t>
      </w:r>
      <w:r w:rsidRPr="004D309B">
        <w:rPr>
          <w:rFonts w:asciiTheme="majorHAnsi" w:hAnsiTheme="majorHAnsi" w:cstheme="majorHAnsi"/>
        </w:rPr>
        <w:t xml:space="preserve">. Available at: </w:t>
      </w:r>
      <w:hyperlink r:id="rId24" w:history="1">
        <w:r w:rsidRPr="004D309B">
          <w:rPr>
            <w:rStyle w:val="Hyperlink"/>
            <w:rFonts w:asciiTheme="majorHAnsi" w:hAnsiTheme="majorHAnsi" w:cstheme="majorHAnsi"/>
          </w:rPr>
          <w:t>https://www.policeforum.org/assets/30guidingprinciples.pdf</w:t>
        </w:r>
      </w:hyperlink>
      <w:r w:rsidRPr="004D309B">
        <w:rPr>
          <w:rFonts w:asciiTheme="majorHAnsi" w:hAnsiTheme="majorHAnsi" w:cstheme="majorHAnsi"/>
        </w:rPr>
        <w:t xml:space="preserve">  (Accessed January 31, 2024).</w:t>
      </w:r>
    </w:p>
    <w:p w14:paraId="18BFBD54" w14:textId="77777777" w:rsidR="00BE3302" w:rsidRPr="004D309B" w:rsidRDefault="00BE3302" w:rsidP="004D309B">
      <w:pPr>
        <w:jc w:val="both"/>
        <w:rPr>
          <w:rFonts w:asciiTheme="majorHAnsi" w:hAnsiTheme="majorHAnsi" w:cstheme="majorHAnsi"/>
        </w:rPr>
      </w:pPr>
    </w:p>
    <w:p w14:paraId="406FE44C" w14:textId="77777777" w:rsidR="00723AF3" w:rsidRPr="004D309B" w:rsidRDefault="00723AF3" w:rsidP="004D309B">
      <w:pPr>
        <w:shd w:val="clear" w:color="auto" w:fill="FFFFFF"/>
        <w:spacing w:after="0" w:line="0" w:lineRule="auto"/>
        <w:jc w:val="both"/>
        <w:rPr>
          <w:rFonts w:asciiTheme="majorHAnsi" w:eastAsia="Times New Roman" w:hAnsiTheme="majorHAnsi" w:cstheme="majorHAnsi"/>
          <w:color w:val="000000"/>
          <w:kern w:val="0"/>
          <w:sz w:val="72"/>
          <w:szCs w:val="72"/>
          <w:lang w:eastAsia="en-GB"/>
          <w14:ligatures w14:val="none"/>
        </w:rPr>
      </w:pPr>
      <w:r w:rsidRPr="004D309B">
        <w:rPr>
          <w:rFonts w:asciiTheme="majorHAnsi" w:eastAsia="Times New Roman" w:hAnsiTheme="majorHAnsi" w:cstheme="majorHAnsi"/>
          <w:color w:val="000000"/>
          <w:kern w:val="0"/>
          <w:sz w:val="72"/>
          <w:szCs w:val="72"/>
          <w:lang w:eastAsia="en-GB"/>
          <w14:ligatures w14:val="none"/>
        </w:rPr>
        <w:t xml:space="preserve">Ridley, A. M., Gabbert, F., &amp; La Rooy, D. J. (Eds.) (2013). Suggestibility in Legal Contexts: </w:t>
      </w:r>
    </w:p>
    <w:p w14:paraId="1F96107A" w14:textId="77777777" w:rsidR="00723AF3" w:rsidRPr="004D309B" w:rsidRDefault="00723AF3" w:rsidP="004D309B">
      <w:pPr>
        <w:shd w:val="clear" w:color="auto" w:fill="FFFFFF"/>
        <w:spacing w:after="0" w:line="0" w:lineRule="auto"/>
        <w:jc w:val="both"/>
        <w:rPr>
          <w:rFonts w:asciiTheme="majorHAnsi" w:eastAsia="Times New Roman" w:hAnsiTheme="majorHAnsi" w:cstheme="majorHAnsi"/>
          <w:color w:val="000000"/>
          <w:kern w:val="0"/>
          <w:sz w:val="72"/>
          <w:szCs w:val="72"/>
          <w:lang w:eastAsia="en-GB"/>
          <w14:ligatures w14:val="none"/>
        </w:rPr>
      </w:pPr>
      <w:r w:rsidRPr="004D309B">
        <w:rPr>
          <w:rFonts w:asciiTheme="majorHAnsi" w:eastAsia="Times New Roman" w:hAnsiTheme="majorHAnsi" w:cstheme="majorHAnsi"/>
          <w:color w:val="000000"/>
          <w:kern w:val="0"/>
          <w:sz w:val="72"/>
          <w:szCs w:val="72"/>
          <w:lang w:eastAsia="en-GB"/>
          <w14:ligatures w14:val="none"/>
        </w:rPr>
        <w:t xml:space="preserve">Psychological Research and Forensic Implications. London: Wiley-Blackwell. </w:t>
      </w:r>
    </w:p>
    <w:p w14:paraId="1838BBCF" w14:textId="21180834" w:rsidR="00723AF3" w:rsidRPr="004D309B" w:rsidRDefault="00723AF3" w:rsidP="004D309B">
      <w:pPr>
        <w:jc w:val="both"/>
        <w:rPr>
          <w:rFonts w:asciiTheme="majorHAnsi" w:hAnsiTheme="majorHAnsi" w:cstheme="majorHAnsi"/>
        </w:rPr>
      </w:pPr>
      <w:r w:rsidRPr="004D309B">
        <w:rPr>
          <w:rFonts w:asciiTheme="majorHAnsi" w:hAnsiTheme="majorHAnsi" w:cstheme="majorHAnsi"/>
        </w:rPr>
        <w:t>Ridley, A. M., Gabbert, F.</w:t>
      </w:r>
      <w:proofErr w:type="gramStart"/>
      <w:r w:rsidRPr="004D309B">
        <w:rPr>
          <w:rFonts w:asciiTheme="majorHAnsi" w:hAnsiTheme="majorHAnsi" w:cstheme="majorHAnsi"/>
        </w:rPr>
        <w:t xml:space="preserve">, </w:t>
      </w:r>
      <w:r w:rsidR="00772AD0">
        <w:rPr>
          <w:rFonts w:asciiTheme="majorHAnsi" w:hAnsiTheme="majorHAnsi" w:cstheme="majorHAnsi"/>
        </w:rPr>
        <w:t xml:space="preserve"> and</w:t>
      </w:r>
      <w:proofErr w:type="gramEnd"/>
      <w:r w:rsidRPr="004D309B">
        <w:rPr>
          <w:rFonts w:asciiTheme="majorHAnsi" w:hAnsiTheme="majorHAnsi" w:cstheme="majorHAnsi"/>
        </w:rPr>
        <w:t xml:space="preserve"> La Rooy, D. J. (2013). </w:t>
      </w:r>
      <w:r w:rsidR="00772AD0">
        <w:rPr>
          <w:rFonts w:asciiTheme="majorHAnsi" w:hAnsiTheme="majorHAnsi" w:cstheme="majorHAnsi"/>
        </w:rPr>
        <w:t>‘</w:t>
      </w:r>
      <w:r w:rsidRPr="004D309B">
        <w:rPr>
          <w:rFonts w:asciiTheme="majorHAnsi" w:hAnsiTheme="majorHAnsi" w:cstheme="majorHAnsi"/>
        </w:rPr>
        <w:t>Suggestibility in Legal Contexts: Psychological Research and Forensic Implications</w:t>
      </w:r>
      <w:r w:rsidR="00772AD0">
        <w:rPr>
          <w:rFonts w:asciiTheme="majorHAnsi" w:hAnsiTheme="majorHAnsi" w:cstheme="majorHAnsi"/>
        </w:rPr>
        <w:t>’</w:t>
      </w:r>
      <w:r w:rsidRPr="004D309B">
        <w:rPr>
          <w:rFonts w:asciiTheme="majorHAnsi" w:hAnsiTheme="majorHAnsi" w:cstheme="majorHAnsi"/>
        </w:rPr>
        <w:t>. London: Wiley-Blackwell.</w:t>
      </w:r>
    </w:p>
    <w:p w14:paraId="630F2839" w14:textId="77777777" w:rsidR="00723AF3" w:rsidRPr="004D309B" w:rsidRDefault="00723AF3" w:rsidP="004D309B">
      <w:pPr>
        <w:jc w:val="both"/>
        <w:rPr>
          <w:rFonts w:asciiTheme="majorHAnsi" w:hAnsiTheme="majorHAnsi" w:cstheme="majorHAnsi"/>
        </w:rPr>
      </w:pPr>
    </w:p>
    <w:p w14:paraId="0ECEF445"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Rosenbaum, D.P., Schuck, A.M., Costello, S.K., Hawkins, </w:t>
      </w:r>
      <w:proofErr w:type="gramStart"/>
      <w:r w:rsidRPr="004D309B">
        <w:rPr>
          <w:rFonts w:asciiTheme="majorHAnsi" w:hAnsiTheme="majorHAnsi" w:cstheme="majorHAnsi"/>
        </w:rPr>
        <w:t>D.F.</w:t>
      </w:r>
      <w:proofErr w:type="gramEnd"/>
      <w:r w:rsidRPr="004D309B">
        <w:rPr>
          <w:rFonts w:asciiTheme="majorHAnsi" w:hAnsiTheme="majorHAnsi" w:cstheme="majorHAnsi"/>
        </w:rPr>
        <w:t xml:space="preserve"> and Ring, M.K. (2005) ‘Attitudes toward the police: The effects of direct and vicarious experience’. Police Quarterly, 8(3), pp. 343 to 365.</w:t>
      </w:r>
    </w:p>
    <w:p w14:paraId="347DA9BF" w14:textId="77777777" w:rsidR="00BE3302" w:rsidRPr="004D309B" w:rsidRDefault="00BE3302" w:rsidP="004D309B">
      <w:pPr>
        <w:jc w:val="both"/>
        <w:rPr>
          <w:rFonts w:asciiTheme="majorHAnsi" w:hAnsiTheme="majorHAnsi" w:cstheme="majorHAnsi"/>
        </w:rPr>
      </w:pPr>
    </w:p>
    <w:p w14:paraId="1A6CB297" w14:textId="47476A01" w:rsidR="00723AF3" w:rsidRPr="004D309B" w:rsidRDefault="00723AF3" w:rsidP="004D309B">
      <w:pPr>
        <w:jc w:val="both"/>
        <w:rPr>
          <w:rFonts w:asciiTheme="majorHAnsi" w:hAnsiTheme="majorHAnsi" w:cstheme="majorHAnsi"/>
        </w:rPr>
      </w:pPr>
      <w:r w:rsidRPr="004D309B">
        <w:rPr>
          <w:rFonts w:asciiTheme="majorHAnsi" w:hAnsiTheme="majorHAnsi" w:cstheme="majorHAnsi"/>
        </w:rPr>
        <w:t xml:space="preserve">Shepherd, E. &amp; Griffiths, A. (2013). </w:t>
      </w:r>
      <w:r w:rsidR="00772AD0">
        <w:rPr>
          <w:rFonts w:asciiTheme="majorHAnsi" w:hAnsiTheme="majorHAnsi" w:cstheme="majorHAnsi"/>
        </w:rPr>
        <w:t>‘</w:t>
      </w:r>
      <w:r w:rsidRPr="004D309B">
        <w:rPr>
          <w:rFonts w:asciiTheme="majorHAnsi" w:hAnsiTheme="majorHAnsi" w:cstheme="majorHAnsi"/>
          <w:i/>
          <w:iCs/>
        </w:rPr>
        <w:t>Investigative Interviewing:</w:t>
      </w:r>
      <w:r w:rsidRPr="004D309B">
        <w:rPr>
          <w:rFonts w:asciiTheme="majorHAnsi" w:hAnsiTheme="majorHAnsi" w:cstheme="majorHAnsi"/>
        </w:rPr>
        <w:t xml:space="preserve"> The Conversation Management Approach</w:t>
      </w:r>
      <w:r w:rsidR="00772AD0">
        <w:rPr>
          <w:rFonts w:asciiTheme="majorHAnsi" w:hAnsiTheme="majorHAnsi" w:cstheme="majorHAnsi"/>
        </w:rPr>
        <w:t>’</w:t>
      </w:r>
      <w:r w:rsidRPr="004D309B">
        <w:rPr>
          <w:rFonts w:asciiTheme="majorHAnsi" w:hAnsiTheme="majorHAnsi" w:cstheme="majorHAnsi"/>
        </w:rPr>
        <w:t>. Oxford: Oxford University Press.</w:t>
      </w:r>
    </w:p>
    <w:p w14:paraId="03BB4273" w14:textId="77777777" w:rsidR="00723AF3" w:rsidRPr="004D309B" w:rsidRDefault="00723AF3" w:rsidP="004D309B">
      <w:pPr>
        <w:jc w:val="both"/>
        <w:rPr>
          <w:rFonts w:asciiTheme="majorHAnsi" w:hAnsiTheme="majorHAnsi" w:cstheme="majorHAnsi"/>
        </w:rPr>
      </w:pPr>
    </w:p>
    <w:p w14:paraId="53E5E472"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Spencer, K. Charbonneau, A. and Glaser, J. (2016). ‘Implicit Bias and Policing’. Social and Personality Psychology Compass, pp. 50 to 63.</w:t>
      </w:r>
    </w:p>
    <w:p w14:paraId="3579BE02" w14:textId="77777777" w:rsidR="00BE3302" w:rsidRPr="004D309B" w:rsidRDefault="00BE3302" w:rsidP="004D309B">
      <w:pPr>
        <w:jc w:val="both"/>
        <w:rPr>
          <w:rFonts w:asciiTheme="majorHAnsi" w:hAnsiTheme="majorHAnsi" w:cstheme="majorHAnsi"/>
        </w:rPr>
      </w:pPr>
    </w:p>
    <w:p w14:paraId="16F0F9F1" w14:textId="5CA4772A"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Sporer, S. L. (1996). ‘Psychological aspects of person </w:t>
      </w:r>
      <w:proofErr w:type="gramStart"/>
      <w:r w:rsidR="00772AD0" w:rsidRPr="004D309B">
        <w:rPr>
          <w:rFonts w:asciiTheme="majorHAnsi" w:hAnsiTheme="majorHAnsi" w:cstheme="majorHAnsi"/>
        </w:rPr>
        <w:t>descriptions</w:t>
      </w:r>
      <w:r w:rsidR="00772AD0">
        <w:rPr>
          <w:rFonts w:asciiTheme="majorHAnsi" w:hAnsiTheme="majorHAnsi" w:cstheme="majorHAnsi"/>
        </w:rPr>
        <w:t>’</w:t>
      </w:r>
      <w:proofErr w:type="gramEnd"/>
      <w:r w:rsidR="00D076B4" w:rsidRPr="004D309B">
        <w:rPr>
          <w:rFonts w:asciiTheme="majorHAnsi" w:hAnsiTheme="majorHAnsi" w:cstheme="majorHAnsi"/>
        </w:rPr>
        <w:t>.</w:t>
      </w:r>
      <w:r w:rsidRPr="004D309B">
        <w:rPr>
          <w:rFonts w:asciiTheme="majorHAnsi" w:hAnsiTheme="majorHAnsi" w:cstheme="majorHAnsi"/>
        </w:rPr>
        <w:t xml:space="preserve"> In Psychological issues in eyewitness identification, pp. 53 to 86. </w:t>
      </w:r>
    </w:p>
    <w:p w14:paraId="35B13FBC" w14:textId="77777777" w:rsidR="00BE3302" w:rsidRPr="004D309B" w:rsidRDefault="00BE3302" w:rsidP="004D309B">
      <w:pPr>
        <w:jc w:val="both"/>
        <w:rPr>
          <w:rFonts w:asciiTheme="majorHAnsi" w:hAnsiTheme="majorHAnsi" w:cstheme="majorHAnsi"/>
        </w:rPr>
      </w:pPr>
    </w:p>
    <w:p w14:paraId="6BE6D713" w14:textId="36128078"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Tudor, S. (2023). </w:t>
      </w:r>
      <w:r w:rsidRPr="00772AD0">
        <w:rPr>
          <w:rFonts w:asciiTheme="majorHAnsi" w:hAnsiTheme="majorHAnsi" w:cstheme="majorHAnsi"/>
          <w:i/>
          <w:iCs/>
        </w:rPr>
        <w:t>Police Standard and culture: Restoring public trust.</w:t>
      </w:r>
      <w:r w:rsidRPr="004D309B">
        <w:rPr>
          <w:rFonts w:asciiTheme="majorHAnsi" w:hAnsiTheme="majorHAnsi" w:cstheme="majorHAnsi"/>
        </w:rPr>
        <w:t xml:space="preserve"> Available at: </w:t>
      </w:r>
      <w:hyperlink r:id="rId25" w:anchor="heading-7" w:history="1">
        <w:r w:rsidRPr="004D309B">
          <w:rPr>
            <w:rStyle w:val="Hyperlink"/>
            <w:rFonts w:asciiTheme="majorHAnsi" w:hAnsiTheme="majorHAnsi" w:cstheme="majorHAnsi"/>
          </w:rPr>
          <w:t>https://lordslibrary.parliament.uk/police-standards-and-culture-restoring-public-trust/#heading-7</w:t>
        </w:r>
      </w:hyperlink>
      <w:r w:rsidRPr="004D309B">
        <w:rPr>
          <w:rFonts w:asciiTheme="majorHAnsi" w:hAnsiTheme="majorHAnsi" w:cstheme="majorHAnsi"/>
        </w:rPr>
        <w:t xml:space="preserve">   (Accessed January 23, 2024).</w:t>
      </w:r>
    </w:p>
    <w:p w14:paraId="11D5F48F" w14:textId="77777777" w:rsidR="00BE3302" w:rsidRPr="004D309B" w:rsidRDefault="00BE3302" w:rsidP="004D309B">
      <w:pPr>
        <w:jc w:val="both"/>
        <w:rPr>
          <w:rFonts w:asciiTheme="majorHAnsi" w:hAnsiTheme="majorHAnsi" w:cstheme="majorHAnsi"/>
        </w:rPr>
      </w:pPr>
    </w:p>
    <w:p w14:paraId="5813C0C7"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Van Koppen, P. J. and Lochun, S. K. (1997). Portraying perpetrators: the validity of offender descriptions by witnesses. Law &amp; Human Behaviour, 21, pp. 661 to 685.</w:t>
      </w:r>
    </w:p>
    <w:p w14:paraId="08D7804B" w14:textId="77777777" w:rsidR="00BE3302" w:rsidRPr="004D309B" w:rsidRDefault="00BE3302" w:rsidP="004D309B">
      <w:pPr>
        <w:jc w:val="both"/>
        <w:rPr>
          <w:rFonts w:asciiTheme="majorHAnsi" w:hAnsiTheme="majorHAnsi" w:cstheme="majorHAnsi"/>
        </w:rPr>
      </w:pPr>
    </w:p>
    <w:p w14:paraId="4E61633C"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Verkampt, F. and Ginet, M. (2010). ‘Variations of the cognitive interview: Which one is the most effective in enhancing children’s testimonies?’ Applied Cognitive Psychology, volume 24 (9), pp. 1279 to 1296.</w:t>
      </w:r>
    </w:p>
    <w:p w14:paraId="0928D229" w14:textId="77777777" w:rsidR="00BE3302" w:rsidRPr="004D309B" w:rsidRDefault="00BE3302" w:rsidP="004D309B">
      <w:pPr>
        <w:jc w:val="both"/>
        <w:rPr>
          <w:rFonts w:asciiTheme="majorHAnsi" w:hAnsiTheme="majorHAnsi" w:cstheme="majorHAnsi"/>
        </w:rPr>
      </w:pPr>
    </w:p>
    <w:p w14:paraId="7E132ECE" w14:textId="77777777" w:rsidR="00BE3302" w:rsidRPr="004D309B" w:rsidRDefault="00BE3302" w:rsidP="004D309B">
      <w:pPr>
        <w:jc w:val="both"/>
        <w:rPr>
          <w:rFonts w:asciiTheme="majorHAnsi" w:hAnsiTheme="majorHAnsi" w:cstheme="majorHAnsi"/>
        </w:rPr>
      </w:pPr>
      <w:r w:rsidRPr="004D309B">
        <w:rPr>
          <w:rFonts w:asciiTheme="majorHAnsi" w:hAnsiTheme="majorHAnsi" w:cstheme="majorHAnsi"/>
        </w:rPr>
        <w:t>Wedlock, E. and Tapley, J. (2016). ‘What works in supporting victims of crime: A rapid evidence assessment’. Victims’ Commissioner Report, pp. 1 to 44.</w:t>
      </w:r>
    </w:p>
    <w:p w14:paraId="40F792B7" w14:textId="77777777" w:rsidR="00BE3302" w:rsidRPr="004D309B" w:rsidRDefault="00BE3302" w:rsidP="004D309B">
      <w:pPr>
        <w:jc w:val="both"/>
        <w:rPr>
          <w:rFonts w:asciiTheme="majorHAnsi" w:hAnsiTheme="majorHAnsi" w:cstheme="majorHAnsi"/>
        </w:rPr>
      </w:pPr>
    </w:p>
    <w:p w14:paraId="74C45650" w14:textId="612834C7" w:rsidR="00BE3302" w:rsidRPr="004D309B" w:rsidRDefault="00BE3302" w:rsidP="004D309B">
      <w:pPr>
        <w:jc w:val="both"/>
        <w:rPr>
          <w:rFonts w:asciiTheme="majorHAnsi" w:hAnsiTheme="majorHAnsi" w:cstheme="majorHAnsi"/>
        </w:rPr>
      </w:pPr>
      <w:r w:rsidRPr="004D309B">
        <w:rPr>
          <w:rFonts w:asciiTheme="majorHAnsi" w:hAnsiTheme="majorHAnsi" w:cstheme="majorHAnsi"/>
        </w:rPr>
        <w:t xml:space="preserve">Youth Justice Board (2017). </w:t>
      </w:r>
      <w:r w:rsidRPr="00772AD0">
        <w:rPr>
          <w:rFonts w:asciiTheme="majorHAnsi" w:hAnsiTheme="majorHAnsi" w:cstheme="majorHAnsi"/>
          <w:i/>
          <w:iCs/>
        </w:rPr>
        <w:t>Community Safeguarding and Public protection incidents (CSPPI) – Standard Operating Procedures for Youth Offending Teams.</w:t>
      </w:r>
      <w:r w:rsidRPr="004D309B">
        <w:rPr>
          <w:rFonts w:asciiTheme="majorHAnsi" w:hAnsiTheme="majorHAnsi" w:cstheme="majorHAnsi"/>
        </w:rPr>
        <w:t xml:space="preserve"> Available at: </w:t>
      </w:r>
      <w:hyperlink r:id="rId26" w:history="1">
        <w:r w:rsidRPr="004D309B">
          <w:rPr>
            <w:rStyle w:val="Hyperlink"/>
            <w:rFonts w:asciiTheme="majorHAnsi" w:hAnsiTheme="majorHAnsi" w:cstheme="majorHAnsi"/>
          </w:rPr>
          <w:t>https://www.proceduresonline.com/trixcms1/media/9009/community-safeguarding-public-protection-incidents-csppi-guidance-010317-gb.pdf</w:t>
        </w:r>
      </w:hyperlink>
      <w:r w:rsidRPr="004D309B">
        <w:rPr>
          <w:rFonts w:asciiTheme="majorHAnsi" w:hAnsiTheme="majorHAnsi" w:cstheme="majorHAnsi"/>
        </w:rPr>
        <w:t xml:space="preserve">  (Accessed January 31, 2024).</w:t>
      </w:r>
    </w:p>
    <w:p w14:paraId="2B30211E" w14:textId="77777777" w:rsidR="00BE3302" w:rsidRPr="004D309B" w:rsidRDefault="00BE3302" w:rsidP="004D309B">
      <w:pPr>
        <w:jc w:val="both"/>
        <w:rPr>
          <w:rFonts w:asciiTheme="majorHAnsi" w:hAnsiTheme="majorHAnsi" w:cstheme="majorHAnsi"/>
        </w:rPr>
      </w:pPr>
    </w:p>
    <w:p w14:paraId="4E768718" w14:textId="30257565" w:rsidR="00565FFC" w:rsidRPr="004D309B" w:rsidRDefault="00BE3302" w:rsidP="004D309B">
      <w:pPr>
        <w:jc w:val="both"/>
        <w:rPr>
          <w:rFonts w:asciiTheme="majorHAnsi" w:hAnsiTheme="majorHAnsi" w:cstheme="majorHAnsi"/>
        </w:rPr>
      </w:pPr>
      <w:r w:rsidRPr="004D309B">
        <w:rPr>
          <w:rFonts w:asciiTheme="majorHAnsi" w:hAnsiTheme="majorHAnsi" w:cstheme="majorHAnsi"/>
        </w:rPr>
        <w:t xml:space="preserve">Youth Justice Board (2014). </w:t>
      </w:r>
      <w:r w:rsidRPr="00772AD0">
        <w:rPr>
          <w:rFonts w:asciiTheme="majorHAnsi" w:hAnsiTheme="majorHAnsi" w:cstheme="majorHAnsi"/>
          <w:i/>
          <w:iCs/>
        </w:rPr>
        <w:t>Supporting Safeguarding - Contributing to the safety and welfare of children.</w:t>
      </w:r>
      <w:r w:rsidRPr="004D309B">
        <w:rPr>
          <w:rFonts w:asciiTheme="majorHAnsi" w:hAnsiTheme="majorHAnsi" w:cstheme="majorHAnsi"/>
        </w:rPr>
        <w:t xml:space="preserve"> Available at: </w:t>
      </w:r>
      <w:hyperlink r:id="rId27" w:history="1">
        <w:r w:rsidRPr="004D309B">
          <w:rPr>
            <w:rStyle w:val="Hyperlink"/>
            <w:rFonts w:asciiTheme="majorHAnsi" w:hAnsiTheme="majorHAnsi" w:cstheme="majorHAnsi"/>
          </w:rPr>
          <w:t>https://www.gov.uk/government/publications/safeguard-in-the-youth-justice-system</w:t>
        </w:r>
      </w:hyperlink>
      <w:proofErr w:type="gramStart"/>
      <w:r w:rsidRPr="004D309B">
        <w:rPr>
          <w:rFonts w:asciiTheme="majorHAnsi" w:hAnsiTheme="majorHAnsi" w:cstheme="majorHAnsi"/>
        </w:rPr>
        <w:t xml:space="preserve">   (</w:t>
      </w:r>
      <w:proofErr w:type="gramEnd"/>
      <w:r w:rsidRPr="004D309B">
        <w:rPr>
          <w:rFonts w:asciiTheme="majorHAnsi" w:hAnsiTheme="majorHAnsi" w:cstheme="majorHAnsi"/>
        </w:rPr>
        <w:t>Accessed January 31, 2024).</w:t>
      </w:r>
    </w:p>
    <w:sectPr w:rsidR="00565FFC" w:rsidRPr="004D3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302"/>
    <w:rsid w:val="0010594A"/>
    <w:rsid w:val="002261DC"/>
    <w:rsid w:val="00226B34"/>
    <w:rsid w:val="002D31AF"/>
    <w:rsid w:val="002D5AA3"/>
    <w:rsid w:val="002E474F"/>
    <w:rsid w:val="00367B57"/>
    <w:rsid w:val="00371821"/>
    <w:rsid w:val="003B1431"/>
    <w:rsid w:val="00412AA4"/>
    <w:rsid w:val="004479A9"/>
    <w:rsid w:val="00481E0D"/>
    <w:rsid w:val="004D309B"/>
    <w:rsid w:val="00565FFC"/>
    <w:rsid w:val="006A4C55"/>
    <w:rsid w:val="00723AF3"/>
    <w:rsid w:val="00772AD0"/>
    <w:rsid w:val="00775216"/>
    <w:rsid w:val="007844A1"/>
    <w:rsid w:val="00797C3A"/>
    <w:rsid w:val="00822E49"/>
    <w:rsid w:val="008C1177"/>
    <w:rsid w:val="0091642A"/>
    <w:rsid w:val="00917BD4"/>
    <w:rsid w:val="00AB3424"/>
    <w:rsid w:val="00B65ADF"/>
    <w:rsid w:val="00BE3302"/>
    <w:rsid w:val="00D076B4"/>
    <w:rsid w:val="00D07A52"/>
    <w:rsid w:val="00D2661A"/>
    <w:rsid w:val="00D86DCF"/>
    <w:rsid w:val="00D96961"/>
    <w:rsid w:val="00DA3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A08E8"/>
  <w15:chartTrackingRefBased/>
  <w15:docId w15:val="{5174F142-0E5B-406D-9889-39D3A3682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3302"/>
    <w:rPr>
      <w:color w:val="0563C1" w:themeColor="hyperlink"/>
      <w:u w:val="single"/>
    </w:rPr>
  </w:style>
  <w:style w:type="character" w:styleId="UnresolvedMention">
    <w:name w:val="Unresolved Mention"/>
    <w:basedOn w:val="DefaultParagraphFont"/>
    <w:uiPriority w:val="99"/>
    <w:semiHidden/>
    <w:unhideWhenUsed/>
    <w:rsid w:val="00BE3302"/>
    <w:rPr>
      <w:color w:val="605E5C"/>
      <w:shd w:val="clear" w:color="auto" w:fill="E1DFDD"/>
    </w:rPr>
  </w:style>
  <w:style w:type="character" w:customStyle="1" w:styleId="ff6">
    <w:name w:val="ff6"/>
    <w:basedOn w:val="DefaultParagraphFont"/>
    <w:rsid w:val="00723AF3"/>
  </w:style>
  <w:style w:type="character" w:customStyle="1" w:styleId="ff1">
    <w:name w:val="ff1"/>
    <w:basedOn w:val="DefaultParagraphFont"/>
    <w:rsid w:val="00723AF3"/>
  </w:style>
  <w:style w:type="character" w:customStyle="1" w:styleId="ls1">
    <w:name w:val="ls1"/>
    <w:basedOn w:val="DefaultParagraphFont"/>
    <w:rsid w:val="00723AF3"/>
  </w:style>
  <w:style w:type="character" w:styleId="FollowedHyperlink">
    <w:name w:val="FollowedHyperlink"/>
    <w:basedOn w:val="DefaultParagraphFont"/>
    <w:uiPriority w:val="99"/>
    <w:semiHidden/>
    <w:unhideWhenUsed/>
    <w:rsid w:val="001059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075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code_of_ethics.pdf" TargetMode="External"/><Relationship Id="rId13" Type="http://schemas.openxmlformats.org/officeDocument/2006/relationships/hyperlink" Target="https://www.college.police.uk/app/engagement-and-communication/media-relations" TargetMode="External"/><Relationship Id="rId18" Type="http://schemas.openxmlformats.org/officeDocument/2006/relationships/hyperlink" Target="https://hmicfrs.justiceinspectorates.gov.uk/publications/public-perceptions-of-policing-in-england-and-wales-2018/" TargetMode="External"/><Relationship Id="rId26" Type="http://schemas.openxmlformats.org/officeDocument/2006/relationships/hyperlink" Target="https://www.proceduresonline.com/trixcms1/media/9009/community-safeguarding-public-protection-incidents-csppi-guidance-010317-gb.pdf" TargetMode="External"/><Relationship Id="rId3" Type="http://schemas.openxmlformats.org/officeDocument/2006/relationships/customXml" Target="../customXml/item3.xml"/><Relationship Id="rId21" Type="http://schemas.openxmlformats.org/officeDocument/2006/relationships/hyperlink" Target="https://www.simplypsychology.org/cognitive-interview.html" TargetMode="External"/><Relationship Id="rId7" Type="http://schemas.openxmlformats.org/officeDocument/2006/relationships/hyperlink" Target="https://researchbriefings.files.parliament.uk/documents/POST-PN-0693/POST-PN-0693.pdf" TargetMode="External"/><Relationship Id="rId12" Type="http://schemas.openxmlformats.org/officeDocument/2006/relationships/hyperlink" Target="https://www.college.police.uk/app/major-investigation-and-public-protection" TargetMode="External"/><Relationship Id="rId17" Type="http://schemas.openxmlformats.org/officeDocument/2006/relationships/hyperlink" Target="https://www.gov.uk/government/news/review-of-police-dismissals-launched" TargetMode="External"/><Relationship Id="rId25" Type="http://schemas.openxmlformats.org/officeDocument/2006/relationships/hyperlink" Target="https://lordslibrary.parliament.uk/police-standards-and-culture-restoring-public-trust/" TargetMode="External"/><Relationship Id="rId2" Type="http://schemas.openxmlformats.org/officeDocument/2006/relationships/customXml" Target="../customXml/item2.xml"/><Relationship Id="rId16" Type="http://schemas.openxmlformats.org/officeDocument/2006/relationships/hyperlink" Target="https://www.gov.uk/government/publications/multi-agency-public-protection-arrangements-mappa-guidance" TargetMode="External"/><Relationship Id="rId20" Type="http://schemas.openxmlformats.org/officeDocument/2006/relationships/hyperlink" Target="https://www.gov.uk/government/publications/public-perceptions-of-policing-a-review-of-research-and-literature/public-perceptions-of-policing-a-review-of-research-and-literatu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guidance/effective-supervision/culture-and-capacity" TargetMode="External"/><Relationship Id="rId24" Type="http://schemas.openxmlformats.org/officeDocument/2006/relationships/hyperlink" Target="https://www.policeforum.org/assets/30guidingprinciples.pdf" TargetMode="External"/><Relationship Id="rId5" Type="http://schemas.openxmlformats.org/officeDocument/2006/relationships/settings" Target="settings.xml"/><Relationship Id="rId15" Type="http://schemas.openxmlformats.org/officeDocument/2006/relationships/hyperlink" Target="https://www.college.police.uk/career-learning/career-development/career-pathways/response-policing" TargetMode="External"/><Relationship Id="rId23" Type="http://schemas.openxmlformats.org/officeDocument/2006/relationships/hyperlink" Target="https://www.ons.gov.uk/peoplepopulationandcommunity/crimeandjustice/datasets/stalkingfindingsfromthecrimesurveyforenglandandwales" TargetMode="External"/><Relationship Id="rId28" Type="http://schemas.openxmlformats.org/officeDocument/2006/relationships/fontTable" Target="fontTable.xml"/><Relationship Id="rId10" Type="http://schemas.openxmlformats.org/officeDocument/2006/relationships/hyperlink" Target="https://www.college.police.uk/app/major-investigation-and-public-protection/managing-sexual-offenders-and-violent-offenders/communication-and-media-consideration" TargetMode="External"/><Relationship Id="rId19" Type="http://schemas.openxmlformats.org/officeDocument/2006/relationships/hyperlink" Target="https://assets-hmicfrs.justiceinspectorates.gov.uk/uploads/inspection-of-vetting-misconduct-and-misogyny-in-the-police.pdf" TargetMode="External"/><Relationship Id="rId4" Type="http://schemas.openxmlformats.org/officeDocument/2006/relationships/styles" Target="styles.xml"/><Relationship Id="rId9" Type="http://schemas.openxmlformats.org/officeDocument/2006/relationships/hyperlink" Target="https://www.college.police.uk/ethics/code-of-ethics" TargetMode="External"/><Relationship Id="rId14" Type="http://schemas.openxmlformats.org/officeDocument/2006/relationships/hyperlink" Target="https://www.college.police.uk/guidance/neighbourhood-policing/promoting-right-culture" TargetMode="External"/><Relationship Id="rId22" Type="http://schemas.openxmlformats.org/officeDocument/2006/relationships/hyperlink" Target="https://www.researchgate.net/publication/322244302_The_police_and_social_media_Increased_accountability_from_a_more_informed_public_sphere" TargetMode="External"/><Relationship Id="rId27" Type="http://schemas.openxmlformats.org/officeDocument/2006/relationships/hyperlink" Target="https://www.gov.uk/government/publications/safeguard-in-the-youth-justic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8" ma:contentTypeDescription="Create a new document." ma:contentTypeScope="" ma:versionID="b56912eeb4f8895089b9392311ea6e9a">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de19f58dc7a82bbd60b590611547ac6a"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Props1.xml><?xml version="1.0" encoding="utf-8"?>
<ds:datastoreItem xmlns:ds="http://schemas.openxmlformats.org/officeDocument/2006/customXml" ds:itemID="{59E1F882-CECA-419E-A17F-ACC758B32A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951B7B-18EF-4F80-965E-D4471F23A434}">
  <ds:schemaRefs>
    <ds:schemaRef ds:uri="http://schemas.microsoft.com/sharepoint/v3/contenttype/forms"/>
  </ds:schemaRefs>
</ds:datastoreItem>
</file>

<file path=customXml/itemProps3.xml><?xml version="1.0" encoding="utf-8"?>
<ds:datastoreItem xmlns:ds="http://schemas.openxmlformats.org/officeDocument/2006/customXml" ds:itemID="{010E3BD3-2BE4-4314-AF10-25CF641FE86E}">
  <ds:schemaRefs>
    <ds:schemaRef ds:uri="http://schemas.microsoft.com/office/2006/documentManagement/types"/>
    <ds:schemaRef ds:uri="55171f73-b435-4aa5-ae37-5ae54d5bb0c3"/>
    <ds:schemaRef ds:uri="http://schemas.microsoft.com/office/infopath/2007/PartnerControls"/>
    <ds:schemaRef ds:uri="http://purl.org/dc/elements/1.1/"/>
    <ds:schemaRef ds:uri="http://schemas.microsoft.com/office/2006/metadata/properties"/>
    <ds:schemaRef ds:uri="36303ad2-5d4a-41ac-8ccd-b0c5c984eace"/>
    <ds:schemaRef ds:uri="http://schemas.openxmlformats.org/package/2006/metadata/core-properties"/>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5434</Words>
  <Characters>30975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Washbourne,Freya swp8348</dc:creator>
  <cp:keywords/>
  <dc:description/>
  <cp:lastModifiedBy>Washbourne,Freya swp8348</cp:lastModifiedBy>
  <cp:revision>2</cp:revision>
  <dcterms:created xsi:type="dcterms:W3CDTF">2024-03-03T21:54:00Z</dcterms:created>
  <dcterms:modified xsi:type="dcterms:W3CDTF">2024-03-03T21:54:00Z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ies>
</file>