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99CE9" w14:textId="77777777" w:rsidR="009974D3" w:rsidRDefault="009974D3">
      <w:pPr>
        <w:tabs>
          <w:tab w:val="left" w:pos="3240"/>
        </w:tabs>
        <w:spacing w:line="259" w:lineRule="auto"/>
        <w:jc w:val="left"/>
        <w:rPr>
          <w:rFonts w:ascii="Arial" w:hAnsi="Arial" w:cs="Arial"/>
          <w:sz w:val="22"/>
        </w:rPr>
      </w:pPr>
    </w:p>
    <w:p w14:paraId="5708CB29" w14:textId="77777777" w:rsidR="009974D3" w:rsidRDefault="00000000">
      <w:pPr>
        <w:spacing w:line="480" w:lineRule="auto"/>
        <w:jc w:val="center"/>
        <w:rPr>
          <w:rFonts w:ascii="Arial" w:hAnsi="Arial" w:cs="Arial"/>
          <w:b/>
          <w:bCs/>
          <w:sz w:val="22"/>
        </w:rPr>
      </w:pPr>
      <w:r>
        <w:rPr>
          <w:rFonts w:ascii="Arial" w:hAnsi="Arial" w:cs="Arial"/>
          <w:b/>
          <w:bCs/>
          <w:sz w:val="22"/>
        </w:rPr>
        <w:t>BMHP6029 – Psychological Classifications and Provisions</w:t>
      </w:r>
    </w:p>
    <w:p w14:paraId="2C1B038B" w14:textId="77777777" w:rsidR="009974D3" w:rsidRDefault="00000000">
      <w:pPr>
        <w:spacing w:line="480" w:lineRule="auto"/>
        <w:jc w:val="center"/>
        <w:rPr>
          <w:rFonts w:ascii="Arial" w:hAnsi="Arial" w:cs="Arial"/>
          <w:b/>
          <w:bCs/>
          <w:sz w:val="22"/>
        </w:rPr>
      </w:pPr>
      <w:r>
        <w:rPr>
          <w:rFonts w:ascii="Arial" w:hAnsi="Arial" w:cs="Arial"/>
          <w:b/>
          <w:bCs/>
          <w:sz w:val="22"/>
        </w:rPr>
        <w:t>Component 2: Written Assignment (Report)</w:t>
      </w:r>
    </w:p>
    <w:p w14:paraId="371CE50C" w14:textId="77777777" w:rsidR="009974D3" w:rsidRDefault="00000000">
      <w:pPr>
        <w:spacing w:line="480" w:lineRule="auto"/>
        <w:jc w:val="center"/>
        <w:rPr>
          <w:rFonts w:ascii="Arial" w:hAnsi="Arial" w:cs="Arial"/>
          <w:b/>
          <w:bCs/>
          <w:sz w:val="22"/>
        </w:rPr>
      </w:pPr>
      <w:r>
        <w:rPr>
          <w:rFonts w:ascii="Arial" w:hAnsi="Arial" w:cs="Arial"/>
          <w:b/>
          <w:bCs/>
          <w:sz w:val="22"/>
        </w:rPr>
        <w:t>A Critical Examination of Recurrent Depressive Disorder: ICD-11 Classification, Diagnosis, Treatment, Rehabilitation and Current Debates</w:t>
      </w:r>
    </w:p>
    <w:p w14:paraId="7D744AD9" w14:textId="1FC7B887" w:rsidR="009974D3" w:rsidRDefault="00000000">
      <w:pPr>
        <w:spacing w:line="480" w:lineRule="auto"/>
        <w:jc w:val="center"/>
        <w:rPr>
          <w:rFonts w:ascii="Arial" w:hAnsi="Arial" w:cs="Arial"/>
          <w:sz w:val="22"/>
        </w:rPr>
      </w:pPr>
      <w:r>
        <w:rPr>
          <w:rFonts w:ascii="Arial" w:hAnsi="Arial" w:cs="Arial"/>
          <w:b/>
          <w:bCs/>
          <w:sz w:val="22"/>
        </w:rPr>
        <w:t>Student Name:</w:t>
      </w:r>
      <w:r w:rsidR="001C1D7A">
        <w:rPr>
          <w:rFonts w:ascii="Arial" w:hAnsi="Arial" w:cs="Arial"/>
          <w:b/>
          <w:bCs/>
          <w:sz w:val="22"/>
        </w:rPr>
        <w:t xml:space="preserve"> Nabila Nazam</w:t>
      </w:r>
    </w:p>
    <w:p w14:paraId="71685AAB" w14:textId="6DE40CCD" w:rsidR="009974D3" w:rsidRDefault="00000000">
      <w:pPr>
        <w:spacing w:line="480" w:lineRule="auto"/>
        <w:jc w:val="center"/>
        <w:rPr>
          <w:rFonts w:ascii="Arial" w:hAnsi="Arial" w:cs="Arial"/>
          <w:sz w:val="22"/>
        </w:rPr>
      </w:pPr>
      <w:r>
        <w:rPr>
          <w:rFonts w:ascii="Arial" w:hAnsi="Arial" w:cs="Arial"/>
          <w:b/>
          <w:bCs/>
          <w:sz w:val="22"/>
        </w:rPr>
        <w:t>Student Number:</w:t>
      </w:r>
      <w:r w:rsidR="001C1D7A">
        <w:rPr>
          <w:rFonts w:ascii="Arial" w:hAnsi="Arial" w:cs="Arial"/>
          <w:b/>
          <w:bCs/>
          <w:sz w:val="22"/>
        </w:rPr>
        <w:t xml:space="preserve"> 2324644</w:t>
      </w:r>
    </w:p>
    <w:p w14:paraId="4B6B4B6E" w14:textId="77777777" w:rsidR="009974D3" w:rsidRDefault="00000000">
      <w:pPr>
        <w:spacing w:line="480" w:lineRule="auto"/>
        <w:jc w:val="center"/>
        <w:rPr>
          <w:rFonts w:ascii="Arial" w:hAnsi="Arial" w:cs="Arial"/>
          <w:sz w:val="22"/>
        </w:rPr>
      </w:pPr>
      <w:r>
        <w:rPr>
          <w:rFonts w:ascii="Arial" w:hAnsi="Arial" w:cs="Arial"/>
          <w:b/>
          <w:bCs/>
          <w:sz w:val="22"/>
        </w:rPr>
        <w:t>Module Code:</w:t>
      </w:r>
      <w:r>
        <w:rPr>
          <w:rFonts w:ascii="Arial" w:hAnsi="Arial" w:cs="Arial"/>
          <w:sz w:val="22"/>
        </w:rPr>
        <w:t xml:space="preserve"> BMHP6029</w:t>
      </w:r>
    </w:p>
    <w:p w14:paraId="6E3997CB" w14:textId="77777777" w:rsidR="009974D3" w:rsidRDefault="00000000">
      <w:pPr>
        <w:spacing w:line="480" w:lineRule="auto"/>
        <w:jc w:val="center"/>
        <w:rPr>
          <w:rFonts w:ascii="Arial" w:hAnsi="Arial" w:cs="Arial"/>
          <w:sz w:val="22"/>
        </w:rPr>
      </w:pPr>
      <w:r>
        <w:rPr>
          <w:rFonts w:ascii="Arial" w:hAnsi="Arial" w:cs="Arial"/>
          <w:b/>
          <w:bCs/>
          <w:sz w:val="22"/>
        </w:rPr>
        <w:t>Module Title:</w:t>
      </w:r>
      <w:r>
        <w:rPr>
          <w:rFonts w:ascii="Arial" w:hAnsi="Arial" w:cs="Arial"/>
          <w:sz w:val="22"/>
        </w:rPr>
        <w:t xml:space="preserve"> Psychological Classifications and Provisions</w:t>
      </w:r>
    </w:p>
    <w:p w14:paraId="328148F9" w14:textId="77777777" w:rsidR="009974D3" w:rsidRDefault="00000000">
      <w:pPr>
        <w:spacing w:line="480" w:lineRule="auto"/>
        <w:jc w:val="center"/>
        <w:rPr>
          <w:rFonts w:ascii="Arial" w:hAnsi="Arial" w:cs="Arial"/>
          <w:sz w:val="22"/>
        </w:rPr>
      </w:pPr>
      <w:proofErr w:type="spellStart"/>
      <w:r>
        <w:rPr>
          <w:rFonts w:ascii="Arial" w:hAnsi="Arial" w:cs="Arial"/>
          <w:b/>
          <w:bCs/>
          <w:sz w:val="22"/>
        </w:rPr>
        <w:t>Programme</w:t>
      </w:r>
      <w:proofErr w:type="spellEnd"/>
      <w:r>
        <w:rPr>
          <w:rFonts w:ascii="Arial" w:hAnsi="Arial" w:cs="Arial"/>
          <w:b/>
          <w:bCs/>
          <w:sz w:val="22"/>
        </w:rPr>
        <w:t>:</w:t>
      </w:r>
      <w:r>
        <w:rPr>
          <w:rFonts w:ascii="Arial" w:hAnsi="Arial" w:cs="Arial"/>
          <w:sz w:val="22"/>
        </w:rPr>
        <w:t xml:space="preserve"> BSc (Hons) Health and Social Care</w:t>
      </w:r>
    </w:p>
    <w:p w14:paraId="24D9469C" w14:textId="77777777" w:rsidR="009974D3" w:rsidRDefault="00000000">
      <w:pPr>
        <w:spacing w:line="480" w:lineRule="auto"/>
        <w:jc w:val="center"/>
        <w:rPr>
          <w:rFonts w:ascii="Arial" w:hAnsi="Arial" w:cs="Arial"/>
          <w:sz w:val="22"/>
        </w:rPr>
      </w:pPr>
      <w:r>
        <w:rPr>
          <w:rFonts w:ascii="Arial" w:hAnsi="Arial" w:cs="Arial"/>
          <w:b/>
          <w:bCs/>
          <w:sz w:val="22"/>
        </w:rPr>
        <w:t>Lecturer:</w:t>
      </w:r>
      <w:r>
        <w:rPr>
          <w:rFonts w:ascii="Arial" w:hAnsi="Arial" w:cs="Arial"/>
          <w:sz w:val="22"/>
        </w:rPr>
        <w:t xml:space="preserve"> Neale Haddon and Kennedy </w:t>
      </w:r>
      <w:proofErr w:type="spellStart"/>
      <w:r>
        <w:rPr>
          <w:rFonts w:ascii="Arial" w:hAnsi="Arial" w:cs="Arial"/>
          <w:sz w:val="22"/>
        </w:rPr>
        <w:t>Obohwemu</w:t>
      </w:r>
      <w:proofErr w:type="spellEnd"/>
    </w:p>
    <w:p w14:paraId="3E769375" w14:textId="66D3FBE1" w:rsidR="009974D3" w:rsidRDefault="00000000">
      <w:pPr>
        <w:spacing w:line="480" w:lineRule="auto"/>
        <w:jc w:val="center"/>
        <w:rPr>
          <w:rFonts w:ascii="Arial" w:hAnsi="Arial" w:cs="Arial"/>
          <w:sz w:val="22"/>
        </w:rPr>
      </w:pPr>
      <w:r>
        <w:rPr>
          <w:rFonts w:ascii="Arial" w:hAnsi="Arial" w:cs="Arial"/>
          <w:b/>
          <w:bCs/>
          <w:sz w:val="22"/>
        </w:rPr>
        <w:t>Submission Date:</w:t>
      </w:r>
      <w:r w:rsidR="001C1D7A">
        <w:rPr>
          <w:rFonts w:ascii="Arial" w:hAnsi="Arial" w:cs="Arial"/>
          <w:b/>
          <w:bCs/>
          <w:sz w:val="22"/>
        </w:rPr>
        <w:t xml:space="preserve"> 12/07/2026</w:t>
      </w:r>
    </w:p>
    <w:p w14:paraId="21639104" w14:textId="77777777" w:rsidR="009974D3" w:rsidRDefault="00000000">
      <w:pPr>
        <w:spacing w:line="259" w:lineRule="auto"/>
        <w:jc w:val="left"/>
        <w:rPr>
          <w:rFonts w:ascii="Arial" w:hAnsi="Arial" w:cs="Arial"/>
          <w:i/>
          <w:iCs/>
          <w:sz w:val="22"/>
        </w:rPr>
      </w:pPr>
      <w:r>
        <w:rPr>
          <w:rFonts w:ascii="Arial" w:hAnsi="Arial" w:cs="Arial"/>
          <w:i/>
          <w:iCs/>
          <w:sz w:val="22"/>
        </w:rPr>
        <w:br w:type="page"/>
      </w:r>
    </w:p>
    <w:p w14:paraId="1D427E09" w14:textId="77777777" w:rsidR="009974D3" w:rsidRDefault="00000000">
      <w:pPr>
        <w:pStyle w:val="TOCHeading"/>
        <w:jc w:val="center"/>
        <w:rPr>
          <w:rFonts w:ascii="Arial" w:hAnsi="Arial" w:cs="Arial"/>
          <w:b/>
          <w:bCs/>
          <w:color w:val="000000"/>
          <w:sz w:val="22"/>
          <w:szCs w:val="22"/>
        </w:rPr>
      </w:pPr>
      <w:r>
        <w:rPr>
          <w:rFonts w:ascii="Arial" w:hAnsi="Arial" w:cs="Arial"/>
          <w:b/>
          <w:bCs/>
          <w:color w:val="000000"/>
          <w:sz w:val="22"/>
          <w:szCs w:val="22"/>
        </w:rPr>
        <w:lastRenderedPageBreak/>
        <w:t>Table of Contents</w:t>
      </w:r>
    </w:p>
    <w:p w14:paraId="08E16B37" w14:textId="77777777" w:rsidR="009974D3" w:rsidRDefault="00000000">
      <w:pPr>
        <w:pStyle w:val="TOC1"/>
        <w:tabs>
          <w:tab w:val="right" w:leader="dot" w:pos="9350"/>
        </w:tabs>
        <w:rPr>
          <w:rFonts w:ascii="Calibri" w:eastAsia="SimSun" w:hAnsi="Calibri"/>
          <w:noProof/>
          <w:kern w:val="2"/>
          <w:szCs w:val="24"/>
          <w14:ligatures w14:val="standardContextual"/>
        </w:rPr>
      </w:pPr>
      <w:r>
        <w:fldChar w:fldCharType="begin"/>
      </w:r>
      <w:r>
        <w:instrText xml:space="preserve"> TOC \o "1-3" \h \z \u </w:instrText>
      </w:r>
      <w:r>
        <w:fldChar w:fldCharType="separate"/>
      </w:r>
      <w:hyperlink w:anchor="_Toc233846121" w:history="1">
        <w:r>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_Toc233846121 \h </w:instrText>
        </w:r>
        <w:r>
          <w:rPr>
            <w:noProof/>
            <w:webHidden/>
          </w:rPr>
        </w:r>
        <w:r>
          <w:rPr>
            <w:noProof/>
            <w:webHidden/>
          </w:rPr>
          <w:fldChar w:fldCharType="separate"/>
        </w:r>
        <w:r>
          <w:rPr>
            <w:noProof/>
            <w:webHidden/>
          </w:rPr>
          <w:t>3</w:t>
        </w:r>
        <w:r>
          <w:rPr>
            <w:noProof/>
            <w:webHidden/>
          </w:rPr>
          <w:fldChar w:fldCharType="end"/>
        </w:r>
      </w:hyperlink>
    </w:p>
    <w:p w14:paraId="4ADAE270" w14:textId="77777777" w:rsidR="009974D3" w:rsidRDefault="00000000">
      <w:pPr>
        <w:pStyle w:val="TOC1"/>
        <w:tabs>
          <w:tab w:val="right" w:leader="dot" w:pos="9350"/>
        </w:tabs>
        <w:rPr>
          <w:rFonts w:ascii="Calibri" w:eastAsia="SimSun" w:hAnsi="Calibri"/>
          <w:noProof/>
          <w:kern w:val="2"/>
          <w:szCs w:val="24"/>
          <w14:ligatures w14:val="standardContextual"/>
        </w:rPr>
      </w:pPr>
      <w:hyperlink w:anchor="_Toc233846122" w:history="1">
        <w:r>
          <w:rPr>
            <w:rStyle w:val="Hyperlink"/>
            <w:rFonts w:ascii="Arial" w:hAnsi="Arial" w:cs="Arial"/>
            <w:noProof/>
          </w:rPr>
          <w:t>2. ICD-11 Classification and Language</w:t>
        </w:r>
        <w:r>
          <w:rPr>
            <w:noProof/>
            <w:webHidden/>
          </w:rPr>
          <w:tab/>
        </w:r>
        <w:r>
          <w:rPr>
            <w:noProof/>
            <w:webHidden/>
          </w:rPr>
          <w:fldChar w:fldCharType="begin"/>
        </w:r>
        <w:r>
          <w:rPr>
            <w:noProof/>
            <w:webHidden/>
          </w:rPr>
          <w:instrText xml:space="preserve"> PAGEREF _Toc233846122 \h </w:instrText>
        </w:r>
        <w:r>
          <w:rPr>
            <w:noProof/>
            <w:webHidden/>
          </w:rPr>
        </w:r>
        <w:r>
          <w:rPr>
            <w:noProof/>
            <w:webHidden/>
          </w:rPr>
          <w:fldChar w:fldCharType="separate"/>
        </w:r>
        <w:r>
          <w:rPr>
            <w:noProof/>
            <w:webHidden/>
          </w:rPr>
          <w:t>3</w:t>
        </w:r>
        <w:r>
          <w:rPr>
            <w:noProof/>
            <w:webHidden/>
          </w:rPr>
          <w:fldChar w:fldCharType="end"/>
        </w:r>
      </w:hyperlink>
    </w:p>
    <w:p w14:paraId="4A2DCB23" w14:textId="77777777" w:rsidR="009974D3" w:rsidRDefault="00000000">
      <w:pPr>
        <w:pStyle w:val="TOC1"/>
        <w:tabs>
          <w:tab w:val="right" w:leader="dot" w:pos="9350"/>
        </w:tabs>
        <w:rPr>
          <w:rFonts w:ascii="Calibri" w:eastAsia="SimSun" w:hAnsi="Calibri"/>
          <w:noProof/>
          <w:kern w:val="2"/>
          <w:szCs w:val="24"/>
          <w14:ligatures w14:val="standardContextual"/>
        </w:rPr>
      </w:pPr>
      <w:hyperlink w:anchor="_Toc233846123" w:history="1">
        <w:r>
          <w:rPr>
            <w:rStyle w:val="Hyperlink"/>
            <w:rFonts w:ascii="Arial" w:hAnsi="Arial" w:cs="Arial"/>
            <w:noProof/>
          </w:rPr>
          <w:t>3. Diagnosis and Diagnostic Process</w:t>
        </w:r>
        <w:r>
          <w:rPr>
            <w:noProof/>
            <w:webHidden/>
          </w:rPr>
          <w:tab/>
        </w:r>
        <w:r>
          <w:rPr>
            <w:noProof/>
            <w:webHidden/>
          </w:rPr>
          <w:fldChar w:fldCharType="begin"/>
        </w:r>
        <w:r>
          <w:rPr>
            <w:noProof/>
            <w:webHidden/>
          </w:rPr>
          <w:instrText xml:space="preserve"> PAGEREF _Toc233846123 \h </w:instrText>
        </w:r>
        <w:r>
          <w:rPr>
            <w:noProof/>
            <w:webHidden/>
          </w:rPr>
        </w:r>
        <w:r>
          <w:rPr>
            <w:noProof/>
            <w:webHidden/>
          </w:rPr>
          <w:fldChar w:fldCharType="separate"/>
        </w:r>
        <w:r>
          <w:rPr>
            <w:noProof/>
            <w:webHidden/>
          </w:rPr>
          <w:t>4</w:t>
        </w:r>
        <w:r>
          <w:rPr>
            <w:noProof/>
            <w:webHidden/>
          </w:rPr>
          <w:fldChar w:fldCharType="end"/>
        </w:r>
      </w:hyperlink>
    </w:p>
    <w:p w14:paraId="59D6DF7F" w14:textId="77777777" w:rsidR="009974D3" w:rsidRDefault="00000000">
      <w:pPr>
        <w:pStyle w:val="TOC1"/>
        <w:tabs>
          <w:tab w:val="right" w:leader="dot" w:pos="9350"/>
        </w:tabs>
        <w:rPr>
          <w:rFonts w:ascii="Calibri" w:eastAsia="SimSun" w:hAnsi="Calibri"/>
          <w:noProof/>
          <w:kern w:val="2"/>
          <w:szCs w:val="24"/>
          <w14:ligatures w14:val="standardContextual"/>
        </w:rPr>
      </w:pPr>
      <w:hyperlink w:anchor="_Toc233846124" w:history="1">
        <w:r>
          <w:rPr>
            <w:rStyle w:val="Hyperlink"/>
            <w:rFonts w:ascii="Arial" w:hAnsi="Arial" w:cs="Arial"/>
            <w:noProof/>
          </w:rPr>
          <w:t>4. Treatment Approaches</w:t>
        </w:r>
        <w:r>
          <w:rPr>
            <w:noProof/>
            <w:webHidden/>
          </w:rPr>
          <w:tab/>
        </w:r>
        <w:r>
          <w:rPr>
            <w:noProof/>
            <w:webHidden/>
          </w:rPr>
          <w:fldChar w:fldCharType="begin"/>
        </w:r>
        <w:r>
          <w:rPr>
            <w:noProof/>
            <w:webHidden/>
          </w:rPr>
          <w:instrText xml:space="preserve"> PAGEREF _Toc233846124 \h </w:instrText>
        </w:r>
        <w:r>
          <w:rPr>
            <w:noProof/>
            <w:webHidden/>
          </w:rPr>
        </w:r>
        <w:r>
          <w:rPr>
            <w:noProof/>
            <w:webHidden/>
          </w:rPr>
          <w:fldChar w:fldCharType="separate"/>
        </w:r>
        <w:r>
          <w:rPr>
            <w:noProof/>
            <w:webHidden/>
          </w:rPr>
          <w:t>4</w:t>
        </w:r>
        <w:r>
          <w:rPr>
            <w:noProof/>
            <w:webHidden/>
          </w:rPr>
          <w:fldChar w:fldCharType="end"/>
        </w:r>
      </w:hyperlink>
    </w:p>
    <w:p w14:paraId="2348E68D" w14:textId="77777777" w:rsidR="009974D3" w:rsidRDefault="00000000">
      <w:pPr>
        <w:pStyle w:val="TOC1"/>
        <w:tabs>
          <w:tab w:val="right" w:leader="dot" w:pos="9350"/>
        </w:tabs>
        <w:rPr>
          <w:rFonts w:ascii="Calibri" w:eastAsia="SimSun" w:hAnsi="Calibri"/>
          <w:noProof/>
          <w:kern w:val="2"/>
          <w:szCs w:val="24"/>
          <w14:ligatures w14:val="standardContextual"/>
        </w:rPr>
      </w:pPr>
      <w:hyperlink w:anchor="_Toc233846125" w:history="1">
        <w:r>
          <w:rPr>
            <w:rStyle w:val="Hyperlink"/>
            <w:rFonts w:ascii="Arial" w:hAnsi="Arial" w:cs="Arial"/>
            <w:noProof/>
          </w:rPr>
          <w:t>5. Rehabilitation and Recovery Support</w:t>
        </w:r>
        <w:r>
          <w:rPr>
            <w:noProof/>
            <w:webHidden/>
          </w:rPr>
          <w:tab/>
        </w:r>
        <w:r>
          <w:rPr>
            <w:noProof/>
            <w:webHidden/>
          </w:rPr>
          <w:fldChar w:fldCharType="begin"/>
        </w:r>
        <w:r>
          <w:rPr>
            <w:noProof/>
            <w:webHidden/>
          </w:rPr>
          <w:instrText xml:space="preserve"> PAGEREF _Toc233846125 \h </w:instrText>
        </w:r>
        <w:r>
          <w:rPr>
            <w:noProof/>
            <w:webHidden/>
          </w:rPr>
        </w:r>
        <w:r>
          <w:rPr>
            <w:noProof/>
            <w:webHidden/>
          </w:rPr>
          <w:fldChar w:fldCharType="separate"/>
        </w:r>
        <w:r>
          <w:rPr>
            <w:noProof/>
            <w:webHidden/>
          </w:rPr>
          <w:t>5</w:t>
        </w:r>
        <w:r>
          <w:rPr>
            <w:noProof/>
            <w:webHidden/>
          </w:rPr>
          <w:fldChar w:fldCharType="end"/>
        </w:r>
      </w:hyperlink>
    </w:p>
    <w:p w14:paraId="3EC179C7" w14:textId="77777777" w:rsidR="009974D3" w:rsidRDefault="00000000">
      <w:pPr>
        <w:pStyle w:val="TOC1"/>
        <w:tabs>
          <w:tab w:val="right" w:leader="dot" w:pos="9350"/>
        </w:tabs>
        <w:rPr>
          <w:rFonts w:ascii="Calibri" w:eastAsia="SimSun" w:hAnsi="Calibri"/>
          <w:noProof/>
          <w:kern w:val="2"/>
          <w:szCs w:val="24"/>
          <w14:ligatures w14:val="standardContextual"/>
        </w:rPr>
      </w:pPr>
      <w:hyperlink w:anchor="_Toc233846126" w:history="1">
        <w:r>
          <w:rPr>
            <w:rStyle w:val="Hyperlink"/>
            <w:rFonts w:ascii="Arial" w:hAnsi="Arial" w:cs="Arial"/>
            <w:noProof/>
          </w:rPr>
          <w:t>6. Current Debates and Emerging Issues</w:t>
        </w:r>
        <w:r>
          <w:rPr>
            <w:noProof/>
            <w:webHidden/>
          </w:rPr>
          <w:tab/>
        </w:r>
        <w:r>
          <w:rPr>
            <w:noProof/>
            <w:webHidden/>
          </w:rPr>
          <w:fldChar w:fldCharType="begin"/>
        </w:r>
        <w:r>
          <w:rPr>
            <w:noProof/>
            <w:webHidden/>
          </w:rPr>
          <w:instrText xml:space="preserve"> PAGEREF _Toc233846126 \h </w:instrText>
        </w:r>
        <w:r>
          <w:rPr>
            <w:noProof/>
            <w:webHidden/>
          </w:rPr>
        </w:r>
        <w:r>
          <w:rPr>
            <w:noProof/>
            <w:webHidden/>
          </w:rPr>
          <w:fldChar w:fldCharType="separate"/>
        </w:r>
        <w:r>
          <w:rPr>
            <w:noProof/>
            <w:webHidden/>
          </w:rPr>
          <w:t>6</w:t>
        </w:r>
        <w:r>
          <w:rPr>
            <w:noProof/>
            <w:webHidden/>
          </w:rPr>
          <w:fldChar w:fldCharType="end"/>
        </w:r>
      </w:hyperlink>
    </w:p>
    <w:p w14:paraId="1F6996DE" w14:textId="77777777" w:rsidR="009974D3" w:rsidRDefault="00000000">
      <w:pPr>
        <w:pStyle w:val="TOC1"/>
        <w:tabs>
          <w:tab w:val="right" w:leader="dot" w:pos="9350"/>
        </w:tabs>
        <w:rPr>
          <w:rFonts w:ascii="Calibri" w:eastAsia="SimSun" w:hAnsi="Calibri"/>
          <w:noProof/>
          <w:kern w:val="2"/>
          <w:szCs w:val="24"/>
          <w14:ligatures w14:val="standardContextual"/>
        </w:rPr>
      </w:pPr>
      <w:hyperlink w:anchor="_Toc233846127" w:history="1">
        <w:r>
          <w:rPr>
            <w:rStyle w:val="Hyperlink"/>
            <w:rFonts w:ascii="Arial" w:hAnsi="Arial" w:cs="Arial"/>
            <w:noProof/>
          </w:rPr>
          <w:t>7. Recommendations for Practice, Policy and Research</w:t>
        </w:r>
        <w:r>
          <w:rPr>
            <w:noProof/>
            <w:webHidden/>
          </w:rPr>
          <w:tab/>
        </w:r>
        <w:r>
          <w:rPr>
            <w:noProof/>
            <w:webHidden/>
          </w:rPr>
          <w:fldChar w:fldCharType="begin"/>
        </w:r>
        <w:r>
          <w:rPr>
            <w:noProof/>
            <w:webHidden/>
          </w:rPr>
          <w:instrText xml:space="preserve"> PAGEREF _Toc233846127 \h </w:instrText>
        </w:r>
        <w:r>
          <w:rPr>
            <w:noProof/>
            <w:webHidden/>
          </w:rPr>
        </w:r>
        <w:r>
          <w:rPr>
            <w:noProof/>
            <w:webHidden/>
          </w:rPr>
          <w:fldChar w:fldCharType="separate"/>
        </w:r>
        <w:r>
          <w:rPr>
            <w:noProof/>
            <w:webHidden/>
          </w:rPr>
          <w:t>7</w:t>
        </w:r>
        <w:r>
          <w:rPr>
            <w:noProof/>
            <w:webHidden/>
          </w:rPr>
          <w:fldChar w:fldCharType="end"/>
        </w:r>
      </w:hyperlink>
    </w:p>
    <w:p w14:paraId="30CD98BE" w14:textId="77777777" w:rsidR="009974D3" w:rsidRDefault="00000000">
      <w:pPr>
        <w:pStyle w:val="TOC1"/>
        <w:tabs>
          <w:tab w:val="right" w:leader="dot" w:pos="9350"/>
        </w:tabs>
        <w:rPr>
          <w:rFonts w:ascii="Calibri" w:eastAsia="SimSun" w:hAnsi="Calibri"/>
          <w:noProof/>
          <w:kern w:val="2"/>
          <w:szCs w:val="24"/>
          <w14:ligatures w14:val="standardContextual"/>
        </w:rPr>
      </w:pPr>
      <w:hyperlink w:anchor="_Toc233846128" w:history="1">
        <w:r>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_Toc233846128 \h </w:instrText>
        </w:r>
        <w:r>
          <w:rPr>
            <w:noProof/>
            <w:webHidden/>
          </w:rPr>
        </w:r>
        <w:r>
          <w:rPr>
            <w:noProof/>
            <w:webHidden/>
          </w:rPr>
          <w:fldChar w:fldCharType="separate"/>
        </w:r>
        <w:r>
          <w:rPr>
            <w:noProof/>
            <w:webHidden/>
          </w:rPr>
          <w:t>7</w:t>
        </w:r>
        <w:r>
          <w:rPr>
            <w:noProof/>
            <w:webHidden/>
          </w:rPr>
          <w:fldChar w:fldCharType="end"/>
        </w:r>
      </w:hyperlink>
    </w:p>
    <w:p w14:paraId="1AE9E4BB" w14:textId="77777777" w:rsidR="009974D3" w:rsidRDefault="00000000">
      <w:r>
        <w:rPr>
          <w:b/>
          <w:bCs/>
          <w:noProof/>
        </w:rPr>
        <w:fldChar w:fldCharType="end"/>
      </w:r>
    </w:p>
    <w:p w14:paraId="362FB021" w14:textId="77777777" w:rsidR="009974D3" w:rsidRDefault="009974D3">
      <w:pPr>
        <w:spacing w:line="259" w:lineRule="auto"/>
        <w:jc w:val="left"/>
        <w:rPr>
          <w:rFonts w:ascii="Arial" w:hAnsi="Arial" w:cs="Arial"/>
          <w:sz w:val="22"/>
        </w:rPr>
      </w:pPr>
    </w:p>
    <w:p w14:paraId="5B960493" w14:textId="77777777" w:rsidR="009974D3" w:rsidRDefault="009974D3">
      <w:pPr>
        <w:spacing w:line="259" w:lineRule="auto"/>
        <w:jc w:val="left"/>
        <w:rPr>
          <w:rFonts w:ascii="Arial" w:hAnsi="Arial" w:cs="Arial"/>
          <w:sz w:val="22"/>
        </w:rPr>
      </w:pPr>
    </w:p>
    <w:p w14:paraId="1E5A160A" w14:textId="77777777" w:rsidR="009974D3" w:rsidRDefault="00000000">
      <w:pPr>
        <w:spacing w:line="259" w:lineRule="auto"/>
        <w:jc w:val="left"/>
        <w:rPr>
          <w:rFonts w:ascii="Arial" w:eastAsia="Times New Roman" w:hAnsi="Arial" w:cs="Arial"/>
          <w:b/>
          <w:bCs/>
          <w:kern w:val="36"/>
          <w:sz w:val="22"/>
        </w:rPr>
      </w:pPr>
      <w:bookmarkStart w:id="0" w:name="_Toc233845510"/>
      <w:r>
        <w:rPr>
          <w:rFonts w:ascii="Arial" w:hAnsi="Arial" w:cs="Arial"/>
          <w:sz w:val="22"/>
        </w:rPr>
        <w:br w:type="page"/>
      </w:r>
    </w:p>
    <w:p w14:paraId="528FADFC" w14:textId="77777777" w:rsidR="009974D3" w:rsidRDefault="00000000">
      <w:pPr>
        <w:pStyle w:val="Heading1"/>
        <w:rPr>
          <w:rFonts w:ascii="Arial" w:hAnsi="Arial" w:cs="Arial"/>
          <w:sz w:val="22"/>
          <w:szCs w:val="22"/>
        </w:rPr>
      </w:pPr>
      <w:bookmarkStart w:id="1" w:name="_Toc233846121"/>
      <w:r>
        <w:rPr>
          <w:rFonts w:ascii="Arial" w:hAnsi="Arial" w:cs="Arial"/>
          <w:sz w:val="22"/>
          <w:szCs w:val="22"/>
        </w:rPr>
        <w:lastRenderedPageBreak/>
        <w:t>1. Introduction</w:t>
      </w:r>
      <w:bookmarkEnd w:id="0"/>
      <w:bookmarkEnd w:id="1"/>
    </w:p>
    <w:p w14:paraId="6D12884B" w14:textId="77777777" w:rsidR="009974D3" w:rsidRDefault="00000000">
      <w:pPr>
        <w:rPr>
          <w:rFonts w:ascii="Arial" w:hAnsi="Arial" w:cs="Arial"/>
          <w:sz w:val="22"/>
        </w:rPr>
      </w:pPr>
      <w:r>
        <w:rPr>
          <w:rFonts w:ascii="Arial" w:hAnsi="Arial" w:cs="Arial"/>
          <w:sz w:val="22"/>
        </w:rPr>
        <w:t xml:space="preserve">Recurrent depressive disorder is a severe form of depression, in which a person suffers from several episodes of depression, not just one. In ICD-11 it falls in the category of "depressive disorders" and is understood as a pattern of recurrent low mood, loss of interest, decrease in energy and functioning in daily life (World Health Organization, 2022). This report critically discusses recurrent depressive disorder in terms of ICD-11 classification, diagnosis, treatment, rehabilitation, debates and recommendations for best practice. Depression is not just a medical condition, it is also influenced by social stress, social inequality and stigma, trauma and culture and access to care. According to Marx et al. (2023), major depressive disorder can be related to biological, psychological and social aspects and the therapy should not be based on one single aspect. This report maintains that ICD-11 classification has a role in communicating between professionals and in planning </w:t>
      </w:r>
      <w:proofErr w:type="gramStart"/>
      <w:r>
        <w:rPr>
          <w:rFonts w:ascii="Arial" w:hAnsi="Arial" w:cs="Arial"/>
          <w:sz w:val="22"/>
        </w:rPr>
        <w:t>care</w:t>
      </w:r>
      <w:proofErr w:type="gramEnd"/>
      <w:r>
        <w:rPr>
          <w:rFonts w:ascii="Arial" w:hAnsi="Arial" w:cs="Arial"/>
          <w:sz w:val="22"/>
        </w:rPr>
        <w:t xml:space="preserve"> but diagnosis and support should remain person-</w:t>
      </w:r>
      <w:proofErr w:type="spellStart"/>
      <w:r>
        <w:rPr>
          <w:rFonts w:ascii="Arial" w:hAnsi="Arial" w:cs="Arial"/>
          <w:sz w:val="22"/>
        </w:rPr>
        <w:t>centred</w:t>
      </w:r>
      <w:proofErr w:type="spellEnd"/>
      <w:r>
        <w:rPr>
          <w:rFonts w:ascii="Arial" w:hAnsi="Arial" w:cs="Arial"/>
          <w:sz w:val="22"/>
        </w:rPr>
        <w:t xml:space="preserve"> since in real life, recurrent depression is lived differently by different people.</w:t>
      </w:r>
    </w:p>
    <w:p w14:paraId="7B0386B9" w14:textId="77777777" w:rsidR="009974D3" w:rsidRDefault="00000000">
      <w:pPr>
        <w:pStyle w:val="Heading1"/>
        <w:rPr>
          <w:rFonts w:ascii="Arial" w:hAnsi="Arial" w:cs="Arial"/>
          <w:sz w:val="22"/>
          <w:szCs w:val="22"/>
        </w:rPr>
      </w:pPr>
      <w:bookmarkStart w:id="2" w:name="_Toc233845511"/>
      <w:bookmarkStart w:id="3" w:name="_Toc233846122"/>
      <w:r>
        <w:rPr>
          <w:rFonts w:ascii="Arial" w:hAnsi="Arial" w:cs="Arial"/>
          <w:sz w:val="22"/>
          <w:szCs w:val="22"/>
        </w:rPr>
        <w:t>2. ICD-11 Classification and Language</w:t>
      </w:r>
      <w:bookmarkEnd w:id="2"/>
      <w:bookmarkEnd w:id="3"/>
    </w:p>
    <w:p w14:paraId="7E5B2578" w14:textId="77777777" w:rsidR="009974D3" w:rsidRDefault="00000000">
      <w:pPr>
        <w:rPr>
          <w:rFonts w:ascii="Arial" w:hAnsi="Arial" w:cs="Arial"/>
          <w:sz w:val="22"/>
        </w:rPr>
      </w:pPr>
      <w:r>
        <w:rPr>
          <w:rFonts w:ascii="Arial" w:hAnsi="Arial" w:cs="Arial"/>
          <w:sz w:val="22"/>
        </w:rPr>
        <w:t xml:space="preserve">Recurrent depressive disorder is included in ICD-11 in Mood Disorders in the category of Depressive Disorders. Recurrent depressive disorder is distinct from a single depressive episode as the individual has had multiple depressive episodes over </w:t>
      </w:r>
      <w:proofErr w:type="gramStart"/>
      <w:r>
        <w:rPr>
          <w:rFonts w:ascii="Arial" w:hAnsi="Arial" w:cs="Arial"/>
          <w:sz w:val="22"/>
        </w:rPr>
        <w:t>a period of time</w:t>
      </w:r>
      <w:proofErr w:type="gramEnd"/>
      <w:r>
        <w:rPr>
          <w:rFonts w:ascii="Arial" w:hAnsi="Arial" w:cs="Arial"/>
          <w:sz w:val="22"/>
        </w:rPr>
        <w:t xml:space="preserve">, each followed by recovery or partial recovery (World Health Organization, 2022). This is significant as recurrence alters the professional thinking of risk and relapse prevention and long-term support. It's also significant that the word “disorder” is used. </w:t>
      </w:r>
      <w:proofErr w:type="gramStart"/>
      <w:r>
        <w:rPr>
          <w:rFonts w:ascii="Arial" w:hAnsi="Arial" w:cs="Arial"/>
          <w:sz w:val="22"/>
        </w:rPr>
        <w:t>It is clear that ICD-11</w:t>
      </w:r>
      <w:proofErr w:type="gramEnd"/>
      <w:r>
        <w:rPr>
          <w:rFonts w:ascii="Arial" w:hAnsi="Arial" w:cs="Arial"/>
          <w:sz w:val="22"/>
        </w:rPr>
        <w:t xml:space="preserve"> </w:t>
      </w:r>
      <w:proofErr w:type="spellStart"/>
      <w:r>
        <w:rPr>
          <w:rFonts w:ascii="Arial" w:hAnsi="Arial" w:cs="Arial"/>
          <w:sz w:val="22"/>
        </w:rPr>
        <w:t>recognises</w:t>
      </w:r>
      <w:proofErr w:type="spellEnd"/>
      <w:r>
        <w:rPr>
          <w:rFonts w:ascii="Arial" w:hAnsi="Arial" w:cs="Arial"/>
          <w:sz w:val="22"/>
        </w:rPr>
        <w:t xml:space="preserve"> recurrent depression as a form of mental health condition instead of an emotional response or a personal failing. This can be of assistance as it provides people with access to diagnosis, treatment, benefits, workplace adjustments and specialist services. However, the label can also be </w:t>
      </w:r>
      <w:proofErr w:type="spellStart"/>
      <w:r>
        <w:rPr>
          <w:rFonts w:ascii="Arial" w:hAnsi="Arial" w:cs="Arial"/>
          <w:sz w:val="22"/>
        </w:rPr>
        <w:t>stigmatising</w:t>
      </w:r>
      <w:proofErr w:type="spellEnd"/>
      <w:r>
        <w:rPr>
          <w:rFonts w:ascii="Arial" w:hAnsi="Arial" w:cs="Arial"/>
          <w:sz w:val="22"/>
        </w:rPr>
        <w:t xml:space="preserve">, </w:t>
      </w:r>
      <w:proofErr w:type="gramStart"/>
      <w:r>
        <w:rPr>
          <w:rFonts w:ascii="Arial" w:hAnsi="Arial" w:cs="Arial"/>
          <w:sz w:val="22"/>
        </w:rPr>
        <w:t>all the more</w:t>
      </w:r>
      <w:proofErr w:type="gramEnd"/>
      <w:r>
        <w:rPr>
          <w:rFonts w:ascii="Arial" w:hAnsi="Arial" w:cs="Arial"/>
          <w:sz w:val="22"/>
        </w:rPr>
        <w:t xml:space="preserve"> so when people are viewed only in terms of their diagnosis and not as social, personal and cultural beings. </w:t>
      </w:r>
      <w:proofErr w:type="spellStart"/>
      <w:r>
        <w:rPr>
          <w:rFonts w:ascii="Arial" w:hAnsi="Arial" w:cs="Arial"/>
          <w:sz w:val="22"/>
        </w:rPr>
        <w:t>Seemüller</w:t>
      </w:r>
      <w:proofErr w:type="spellEnd"/>
      <w:r>
        <w:rPr>
          <w:rFonts w:ascii="Arial" w:hAnsi="Arial" w:cs="Arial"/>
          <w:sz w:val="22"/>
        </w:rPr>
        <w:t xml:space="preserve"> (2023) states that ICD-11 brought important changes in the classification of mental disorders, but questions whether systems of diagnosis can adequately capture the complexity of mental suffering. This has relevance for recurrent depressive disorder as two individuals with the same diagnosis may have completely different causes, symptoms, coping mechanisms and support needs. ICD-11 classification can be helpful as it provides a common language for assessment and planning of care. It should not, however, be used in a restricted sense. Shevlin et al. (2023) demonstrate that tools based on ICD-11 can be useful for assessment but cannot replace the professional judgement. Insofar, it is important to understand </w:t>
      </w:r>
      <w:r>
        <w:rPr>
          <w:rFonts w:ascii="Arial" w:hAnsi="Arial" w:cs="Arial"/>
          <w:sz w:val="22"/>
        </w:rPr>
        <w:lastRenderedPageBreak/>
        <w:t xml:space="preserve">recurrent depressive </w:t>
      </w:r>
      <w:proofErr w:type="gramStart"/>
      <w:r>
        <w:rPr>
          <w:rFonts w:ascii="Arial" w:hAnsi="Arial" w:cs="Arial"/>
          <w:sz w:val="22"/>
        </w:rPr>
        <w:t>disorder</w:t>
      </w:r>
      <w:proofErr w:type="gramEnd"/>
      <w:r>
        <w:rPr>
          <w:rFonts w:ascii="Arial" w:hAnsi="Arial" w:cs="Arial"/>
          <w:sz w:val="22"/>
        </w:rPr>
        <w:t xml:space="preserve"> both in terms of the classification and the context of the person's life.</w:t>
      </w:r>
    </w:p>
    <w:p w14:paraId="19FA95DD" w14:textId="77777777" w:rsidR="009974D3" w:rsidRDefault="00000000">
      <w:pPr>
        <w:pStyle w:val="Heading1"/>
        <w:rPr>
          <w:rFonts w:ascii="Arial" w:hAnsi="Arial" w:cs="Arial"/>
          <w:sz w:val="22"/>
          <w:szCs w:val="22"/>
        </w:rPr>
      </w:pPr>
      <w:bookmarkStart w:id="4" w:name="_Toc233845512"/>
      <w:bookmarkStart w:id="5" w:name="_Toc233846123"/>
      <w:r>
        <w:rPr>
          <w:rFonts w:ascii="Arial" w:hAnsi="Arial" w:cs="Arial"/>
          <w:sz w:val="22"/>
          <w:szCs w:val="22"/>
        </w:rPr>
        <w:t>3. Diagnosis and Diagnostic Process</w:t>
      </w:r>
      <w:bookmarkEnd w:id="4"/>
      <w:bookmarkEnd w:id="5"/>
    </w:p>
    <w:p w14:paraId="3D53EE6A" w14:textId="77777777" w:rsidR="009974D3" w:rsidRDefault="00000000">
      <w:pPr>
        <w:rPr>
          <w:rFonts w:ascii="Arial" w:hAnsi="Arial" w:cs="Arial"/>
          <w:sz w:val="22"/>
        </w:rPr>
      </w:pPr>
      <w:r>
        <w:rPr>
          <w:rFonts w:ascii="Arial" w:hAnsi="Arial" w:cs="Arial"/>
          <w:sz w:val="22"/>
        </w:rPr>
        <w:t xml:space="preserve">Diagnosis of recurrent depressive disorder should be determined by a comprehensive clinical evaluation, and not just a brief questionnaire. A health worker should ask about their current symptoms, </w:t>
      </w:r>
      <w:proofErr w:type="gramStart"/>
      <w:r>
        <w:rPr>
          <w:rFonts w:ascii="Arial" w:hAnsi="Arial" w:cs="Arial"/>
          <w:sz w:val="22"/>
        </w:rPr>
        <w:t>past experience</w:t>
      </w:r>
      <w:proofErr w:type="gramEnd"/>
      <w:r>
        <w:rPr>
          <w:rFonts w:ascii="Arial" w:hAnsi="Arial" w:cs="Arial"/>
          <w:sz w:val="22"/>
        </w:rPr>
        <w:t xml:space="preserve"> of depression, how long the symptoms have been present, how </w:t>
      </w:r>
      <w:proofErr w:type="gramStart"/>
      <w:r>
        <w:rPr>
          <w:rFonts w:ascii="Arial" w:hAnsi="Arial" w:cs="Arial"/>
          <w:sz w:val="22"/>
        </w:rPr>
        <w:t>the depression</w:t>
      </w:r>
      <w:proofErr w:type="gramEnd"/>
      <w:r>
        <w:rPr>
          <w:rFonts w:ascii="Arial" w:hAnsi="Arial" w:cs="Arial"/>
          <w:sz w:val="22"/>
        </w:rPr>
        <w:t xml:space="preserve"> has affected their daily life, their physical health, previous medication use, family members with depression and social factors. This is important because with recurrent depression, it's not just about feeling down, it typically impacts work, school, relationships, sleep, motivation and overall functioning. ICD-11 helps in providing a clearer framework for understanding what constitutes a depressive episode, and what constitutes a repeated depressive episode (World Health Organization, 2022). But depression can be tricky to diagnose since it can present in a variety of ways. People tend to report sadness and loss of interest, or tiredness, poor concentration, irritability or physical complaints.</w:t>
      </w:r>
    </w:p>
    <w:p w14:paraId="57EE3C03" w14:textId="77777777" w:rsidR="009974D3" w:rsidRDefault="00000000">
      <w:pPr>
        <w:rPr>
          <w:rFonts w:ascii="Arial" w:hAnsi="Arial" w:cs="Arial"/>
          <w:sz w:val="22"/>
        </w:rPr>
      </w:pPr>
      <w:r>
        <w:rPr>
          <w:rFonts w:ascii="Arial" w:hAnsi="Arial" w:cs="Arial"/>
          <w:sz w:val="22"/>
        </w:rPr>
        <w:t xml:space="preserve">Screening tools are useful in the diagnostic </w:t>
      </w:r>
      <w:proofErr w:type="gramStart"/>
      <w:r>
        <w:rPr>
          <w:rFonts w:ascii="Arial" w:hAnsi="Arial" w:cs="Arial"/>
          <w:sz w:val="22"/>
        </w:rPr>
        <w:t>process, but</w:t>
      </w:r>
      <w:proofErr w:type="gramEnd"/>
      <w:r>
        <w:rPr>
          <w:rFonts w:ascii="Arial" w:hAnsi="Arial" w:cs="Arial"/>
          <w:sz w:val="22"/>
        </w:rPr>
        <w:t xml:space="preserve"> should not be used in place of clinical judgement. ICD-11 based self-report measures were developed by Shevlin et al. (2023), demonstrating that structured measures could be useful to identify symptoms consistently. But they </w:t>
      </w:r>
      <w:proofErr w:type="gramStart"/>
      <w:r>
        <w:rPr>
          <w:rFonts w:ascii="Arial" w:hAnsi="Arial" w:cs="Arial"/>
          <w:sz w:val="22"/>
        </w:rPr>
        <w:t>are not able to</w:t>
      </w:r>
      <w:proofErr w:type="gramEnd"/>
      <w:r>
        <w:rPr>
          <w:rFonts w:ascii="Arial" w:hAnsi="Arial" w:cs="Arial"/>
          <w:sz w:val="22"/>
        </w:rPr>
        <w:t xml:space="preserve"> identify underlying causes of symptoms, including trauma, poverty, isolation and discrimination or long-term stress. </w:t>
      </w:r>
      <w:proofErr w:type="gramStart"/>
      <w:r>
        <w:rPr>
          <w:rFonts w:ascii="Arial" w:hAnsi="Arial" w:cs="Arial"/>
          <w:sz w:val="22"/>
        </w:rPr>
        <w:t>Also</w:t>
      </w:r>
      <w:proofErr w:type="gramEnd"/>
      <w:r>
        <w:rPr>
          <w:rFonts w:ascii="Arial" w:hAnsi="Arial" w:cs="Arial"/>
          <w:sz w:val="22"/>
        </w:rPr>
        <w:t xml:space="preserve"> differential diagnosis is important. Experts must </w:t>
      </w:r>
      <w:proofErr w:type="gramStart"/>
      <w:r>
        <w:rPr>
          <w:rFonts w:ascii="Arial" w:hAnsi="Arial" w:cs="Arial"/>
          <w:sz w:val="22"/>
        </w:rPr>
        <w:t>take into account</w:t>
      </w:r>
      <w:proofErr w:type="gramEnd"/>
      <w:r>
        <w:rPr>
          <w:rFonts w:ascii="Arial" w:hAnsi="Arial" w:cs="Arial"/>
          <w:sz w:val="22"/>
        </w:rPr>
        <w:t xml:space="preserve"> the signs and symptoms could be better described by bipolar disorder, dysthymic disorder, anxiety, grief, substance use, or physical ailment and/or side effects of medication. This is important because a misdiagnosis may result in an incorrect diagnosis and poor outcomes. One of the big concerns is that depression is underdiagnosed, and </w:t>
      </w:r>
      <w:proofErr w:type="spellStart"/>
      <w:r>
        <w:rPr>
          <w:rFonts w:ascii="Arial" w:hAnsi="Arial" w:cs="Arial"/>
          <w:sz w:val="22"/>
        </w:rPr>
        <w:t>overdiagnosed</w:t>
      </w:r>
      <w:proofErr w:type="spellEnd"/>
      <w:r>
        <w:rPr>
          <w:rFonts w:ascii="Arial" w:hAnsi="Arial" w:cs="Arial"/>
          <w:sz w:val="22"/>
        </w:rPr>
        <w:t xml:space="preserve">. It might be underdiagnosed because people may not seek treatment because of stigma or limited access to services. In cases where common life issues are only </w:t>
      </w:r>
      <w:proofErr w:type="spellStart"/>
      <w:r>
        <w:rPr>
          <w:rFonts w:ascii="Arial" w:hAnsi="Arial" w:cs="Arial"/>
          <w:sz w:val="22"/>
        </w:rPr>
        <w:t>recognised</w:t>
      </w:r>
      <w:proofErr w:type="spellEnd"/>
      <w:r>
        <w:rPr>
          <w:rFonts w:ascii="Arial" w:hAnsi="Arial" w:cs="Arial"/>
          <w:sz w:val="22"/>
        </w:rPr>
        <w:t xml:space="preserve"> as medical, without sufficient consideration of </w:t>
      </w:r>
      <w:proofErr w:type="gramStart"/>
      <w:r>
        <w:rPr>
          <w:rFonts w:ascii="Arial" w:hAnsi="Arial" w:cs="Arial"/>
          <w:sz w:val="22"/>
        </w:rPr>
        <w:t>social</w:t>
      </w:r>
      <w:proofErr w:type="gramEnd"/>
      <w:r>
        <w:rPr>
          <w:rFonts w:ascii="Arial" w:hAnsi="Arial" w:cs="Arial"/>
          <w:sz w:val="22"/>
        </w:rPr>
        <w:t xml:space="preserve">, it may be </w:t>
      </w:r>
      <w:proofErr w:type="spellStart"/>
      <w:r>
        <w:rPr>
          <w:rFonts w:ascii="Arial" w:hAnsi="Arial" w:cs="Arial"/>
          <w:sz w:val="22"/>
        </w:rPr>
        <w:t>overdiagnosed</w:t>
      </w:r>
      <w:proofErr w:type="spellEnd"/>
      <w:r>
        <w:rPr>
          <w:rFonts w:ascii="Arial" w:hAnsi="Arial" w:cs="Arial"/>
          <w:sz w:val="22"/>
        </w:rPr>
        <w:t>.</w:t>
      </w:r>
    </w:p>
    <w:p w14:paraId="69812152" w14:textId="77777777" w:rsidR="009974D3" w:rsidRDefault="00000000">
      <w:pPr>
        <w:pStyle w:val="Heading1"/>
        <w:rPr>
          <w:rFonts w:ascii="Arial" w:hAnsi="Arial" w:cs="Arial"/>
          <w:sz w:val="22"/>
          <w:szCs w:val="22"/>
        </w:rPr>
      </w:pPr>
      <w:bookmarkStart w:id="6" w:name="_Toc233845513"/>
      <w:bookmarkStart w:id="7" w:name="_Toc233846124"/>
      <w:r>
        <w:rPr>
          <w:rFonts w:ascii="Arial" w:hAnsi="Arial" w:cs="Arial"/>
          <w:sz w:val="22"/>
          <w:szCs w:val="22"/>
        </w:rPr>
        <w:t>4. Treatment Approaches</w:t>
      </w:r>
      <w:bookmarkEnd w:id="6"/>
      <w:bookmarkEnd w:id="7"/>
    </w:p>
    <w:p w14:paraId="19E825A7" w14:textId="77777777" w:rsidR="009974D3" w:rsidRDefault="00000000">
      <w:pPr>
        <w:rPr>
          <w:rFonts w:ascii="Arial" w:hAnsi="Arial" w:cs="Arial"/>
          <w:sz w:val="22"/>
        </w:rPr>
      </w:pPr>
      <w:r>
        <w:rPr>
          <w:rFonts w:ascii="Arial" w:hAnsi="Arial" w:cs="Arial"/>
          <w:sz w:val="22"/>
        </w:rPr>
        <w:t xml:space="preserve">The treatment of recurrent depressive disorder should be tailored to the severity of the disorder, history of recurrence, risk, history of response to treatment, and individual factors. Treatment usually consists of psychological therapy, antidepressant medication, support and follow-up of lifestyle. </w:t>
      </w:r>
      <w:proofErr w:type="spellStart"/>
      <w:r>
        <w:rPr>
          <w:rFonts w:ascii="Arial" w:hAnsi="Arial" w:cs="Arial"/>
          <w:sz w:val="22"/>
        </w:rPr>
        <w:t>Karrouri</w:t>
      </w:r>
      <w:proofErr w:type="spellEnd"/>
      <w:r>
        <w:rPr>
          <w:rFonts w:ascii="Arial" w:hAnsi="Arial" w:cs="Arial"/>
          <w:sz w:val="22"/>
        </w:rPr>
        <w:t xml:space="preserve"> et al. (2021) </w:t>
      </w:r>
      <w:proofErr w:type="gramStart"/>
      <w:r>
        <w:rPr>
          <w:rFonts w:ascii="Arial" w:hAnsi="Arial" w:cs="Arial"/>
          <w:sz w:val="22"/>
        </w:rPr>
        <w:t>state</w:t>
      </w:r>
      <w:proofErr w:type="gramEnd"/>
      <w:r>
        <w:rPr>
          <w:rFonts w:ascii="Arial" w:hAnsi="Arial" w:cs="Arial"/>
          <w:sz w:val="22"/>
        </w:rPr>
        <w:t xml:space="preserve"> that the combination of medical and psychological </w:t>
      </w:r>
      <w:r>
        <w:rPr>
          <w:rFonts w:ascii="Arial" w:hAnsi="Arial" w:cs="Arial"/>
          <w:sz w:val="22"/>
        </w:rPr>
        <w:lastRenderedPageBreak/>
        <w:t xml:space="preserve">interventions based on evidence is the most effective way to treat depression. Antidepressants, particularly SSRIs, may be used, as they can help diminish depressive symptoms and aid in recovery. But medicine isn't the whole solution for everyone: some people find that they have side effects, they do not improve as quickly as expected, they return to their former conditions after stopping medication or they don't respond well to the medication. Lewis et al. (2021) showed that antidepressant continuation was superior to antidepressant discontinuation in reducing relapse – important in recurrent depression. This indicates that long-term maintenance treatment may be beneficial, however, it needs to be carefully evaluated to prevent unnecessary continuation of treatment. Psychological therapies are also relevant </w:t>
      </w:r>
      <w:proofErr w:type="gramStart"/>
      <w:r>
        <w:rPr>
          <w:rFonts w:ascii="Arial" w:hAnsi="Arial" w:cs="Arial"/>
          <w:sz w:val="22"/>
        </w:rPr>
        <w:t>in particular CBT</w:t>
      </w:r>
      <w:proofErr w:type="gramEnd"/>
      <w:r>
        <w:rPr>
          <w:rFonts w:ascii="Arial" w:hAnsi="Arial" w:cs="Arial"/>
          <w:sz w:val="22"/>
        </w:rPr>
        <w:t xml:space="preserve">, interpersonal therapy and </w:t>
      </w:r>
      <w:proofErr w:type="spellStart"/>
      <w:r>
        <w:rPr>
          <w:rFonts w:ascii="Arial" w:hAnsi="Arial" w:cs="Arial"/>
          <w:sz w:val="22"/>
        </w:rPr>
        <w:t>behavioural</w:t>
      </w:r>
      <w:proofErr w:type="spellEnd"/>
      <w:r>
        <w:rPr>
          <w:rFonts w:ascii="Arial" w:hAnsi="Arial" w:cs="Arial"/>
          <w:sz w:val="22"/>
        </w:rPr>
        <w:t xml:space="preserve"> activation. Guidi and Fava (2021) base their work on the fact that the combination of pharmacotherapy and psychotherapy is effective in improving outcomes in major depressive disorder. This is important as recurrent depression can require symptom decrease, thinking, relationship, stress and coping skills. Treatment-resistant depression is a significant issue for those who don't respond to the standard forms of treatment. McIntyre et al. (2023) demonstrate that treatment-resistant depression must be carefully identified, reassessed and managed by more </w:t>
      </w:r>
      <w:proofErr w:type="spellStart"/>
      <w:r>
        <w:rPr>
          <w:rFonts w:ascii="Arial" w:hAnsi="Arial" w:cs="Arial"/>
          <w:sz w:val="22"/>
        </w:rPr>
        <w:t>specialised</w:t>
      </w:r>
      <w:proofErr w:type="spellEnd"/>
      <w:r>
        <w:rPr>
          <w:rFonts w:ascii="Arial" w:hAnsi="Arial" w:cs="Arial"/>
          <w:sz w:val="22"/>
        </w:rPr>
        <w:t xml:space="preserve"> treatment. In practice, the professional should investigate </w:t>
      </w:r>
      <w:proofErr w:type="gramStart"/>
      <w:r>
        <w:rPr>
          <w:rFonts w:ascii="Arial" w:hAnsi="Arial" w:cs="Arial"/>
          <w:sz w:val="22"/>
        </w:rPr>
        <w:t>whether or not</w:t>
      </w:r>
      <w:proofErr w:type="gramEnd"/>
      <w:r>
        <w:rPr>
          <w:rFonts w:ascii="Arial" w:hAnsi="Arial" w:cs="Arial"/>
          <w:sz w:val="22"/>
        </w:rPr>
        <w:t xml:space="preserve"> the diagnosis is accurate, if there are physical health conditions, if the medications have been taken as prescribed, and if social factors are impairing recovery.</w:t>
      </w:r>
    </w:p>
    <w:p w14:paraId="7EDFA454" w14:textId="77777777" w:rsidR="009974D3" w:rsidRDefault="00000000">
      <w:pPr>
        <w:rPr>
          <w:rFonts w:ascii="Arial" w:hAnsi="Arial" w:cs="Arial"/>
          <w:sz w:val="22"/>
        </w:rPr>
      </w:pPr>
      <w:r>
        <w:rPr>
          <w:rFonts w:ascii="Arial" w:hAnsi="Arial" w:cs="Arial"/>
          <w:sz w:val="22"/>
        </w:rPr>
        <w:t xml:space="preserve">When first-line treatments are not effective enough, augmentation strategies might be considered. Nuñez et al. (2022) discovered that augmentation strategies may benefit individuals with treatment-resistant major depression. But attention should be paid to these approaches as more complicated treatments may also cause </w:t>
      </w:r>
      <w:proofErr w:type="gramStart"/>
      <w:r>
        <w:rPr>
          <w:rFonts w:ascii="Arial" w:hAnsi="Arial" w:cs="Arial"/>
          <w:sz w:val="22"/>
        </w:rPr>
        <w:t>the side</w:t>
      </w:r>
      <w:proofErr w:type="gramEnd"/>
      <w:r>
        <w:rPr>
          <w:rFonts w:ascii="Arial" w:hAnsi="Arial" w:cs="Arial"/>
          <w:sz w:val="22"/>
        </w:rPr>
        <w:t xml:space="preserve"> effects, and cost and service pressure. In general, treatment of recurrent depressive disorder should be long-term, flexible and individual. Purely medical approaches can alleviate symptoms, but will not necessarily resolve issues of loneliness, unemployment, trauma, poverty or stigma. Hence, treatment should be a combination of clinical and social/rehabilitation services.</w:t>
      </w:r>
    </w:p>
    <w:p w14:paraId="243C80C7" w14:textId="77777777" w:rsidR="009974D3" w:rsidRDefault="00000000">
      <w:pPr>
        <w:pStyle w:val="Heading1"/>
        <w:rPr>
          <w:rFonts w:ascii="Arial" w:hAnsi="Arial" w:cs="Arial"/>
          <w:sz w:val="22"/>
          <w:szCs w:val="22"/>
        </w:rPr>
      </w:pPr>
      <w:bookmarkStart w:id="8" w:name="_Toc233845514"/>
      <w:bookmarkStart w:id="9" w:name="_Toc233846125"/>
      <w:r>
        <w:rPr>
          <w:rFonts w:ascii="Arial" w:hAnsi="Arial" w:cs="Arial"/>
          <w:sz w:val="22"/>
          <w:szCs w:val="22"/>
        </w:rPr>
        <w:t>5. Rehabilitation and Recovery Support</w:t>
      </w:r>
      <w:bookmarkEnd w:id="8"/>
      <w:bookmarkEnd w:id="9"/>
    </w:p>
    <w:p w14:paraId="402511E8" w14:textId="77777777" w:rsidR="009974D3" w:rsidRDefault="00000000">
      <w:pPr>
        <w:rPr>
          <w:rFonts w:ascii="Arial" w:hAnsi="Arial" w:cs="Arial"/>
          <w:sz w:val="22"/>
        </w:rPr>
      </w:pPr>
      <w:r>
        <w:rPr>
          <w:rFonts w:ascii="Arial" w:hAnsi="Arial" w:cs="Arial"/>
          <w:sz w:val="22"/>
        </w:rPr>
        <w:t xml:space="preserve">In recurrent depressive disorder, treatment should aim to return the individual to their </w:t>
      </w:r>
      <w:proofErr w:type="gramStart"/>
      <w:r>
        <w:rPr>
          <w:rFonts w:ascii="Arial" w:hAnsi="Arial" w:cs="Arial"/>
          <w:sz w:val="22"/>
        </w:rPr>
        <w:t>day to day</w:t>
      </w:r>
      <w:proofErr w:type="gramEnd"/>
      <w:r>
        <w:rPr>
          <w:rFonts w:ascii="Arial" w:hAnsi="Arial" w:cs="Arial"/>
          <w:sz w:val="22"/>
        </w:rPr>
        <w:t xml:space="preserve"> life, not just improve symptoms. This may involve assistance with tasks, school, relationships, sleeping routines, social confidence and functioning. Relapses of depression are common, and planning for recovery should begin with prevention of relapse. Psychoeducation is an integral component of rehabilitation. This includes ensuring that the person understands what has been </w:t>
      </w:r>
      <w:r>
        <w:rPr>
          <w:rFonts w:ascii="Arial" w:hAnsi="Arial" w:cs="Arial"/>
          <w:sz w:val="22"/>
        </w:rPr>
        <w:lastRenderedPageBreak/>
        <w:t>happening to them, how to identify early warning signs and what to do if symptoms return. For instance, one might experience shifts in sleeping, motivation, eating, focus or withdrawal from social interaction without progressing to a full-blown depression. If there is a clear plan for what to do if the person relapses, this will help him/her to reach out for help sooner. Psychological relapse prevention is very pertinent here. CBT and modified CBT can be used to reduce the risk of relapse and recurrence in depression, according to Chen et al., (2022). This indicates that intervention should not just be provided during times of crisis, but after improvement as well, helping people to sustain recovery.</w:t>
      </w:r>
    </w:p>
    <w:p w14:paraId="692CD349" w14:textId="77777777" w:rsidR="009974D3" w:rsidRDefault="00000000">
      <w:pPr>
        <w:rPr>
          <w:rFonts w:ascii="Arial" w:hAnsi="Arial" w:cs="Arial"/>
          <w:sz w:val="22"/>
        </w:rPr>
      </w:pPr>
      <w:r>
        <w:rPr>
          <w:rFonts w:ascii="Arial" w:hAnsi="Arial" w:cs="Arial"/>
          <w:sz w:val="22"/>
        </w:rPr>
        <w:t xml:space="preserve">Social and practical support should also be provided as part of the rehabilitation. Krijnen-de Bruin et al. (2022) demonstrate evidence that psychological interventions </w:t>
      </w:r>
      <w:proofErr w:type="gramStart"/>
      <w:r>
        <w:rPr>
          <w:rFonts w:ascii="Arial" w:hAnsi="Arial" w:cs="Arial"/>
          <w:sz w:val="22"/>
        </w:rPr>
        <w:t>are able to</w:t>
      </w:r>
      <w:proofErr w:type="gramEnd"/>
      <w:r>
        <w:rPr>
          <w:rFonts w:ascii="Arial" w:hAnsi="Arial" w:cs="Arial"/>
          <w:sz w:val="22"/>
        </w:rPr>
        <w:t xml:space="preserve"> lower the risk of </w:t>
      </w:r>
      <w:proofErr w:type="gramStart"/>
      <w:r>
        <w:rPr>
          <w:rFonts w:ascii="Arial" w:hAnsi="Arial" w:cs="Arial"/>
          <w:sz w:val="22"/>
        </w:rPr>
        <w:t>relapse</w:t>
      </w:r>
      <w:proofErr w:type="gramEnd"/>
      <w:r>
        <w:rPr>
          <w:rFonts w:ascii="Arial" w:hAnsi="Arial" w:cs="Arial"/>
          <w:sz w:val="22"/>
        </w:rPr>
        <w:t xml:space="preserve"> in depression and anxiety. But if the individual is </w:t>
      </w:r>
      <w:proofErr w:type="gramStart"/>
      <w:r>
        <w:rPr>
          <w:rFonts w:ascii="Arial" w:hAnsi="Arial" w:cs="Arial"/>
          <w:sz w:val="22"/>
        </w:rPr>
        <w:t>in the midst of</w:t>
      </w:r>
      <w:proofErr w:type="gramEnd"/>
      <w:r>
        <w:rPr>
          <w:rFonts w:ascii="Arial" w:hAnsi="Arial" w:cs="Arial"/>
          <w:sz w:val="22"/>
        </w:rPr>
        <w:t xml:space="preserve"> unemployment, family stress, loneliness or poor housing, therapy alone may not be sufficient. However, Zhou et al. (2023) revealed that whilst psychological interventions are effective in assisting relapse prevention, the efficacy of each may vary across individuals. This does not imply that rehabilitation should be "one size fits all. The downside is that ICD-11 primarily classifies and does not necessarily offer a comprehensive rehabilitation plan. </w:t>
      </w:r>
      <w:proofErr w:type="gramStart"/>
      <w:r>
        <w:rPr>
          <w:rFonts w:ascii="Arial" w:hAnsi="Arial" w:cs="Arial"/>
          <w:sz w:val="22"/>
        </w:rPr>
        <w:t>So</w:t>
      </w:r>
      <w:proofErr w:type="gramEnd"/>
      <w:r>
        <w:rPr>
          <w:rFonts w:ascii="Arial" w:hAnsi="Arial" w:cs="Arial"/>
          <w:sz w:val="22"/>
        </w:rPr>
        <w:t xml:space="preserve"> whilst professionals are encouraged to use ICD-11 for diagnosis, recovery support should be about what the person </w:t>
      </w:r>
      <w:proofErr w:type="gramStart"/>
      <w:r>
        <w:rPr>
          <w:rFonts w:ascii="Arial" w:hAnsi="Arial" w:cs="Arial"/>
          <w:sz w:val="22"/>
        </w:rPr>
        <w:t>actually needs</w:t>
      </w:r>
      <w:proofErr w:type="gramEnd"/>
      <w:r>
        <w:rPr>
          <w:rFonts w:ascii="Arial" w:hAnsi="Arial" w:cs="Arial"/>
          <w:sz w:val="22"/>
        </w:rPr>
        <w:t>, their strengths and barriers to recovery.</w:t>
      </w:r>
    </w:p>
    <w:p w14:paraId="77B287D5" w14:textId="77777777" w:rsidR="009974D3" w:rsidRDefault="00000000">
      <w:pPr>
        <w:pStyle w:val="Heading1"/>
        <w:rPr>
          <w:rFonts w:ascii="Arial" w:hAnsi="Arial" w:cs="Arial"/>
          <w:sz w:val="22"/>
          <w:szCs w:val="22"/>
        </w:rPr>
      </w:pPr>
      <w:bookmarkStart w:id="10" w:name="_Toc233845515"/>
      <w:bookmarkStart w:id="11" w:name="_Toc233846126"/>
      <w:r>
        <w:rPr>
          <w:rFonts w:ascii="Arial" w:hAnsi="Arial" w:cs="Arial"/>
          <w:sz w:val="22"/>
          <w:szCs w:val="22"/>
        </w:rPr>
        <w:t>6. Current Debates and Emerging Issues</w:t>
      </w:r>
      <w:bookmarkEnd w:id="10"/>
      <w:bookmarkEnd w:id="11"/>
    </w:p>
    <w:p w14:paraId="1712014C" w14:textId="77777777" w:rsidR="009974D3" w:rsidRDefault="00000000">
      <w:pPr>
        <w:rPr>
          <w:rFonts w:ascii="Arial" w:hAnsi="Arial" w:cs="Arial"/>
          <w:sz w:val="22"/>
        </w:rPr>
      </w:pPr>
      <w:r>
        <w:rPr>
          <w:rFonts w:ascii="Arial" w:hAnsi="Arial" w:cs="Arial"/>
          <w:sz w:val="22"/>
        </w:rPr>
        <w:t xml:space="preserve">One of the major discussions was about the nature of recurrent depressive disorder, whether primarily a medical disorder or profoundly affected by social factors. The ICD-11 provides a well-defined framework for diagnosis, and it may not necessarily show how trauma, poverty, isolation, discrimination or culture contribute to an individual's depression (World Health Organization, 2022). The use of medication is another controversy. Antidepressants may have a benefit in reducing </w:t>
      </w:r>
      <w:proofErr w:type="gramStart"/>
      <w:r>
        <w:rPr>
          <w:rFonts w:ascii="Arial" w:hAnsi="Arial" w:cs="Arial"/>
          <w:sz w:val="22"/>
        </w:rPr>
        <w:t>relapse</w:t>
      </w:r>
      <w:proofErr w:type="gramEnd"/>
      <w:r>
        <w:rPr>
          <w:rFonts w:ascii="Arial" w:hAnsi="Arial" w:cs="Arial"/>
          <w:sz w:val="22"/>
        </w:rPr>
        <w:t>, particularly with recurrent depression, but there are concerns regarding side effects and review and patient choice (Lewis et al., 2021).</w:t>
      </w:r>
    </w:p>
    <w:p w14:paraId="3F28154A" w14:textId="77777777" w:rsidR="009974D3" w:rsidRDefault="00000000">
      <w:pPr>
        <w:rPr>
          <w:rFonts w:ascii="Arial" w:hAnsi="Arial" w:cs="Arial"/>
          <w:sz w:val="22"/>
        </w:rPr>
      </w:pPr>
      <w:r>
        <w:rPr>
          <w:rFonts w:ascii="Arial" w:hAnsi="Arial" w:cs="Arial"/>
          <w:sz w:val="22"/>
        </w:rPr>
        <w:t xml:space="preserve">Relapse prevention is also important as recurrent depression isn't just about treating one episode. CBT-based techniques have been shown to lower the risk of relapse; however, the waiting lists to access therapy, cost, and unequal service availability (Chen et al., 2022) are some of the barriers to its use in practice include waiting lists, cost and unequal service availability. Another new topic is neurodivergence. The expression of depression can vary in autistic individuals and those with ADHD, and therefore assessment and treatment should be tailored to the specific </w:t>
      </w:r>
      <w:r>
        <w:rPr>
          <w:rFonts w:ascii="Arial" w:hAnsi="Arial" w:cs="Arial"/>
          <w:sz w:val="22"/>
        </w:rPr>
        <w:lastRenderedPageBreak/>
        <w:t>context (Curnow et al., 2023). Reclassification is also important as there may be overlap between recurrent depressive disorder, dysthymic disorder, bipolar disorder, and bereavement and anxiety. However, in practice, classification should be applied with caution as it can result in the wrong type of treatment.</w:t>
      </w:r>
    </w:p>
    <w:p w14:paraId="0EED7A47" w14:textId="77777777" w:rsidR="009974D3" w:rsidRDefault="00000000">
      <w:pPr>
        <w:pStyle w:val="Heading1"/>
        <w:rPr>
          <w:rFonts w:ascii="Arial" w:hAnsi="Arial" w:cs="Arial"/>
          <w:sz w:val="22"/>
          <w:szCs w:val="22"/>
        </w:rPr>
      </w:pPr>
      <w:bookmarkStart w:id="12" w:name="_Toc233845516"/>
      <w:bookmarkStart w:id="13" w:name="_Toc233846127"/>
      <w:r>
        <w:rPr>
          <w:rFonts w:ascii="Arial" w:hAnsi="Arial" w:cs="Arial"/>
          <w:sz w:val="22"/>
          <w:szCs w:val="22"/>
        </w:rPr>
        <w:t>7. Recommendations for Practice, Policy and Research</w:t>
      </w:r>
      <w:bookmarkEnd w:id="12"/>
      <w:bookmarkEnd w:id="13"/>
    </w:p>
    <w:p w14:paraId="4778A11A" w14:textId="77777777" w:rsidR="009974D3" w:rsidRDefault="00000000">
      <w:pPr>
        <w:rPr>
          <w:rFonts w:ascii="Arial" w:hAnsi="Arial" w:cs="Arial"/>
          <w:sz w:val="22"/>
        </w:rPr>
      </w:pPr>
      <w:r>
        <w:rPr>
          <w:rFonts w:ascii="Arial" w:hAnsi="Arial" w:cs="Arial"/>
          <w:sz w:val="22"/>
        </w:rPr>
        <w:t xml:space="preserve">Whilst a symptom checklist may be employed, a full biopsychosocial assessment is recommended for practice. When considering ICD-11, professionals should also consider symptoms, past episodes, physical health, trauma history, family context, work stress and financial and social stresses as ICD-11 helps classify the disorder but does not explain the person's full experience (World Health Organization, 2022). Early identification of recurrent depressive disorder needs to be improved in primary and mental health care. Using screening tools can be helpful, but with professional judgement and follow up assessment (Shevlin et al., 2023). Treatment should also be arranged as long term care since depression is recurrent. Although maintenance medication may cause a reduction in </w:t>
      </w:r>
      <w:proofErr w:type="gramStart"/>
      <w:r>
        <w:rPr>
          <w:rFonts w:ascii="Arial" w:hAnsi="Arial" w:cs="Arial"/>
          <w:sz w:val="22"/>
        </w:rPr>
        <w:t>relapse</w:t>
      </w:r>
      <w:proofErr w:type="gramEnd"/>
      <w:r>
        <w:rPr>
          <w:rFonts w:ascii="Arial" w:hAnsi="Arial" w:cs="Arial"/>
          <w:sz w:val="22"/>
        </w:rPr>
        <w:t xml:space="preserve">, it should be regularly reviewed in terms of side effects, patient choice and quality of life (Lewis et al., 2021). Psychological therapies should be more available, particularly CBT and relapse-prevention. CBT can support individuals identify unhelpful patterns and </w:t>
      </w:r>
      <w:proofErr w:type="spellStart"/>
      <w:r>
        <w:rPr>
          <w:rFonts w:ascii="Arial" w:hAnsi="Arial" w:cs="Arial"/>
          <w:sz w:val="22"/>
        </w:rPr>
        <w:t>minimise</w:t>
      </w:r>
      <w:proofErr w:type="spellEnd"/>
      <w:r>
        <w:rPr>
          <w:rFonts w:ascii="Arial" w:hAnsi="Arial" w:cs="Arial"/>
          <w:sz w:val="22"/>
        </w:rPr>
        <w:t xml:space="preserve"> the risk of future depressive episodes (Chen et al., 2022). </w:t>
      </w:r>
      <w:proofErr w:type="gramStart"/>
      <w:r>
        <w:rPr>
          <w:rFonts w:ascii="Arial" w:hAnsi="Arial" w:cs="Arial"/>
          <w:sz w:val="22"/>
        </w:rPr>
        <w:t>Also</w:t>
      </w:r>
      <w:proofErr w:type="gramEnd"/>
      <w:r>
        <w:rPr>
          <w:rFonts w:ascii="Arial" w:hAnsi="Arial" w:cs="Arial"/>
          <w:sz w:val="22"/>
        </w:rPr>
        <w:t xml:space="preserve"> services must be more accessible to neurodivergent individuals. Staff should be trained to ensure assessment and therapy is modified for autistic individuals or individuals with ADHD (Curnow et al., 2023). Policy should be designed to </w:t>
      </w:r>
      <w:proofErr w:type="spellStart"/>
      <w:r>
        <w:rPr>
          <w:rFonts w:ascii="Arial" w:hAnsi="Arial" w:cs="Arial"/>
          <w:sz w:val="22"/>
        </w:rPr>
        <w:t>minimise</w:t>
      </w:r>
      <w:proofErr w:type="spellEnd"/>
      <w:r>
        <w:rPr>
          <w:rFonts w:ascii="Arial" w:hAnsi="Arial" w:cs="Arial"/>
          <w:sz w:val="22"/>
        </w:rPr>
        <w:t xml:space="preserve"> differential access to </w:t>
      </w:r>
      <w:proofErr w:type="gramStart"/>
      <w:r>
        <w:rPr>
          <w:rFonts w:ascii="Arial" w:hAnsi="Arial" w:cs="Arial"/>
          <w:sz w:val="22"/>
        </w:rPr>
        <w:t>supports</w:t>
      </w:r>
      <w:proofErr w:type="gramEnd"/>
      <w:r>
        <w:rPr>
          <w:rFonts w:ascii="Arial" w:hAnsi="Arial" w:cs="Arial"/>
          <w:sz w:val="22"/>
        </w:rPr>
        <w:t xml:space="preserve"> through increased access to low-cost therapy, culturally safe </w:t>
      </w:r>
      <w:proofErr w:type="gramStart"/>
      <w:r>
        <w:rPr>
          <w:rFonts w:ascii="Arial" w:hAnsi="Arial" w:cs="Arial"/>
          <w:sz w:val="22"/>
        </w:rPr>
        <w:t>supports</w:t>
      </w:r>
      <w:proofErr w:type="gramEnd"/>
      <w:r>
        <w:rPr>
          <w:rFonts w:ascii="Arial" w:hAnsi="Arial" w:cs="Arial"/>
          <w:sz w:val="22"/>
        </w:rPr>
        <w:t>, community services, and referral networks. Further studies are also required to determine which combinations of medication, therapy and rehabilitation are most effective in various patient sub-populations.</w:t>
      </w:r>
    </w:p>
    <w:p w14:paraId="79C93BD5" w14:textId="77777777" w:rsidR="009974D3" w:rsidRDefault="00000000">
      <w:pPr>
        <w:pStyle w:val="Heading1"/>
        <w:rPr>
          <w:rFonts w:ascii="Arial" w:hAnsi="Arial" w:cs="Arial"/>
          <w:sz w:val="22"/>
          <w:szCs w:val="22"/>
        </w:rPr>
      </w:pPr>
      <w:bookmarkStart w:id="14" w:name="_Toc233845517"/>
      <w:bookmarkStart w:id="15" w:name="_Toc233846128"/>
      <w:r>
        <w:rPr>
          <w:rFonts w:ascii="Arial" w:hAnsi="Arial" w:cs="Arial"/>
          <w:sz w:val="22"/>
          <w:szCs w:val="22"/>
        </w:rPr>
        <w:t>8. Conclusion</w:t>
      </w:r>
      <w:bookmarkEnd w:id="14"/>
      <w:bookmarkEnd w:id="15"/>
    </w:p>
    <w:p w14:paraId="323CB7CF" w14:textId="77777777" w:rsidR="009974D3" w:rsidRDefault="00000000">
      <w:pPr>
        <w:rPr>
          <w:rFonts w:ascii="Arial" w:hAnsi="Arial" w:cs="Arial"/>
          <w:sz w:val="22"/>
        </w:rPr>
      </w:pPr>
      <w:r>
        <w:rPr>
          <w:rFonts w:ascii="Arial" w:hAnsi="Arial" w:cs="Arial"/>
          <w:sz w:val="22"/>
        </w:rPr>
        <w:t xml:space="preserve">Recurrent depressive disorder is a complex condition as it consists of multiple depressive episodes, and can </w:t>
      </w:r>
      <w:proofErr w:type="gramStart"/>
      <w:r>
        <w:rPr>
          <w:rFonts w:ascii="Arial" w:hAnsi="Arial" w:cs="Arial"/>
          <w:sz w:val="22"/>
        </w:rPr>
        <w:t>impact on</w:t>
      </w:r>
      <w:proofErr w:type="gramEnd"/>
      <w:r>
        <w:rPr>
          <w:rFonts w:ascii="Arial" w:hAnsi="Arial" w:cs="Arial"/>
          <w:sz w:val="22"/>
        </w:rPr>
        <w:t xml:space="preserve"> relationships, work, education and daily functioning. ICD-11 is helpful, as it classifies, but it does not tell the whole story about each person's social, cultural and personal background. A proper diagnosis should therefore be made, not only a check of the symptoms. The treatment should involve a combination of medication, psychological treatment and practical support as necessary. Rehabilitation is also a crucial aspect as individuals suffering </w:t>
      </w:r>
      <w:r>
        <w:rPr>
          <w:rFonts w:ascii="Arial" w:hAnsi="Arial" w:cs="Arial"/>
          <w:sz w:val="22"/>
        </w:rPr>
        <w:lastRenderedPageBreak/>
        <w:t xml:space="preserve">from depression are likely to experience the condition repeatedly and require assistance in preventing the relapse of depression, as well as in restoring normal life. Practice needs to be more holistic, long-term and </w:t>
      </w:r>
      <w:proofErr w:type="gramStart"/>
      <w:r>
        <w:rPr>
          <w:rFonts w:ascii="Arial" w:hAnsi="Arial" w:cs="Arial"/>
          <w:sz w:val="22"/>
        </w:rPr>
        <w:t>inclusive</w:t>
      </w:r>
      <w:proofErr w:type="gramEnd"/>
      <w:r>
        <w:rPr>
          <w:rFonts w:ascii="Arial" w:hAnsi="Arial" w:cs="Arial"/>
          <w:sz w:val="22"/>
        </w:rPr>
        <w:t xml:space="preserve"> particularly for those who are neurodivergent and face stigma or inequality.</w:t>
      </w:r>
    </w:p>
    <w:p w14:paraId="76958FCE" w14:textId="77777777" w:rsidR="009974D3" w:rsidRDefault="00000000">
      <w:pPr>
        <w:spacing w:line="259" w:lineRule="auto"/>
        <w:jc w:val="left"/>
        <w:rPr>
          <w:rFonts w:ascii="Arial" w:hAnsi="Arial" w:cs="Arial"/>
          <w:sz w:val="22"/>
        </w:rPr>
      </w:pPr>
      <w:r>
        <w:rPr>
          <w:rFonts w:ascii="Arial" w:hAnsi="Arial" w:cs="Arial"/>
          <w:sz w:val="22"/>
        </w:rPr>
        <w:br w:type="page"/>
      </w:r>
    </w:p>
    <w:p w14:paraId="1B40B817" w14:textId="77777777" w:rsidR="009974D3" w:rsidRDefault="00000000">
      <w:pPr>
        <w:pStyle w:val="Heading1"/>
      </w:pPr>
      <w:r>
        <w:lastRenderedPageBreak/>
        <w:t>References</w:t>
      </w:r>
    </w:p>
    <w:p w14:paraId="1CE317AF" w14:textId="77777777" w:rsidR="009974D3" w:rsidRDefault="00000000">
      <w:pPr>
        <w:ind w:left="720" w:hanging="720"/>
        <w:rPr>
          <w:rFonts w:ascii="Arial" w:hAnsi="Arial" w:cs="Arial"/>
          <w:color w:val="000000"/>
          <w:sz w:val="22"/>
        </w:rPr>
      </w:pPr>
      <w:r>
        <w:rPr>
          <w:rFonts w:ascii="Arial" w:hAnsi="Arial" w:cs="Arial"/>
          <w:color w:val="000000"/>
          <w:sz w:val="22"/>
        </w:rPr>
        <w:t xml:space="preserve">Chen, H., He, Q., Wang, M., Wang, X., Pu, C., Li, S. and Li, M. (2022) ‘Effectiveness of CBT and its modifications for prevention of relapse/recurrence in depression: A systematic review and meta-analysis of randomized controlled trials’, </w:t>
      </w:r>
      <w:r>
        <w:rPr>
          <w:rFonts w:ascii="Arial" w:hAnsi="Arial" w:cs="Arial"/>
          <w:i/>
          <w:iCs/>
          <w:color w:val="000000"/>
          <w:sz w:val="22"/>
        </w:rPr>
        <w:t>Journal of Affective Disorders</w:t>
      </w:r>
      <w:r>
        <w:rPr>
          <w:rFonts w:ascii="Arial" w:hAnsi="Arial" w:cs="Arial"/>
          <w:color w:val="000000"/>
          <w:sz w:val="22"/>
        </w:rPr>
        <w:t xml:space="preserve">, 319, pp. 469–481. </w:t>
      </w:r>
      <w:proofErr w:type="spellStart"/>
      <w:r>
        <w:rPr>
          <w:rFonts w:ascii="Arial" w:hAnsi="Arial" w:cs="Arial"/>
          <w:color w:val="000000"/>
          <w:sz w:val="22"/>
        </w:rPr>
        <w:t>doi</w:t>
      </w:r>
      <w:proofErr w:type="spellEnd"/>
      <w:r>
        <w:rPr>
          <w:rFonts w:ascii="Arial" w:hAnsi="Arial" w:cs="Arial"/>
          <w:color w:val="000000"/>
          <w:sz w:val="22"/>
        </w:rPr>
        <w:t xml:space="preserve">: </w:t>
      </w:r>
      <w:hyperlink r:id="rId8" w:history="1">
        <w:r>
          <w:rPr>
            <w:rStyle w:val="Hyperlink"/>
            <w:rFonts w:ascii="Arial" w:hAnsi="Arial" w:cs="Arial"/>
            <w:color w:val="000000"/>
            <w:sz w:val="22"/>
          </w:rPr>
          <w:t>https://doi.org/10.1016/j.jad.2022.09.027</w:t>
        </w:r>
      </w:hyperlink>
      <w:r>
        <w:rPr>
          <w:rFonts w:ascii="Arial" w:hAnsi="Arial" w:cs="Arial"/>
          <w:color w:val="000000"/>
          <w:sz w:val="22"/>
        </w:rPr>
        <w:t>.</w:t>
      </w:r>
    </w:p>
    <w:p w14:paraId="4F10596F" w14:textId="77777777" w:rsidR="009974D3" w:rsidRDefault="00000000">
      <w:pPr>
        <w:ind w:left="720" w:hanging="720"/>
        <w:rPr>
          <w:rFonts w:ascii="Arial" w:hAnsi="Arial" w:cs="Arial"/>
          <w:color w:val="000000"/>
          <w:sz w:val="22"/>
        </w:rPr>
      </w:pPr>
      <w:r>
        <w:rPr>
          <w:rFonts w:ascii="Arial" w:hAnsi="Arial" w:cs="Arial"/>
          <w:color w:val="000000"/>
          <w:sz w:val="22"/>
        </w:rPr>
        <w:t xml:space="preserve">Curnow, E., Rutherford, M., </w:t>
      </w:r>
      <w:proofErr w:type="spellStart"/>
      <w:r>
        <w:rPr>
          <w:rFonts w:ascii="Arial" w:hAnsi="Arial" w:cs="Arial"/>
          <w:color w:val="000000"/>
          <w:sz w:val="22"/>
        </w:rPr>
        <w:t>Maciver</w:t>
      </w:r>
      <w:proofErr w:type="spellEnd"/>
      <w:r>
        <w:rPr>
          <w:rFonts w:ascii="Arial" w:hAnsi="Arial" w:cs="Arial"/>
          <w:color w:val="000000"/>
          <w:sz w:val="22"/>
        </w:rPr>
        <w:t xml:space="preserve">, D., Johnston, L., Prior, S., Boilson, M., Shah, P., Jenkins, N. and Meff, T. (2023) ‘Mental health in autistic adults: A rapid review of prevalence of psychiatric disorders and umbrella review of the effectiveness of interventions within a neurodiversity informed perspective’, </w:t>
      </w:r>
      <w:r>
        <w:rPr>
          <w:rFonts w:ascii="Arial" w:hAnsi="Arial" w:cs="Arial"/>
          <w:i/>
          <w:iCs/>
          <w:color w:val="000000"/>
          <w:sz w:val="22"/>
        </w:rPr>
        <w:t>PLOS ONE</w:t>
      </w:r>
      <w:r>
        <w:rPr>
          <w:rFonts w:ascii="Arial" w:hAnsi="Arial" w:cs="Arial"/>
          <w:color w:val="000000"/>
          <w:sz w:val="22"/>
        </w:rPr>
        <w:t xml:space="preserve">, 18(7), e0288275. </w:t>
      </w:r>
      <w:proofErr w:type="spellStart"/>
      <w:r>
        <w:rPr>
          <w:rFonts w:ascii="Arial" w:hAnsi="Arial" w:cs="Arial"/>
          <w:color w:val="000000"/>
          <w:sz w:val="22"/>
        </w:rPr>
        <w:t>doi</w:t>
      </w:r>
      <w:proofErr w:type="spellEnd"/>
      <w:r>
        <w:rPr>
          <w:rFonts w:ascii="Arial" w:hAnsi="Arial" w:cs="Arial"/>
          <w:color w:val="000000"/>
          <w:sz w:val="22"/>
        </w:rPr>
        <w:t xml:space="preserve">: </w:t>
      </w:r>
      <w:hyperlink r:id="rId9" w:history="1">
        <w:r>
          <w:rPr>
            <w:rStyle w:val="Hyperlink"/>
            <w:rFonts w:ascii="Arial" w:hAnsi="Arial" w:cs="Arial"/>
            <w:color w:val="000000"/>
            <w:sz w:val="22"/>
          </w:rPr>
          <w:t>https://doi.org/10.1371/journal.pone.0288275</w:t>
        </w:r>
      </w:hyperlink>
      <w:r>
        <w:rPr>
          <w:rFonts w:ascii="Arial" w:hAnsi="Arial" w:cs="Arial"/>
          <w:color w:val="000000"/>
          <w:sz w:val="22"/>
        </w:rPr>
        <w:t>.</w:t>
      </w:r>
    </w:p>
    <w:p w14:paraId="4143CE64" w14:textId="77777777" w:rsidR="009974D3" w:rsidRDefault="00000000">
      <w:pPr>
        <w:ind w:left="720" w:hanging="720"/>
        <w:rPr>
          <w:rFonts w:ascii="Arial" w:hAnsi="Arial" w:cs="Arial"/>
          <w:color w:val="000000"/>
          <w:sz w:val="22"/>
        </w:rPr>
      </w:pPr>
      <w:r>
        <w:rPr>
          <w:rFonts w:ascii="Arial" w:hAnsi="Arial" w:cs="Arial"/>
          <w:color w:val="000000"/>
          <w:sz w:val="22"/>
        </w:rPr>
        <w:t xml:space="preserve">Guidi, J. and Fava, G.A. (2021) ‘Sequential combination of pharmacotherapy and psychotherapy in major depressive disorder: A systematic review and meta-analysis’, </w:t>
      </w:r>
      <w:r>
        <w:rPr>
          <w:rFonts w:ascii="Arial" w:hAnsi="Arial" w:cs="Arial"/>
          <w:i/>
          <w:iCs/>
          <w:color w:val="000000"/>
          <w:sz w:val="22"/>
        </w:rPr>
        <w:t>JAMA Psychiatry</w:t>
      </w:r>
      <w:r>
        <w:rPr>
          <w:rFonts w:ascii="Arial" w:hAnsi="Arial" w:cs="Arial"/>
          <w:color w:val="000000"/>
          <w:sz w:val="22"/>
        </w:rPr>
        <w:t xml:space="preserve">, 78(3), pp. 261–269. </w:t>
      </w:r>
      <w:proofErr w:type="spellStart"/>
      <w:r>
        <w:rPr>
          <w:rFonts w:ascii="Arial" w:hAnsi="Arial" w:cs="Arial"/>
          <w:color w:val="000000"/>
          <w:sz w:val="22"/>
        </w:rPr>
        <w:t>doi</w:t>
      </w:r>
      <w:proofErr w:type="spellEnd"/>
      <w:r>
        <w:rPr>
          <w:rFonts w:ascii="Arial" w:hAnsi="Arial" w:cs="Arial"/>
          <w:color w:val="000000"/>
          <w:sz w:val="22"/>
        </w:rPr>
        <w:t xml:space="preserve">: </w:t>
      </w:r>
      <w:hyperlink r:id="rId10" w:history="1">
        <w:r>
          <w:rPr>
            <w:rStyle w:val="Hyperlink"/>
            <w:rFonts w:ascii="Arial" w:hAnsi="Arial" w:cs="Arial"/>
            <w:color w:val="000000"/>
            <w:sz w:val="22"/>
          </w:rPr>
          <w:t>https://doi.org/10.1001/jamapsychiatry.2020.3650</w:t>
        </w:r>
      </w:hyperlink>
      <w:r>
        <w:rPr>
          <w:rFonts w:ascii="Arial" w:hAnsi="Arial" w:cs="Arial"/>
          <w:color w:val="000000"/>
          <w:sz w:val="22"/>
        </w:rPr>
        <w:t>.</w:t>
      </w:r>
    </w:p>
    <w:p w14:paraId="6151AEB7" w14:textId="77777777" w:rsidR="009974D3" w:rsidRDefault="00000000">
      <w:pPr>
        <w:ind w:left="720" w:hanging="720"/>
        <w:rPr>
          <w:rFonts w:ascii="Arial" w:hAnsi="Arial" w:cs="Arial"/>
          <w:color w:val="000000"/>
          <w:sz w:val="22"/>
        </w:rPr>
      </w:pPr>
      <w:proofErr w:type="spellStart"/>
      <w:r>
        <w:rPr>
          <w:rFonts w:ascii="Arial" w:hAnsi="Arial" w:cs="Arial"/>
          <w:color w:val="000000"/>
          <w:sz w:val="22"/>
        </w:rPr>
        <w:t>Karrouri</w:t>
      </w:r>
      <w:proofErr w:type="spellEnd"/>
      <w:r>
        <w:rPr>
          <w:rFonts w:ascii="Arial" w:hAnsi="Arial" w:cs="Arial"/>
          <w:color w:val="000000"/>
          <w:sz w:val="22"/>
        </w:rPr>
        <w:t xml:space="preserve">, R., </w:t>
      </w:r>
      <w:proofErr w:type="spellStart"/>
      <w:r>
        <w:rPr>
          <w:rFonts w:ascii="Arial" w:hAnsi="Arial" w:cs="Arial"/>
          <w:color w:val="000000"/>
          <w:sz w:val="22"/>
        </w:rPr>
        <w:t>Hammani</w:t>
      </w:r>
      <w:proofErr w:type="spellEnd"/>
      <w:r>
        <w:rPr>
          <w:rFonts w:ascii="Arial" w:hAnsi="Arial" w:cs="Arial"/>
          <w:color w:val="000000"/>
          <w:sz w:val="22"/>
        </w:rPr>
        <w:t xml:space="preserve">, Z., Benjelloun, R. and </w:t>
      </w:r>
      <w:proofErr w:type="spellStart"/>
      <w:r>
        <w:rPr>
          <w:rFonts w:ascii="Arial" w:hAnsi="Arial" w:cs="Arial"/>
          <w:color w:val="000000"/>
          <w:sz w:val="22"/>
        </w:rPr>
        <w:t>Otheman</w:t>
      </w:r>
      <w:proofErr w:type="spellEnd"/>
      <w:r>
        <w:rPr>
          <w:rFonts w:ascii="Arial" w:hAnsi="Arial" w:cs="Arial"/>
          <w:color w:val="000000"/>
          <w:sz w:val="22"/>
        </w:rPr>
        <w:t xml:space="preserve">, Y. (2021) ‘Major depressive disorder: Validated treatments and future challenges’, </w:t>
      </w:r>
      <w:r>
        <w:rPr>
          <w:rFonts w:ascii="Arial" w:hAnsi="Arial" w:cs="Arial"/>
          <w:i/>
          <w:iCs/>
          <w:color w:val="000000"/>
          <w:sz w:val="22"/>
        </w:rPr>
        <w:t>World Journal of Clinical Cases</w:t>
      </w:r>
      <w:r>
        <w:rPr>
          <w:rFonts w:ascii="Arial" w:hAnsi="Arial" w:cs="Arial"/>
          <w:color w:val="000000"/>
          <w:sz w:val="22"/>
        </w:rPr>
        <w:t xml:space="preserve">, 9(31), pp. 9350–9367. </w:t>
      </w:r>
      <w:proofErr w:type="spellStart"/>
      <w:r>
        <w:rPr>
          <w:rFonts w:ascii="Arial" w:hAnsi="Arial" w:cs="Arial"/>
          <w:color w:val="000000"/>
          <w:sz w:val="22"/>
        </w:rPr>
        <w:t>doi</w:t>
      </w:r>
      <w:proofErr w:type="spellEnd"/>
      <w:r>
        <w:rPr>
          <w:rFonts w:ascii="Arial" w:hAnsi="Arial" w:cs="Arial"/>
          <w:color w:val="000000"/>
          <w:sz w:val="22"/>
        </w:rPr>
        <w:t xml:space="preserve">: </w:t>
      </w:r>
      <w:hyperlink r:id="rId11" w:history="1">
        <w:r>
          <w:rPr>
            <w:rStyle w:val="Hyperlink"/>
            <w:rFonts w:ascii="Arial" w:hAnsi="Arial" w:cs="Arial"/>
            <w:color w:val="000000"/>
            <w:sz w:val="22"/>
          </w:rPr>
          <w:t>https://doi.org/10.12998/wjcc.v9.i31.9350</w:t>
        </w:r>
      </w:hyperlink>
      <w:r>
        <w:rPr>
          <w:rFonts w:ascii="Arial" w:hAnsi="Arial" w:cs="Arial"/>
          <w:color w:val="000000"/>
          <w:sz w:val="22"/>
        </w:rPr>
        <w:t>.</w:t>
      </w:r>
    </w:p>
    <w:p w14:paraId="15A87AE6" w14:textId="77777777" w:rsidR="009974D3" w:rsidRDefault="00000000">
      <w:pPr>
        <w:ind w:left="720" w:hanging="720"/>
        <w:rPr>
          <w:rFonts w:ascii="Arial" w:hAnsi="Arial" w:cs="Arial"/>
          <w:color w:val="000000"/>
          <w:sz w:val="22"/>
        </w:rPr>
      </w:pPr>
      <w:r>
        <w:rPr>
          <w:rFonts w:ascii="Arial" w:hAnsi="Arial" w:cs="Arial"/>
          <w:color w:val="000000"/>
          <w:sz w:val="22"/>
        </w:rPr>
        <w:t xml:space="preserve">Krijnen-de Bruin, E., Scholten, W., </w:t>
      </w:r>
      <w:proofErr w:type="spellStart"/>
      <w:r>
        <w:rPr>
          <w:rFonts w:ascii="Arial" w:hAnsi="Arial" w:cs="Arial"/>
          <w:color w:val="000000"/>
          <w:sz w:val="22"/>
        </w:rPr>
        <w:t>Muntingh</w:t>
      </w:r>
      <w:proofErr w:type="spellEnd"/>
      <w:r>
        <w:rPr>
          <w:rFonts w:ascii="Arial" w:hAnsi="Arial" w:cs="Arial"/>
          <w:color w:val="000000"/>
          <w:sz w:val="22"/>
        </w:rPr>
        <w:t xml:space="preserve">, A., </w:t>
      </w:r>
      <w:proofErr w:type="spellStart"/>
      <w:r>
        <w:rPr>
          <w:rFonts w:ascii="Arial" w:hAnsi="Arial" w:cs="Arial"/>
          <w:color w:val="000000"/>
          <w:sz w:val="22"/>
        </w:rPr>
        <w:t>Maarsingh</w:t>
      </w:r>
      <w:proofErr w:type="spellEnd"/>
      <w:r>
        <w:rPr>
          <w:rFonts w:ascii="Arial" w:hAnsi="Arial" w:cs="Arial"/>
          <w:color w:val="000000"/>
          <w:sz w:val="22"/>
        </w:rPr>
        <w:t xml:space="preserve">, O., van </w:t>
      </w:r>
      <w:proofErr w:type="spellStart"/>
      <w:r>
        <w:rPr>
          <w:rFonts w:ascii="Arial" w:hAnsi="Arial" w:cs="Arial"/>
          <w:color w:val="000000"/>
          <w:sz w:val="22"/>
        </w:rPr>
        <w:t>Meijel</w:t>
      </w:r>
      <w:proofErr w:type="spellEnd"/>
      <w:r>
        <w:rPr>
          <w:rFonts w:ascii="Arial" w:hAnsi="Arial" w:cs="Arial"/>
          <w:color w:val="000000"/>
          <w:sz w:val="22"/>
        </w:rPr>
        <w:t xml:space="preserve">, B., van Straten, A. and </w:t>
      </w:r>
      <w:proofErr w:type="spellStart"/>
      <w:r>
        <w:rPr>
          <w:rFonts w:ascii="Arial" w:hAnsi="Arial" w:cs="Arial"/>
          <w:color w:val="000000"/>
          <w:sz w:val="22"/>
        </w:rPr>
        <w:t>Batelaan</w:t>
      </w:r>
      <w:proofErr w:type="spellEnd"/>
      <w:r>
        <w:rPr>
          <w:rFonts w:ascii="Arial" w:hAnsi="Arial" w:cs="Arial"/>
          <w:color w:val="000000"/>
          <w:sz w:val="22"/>
        </w:rPr>
        <w:t xml:space="preserve">, N. (2022) ‘Psychological interventions to prevent relapse in anxiety and depression: A systematic review and meta-analysis’, </w:t>
      </w:r>
      <w:r>
        <w:rPr>
          <w:rFonts w:ascii="Arial" w:hAnsi="Arial" w:cs="Arial"/>
          <w:i/>
          <w:iCs/>
          <w:color w:val="000000"/>
          <w:sz w:val="22"/>
        </w:rPr>
        <w:t>PLOS ONE</w:t>
      </w:r>
      <w:r>
        <w:rPr>
          <w:rFonts w:ascii="Arial" w:hAnsi="Arial" w:cs="Arial"/>
          <w:color w:val="000000"/>
          <w:sz w:val="22"/>
        </w:rPr>
        <w:t xml:space="preserve">, 17(8), e0272200. </w:t>
      </w:r>
      <w:proofErr w:type="spellStart"/>
      <w:r>
        <w:rPr>
          <w:rFonts w:ascii="Arial" w:hAnsi="Arial" w:cs="Arial"/>
          <w:color w:val="000000"/>
          <w:sz w:val="22"/>
        </w:rPr>
        <w:t>doi</w:t>
      </w:r>
      <w:proofErr w:type="spellEnd"/>
      <w:r>
        <w:rPr>
          <w:rFonts w:ascii="Arial" w:hAnsi="Arial" w:cs="Arial"/>
          <w:color w:val="000000"/>
          <w:sz w:val="22"/>
        </w:rPr>
        <w:t xml:space="preserve">: </w:t>
      </w:r>
      <w:hyperlink r:id="rId12" w:history="1">
        <w:r>
          <w:rPr>
            <w:rStyle w:val="Hyperlink"/>
            <w:rFonts w:ascii="Arial" w:hAnsi="Arial" w:cs="Arial"/>
            <w:color w:val="000000"/>
            <w:sz w:val="22"/>
          </w:rPr>
          <w:t>https://doi.org/10.1371/journal.pone.0272200</w:t>
        </w:r>
      </w:hyperlink>
      <w:r>
        <w:rPr>
          <w:rFonts w:ascii="Arial" w:hAnsi="Arial" w:cs="Arial"/>
          <w:color w:val="000000"/>
          <w:sz w:val="22"/>
        </w:rPr>
        <w:t>.</w:t>
      </w:r>
    </w:p>
    <w:p w14:paraId="7B7F89EA" w14:textId="77777777" w:rsidR="009974D3" w:rsidRDefault="00000000">
      <w:pPr>
        <w:ind w:left="720" w:hanging="720"/>
        <w:rPr>
          <w:rFonts w:ascii="Arial" w:hAnsi="Arial" w:cs="Arial"/>
          <w:color w:val="000000"/>
          <w:sz w:val="22"/>
        </w:rPr>
      </w:pPr>
      <w:r>
        <w:rPr>
          <w:rFonts w:ascii="Arial" w:hAnsi="Arial" w:cs="Arial"/>
          <w:color w:val="000000"/>
          <w:sz w:val="22"/>
        </w:rPr>
        <w:t xml:space="preserve">Lewis, G., Marston, L., Duffy, L., Freemantle, N., Gilbody, S., Hunter, R., Kendrick, T., Kessler, D., Mangin, D., King, M., Lanham, P., Moore, M., Nazareth, I., Wiles, N., Bacon, F., Bird, M., Brabyn, S., Burns, A., Clarke, C.S. and Hunt, A. (2021) ‘Maintenance or discontinuation of antidepressants in primary care’, </w:t>
      </w:r>
      <w:r>
        <w:rPr>
          <w:rFonts w:ascii="Arial" w:hAnsi="Arial" w:cs="Arial"/>
          <w:i/>
          <w:iCs/>
          <w:color w:val="000000"/>
          <w:sz w:val="22"/>
        </w:rPr>
        <w:t>New England Journal of Medicine</w:t>
      </w:r>
      <w:r>
        <w:rPr>
          <w:rFonts w:ascii="Arial" w:hAnsi="Arial" w:cs="Arial"/>
          <w:color w:val="000000"/>
          <w:sz w:val="22"/>
        </w:rPr>
        <w:t xml:space="preserve">, 385(14), pp. 1257–1267. </w:t>
      </w:r>
      <w:proofErr w:type="spellStart"/>
      <w:r>
        <w:rPr>
          <w:rFonts w:ascii="Arial" w:hAnsi="Arial" w:cs="Arial"/>
          <w:color w:val="000000"/>
          <w:sz w:val="22"/>
        </w:rPr>
        <w:t>doi</w:t>
      </w:r>
      <w:proofErr w:type="spellEnd"/>
      <w:r>
        <w:rPr>
          <w:rFonts w:ascii="Arial" w:hAnsi="Arial" w:cs="Arial"/>
          <w:color w:val="000000"/>
          <w:sz w:val="22"/>
        </w:rPr>
        <w:t xml:space="preserve">: </w:t>
      </w:r>
      <w:hyperlink r:id="rId13" w:history="1">
        <w:r>
          <w:rPr>
            <w:rStyle w:val="Hyperlink"/>
            <w:rFonts w:ascii="Arial" w:hAnsi="Arial" w:cs="Arial"/>
            <w:color w:val="000000"/>
            <w:sz w:val="22"/>
          </w:rPr>
          <w:t>https://doi.org/10.1056/NEJMoa2106356</w:t>
        </w:r>
      </w:hyperlink>
      <w:r>
        <w:rPr>
          <w:rFonts w:ascii="Arial" w:hAnsi="Arial" w:cs="Arial"/>
          <w:color w:val="000000"/>
          <w:sz w:val="22"/>
        </w:rPr>
        <w:t>.</w:t>
      </w:r>
    </w:p>
    <w:p w14:paraId="66DAD755" w14:textId="77777777" w:rsidR="009974D3" w:rsidRDefault="00000000">
      <w:pPr>
        <w:ind w:left="720" w:hanging="720"/>
        <w:rPr>
          <w:rFonts w:ascii="Arial" w:hAnsi="Arial" w:cs="Arial"/>
          <w:color w:val="000000"/>
          <w:sz w:val="22"/>
        </w:rPr>
      </w:pPr>
      <w:r>
        <w:rPr>
          <w:rFonts w:ascii="Arial" w:hAnsi="Arial" w:cs="Arial"/>
          <w:color w:val="000000"/>
          <w:sz w:val="22"/>
        </w:rPr>
        <w:t xml:space="preserve">Marx, W., </w:t>
      </w:r>
      <w:proofErr w:type="spellStart"/>
      <w:r>
        <w:rPr>
          <w:rFonts w:ascii="Arial" w:hAnsi="Arial" w:cs="Arial"/>
          <w:color w:val="000000"/>
          <w:sz w:val="22"/>
        </w:rPr>
        <w:t>Penninx</w:t>
      </w:r>
      <w:proofErr w:type="spellEnd"/>
      <w:r>
        <w:rPr>
          <w:rFonts w:ascii="Arial" w:hAnsi="Arial" w:cs="Arial"/>
          <w:color w:val="000000"/>
          <w:sz w:val="22"/>
        </w:rPr>
        <w:t xml:space="preserve">, B.W.J.H., </w:t>
      </w:r>
      <w:proofErr w:type="spellStart"/>
      <w:r>
        <w:rPr>
          <w:rFonts w:ascii="Arial" w:hAnsi="Arial" w:cs="Arial"/>
          <w:color w:val="000000"/>
          <w:sz w:val="22"/>
        </w:rPr>
        <w:t>Solmi</w:t>
      </w:r>
      <w:proofErr w:type="spellEnd"/>
      <w:r>
        <w:rPr>
          <w:rFonts w:ascii="Arial" w:hAnsi="Arial" w:cs="Arial"/>
          <w:color w:val="000000"/>
          <w:sz w:val="22"/>
        </w:rPr>
        <w:t>, M., Furukawa, T.A., Firth, J., Carvalho, A.F. and Berk, M. (</w:t>
      </w:r>
      <w:proofErr w:type="gramStart"/>
      <w:r>
        <w:rPr>
          <w:rFonts w:ascii="Arial" w:hAnsi="Arial" w:cs="Arial"/>
          <w:color w:val="000000"/>
          <w:sz w:val="22"/>
        </w:rPr>
        <w:t>2023) ‘</w:t>
      </w:r>
      <w:proofErr w:type="gramEnd"/>
      <w:r>
        <w:rPr>
          <w:rFonts w:ascii="Arial" w:hAnsi="Arial" w:cs="Arial"/>
          <w:color w:val="000000"/>
          <w:sz w:val="22"/>
        </w:rPr>
        <w:t xml:space="preserve">Major depressive disorder’, </w:t>
      </w:r>
      <w:r>
        <w:rPr>
          <w:rFonts w:ascii="Arial" w:hAnsi="Arial" w:cs="Arial"/>
          <w:i/>
          <w:iCs/>
          <w:color w:val="000000"/>
          <w:sz w:val="22"/>
        </w:rPr>
        <w:t>Nature Reviews Disease Primers</w:t>
      </w:r>
      <w:r>
        <w:rPr>
          <w:rFonts w:ascii="Arial" w:hAnsi="Arial" w:cs="Arial"/>
          <w:color w:val="000000"/>
          <w:sz w:val="22"/>
        </w:rPr>
        <w:t xml:space="preserve">, 9(1), p. 44. </w:t>
      </w:r>
      <w:proofErr w:type="spellStart"/>
      <w:r>
        <w:rPr>
          <w:rFonts w:ascii="Arial" w:hAnsi="Arial" w:cs="Arial"/>
          <w:color w:val="000000"/>
          <w:sz w:val="22"/>
        </w:rPr>
        <w:t>doi</w:t>
      </w:r>
      <w:proofErr w:type="spellEnd"/>
      <w:r>
        <w:rPr>
          <w:rFonts w:ascii="Arial" w:hAnsi="Arial" w:cs="Arial"/>
          <w:color w:val="000000"/>
          <w:sz w:val="22"/>
        </w:rPr>
        <w:t xml:space="preserve">: </w:t>
      </w:r>
      <w:hyperlink r:id="rId14" w:history="1">
        <w:r>
          <w:rPr>
            <w:rStyle w:val="Hyperlink"/>
            <w:rFonts w:ascii="Arial" w:hAnsi="Arial" w:cs="Arial"/>
            <w:color w:val="000000"/>
            <w:sz w:val="22"/>
          </w:rPr>
          <w:t>https://doi.org/10.1038/s41572-023-00454-1</w:t>
        </w:r>
      </w:hyperlink>
      <w:r>
        <w:rPr>
          <w:rFonts w:ascii="Arial" w:hAnsi="Arial" w:cs="Arial"/>
          <w:color w:val="000000"/>
          <w:sz w:val="22"/>
        </w:rPr>
        <w:t>.</w:t>
      </w:r>
    </w:p>
    <w:p w14:paraId="7483C57F" w14:textId="77777777" w:rsidR="009974D3" w:rsidRDefault="00000000">
      <w:pPr>
        <w:ind w:left="720" w:hanging="720"/>
        <w:rPr>
          <w:rFonts w:ascii="Arial" w:hAnsi="Arial" w:cs="Arial"/>
          <w:color w:val="000000"/>
          <w:sz w:val="22"/>
        </w:rPr>
      </w:pPr>
      <w:r>
        <w:rPr>
          <w:rFonts w:ascii="Arial" w:hAnsi="Arial" w:cs="Arial"/>
          <w:color w:val="000000"/>
          <w:sz w:val="22"/>
        </w:rPr>
        <w:t xml:space="preserve">McIntyre, R.S., </w:t>
      </w:r>
      <w:proofErr w:type="spellStart"/>
      <w:r>
        <w:rPr>
          <w:rFonts w:ascii="Arial" w:hAnsi="Arial" w:cs="Arial"/>
          <w:color w:val="000000"/>
          <w:sz w:val="22"/>
        </w:rPr>
        <w:t>Alsuwaidan</w:t>
      </w:r>
      <w:proofErr w:type="spellEnd"/>
      <w:r>
        <w:rPr>
          <w:rFonts w:ascii="Arial" w:hAnsi="Arial" w:cs="Arial"/>
          <w:color w:val="000000"/>
          <w:sz w:val="22"/>
        </w:rPr>
        <w:t xml:space="preserve">, M., Baune, B.T., Berk, M., </w:t>
      </w:r>
      <w:proofErr w:type="spellStart"/>
      <w:r>
        <w:rPr>
          <w:rFonts w:ascii="Arial" w:hAnsi="Arial" w:cs="Arial"/>
          <w:color w:val="000000"/>
          <w:sz w:val="22"/>
        </w:rPr>
        <w:t>Demyttenaere</w:t>
      </w:r>
      <w:proofErr w:type="spellEnd"/>
      <w:r>
        <w:rPr>
          <w:rFonts w:ascii="Arial" w:hAnsi="Arial" w:cs="Arial"/>
          <w:color w:val="000000"/>
          <w:sz w:val="22"/>
        </w:rPr>
        <w:t xml:space="preserve">, K., Goldberg, J.F., </w:t>
      </w:r>
      <w:proofErr w:type="spellStart"/>
      <w:r>
        <w:rPr>
          <w:rFonts w:ascii="Arial" w:hAnsi="Arial" w:cs="Arial"/>
          <w:color w:val="000000"/>
          <w:sz w:val="22"/>
        </w:rPr>
        <w:t>Gorwood</w:t>
      </w:r>
      <w:proofErr w:type="spellEnd"/>
      <w:r>
        <w:rPr>
          <w:rFonts w:ascii="Arial" w:hAnsi="Arial" w:cs="Arial"/>
          <w:color w:val="000000"/>
          <w:sz w:val="22"/>
        </w:rPr>
        <w:t>, P., Ho, R., Kasper, S., Kennedy, S.H., Ly-Uson, J.T., Mansur, R.B., McAllister-</w:t>
      </w:r>
      <w:r>
        <w:rPr>
          <w:rFonts w:ascii="Arial" w:hAnsi="Arial" w:cs="Arial"/>
          <w:color w:val="000000"/>
          <w:sz w:val="22"/>
        </w:rPr>
        <w:lastRenderedPageBreak/>
        <w:t xml:space="preserve">Williams, R.H., Murrough, J.W., Nemeroff, C.B., Nierenberg, A.A., Rosenblat, J.D., </w:t>
      </w:r>
      <w:proofErr w:type="spellStart"/>
      <w:r>
        <w:rPr>
          <w:rFonts w:ascii="Arial" w:hAnsi="Arial" w:cs="Arial"/>
          <w:color w:val="000000"/>
          <w:sz w:val="22"/>
        </w:rPr>
        <w:t>Sanacora</w:t>
      </w:r>
      <w:proofErr w:type="spellEnd"/>
      <w:r>
        <w:rPr>
          <w:rFonts w:ascii="Arial" w:hAnsi="Arial" w:cs="Arial"/>
          <w:color w:val="000000"/>
          <w:sz w:val="22"/>
        </w:rPr>
        <w:t xml:space="preserve">, G., Schatzberg, A.F. and Shelton, R.C. (2023) ‘Treatment-resistant depression: Definition, prevalence, detection, management, and investigational interventions’, </w:t>
      </w:r>
      <w:r>
        <w:rPr>
          <w:rFonts w:ascii="Arial" w:hAnsi="Arial" w:cs="Arial"/>
          <w:i/>
          <w:iCs/>
          <w:color w:val="000000"/>
          <w:sz w:val="22"/>
        </w:rPr>
        <w:t>World Psychiatry</w:t>
      </w:r>
      <w:r>
        <w:rPr>
          <w:rFonts w:ascii="Arial" w:hAnsi="Arial" w:cs="Arial"/>
          <w:color w:val="000000"/>
          <w:sz w:val="22"/>
        </w:rPr>
        <w:t xml:space="preserve">, 22(3), pp. 394–412. </w:t>
      </w:r>
      <w:proofErr w:type="spellStart"/>
      <w:r>
        <w:rPr>
          <w:rFonts w:ascii="Arial" w:hAnsi="Arial" w:cs="Arial"/>
          <w:color w:val="000000"/>
          <w:sz w:val="22"/>
        </w:rPr>
        <w:t>doi</w:t>
      </w:r>
      <w:proofErr w:type="spellEnd"/>
      <w:r>
        <w:rPr>
          <w:rFonts w:ascii="Arial" w:hAnsi="Arial" w:cs="Arial"/>
          <w:color w:val="000000"/>
          <w:sz w:val="22"/>
        </w:rPr>
        <w:t xml:space="preserve">: </w:t>
      </w:r>
      <w:hyperlink r:id="rId15" w:history="1">
        <w:r>
          <w:rPr>
            <w:rStyle w:val="Hyperlink"/>
            <w:rFonts w:ascii="Arial" w:hAnsi="Arial" w:cs="Arial"/>
            <w:color w:val="000000"/>
            <w:sz w:val="22"/>
          </w:rPr>
          <w:t>https://doi.org/10.1002/wps.21120</w:t>
        </w:r>
      </w:hyperlink>
      <w:r>
        <w:rPr>
          <w:rFonts w:ascii="Arial" w:hAnsi="Arial" w:cs="Arial"/>
          <w:color w:val="000000"/>
          <w:sz w:val="22"/>
        </w:rPr>
        <w:t>.</w:t>
      </w:r>
    </w:p>
    <w:p w14:paraId="7E3C8F5F" w14:textId="77777777" w:rsidR="009974D3" w:rsidRDefault="00000000">
      <w:pPr>
        <w:ind w:left="720" w:hanging="720"/>
        <w:rPr>
          <w:rFonts w:ascii="Arial" w:hAnsi="Arial" w:cs="Arial"/>
          <w:color w:val="000000"/>
          <w:sz w:val="22"/>
        </w:rPr>
      </w:pPr>
      <w:r>
        <w:rPr>
          <w:rFonts w:ascii="Arial" w:hAnsi="Arial" w:cs="Arial"/>
          <w:color w:val="000000"/>
          <w:sz w:val="22"/>
        </w:rPr>
        <w:t xml:space="preserve">Nuñez, N.A., Joseph, B., Pahwa, M., Kumar, R., Resendez, M.G., Prokop, L.J., </w:t>
      </w:r>
      <w:proofErr w:type="spellStart"/>
      <w:r>
        <w:rPr>
          <w:rFonts w:ascii="Arial" w:hAnsi="Arial" w:cs="Arial"/>
          <w:color w:val="000000"/>
          <w:sz w:val="22"/>
        </w:rPr>
        <w:t>Veldic</w:t>
      </w:r>
      <w:proofErr w:type="spellEnd"/>
      <w:r>
        <w:rPr>
          <w:rFonts w:ascii="Arial" w:hAnsi="Arial" w:cs="Arial"/>
          <w:color w:val="000000"/>
          <w:sz w:val="22"/>
        </w:rPr>
        <w:t xml:space="preserve">, M., Seshadri, A., Biernacka, J.M., Frye, M.A., Wang, Z. and Singh, B. (2022) ‘Augmentation strategies for treatment-resistant major depression: A systematic review and network meta-analysis’, </w:t>
      </w:r>
      <w:r>
        <w:rPr>
          <w:rFonts w:ascii="Arial" w:hAnsi="Arial" w:cs="Arial"/>
          <w:i/>
          <w:iCs/>
          <w:color w:val="000000"/>
          <w:sz w:val="22"/>
        </w:rPr>
        <w:t>Journal of Affective Disorders</w:t>
      </w:r>
      <w:r>
        <w:rPr>
          <w:rFonts w:ascii="Arial" w:hAnsi="Arial" w:cs="Arial"/>
          <w:color w:val="000000"/>
          <w:sz w:val="22"/>
        </w:rPr>
        <w:t xml:space="preserve">, 302, pp. 385–400. </w:t>
      </w:r>
      <w:proofErr w:type="spellStart"/>
      <w:r>
        <w:rPr>
          <w:rFonts w:ascii="Arial" w:hAnsi="Arial" w:cs="Arial"/>
          <w:color w:val="000000"/>
          <w:sz w:val="22"/>
        </w:rPr>
        <w:t>doi</w:t>
      </w:r>
      <w:proofErr w:type="spellEnd"/>
      <w:r>
        <w:rPr>
          <w:rFonts w:ascii="Arial" w:hAnsi="Arial" w:cs="Arial"/>
          <w:color w:val="000000"/>
          <w:sz w:val="22"/>
        </w:rPr>
        <w:t xml:space="preserve">: </w:t>
      </w:r>
      <w:hyperlink r:id="rId16" w:history="1">
        <w:r>
          <w:rPr>
            <w:rStyle w:val="Hyperlink"/>
            <w:rFonts w:ascii="Arial" w:hAnsi="Arial" w:cs="Arial"/>
            <w:color w:val="000000"/>
            <w:sz w:val="22"/>
          </w:rPr>
          <w:t>https://doi.org/10.1016/j.jad.2021.12.134</w:t>
        </w:r>
      </w:hyperlink>
      <w:r>
        <w:rPr>
          <w:rFonts w:ascii="Arial" w:hAnsi="Arial" w:cs="Arial"/>
          <w:color w:val="000000"/>
          <w:sz w:val="22"/>
        </w:rPr>
        <w:t>.</w:t>
      </w:r>
    </w:p>
    <w:p w14:paraId="745521A0" w14:textId="77777777" w:rsidR="009974D3" w:rsidRDefault="00000000">
      <w:pPr>
        <w:ind w:left="720" w:hanging="720"/>
        <w:rPr>
          <w:rFonts w:ascii="Arial" w:hAnsi="Arial" w:cs="Arial"/>
          <w:color w:val="000000"/>
          <w:sz w:val="22"/>
        </w:rPr>
      </w:pPr>
      <w:proofErr w:type="spellStart"/>
      <w:r>
        <w:rPr>
          <w:rFonts w:ascii="Arial" w:hAnsi="Arial" w:cs="Arial"/>
          <w:color w:val="000000"/>
          <w:sz w:val="22"/>
        </w:rPr>
        <w:t>Seemüller</w:t>
      </w:r>
      <w:proofErr w:type="spellEnd"/>
      <w:r>
        <w:rPr>
          <w:rFonts w:ascii="Arial" w:hAnsi="Arial" w:cs="Arial"/>
          <w:color w:val="000000"/>
          <w:sz w:val="22"/>
        </w:rPr>
        <w:t xml:space="preserve">, F. (2023) ‘ICD-11 and mental disorders: Important changes, controversies, and future directions’, </w:t>
      </w:r>
      <w:r>
        <w:rPr>
          <w:rFonts w:ascii="Arial" w:hAnsi="Arial" w:cs="Arial"/>
          <w:i/>
          <w:iCs/>
          <w:color w:val="000000"/>
          <w:sz w:val="22"/>
        </w:rPr>
        <w:t>BMC Psychiatry</w:t>
      </w:r>
      <w:r>
        <w:rPr>
          <w:rFonts w:ascii="Arial" w:hAnsi="Arial" w:cs="Arial"/>
          <w:color w:val="000000"/>
          <w:sz w:val="22"/>
        </w:rPr>
        <w:t xml:space="preserve">, 23(1), p. 698. </w:t>
      </w:r>
      <w:proofErr w:type="spellStart"/>
      <w:r>
        <w:rPr>
          <w:rFonts w:ascii="Arial" w:hAnsi="Arial" w:cs="Arial"/>
          <w:color w:val="000000"/>
          <w:sz w:val="22"/>
        </w:rPr>
        <w:t>doi</w:t>
      </w:r>
      <w:proofErr w:type="spellEnd"/>
      <w:r>
        <w:rPr>
          <w:rFonts w:ascii="Arial" w:hAnsi="Arial" w:cs="Arial"/>
          <w:color w:val="000000"/>
          <w:sz w:val="22"/>
        </w:rPr>
        <w:t xml:space="preserve">: </w:t>
      </w:r>
      <w:hyperlink r:id="rId17" w:history="1">
        <w:r>
          <w:rPr>
            <w:rStyle w:val="Hyperlink"/>
            <w:rFonts w:ascii="Arial" w:hAnsi="Arial" w:cs="Arial"/>
            <w:color w:val="000000"/>
            <w:sz w:val="22"/>
          </w:rPr>
          <w:t>https://doi.org/10.1186/s12888-023-05186-w</w:t>
        </w:r>
      </w:hyperlink>
      <w:r>
        <w:rPr>
          <w:rFonts w:ascii="Arial" w:hAnsi="Arial" w:cs="Arial"/>
          <w:color w:val="000000"/>
          <w:sz w:val="22"/>
        </w:rPr>
        <w:t>.</w:t>
      </w:r>
    </w:p>
    <w:p w14:paraId="00F7E98B" w14:textId="77777777" w:rsidR="009974D3" w:rsidRDefault="00000000">
      <w:pPr>
        <w:ind w:left="720" w:hanging="720"/>
        <w:rPr>
          <w:rFonts w:ascii="Arial" w:hAnsi="Arial" w:cs="Arial"/>
          <w:color w:val="000000"/>
          <w:sz w:val="22"/>
        </w:rPr>
      </w:pPr>
      <w:r>
        <w:rPr>
          <w:rFonts w:ascii="Arial" w:hAnsi="Arial" w:cs="Arial"/>
          <w:color w:val="000000"/>
          <w:sz w:val="22"/>
        </w:rPr>
        <w:t xml:space="preserve">Shevlin, M., Hyland, P., Butter, S., McBride, O., Hartman, T.K., </w:t>
      </w:r>
      <w:proofErr w:type="spellStart"/>
      <w:r>
        <w:rPr>
          <w:rFonts w:ascii="Arial" w:hAnsi="Arial" w:cs="Arial"/>
          <w:color w:val="000000"/>
          <w:sz w:val="22"/>
        </w:rPr>
        <w:t>Karatzias</w:t>
      </w:r>
      <w:proofErr w:type="spellEnd"/>
      <w:r>
        <w:rPr>
          <w:rFonts w:ascii="Arial" w:hAnsi="Arial" w:cs="Arial"/>
          <w:color w:val="000000"/>
          <w:sz w:val="22"/>
        </w:rPr>
        <w:t xml:space="preserve">, T. and Bentall, R.P. (2023) ‘The development and initial validation of self-report measures of ICD-11 depressive episode and generalized anxiety disorder: The International Depression Questionnaire (IDQ) and the International Anxiety Questionnaire (IAQ)’, </w:t>
      </w:r>
      <w:r>
        <w:rPr>
          <w:rFonts w:ascii="Arial" w:hAnsi="Arial" w:cs="Arial"/>
          <w:i/>
          <w:iCs/>
          <w:color w:val="000000"/>
          <w:sz w:val="22"/>
        </w:rPr>
        <w:t>Journal of Clinical Psychology</w:t>
      </w:r>
      <w:r>
        <w:rPr>
          <w:rFonts w:ascii="Arial" w:hAnsi="Arial" w:cs="Arial"/>
          <w:color w:val="000000"/>
          <w:sz w:val="22"/>
        </w:rPr>
        <w:t xml:space="preserve">, 79(3), pp. 854–870. </w:t>
      </w:r>
      <w:proofErr w:type="spellStart"/>
      <w:r>
        <w:rPr>
          <w:rFonts w:ascii="Arial" w:hAnsi="Arial" w:cs="Arial"/>
          <w:color w:val="000000"/>
          <w:sz w:val="22"/>
        </w:rPr>
        <w:t>doi</w:t>
      </w:r>
      <w:proofErr w:type="spellEnd"/>
      <w:r>
        <w:rPr>
          <w:rFonts w:ascii="Arial" w:hAnsi="Arial" w:cs="Arial"/>
          <w:color w:val="000000"/>
          <w:sz w:val="22"/>
        </w:rPr>
        <w:t xml:space="preserve">: </w:t>
      </w:r>
      <w:hyperlink r:id="rId18" w:history="1">
        <w:r>
          <w:rPr>
            <w:rStyle w:val="Hyperlink"/>
            <w:rFonts w:ascii="Arial" w:hAnsi="Arial" w:cs="Arial"/>
            <w:color w:val="000000"/>
            <w:sz w:val="22"/>
          </w:rPr>
          <w:t>https://doi.org/10.1002/jclp.23446</w:t>
        </w:r>
      </w:hyperlink>
      <w:r>
        <w:rPr>
          <w:rFonts w:ascii="Arial" w:hAnsi="Arial" w:cs="Arial"/>
          <w:color w:val="000000"/>
          <w:sz w:val="22"/>
        </w:rPr>
        <w:t>.</w:t>
      </w:r>
    </w:p>
    <w:p w14:paraId="41C73B0F" w14:textId="77777777" w:rsidR="009974D3" w:rsidRDefault="00000000">
      <w:pPr>
        <w:ind w:left="720" w:hanging="720"/>
        <w:rPr>
          <w:rFonts w:ascii="Arial" w:hAnsi="Arial" w:cs="Arial"/>
          <w:color w:val="000000"/>
          <w:sz w:val="22"/>
        </w:rPr>
      </w:pPr>
      <w:r>
        <w:rPr>
          <w:rFonts w:ascii="Arial" w:hAnsi="Arial" w:cs="Arial"/>
          <w:color w:val="000000"/>
          <w:sz w:val="22"/>
        </w:rPr>
        <w:t xml:space="preserve">World Health Organization (2022) </w:t>
      </w:r>
      <w:r>
        <w:rPr>
          <w:rFonts w:ascii="Arial" w:hAnsi="Arial" w:cs="Arial"/>
          <w:i/>
          <w:iCs/>
          <w:color w:val="000000"/>
          <w:sz w:val="22"/>
        </w:rPr>
        <w:t>International Classification of Diseases 11th Revision (ICD-11): Mortality and Morbidity Statistics</w:t>
      </w:r>
      <w:r>
        <w:rPr>
          <w:rFonts w:ascii="Arial" w:hAnsi="Arial" w:cs="Arial"/>
          <w:color w:val="000000"/>
          <w:sz w:val="22"/>
        </w:rPr>
        <w:t xml:space="preserve">. Geneva: World Health Organization. Available at: </w:t>
      </w:r>
      <w:hyperlink r:id="rId19" w:history="1">
        <w:r>
          <w:rPr>
            <w:rStyle w:val="Hyperlink"/>
            <w:rFonts w:ascii="Arial" w:hAnsi="Arial" w:cs="Arial"/>
            <w:color w:val="000000"/>
            <w:sz w:val="22"/>
          </w:rPr>
          <w:t>https://icd.who.int/</w:t>
        </w:r>
      </w:hyperlink>
      <w:r>
        <w:rPr>
          <w:rFonts w:ascii="Arial" w:hAnsi="Arial" w:cs="Arial"/>
          <w:color w:val="000000"/>
          <w:sz w:val="22"/>
        </w:rPr>
        <w:t xml:space="preserve"> (Accessed: 2 July 2026).</w:t>
      </w:r>
    </w:p>
    <w:p w14:paraId="133185D2" w14:textId="77777777" w:rsidR="009974D3" w:rsidRDefault="00000000">
      <w:pPr>
        <w:ind w:left="720" w:hanging="720"/>
        <w:rPr>
          <w:rFonts w:ascii="Arial" w:hAnsi="Arial" w:cs="Arial"/>
          <w:color w:val="000000"/>
          <w:sz w:val="22"/>
        </w:rPr>
      </w:pPr>
      <w:r>
        <w:rPr>
          <w:rFonts w:ascii="Arial" w:hAnsi="Arial" w:cs="Arial"/>
          <w:color w:val="000000"/>
          <w:sz w:val="22"/>
        </w:rPr>
        <w:t xml:space="preserve">Zhou, Y., Zhao, D., Zhu, X., Liu, L., Meng, M., Shao, X., Zhu, X., Xiang, J., He, J., Zhao, Y., Yuan, Y., Gao, R., Jiang, L. and Zhu, G. (2023) ‘Psychological interventions for the prevention of depression relapse: Systematic review and network meta-analysis’, </w:t>
      </w:r>
      <w:r>
        <w:rPr>
          <w:rFonts w:ascii="Arial" w:hAnsi="Arial" w:cs="Arial"/>
          <w:i/>
          <w:iCs/>
          <w:color w:val="000000"/>
          <w:sz w:val="22"/>
        </w:rPr>
        <w:t>Translational Psychiatry</w:t>
      </w:r>
      <w:r>
        <w:rPr>
          <w:rFonts w:ascii="Arial" w:hAnsi="Arial" w:cs="Arial"/>
          <w:color w:val="000000"/>
          <w:sz w:val="22"/>
        </w:rPr>
        <w:t xml:space="preserve">, 13(1), p. 319. </w:t>
      </w:r>
      <w:proofErr w:type="spellStart"/>
      <w:r>
        <w:rPr>
          <w:rFonts w:ascii="Arial" w:hAnsi="Arial" w:cs="Arial"/>
          <w:color w:val="000000"/>
          <w:sz w:val="22"/>
        </w:rPr>
        <w:t>doi</w:t>
      </w:r>
      <w:proofErr w:type="spellEnd"/>
      <w:r>
        <w:rPr>
          <w:rFonts w:ascii="Arial" w:hAnsi="Arial" w:cs="Arial"/>
          <w:color w:val="000000"/>
          <w:sz w:val="22"/>
        </w:rPr>
        <w:t xml:space="preserve">: </w:t>
      </w:r>
      <w:hyperlink r:id="rId20" w:history="1">
        <w:r>
          <w:rPr>
            <w:rStyle w:val="Hyperlink"/>
            <w:rFonts w:ascii="Arial" w:hAnsi="Arial" w:cs="Arial"/>
            <w:color w:val="000000"/>
            <w:sz w:val="22"/>
          </w:rPr>
          <w:t>https://doi.org/10.1038/s41398-023-02604-1</w:t>
        </w:r>
      </w:hyperlink>
      <w:r>
        <w:rPr>
          <w:rFonts w:ascii="Arial" w:hAnsi="Arial" w:cs="Arial"/>
          <w:color w:val="000000"/>
          <w:sz w:val="22"/>
        </w:rPr>
        <w:t>.</w:t>
      </w:r>
    </w:p>
    <w:p w14:paraId="7C648B6B" w14:textId="77777777" w:rsidR="009974D3" w:rsidRDefault="009974D3">
      <w:pPr>
        <w:rPr>
          <w:rFonts w:ascii="Arial" w:hAnsi="Arial" w:cs="Arial"/>
          <w:sz w:val="22"/>
        </w:rPr>
      </w:pPr>
    </w:p>
    <w:sectPr w:rsidR="009974D3">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AD159" w14:textId="77777777" w:rsidR="00FE3C8D" w:rsidRDefault="00FE3C8D">
      <w:pPr>
        <w:spacing w:after="0" w:line="240" w:lineRule="auto"/>
      </w:pPr>
      <w:r>
        <w:separator/>
      </w:r>
    </w:p>
  </w:endnote>
  <w:endnote w:type="continuationSeparator" w:id="0">
    <w:p w14:paraId="16E51D3F" w14:textId="77777777" w:rsidR="00FE3C8D" w:rsidRDefault="00FE3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FD311" w14:textId="77777777" w:rsidR="009974D3" w:rsidRDefault="00000000">
    <w:pPr>
      <w:pStyle w:val="Footer"/>
      <w:jc w:val="right"/>
      <w:rPr>
        <w:rFonts w:ascii="Arial" w:hAnsi="Arial" w:cs="Arial"/>
        <w:sz w:val="22"/>
        <w:szCs w:val="20"/>
      </w:rPr>
    </w:pPr>
    <w:r>
      <w:rPr>
        <w:rFonts w:ascii="Arial" w:hAnsi="Arial" w:cs="Arial"/>
        <w:sz w:val="22"/>
        <w:szCs w:val="20"/>
      </w:rPr>
      <w:fldChar w:fldCharType="begin"/>
    </w:r>
    <w:r>
      <w:rPr>
        <w:rFonts w:ascii="Arial" w:hAnsi="Arial" w:cs="Arial"/>
        <w:sz w:val="22"/>
        <w:szCs w:val="20"/>
      </w:rPr>
      <w:instrText xml:space="preserve"> PAGE   \* MERGEFORMAT </w:instrText>
    </w:r>
    <w:r>
      <w:rPr>
        <w:rFonts w:ascii="Arial" w:hAnsi="Arial" w:cs="Arial"/>
        <w:sz w:val="22"/>
        <w:szCs w:val="20"/>
      </w:rPr>
      <w:fldChar w:fldCharType="separate"/>
    </w:r>
    <w:r>
      <w:rPr>
        <w:rFonts w:ascii="Arial" w:hAnsi="Arial" w:cs="Arial"/>
        <w:noProof/>
        <w:sz w:val="22"/>
        <w:szCs w:val="20"/>
      </w:rPr>
      <w:t>2</w:t>
    </w:r>
    <w:r>
      <w:rPr>
        <w:rFonts w:ascii="Arial" w:hAnsi="Arial" w:cs="Arial"/>
        <w:noProof/>
        <w:sz w:val="22"/>
        <w:szCs w:val="20"/>
      </w:rPr>
      <w:fldChar w:fldCharType="end"/>
    </w:r>
  </w:p>
  <w:p w14:paraId="5457611E" w14:textId="77777777" w:rsidR="009974D3" w:rsidRDefault="00997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6679A" w14:textId="77777777" w:rsidR="00FE3C8D" w:rsidRDefault="00FE3C8D">
      <w:pPr>
        <w:spacing w:after="0" w:line="240" w:lineRule="auto"/>
      </w:pPr>
      <w:r>
        <w:separator/>
      </w:r>
    </w:p>
  </w:footnote>
  <w:footnote w:type="continuationSeparator" w:id="0">
    <w:p w14:paraId="16B1C788" w14:textId="77777777" w:rsidR="00FE3C8D" w:rsidRDefault="00FE3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84C615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1841312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4D3"/>
    <w:rsid w:val="00043B29"/>
    <w:rsid w:val="001C1D7A"/>
    <w:rsid w:val="009974D3"/>
    <w:rsid w:val="00FE1D76"/>
    <w:rsid w:val="00FE3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2BDE9"/>
  <w15:docId w15:val="{8CB31C95-8670-4E7C-A994-ABB3C17F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link w:val="Heading1Char"/>
    <w:uiPriority w:val="9"/>
    <w:qFormat/>
    <w:pPr>
      <w:spacing w:before="100" w:beforeAutospacing="1" w:after="100" w:afterAutospacing="1"/>
      <w:outlineLvl w:val="0"/>
    </w:pPr>
    <w:rPr>
      <w:rFonts w:eastAsia="Times New Roman" w:cs="Times New Roman"/>
      <w:b/>
      <w:bCs/>
      <w:kern w:val="36"/>
      <w:szCs w:val="48"/>
    </w:rPr>
  </w:style>
  <w:style w:type="paragraph" w:styleId="Heading2">
    <w:name w:val="heading 2"/>
    <w:basedOn w:val="Normal"/>
    <w:link w:val="Heading2Char"/>
    <w:uiPriority w:val="9"/>
    <w:semiHidden/>
    <w:unhideWhenUsed/>
    <w:qFormat/>
    <w:pPr>
      <w:spacing w:before="100" w:beforeAutospacing="1" w:after="100" w:afterAutospacing="1"/>
      <w:outlineLvl w:val="1"/>
    </w:pPr>
    <w:rPr>
      <w:rFonts w:eastAsia="Times New Roman" w:cs="Times New Roman"/>
      <w:b/>
      <w:bCs/>
      <w:i/>
      <w:szCs w:val="36"/>
    </w:rPr>
  </w:style>
  <w:style w:type="paragraph" w:styleId="Heading3">
    <w:name w:val="heading 3"/>
    <w:basedOn w:val="Normal"/>
    <w:link w:val="Heading3Char"/>
    <w:uiPriority w:val="9"/>
    <w:semiHidden/>
    <w:unhideWhenUsed/>
    <w:qFormat/>
    <w:pPr>
      <w:spacing w:before="100" w:beforeAutospacing="1" w:after="100" w:afterAutospacing="1"/>
      <w:outlineLvl w:val="2"/>
    </w:pPr>
    <w:rPr>
      <w:rFonts w:eastAsia="Times New Roman" w:cs="Times New Roman"/>
      <w:bCs/>
      <w:i/>
      <w:szCs w:val="27"/>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eastAsia="SimSun" w:hAnsi="Calibri"/>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SimSun" w:hAnsi="Calibri"/>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w:eastAsia="SimSun" w:hAnsi="Calibri"/>
      <w:i/>
      <w:iCs/>
      <w:color w:val="595959"/>
    </w:rPr>
  </w:style>
  <w:style w:type="paragraph" w:styleId="Heading7">
    <w:name w:val="heading 7"/>
    <w:basedOn w:val="Normal"/>
    <w:next w:val="Normal"/>
    <w:link w:val="Heading7Char"/>
    <w:uiPriority w:val="9"/>
    <w:qFormat/>
    <w:pPr>
      <w:keepNext/>
      <w:keepLines/>
      <w:spacing w:before="40" w:after="0"/>
      <w:outlineLvl w:val="6"/>
    </w:pPr>
    <w:rPr>
      <w:rFonts w:ascii="Calibri" w:eastAsia="SimSun" w:hAnsi="Calibri"/>
      <w:color w:val="595959"/>
    </w:rPr>
  </w:style>
  <w:style w:type="paragraph" w:styleId="Heading8">
    <w:name w:val="heading 8"/>
    <w:basedOn w:val="Normal"/>
    <w:next w:val="Normal"/>
    <w:link w:val="Heading8Char"/>
    <w:uiPriority w:val="9"/>
    <w:qFormat/>
    <w:pPr>
      <w:keepNext/>
      <w:keepLines/>
      <w:spacing w:after="0"/>
      <w:outlineLvl w:val="7"/>
    </w:pPr>
    <w:rPr>
      <w:rFonts w:ascii="Calibri" w:eastAsia="SimSun" w:hAnsi="Calibri"/>
      <w:i/>
      <w:iCs/>
      <w:color w:val="272727"/>
    </w:rPr>
  </w:style>
  <w:style w:type="paragraph" w:styleId="Heading9">
    <w:name w:val="heading 9"/>
    <w:basedOn w:val="Normal"/>
    <w:next w:val="Normal"/>
    <w:link w:val="Heading9Char"/>
    <w:uiPriority w:val="9"/>
    <w:qFormat/>
    <w:pPr>
      <w:keepNext/>
      <w:keepLines/>
      <w:spacing w:after="0"/>
      <w:outlineLvl w:val="8"/>
    </w:pPr>
    <w:rPr>
      <w:rFonts w:ascii="Calibri" w:eastAsia="SimSun" w:hAnsi="Calibr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imes New Roman" w:eastAsia="Times New Roman" w:hAnsi="Times New Roman" w:cs="Times New Roman"/>
      <w:b/>
      <w:bCs/>
      <w:i/>
      <w:sz w:val="24"/>
      <w:szCs w:val="36"/>
    </w:rPr>
  </w:style>
  <w:style w:type="character" w:customStyle="1" w:styleId="Heading3Char">
    <w:name w:val="Heading 3 Char"/>
    <w:basedOn w:val="DefaultParagraphFont"/>
    <w:link w:val="Heading3"/>
    <w:uiPriority w:val="9"/>
    <w:rPr>
      <w:rFonts w:ascii="Times New Roman" w:eastAsia="Times New Roman" w:hAnsi="Times New Roman" w:cs="Times New Roman"/>
      <w:bCs/>
      <w:i/>
      <w:sz w:val="24"/>
      <w:szCs w:val="27"/>
    </w:r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24"/>
      <w:szCs w:val="48"/>
    </w:rPr>
  </w:style>
  <w:style w:type="character" w:customStyle="1" w:styleId="Heading4Char">
    <w:name w:val="Heading 4 Char"/>
    <w:basedOn w:val="DefaultParagraphFont"/>
    <w:link w:val="Heading4"/>
    <w:uiPriority w:val="9"/>
    <w:rPr>
      <w:rFonts w:eastAsia="SimSun" w:cs="SimSun"/>
      <w:i/>
      <w:iCs/>
      <w:color w:val="2F5496"/>
      <w:sz w:val="24"/>
    </w:rPr>
  </w:style>
  <w:style w:type="character" w:customStyle="1" w:styleId="Heading5Char">
    <w:name w:val="Heading 5 Char"/>
    <w:basedOn w:val="DefaultParagraphFont"/>
    <w:link w:val="Heading5"/>
    <w:uiPriority w:val="9"/>
    <w:rPr>
      <w:rFonts w:eastAsia="SimSun" w:cs="SimSun"/>
      <w:color w:val="2F5496"/>
      <w:sz w:val="24"/>
    </w:rPr>
  </w:style>
  <w:style w:type="character" w:customStyle="1" w:styleId="Heading6Char">
    <w:name w:val="Heading 6 Char"/>
    <w:basedOn w:val="DefaultParagraphFont"/>
    <w:link w:val="Heading6"/>
    <w:uiPriority w:val="9"/>
    <w:rPr>
      <w:rFonts w:eastAsia="SimSun" w:cs="SimSun"/>
      <w:i/>
      <w:iCs/>
      <w:color w:val="595959"/>
      <w:sz w:val="24"/>
    </w:rPr>
  </w:style>
  <w:style w:type="character" w:customStyle="1" w:styleId="Heading7Char">
    <w:name w:val="Heading 7 Char"/>
    <w:basedOn w:val="DefaultParagraphFont"/>
    <w:link w:val="Heading7"/>
    <w:uiPriority w:val="9"/>
    <w:rPr>
      <w:rFonts w:eastAsia="SimSun" w:cs="SimSun"/>
      <w:color w:val="595959"/>
      <w:sz w:val="24"/>
    </w:rPr>
  </w:style>
  <w:style w:type="character" w:customStyle="1" w:styleId="Heading8Char">
    <w:name w:val="Heading 8 Char"/>
    <w:basedOn w:val="DefaultParagraphFont"/>
    <w:link w:val="Heading8"/>
    <w:uiPriority w:val="9"/>
    <w:rPr>
      <w:rFonts w:eastAsia="SimSun" w:cs="SimSun"/>
      <w:i/>
      <w:iCs/>
      <w:color w:val="272727"/>
      <w:sz w:val="24"/>
    </w:rPr>
  </w:style>
  <w:style w:type="character" w:customStyle="1" w:styleId="Heading9Char">
    <w:name w:val="Heading 9 Char"/>
    <w:basedOn w:val="DefaultParagraphFont"/>
    <w:link w:val="Heading9"/>
    <w:uiPriority w:val="9"/>
    <w:rPr>
      <w:rFonts w:eastAsia="SimSun" w:cs="SimSun"/>
      <w:color w:val="272727"/>
      <w:sz w:val="24"/>
    </w:rPr>
  </w:style>
  <w:style w:type="paragraph" w:styleId="Title">
    <w:name w:val="Title"/>
    <w:basedOn w:val="Normal"/>
    <w:next w:val="Normal"/>
    <w:link w:val="TitleChar"/>
    <w:uiPriority w:val="10"/>
    <w:qFormat/>
    <w:pPr>
      <w:spacing w:after="80" w:line="240" w:lineRule="auto"/>
      <w:contextualSpacing/>
    </w:pPr>
    <w:rPr>
      <w:rFonts w:ascii="Calibri Light" w:eastAsia="SimSun" w:hAnsi="Calibri Light"/>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SimSun"/>
      <w:spacing w:val="-10"/>
      <w:kern w:val="28"/>
      <w:sz w:val="56"/>
      <w:szCs w:val="56"/>
    </w:rPr>
  </w:style>
  <w:style w:type="paragraph" w:styleId="Subtitle">
    <w:name w:val="Subtitle"/>
    <w:basedOn w:val="Normal"/>
    <w:next w:val="Normal"/>
    <w:link w:val="SubtitleChar"/>
    <w:uiPriority w:val="11"/>
    <w:qFormat/>
    <w:pPr>
      <w:numPr>
        <w:ilvl w:val="1"/>
      </w:numPr>
    </w:pPr>
    <w:rPr>
      <w:rFonts w:ascii="Calibri" w:eastAsia="SimSun" w:hAnsi="Calibri"/>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rFonts w:ascii="Times New Roman" w:hAnsi="Times New Roman"/>
      <w:i/>
      <w:iCs/>
      <w:color w:val="404040"/>
      <w:sz w:val="24"/>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rFonts w:ascii="Times New Roman" w:hAnsi="Times New Roman"/>
      <w:i/>
      <w:iCs/>
      <w:color w:val="2F5496"/>
      <w:sz w:val="24"/>
    </w:rPr>
  </w:style>
  <w:style w:type="character" w:styleId="IntenseReference">
    <w:name w:val="Intense Reference"/>
    <w:basedOn w:val="DefaultParagraphFont"/>
    <w:uiPriority w:val="32"/>
    <w:qFormat/>
    <w:rPr>
      <w:b/>
      <w:bCs/>
      <w:smallCaps/>
      <w:color w:val="2F5496"/>
      <w:spacing w:val="5"/>
    </w:rPr>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paragraph" w:styleId="TOCHeading">
    <w:name w:val="TOC Heading"/>
    <w:basedOn w:val="Heading1"/>
    <w:next w:val="Normal"/>
    <w:uiPriority w:val="39"/>
    <w:qFormat/>
    <w:pPr>
      <w:keepNext/>
      <w:keepLines/>
      <w:spacing w:before="240" w:beforeAutospacing="0" w:after="0" w:afterAutospacing="0" w:line="259" w:lineRule="auto"/>
      <w:jc w:val="left"/>
      <w:outlineLvl w:val="9"/>
    </w:pPr>
    <w:rPr>
      <w:rFonts w:ascii="Calibri Light" w:eastAsia="SimSun" w:hAnsi="Calibri Light" w:cs="SimSun"/>
      <w:b w:val="0"/>
      <w:bCs w:val="0"/>
      <w:color w:val="2F5496"/>
      <w:kern w:val="0"/>
      <w:sz w:val="32"/>
      <w:szCs w:val="32"/>
    </w:rPr>
  </w:style>
  <w:style w:type="paragraph" w:styleId="TOC1">
    <w:name w:val="toc 1"/>
    <w:basedOn w:val="Normal"/>
    <w:next w:val="Normal"/>
    <w:uiPriority w:val="39"/>
    <w:pPr>
      <w:spacing w:after="100"/>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j.jad.2022.09.027" TargetMode="External"/><Relationship Id="rId13" Type="http://schemas.openxmlformats.org/officeDocument/2006/relationships/hyperlink" Target="https://doi.org/10.1056/NEJMoa2106356" TargetMode="External"/><Relationship Id="rId18" Type="http://schemas.openxmlformats.org/officeDocument/2006/relationships/hyperlink" Target="https://doi.org/10.1002/jclp.2344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371/journal.pone.0272200" TargetMode="External"/><Relationship Id="rId17" Type="http://schemas.openxmlformats.org/officeDocument/2006/relationships/hyperlink" Target="https://doi.org/10.1186/s12888-023-05186-w" TargetMode="External"/><Relationship Id="rId2" Type="http://schemas.openxmlformats.org/officeDocument/2006/relationships/numbering" Target="numbering.xml"/><Relationship Id="rId16" Type="http://schemas.openxmlformats.org/officeDocument/2006/relationships/hyperlink" Target="https://doi.org/10.1016/j.jad.2021.12.134" TargetMode="External"/><Relationship Id="rId20" Type="http://schemas.openxmlformats.org/officeDocument/2006/relationships/hyperlink" Target="https://doi.org/10.1038/s41398-023-0260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998/wjcc.v9.i31.9350" TargetMode="External"/><Relationship Id="rId5" Type="http://schemas.openxmlformats.org/officeDocument/2006/relationships/webSettings" Target="webSettings.xml"/><Relationship Id="rId15" Type="http://schemas.openxmlformats.org/officeDocument/2006/relationships/hyperlink" Target="https://doi.org/10.1002/wps.21120" TargetMode="External"/><Relationship Id="rId23" Type="http://schemas.openxmlformats.org/officeDocument/2006/relationships/theme" Target="theme/theme1.xml"/><Relationship Id="rId10" Type="http://schemas.openxmlformats.org/officeDocument/2006/relationships/hyperlink" Target="https://doi.org/10.1001/jamapsychiatry.2020.3650" TargetMode="External"/><Relationship Id="rId19" Type="http://schemas.openxmlformats.org/officeDocument/2006/relationships/hyperlink" Target="https://icd.who.int/" TargetMode="External"/><Relationship Id="rId4" Type="http://schemas.openxmlformats.org/officeDocument/2006/relationships/settings" Target="settings.xml"/><Relationship Id="rId9" Type="http://schemas.openxmlformats.org/officeDocument/2006/relationships/hyperlink" Target="https://doi.org/10.1371/journal.pone.0288275" TargetMode="External"/><Relationship Id="rId14" Type="http://schemas.openxmlformats.org/officeDocument/2006/relationships/hyperlink" Target="https://doi.org/10.1038/s41572-023-00454-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59016-F6FD-4F5E-9FF3-B404CA388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3069</Words>
  <Characters>17497</Characters>
  <Application>Microsoft Office Word</Application>
  <DocSecurity>0</DocSecurity>
  <Lines>145</Lines>
  <Paragraphs>41</Paragraphs>
  <ScaleCrop>false</ScaleCrop>
  <Company/>
  <LinksUpToDate>false</LinksUpToDate>
  <CharactersWithSpaces>20525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Moneeb Ghazanfar (AST)</cp:lastModifiedBy>
  <cp:revision>2</cp:revision>
  <dcterms:created xsi:type="dcterms:W3CDTF">2026-07-12T10:28:00Z</dcterms:created>
  <dcterms:modified xsi:type="dcterms:W3CDTF">2026-07-12T10:28:00Z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035bf6e7-4bb6-4edd-af9f-cd5dc240f6d1</vt:lpwstr>
  </property>
  <property fmtid="{D5CDD505-2E9C-101B-9397-08002B2CF9AE}" pid="3" name="ICV">
    <vt:lpwstr>6c01c204b7a141c7b0cacf71fa19516f_23</vt:lpwstr>
  </property>
</Properties>
</file>