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8ED72" w14:textId="77777777" w:rsidR="00E8102D" w:rsidRDefault="00E8102D" w:rsidP="00E8102D">
      <w:pPr>
        <w:jc w:val="center"/>
        <w:rPr>
          <w:rFonts w:ascii="Arial" w:hAnsi="Arial" w:cs="Arial"/>
          <w:b/>
          <w:bCs/>
          <w:color w:val="000000" w:themeColor="text1"/>
          <w:sz w:val="24"/>
          <w:szCs w:val="24"/>
          <w:lang w:val="en-US"/>
        </w:rPr>
      </w:pPr>
    </w:p>
    <w:p w14:paraId="656B6094" w14:textId="77777777" w:rsidR="00E8102D" w:rsidRDefault="00E8102D" w:rsidP="00E8102D">
      <w:pPr>
        <w:jc w:val="center"/>
        <w:rPr>
          <w:rFonts w:ascii="Arial" w:hAnsi="Arial" w:cs="Arial"/>
          <w:b/>
          <w:bCs/>
          <w:color w:val="000000" w:themeColor="text1"/>
          <w:sz w:val="24"/>
          <w:szCs w:val="24"/>
          <w:lang w:val="en-US"/>
        </w:rPr>
      </w:pPr>
    </w:p>
    <w:p w14:paraId="639BE29A" w14:textId="77777777" w:rsidR="00E8102D" w:rsidRDefault="00E8102D" w:rsidP="00E8102D">
      <w:pPr>
        <w:jc w:val="center"/>
        <w:rPr>
          <w:rFonts w:ascii="Arial" w:hAnsi="Arial" w:cs="Arial"/>
          <w:b/>
          <w:bCs/>
          <w:color w:val="000000" w:themeColor="text1"/>
          <w:sz w:val="24"/>
          <w:szCs w:val="24"/>
          <w:lang w:val="en-US"/>
        </w:rPr>
      </w:pPr>
    </w:p>
    <w:p w14:paraId="5F220919" w14:textId="77777777" w:rsidR="00E8102D" w:rsidRDefault="00E8102D" w:rsidP="00E8102D">
      <w:pPr>
        <w:jc w:val="center"/>
        <w:rPr>
          <w:rFonts w:ascii="Arial" w:hAnsi="Arial" w:cs="Arial"/>
          <w:b/>
          <w:bCs/>
          <w:color w:val="000000" w:themeColor="text1"/>
          <w:sz w:val="24"/>
          <w:szCs w:val="24"/>
          <w:lang w:val="en-US"/>
        </w:rPr>
      </w:pPr>
    </w:p>
    <w:p w14:paraId="70817444" w14:textId="77777777" w:rsidR="00E8102D" w:rsidRDefault="00E8102D" w:rsidP="00E8102D">
      <w:pPr>
        <w:jc w:val="center"/>
        <w:rPr>
          <w:rFonts w:ascii="Arial" w:hAnsi="Arial" w:cs="Arial"/>
          <w:b/>
          <w:bCs/>
          <w:color w:val="000000" w:themeColor="text1"/>
          <w:sz w:val="24"/>
          <w:szCs w:val="24"/>
          <w:lang w:val="en-US"/>
        </w:rPr>
      </w:pPr>
    </w:p>
    <w:p w14:paraId="3A75A436" w14:textId="77777777" w:rsidR="00E8102D" w:rsidRDefault="00E8102D" w:rsidP="00E8102D">
      <w:pPr>
        <w:jc w:val="center"/>
        <w:rPr>
          <w:rFonts w:ascii="Arial" w:hAnsi="Arial" w:cs="Arial"/>
          <w:b/>
          <w:bCs/>
          <w:color w:val="000000" w:themeColor="text1"/>
          <w:sz w:val="24"/>
          <w:szCs w:val="24"/>
          <w:lang w:val="en-US"/>
        </w:rPr>
      </w:pPr>
    </w:p>
    <w:p w14:paraId="2967B163" w14:textId="77777777" w:rsidR="00E8102D" w:rsidRDefault="00E8102D" w:rsidP="00E8102D">
      <w:pPr>
        <w:jc w:val="center"/>
        <w:rPr>
          <w:rFonts w:ascii="Arial" w:hAnsi="Arial" w:cs="Arial"/>
          <w:b/>
          <w:bCs/>
          <w:color w:val="000000" w:themeColor="text1"/>
          <w:sz w:val="24"/>
          <w:szCs w:val="24"/>
          <w:lang w:val="en-US"/>
        </w:rPr>
      </w:pPr>
    </w:p>
    <w:p w14:paraId="2A603527" w14:textId="250AC604" w:rsidR="00E8102D" w:rsidRPr="00E8102D" w:rsidRDefault="00E8102D" w:rsidP="00E8102D">
      <w:pPr>
        <w:jc w:val="center"/>
        <w:rPr>
          <w:rFonts w:ascii="Arial" w:hAnsi="Arial" w:cs="Arial"/>
          <w:color w:val="000000" w:themeColor="text1"/>
          <w:sz w:val="40"/>
          <w:szCs w:val="40"/>
          <w:lang w:val="en-US"/>
        </w:rPr>
      </w:pPr>
      <w:r w:rsidRPr="00E8102D">
        <w:rPr>
          <w:rFonts w:ascii="Arial" w:hAnsi="Arial" w:cs="Arial"/>
          <w:color w:val="000000" w:themeColor="text1"/>
          <w:sz w:val="40"/>
          <w:szCs w:val="40"/>
          <w:lang w:val="en-US"/>
        </w:rPr>
        <w:t xml:space="preserve">Employee Engagement and Motivation </w:t>
      </w:r>
    </w:p>
    <w:p w14:paraId="7816CEB1" w14:textId="77777777" w:rsidR="00E8102D" w:rsidRDefault="00E8102D" w:rsidP="00E8102D">
      <w:pPr>
        <w:jc w:val="center"/>
        <w:rPr>
          <w:rFonts w:ascii="Arial" w:hAnsi="Arial" w:cs="Arial"/>
          <w:b/>
          <w:bCs/>
          <w:color w:val="000000" w:themeColor="text1"/>
          <w:sz w:val="24"/>
          <w:szCs w:val="24"/>
          <w:lang w:val="en-US"/>
        </w:rPr>
      </w:pPr>
    </w:p>
    <w:p w14:paraId="2732A010" w14:textId="77777777" w:rsidR="00E8102D" w:rsidRDefault="00E8102D" w:rsidP="00E8102D">
      <w:pPr>
        <w:jc w:val="center"/>
        <w:rPr>
          <w:rFonts w:ascii="Arial" w:hAnsi="Arial" w:cs="Arial"/>
          <w:b/>
          <w:bCs/>
          <w:color w:val="000000" w:themeColor="text1"/>
          <w:sz w:val="24"/>
          <w:szCs w:val="24"/>
          <w:lang w:val="en-US"/>
        </w:rPr>
      </w:pPr>
    </w:p>
    <w:p w14:paraId="3620A6EC" w14:textId="77777777" w:rsidR="00E8102D" w:rsidRDefault="00E8102D" w:rsidP="00E8102D">
      <w:pPr>
        <w:jc w:val="center"/>
        <w:rPr>
          <w:rFonts w:ascii="Arial" w:hAnsi="Arial" w:cs="Arial"/>
          <w:b/>
          <w:bCs/>
          <w:color w:val="000000" w:themeColor="text1"/>
          <w:sz w:val="24"/>
          <w:szCs w:val="24"/>
          <w:lang w:val="en-US"/>
        </w:rPr>
      </w:pPr>
    </w:p>
    <w:p w14:paraId="1917FD88" w14:textId="77777777" w:rsidR="00E8102D" w:rsidRDefault="00E8102D" w:rsidP="00E8102D">
      <w:pPr>
        <w:jc w:val="center"/>
        <w:rPr>
          <w:rFonts w:ascii="Arial" w:hAnsi="Arial" w:cs="Arial"/>
          <w:b/>
          <w:bCs/>
          <w:color w:val="000000" w:themeColor="text1"/>
          <w:sz w:val="24"/>
          <w:szCs w:val="24"/>
          <w:lang w:val="en-US"/>
        </w:rPr>
      </w:pPr>
    </w:p>
    <w:p w14:paraId="0F0E1325" w14:textId="77777777" w:rsidR="00E8102D" w:rsidRDefault="00E8102D" w:rsidP="00E8102D">
      <w:pPr>
        <w:jc w:val="center"/>
        <w:rPr>
          <w:rFonts w:ascii="Arial" w:hAnsi="Arial" w:cs="Arial"/>
          <w:b/>
          <w:bCs/>
          <w:color w:val="000000" w:themeColor="text1"/>
          <w:sz w:val="24"/>
          <w:szCs w:val="24"/>
          <w:lang w:val="en-US"/>
        </w:rPr>
      </w:pPr>
    </w:p>
    <w:p w14:paraId="0788EC06" w14:textId="77777777" w:rsidR="00E8102D" w:rsidRDefault="00E8102D" w:rsidP="00E8102D">
      <w:pPr>
        <w:jc w:val="center"/>
        <w:rPr>
          <w:rFonts w:ascii="Arial" w:hAnsi="Arial" w:cs="Arial"/>
          <w:b/>
          <w:bCs/>
          <w:color w:val="000000" w:themeColor="text1"/>
          <w:sz w:val="24"/>
          <w:szCs w:val="24"/>
          <w:lang w:val="en-US"/>
        </w:rPr>
      </w:pPr>
    </w:p>
    <w:p w14:paraId="39784F92" w14:textId="77777777" w:rsidR="00E8102D" w:rsidRDefault="00E8102D" w:rsidP="00E8102D">
      <w:pPr>
        <w:jc w:val="center"/>
        <w:rPr>
          <w:rFonts w:ascii="Arial" w:hAnsi="Arial" w:cs="Arial"/>
          <w:b/>
          <w:bCs/>
          <w:color w:val="000000" w:themeColor="text1"/>
          <w:sz w:val="24"/>
          <w:szCs w:val="24"/>
          <w:lang w:val="en-US"/>
        </w:rPr>
      </w:pPr>
    </w:p>
    <w:p w14:paraId="7DB9015F" w14:textId="77777777" w:rsidR="00E8102D" w:rsidRDefault="00E8102D" w:rsidP="00E8102D">
      <w:pPr>
        <w:jc w:val="center"/>
        <w:rPr>
          <w:rFonts w:ascii="Arial" w:hAnsi="Arial" w:cs="Arial"/>
          <w:b/>
          <w:bCs/>
          <w:color w:val="000000" w:themeColor="text1"/>
          <w:sz w:val="24"/>
          <w:szCs w:val="24"/>
          <w:lang w:val="en-US"/>
        </w:rPr>
      </w:pPr>
    </w:p>
    <w:p w14:paraId="09A356DA" w14:textId="77777777" w:rsidR="00E8102D" w:rsidRDefault="00E8102D" w:rsidP="00E8102D">
      <w:pPr>
        <w:jc w:val="center"/>
        <w:rPr>
          <w:rFonts w:ascii="Arial" w:hAnsi="Arial" w:cs="Arial"/>
          <w:b/>
          <w:bCs/>
          <w:color w:val="000000" w:themeColor="text1"/>
          <w:sz w:val="24"/>
          <w:szCs w:val="24"/>
          <w:lang w:val="en-US"/>
        </w:rPr>
      </w:pPr>
    </w:p>
    <w:p w14:paraId="0957D864" w14:textId="77777777" w:rsidR="00E8102D" w:rsidRDefault="00E8102D" w:rsidP="00E8102D">
      <w:pPr>
        <w:jc w:val="center"/>
        <w:rPr>
          <w:rFonts w:ascii="Arial" w:hAnsi="Arial" w:cs="Arial"/>
          <w:b/>
          <w:bCs/>
          <w:color w:val="000000" w:themeColor="text1"/>
          <w:sz w:val="24"/>
          <w:szCs w:val="24"/>
          <w:lang w:val="en-US"/>
        </w:rPr>
      </w:pPr>
    </w:p>
    <w:p w14:paraId="69DE2D69" w14:textId="77777777" w:rsidR="00E8102D" w:rsidRDefault="00E8102D" w:rsidP="00E8102D">
      <w:pPr>
        <w:rPr>
          <w:rFonts w:ascii="Arial" w:hAnsi="Arial" w:cs="Arial"/>
          <w:b/>
          <w:bCs/>
          <w:color w:val="000000" w:themeColor="text1"/>
          <w:sz w:val="24"/>
          <w:szCs w:val="24"/>
          <w:lang w:val="en-US"/>
        </w:rPr>
      </w:pPr>
    </w:p>
    <w:p w14:paraId="6DF818B9" w14:textId="77777777" w:rsidR="00E8102D" w:rsidRDefault="00E8102D" w:rsidP="00E8102D">
      <w:pPr>
        <w:jc w:val="center"/>
        <w:rPr>
          <w:rFonts w:ascii="Arial" w:hAnsi="Arial" w:cs="Arial"/>
          <w:b/>
          <w:bCs/>
          <w:color w:val="000000" w:themeColor="text1"/>
          <w:sz w:val="24"/>
          <w:szCs w:val="24"/>
          <w:lang w:val="en-US"/>
        </w:rPr>
      </w:pPr>
    </w:p>
    <w:p w14:paraId="6BBB9384" w14:textId="77777777" w:rsidR="00E8102D" w:rsidRDefault="00E8102D" w:rsidP="00E8102D">
      <w:pPr>
        <w:jc w:val="center"/>
        <w:rPr>
          <w:rFonts w:ascii="Arial" w:hAnsi="Arial" w:cs="Arial"/>
          <w:b/>
          <w:bCs/>
          <w:color w:val="000000" w:themeColor="text1"/>
          <w:sz w:val="24"/>
          <w:szCs w:val="24"/>
          <w:lang w:val="en-US"/>
        </w:rPr>
      </w:pPr>
    </w:p>
    <w:p w14:paraId="0FA1A413" w14:textId="77777777" w:rsidR="00E8102D" w:rsidRDefault="00E8102D" w:rsidP="00E8102D">
      <w:pPr>
        <w:jc w:val="center"/>
        <w:rPr>
          <w:rFonts w:ascii="Arial" w:hAnsi="Arial" w:cs="Arial"/>
          <w:b/>
          <w:bCs/>
          <w:color w:val="000000" w:themeColor="text1"/>
          <w:sz w:val="24"/>
          <w:szCs w:val="24"/>
          <w:lang w:val="en-US"/>
        </w:rPr>
      </w:pPr>
    </w:p>
    <w:p w14:paraId="2B7ADB6F" w14:textId="77777777" w:rsidR="00E8102D" w:rsidRDefault="00E8102D" w:rsidP="00E8102D">
      <w:pPr>
        <w:jc w:val="center"/>
        <w:rPr>
          <w:rFonts w:ascii="Arial" w:hAnsi="Arial" w:cs="Arial"/>
          <w:b/>
          <w:bCs/>
          <w:color w:val="000000" w:themeColor="text1"/>
          <w:sz w:val="24"/>
          <w:szCs w:val="24"/>
          <w:lang w:val="en-US"/>
        </w:rPr>
      </w:pPr>
    </w:p>
    <w:p w14:paraId="11A69850" w14:textId="77777777" w:rsidR="00E8102D" w:rsidRDefault="00E8102D" w:rsidP="00E8102D">
      <w:pPr>
        <w:jc w:val="center"/>
        <w:rPr>
          <w:rFonts w:ascii="Arial" w:hAnsi="Arial" w:cs="Arial"/>
          <w:b/>
          <w:bCs/>
          <w:color w:val="000000" w:themeColor="text1"/>
          <w:sz w:val="24"/>
          <w:szCs w:val="24"/>
          <w:lang w:val="en-US"/>
        </w:rPr>
      </w:pPr>
    </w:p>
    <w:p w14:paraId="19D228D8" w14:textId="77777777" w:rsidR="00E8102D" w:rsidRPr="00E8102D" w:rsidRDefault="00E8102D" w:rsidP="00E8102D">
      <w:pPr>
        <w:tabs>
          <w:tab w:val="left" w:pos="1515"/>
        </w:tabs>
        <w:rPr>
          <w:rFonts w:ascii="Arial" w:hAnsi="Arial" w:cs="Arial"/>
          <w:color w:val="000000" w:themeColor="text1"/>
          <w:sz w:val="24"/>
          <w:szCs w:val="24"/>
        </w:rPr>
      </w:pPr>
      <w:r w:rsidRPr="00E8102D">
        <w:rPr>
          <w:rFonts w:ascii="Arial" w:hAnsi="Arial" w:cs="Arial"/>
          <w:color w:val="000000" w:themeColor="text1"/>
          <w:sz w:val="24"/>
          <w:szCs w:val="24"/>
        </w:rPr>
        <w:t>Student Name: Andreea Violeta Panciu</w:t>
      </w:r>
    </w:p>
    <w:p w14:paraId="2E759B98" w14:textId="77777777" w:rsidR="00E8102D" w:rsidRPr="00E8102D" w:rsidRDefault="00E8102D" w:rsidP="00E8102D">
      <w:pPr>
        <w:tabs>
          <w:tab w:val="left" w:pos="1515"/>
        </w:tabs>
        <w:rPr>
          <w:rFonts w:ascii="Arial" w:hAnsi="Arial" w:cs="Arial"/>
          <w:color w:val="000000" w:themeColor="text1"/>
          <w:sz w:val="24"/>
          <w:szCs w:val="24"/>
        </w:rPr>
      </w:pPr>
      <w:r w:rsidRPr="00E8102D">
        <w:rPr>
          <w:rFonts w:ascii="Arial" w:hAnsi="Arial" w:cs="Arial"/>
          <w:color w:val="000000" w:themeColor="text1"/>
          <w:sz w:val="24"/>
          <w:szCs w:val="24"/>
        </w:rPr>
        <w:t>Student ID Number: 2214991</w:t>
      </w:r>
    </w:p>
    <w:p w14:paraId="0B508222" w14:textId="77777777" w:rsidR="00E8102D" w:rsidRPr="00E8102D" w:rsidRDefault="00E8102D" w:rsidP="00E8102D">
      <w:pPr>
        <w:rPr>
          <w:rFonts w:ascii="Arial" w:hAnsi="Arial" w:cs="Arial"/>
          <w:color w:val="000000" w:themeColor="text1"/>
          <w:sz w:val="24"/>
          <w:szCs w:val="24"/>
          <w:lang w:val="en-US"/>
        </w:rPr>
      </w:pPr>
      <w:r w:rsidRPr="00E8102D">
        <w:rPr>
          <w:rFonts w:ascii="Arial" w:hAnsi="Arial" w:cs="Arial"/>
          <w:color w:val="000000" w:themeColor="text1"/>
          <w:sz w:val="24"/>
          <w:szCs w:val="24"/>
        </w:rPr>
        <w:t xml:space="preserve">Module Title: </w:t>
      </w:r>
      <w:r w:rsidRPr="00E8102D">
        <w:rPr>
          <w:rFonts w:ascii="Arial" w:hAnsi="Arial" w:cs="Arial"/>
          <w:color w:val="000000" w:themeColor="text1"/>
          <w:sz w:val="24"/>
          <w:szCs w:val="24"/>
          <w:lang w:val="en-US"/>
        </w:rPr>
        <w:t>Personal Resourcing and Development</w:t>
      </w:r>
    </w:p>
    <w:p w14:paraId="3BC49958" w14:textId="2A9D0A66" w:rsidR="00E8102D" w:rsidRPr="00E8102D" w:rsidRDefault="00E8102D" w:rsidP="00E8102D">
      <w:pPr>
        <w:rPr>
          <w:rFonts w:ascii="Arial" w:hAnsi="Arial" w:cs="Arial"/>
          <w:color w:val="000000" w:themeColor="text1"/>
          <w:sz w:val="24"/>
          <w:szCs w:val="24"/>
          <w:lang w:val="en-US"/>
        </w:rPr>
      </w:pPr>
      <w:r w:rsidRPr="00E8102D">
        <w:rPr>
          <w:rFonts w:ascii="Arial" w:hAnsi="Arial" w:cs="Arial"/>
          <w:color w:val="000000" w:themeColor="text1"/>
          <w:sz w:val="24"/>
          <w:szCs w:val="24"/>
          <w:lang w:val="en-US"/>
        </w:rPr>
        <w:t>Module code: BMIH5005</w:t>
      </w:r>
    </w:p>
    <w:p w14:paraId="326D2F7A" w14:textId="65A4BFCC" w:rsidR="00E8102D" w:rsidRPr="00E8102D" w:rsidRDefault="00E8102D" w:rsidP="00E8102D">
      <w:pPr>
        <w:tabs>
          <w:tab w:val="left" w:pos="3045"/>
        </w:tabs>
        <w:rPr>
          <w:rFonts w:ascii="Arial" w:hAnsi="Arial" w:cs="Arial"/>
          <w:color w:val="000000" w:themeColor="text1"/>
          <w:sz w:val="24"/>
          <w:szCs w:val="24"/>
        </w:rPr>
      </w:pPr>
      <w:r w:rsidRPr="00E8102D">
        <w:rPr>
          <w:rFonts w:ascii="Arial" w:hAnsi="Arial" w:cs="Arial"/>
          <w:color w:val="000000" w:themeColor="text1"/>
          <w:sz w:val="24"/>
          <w:szCs w:val="24"/>
        </w:rPr>
        <w:t>Lecture</w:t>
      </w:r>
      <w:r w:rsidRPr="00E8102D">
        <w:rPr>
          <w:rFonts w:ascii="Arial" w:hAnsi="Arial" w:cs="Arial"/>
          <w:color w:val="000000" w:themeColor="text1"/>
          <w:sz w:val="24"/>
          <w:szCs w:val="24"/>
        </w:rPr>
        <w:t>r</w:t>
      </w:r>
      <w:r w:rsidRPr="00E8102D">
        <w:rPr>
          <w:rFonts w:ascii="Arial" w:hAnsi="Arial" w:cs="Arial"/>
          <w:color w:val="000000" w:themeColor="text1"/>
          <w:sz w:val="24"/>
          <w:szCs w:val="24"/>
        </w:rPr>
        <w:t xml:space="preserve">’s Name: </w:t>
      </w:r>
      <w:r w:rsidRPr="00E8102D">
        <w:rPr>
          <w:rFonts w:ascii="Arial" w:hAnsi="Arial" w:cs="Arial"/>
          <w:color w:val="000000" w:themeColor="text1"/>
          <w:sz w:val="24"/>
          <w:szCs w:val="24"/>
        </w:rPr>
        <w:t>Helen Lee</w:t>
      </w:r>
    </w:p>
    <w:p w14:paraId="21C331DD" w14:textId="386B0FEF" w:rsidR="00E8102D" w:rsidRPr="00E8102D" w:rsidRDefault="00E8102D" w:rsidP="00E8102D">
      <w:pPr>
        <w:tabs>
          <w:tab w:val="left" w:pos="1515"/>
        </w:tabs>
        <w:rPr>
          <w:rFonts w:ascii="Arial" w:hAnsi="Arial" w:cs="Arial"/>
          <w:color w:val="000000" w:themeColor="text1"/>
          <w:sz w:val="24"/>
          <w:szCs w:val="24"/>
        </w:rPr>
      </w:pPr>
      <w:r w:rsidRPr="00E8102D">
        <w:rPr>
          <w:rFonts w:ascii="Arial" w:hAnsi="Arial" w:cs="Arial"/>
          <w:color w:val="000000" w:themeColor="text1"/>
          <w:sz w:val="24"/>
          <w:szCs w:val="24"/>
        </w:rPr>
        <w:t xml:space="preserve">Date: </w:t>
      </w:r>
      <w:r w:rsidRPr="00E8102D">
        <w:rPr>
          <w:rFonts w:ascii="Arial" w:hAnsi="Arial" w:cs="Arial"/>
          <w:color w:val="000000" w:themeColor="text1"/>
          <w:sz w:val="24"/>
          <w:szCs w:val="24"/>
        </w:rPr>
        <w:t>19 Octombrie 2023</w:t>
      </w:r>
    </w:p>
    <w:p w14:paraId="632C61B5" w14:textId="6020BE57" w:rsidR="00E8102D" w:rsidRDefault="00E8102D" w:rsidP="00E8102D">
      <w:pPr>
        <w:jc w:val="center"/>
        <w:rPr>
          <w:rFonts w:ascii="Arial" w:hAnsi="Arial" w:cs="Arial"/>
          <w:b/>
          <w:color w:val="000000" w:themeColor="text1"/>
          <w:sz w:val="24"/>
          <w:szCs w:val="24"/>
          <w:lang w:val="en-US"/>
        </w:rPr>
      </w:pPr>
    </w:p>
    <w:p w14:paraId="5EB7151C" w14:textId="77777777" w:rsidR="00E8102D" w:rsidRDefault="00E8102D" w:rsidP="00E8102D">
      <w:pPr>
        <w:jc w:val="center"/>
        <w:rPr>
          <w:rFonts w:ascii="Arial" w:hAnsi="Arial" w:cs="Arial"/>
          <w:b/>
          <w:color w:val="000000" w:themeColor="text1"/>
          <w:sz w:val="24"/>
          <w:szCs w:val="24"/>
          <w:lang w:val="en-US"/>
        </w:rPr>
      </w:pPr>
    </w:p>
    <w:p w14:paraId="76F17C88" w14:textId="77777777" w:rsidR="00E8102D" w:rsidRDefault="00E8102D" w:rsidP="00E8102D">
      <w:pPr>
        <w:rPr>
          <w:rFonts w:ascii="Arial" w:hAnsi="Arial" w:cs="Arial"/>
          <w:b/>
          <w:bCs/>
          <w:color w:val="000000" w:themeColor="text1"/>
          <w:sz w:val="24"/>
          <w:szCs w:val="24"/>
          <w:lang w:val="en-US"/>
        </w:rPr>
      </w:pPr>
      <w:r>
        <w:rPr>
          <w:rFonts w:ascii="Arial" w:hAnsi="Arial" w:cs="Arial"/>
          <w:b/>
          <w:bCs/>
          <w:color w:val="000000" w:themeColor="text1"/>
          <w:kern w:val="0"/>
          <w:sz w:val="24"/>
          <w:szCs w:val="24"/>
          <w:lang w:val="en-US"/>
          <w14:ligatures w14:val="none"/>
        </w:rPr>
        <w:br w:type="page"/>
      </w:r>
    </w:p>
    <w:p w14:paraId="6980B61D" w14:textId="6A84B7EE" w:rsidR="00E8102D" w:rsidRPr="00E8102D" w:rsidRDefault="00E8102D" w:rsidP="00E8102D">
      <w:pPr>
        <w:rPr>
          <w:rFonts w:ascii="Arial" w:hAnsi="Arial" w:cs="Arial"/>
          <w:color w:val="000000" w:themeColor="text1"/>
          <w:sz w:val="24"/>
          <w:szCs w:val="24"/>
          <w:lang w:val="fr-FR"/>
        </w:rPr>
      </w:pPr>
      <w:r>
        <w:rPr>
          <w:rFonts w:ascii="Arial" w:hAnsi="Arial" w:cs="Arial"/>
          <w:color w:val="000000" w:themeColor="text1"/>
          <w:sz w:val="24"/>
          <w:szCs w:val="24"/>
          <w:lang w:val="fr-FR"/>
        </w:rPr>
        <w:lastRenderedPageBreak/>
        <w:t xml:space="preserve">The </w:t>
      </w:r>
      <w:proofErr w:type="spellStart"/>
      <w:r>
        <w:rPr>
          <w:rFonts w:ascii="Arial" w:hAnsi="Arial" w:cs="Arial"/>
          <w:color w:val="000000" w:themeColor="text1"/>
          <w:sz w:val="24"/>
          <w:szCs w:val="24"/>
          <w:lang w:val="fr-FR"/>
        </w:rPr>
        <w:t>human</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resource</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department</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is</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associated</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with</w:t>
      </w:r>
      <w:proofErr w:type="spellEnd"/>
      <w:r>
        <w:rPr>
          <w:rFonts w:ascii="Arial" w:hAnsi="Arial" w:cs="Arial"/>
          <w:color w:val="000000" w:themeColor="text1"/>
          <w:sz w:val="24"/>
          <w:szCs w:val="24"/>
          <w:lang w:val="fr-FR"/>
        </w:rPr>
        <w:t xml:space="preserve"> </w:t>
      </w:r>
      <w:r>
        <w:rPr>
          <w:rFonts w:ascii="Arial" w:hAnsi="Arial" w:cs="Arial"/>
          <w:color w:val="000000" w:themeColor="text1"/>
          <w:sz w:val="24"/>
          <w:szCs w:val="24"/>
          <w:lang w:val="en-US"/>
        </w:rPr>
        <w:t>a variety</w:t>
      </w:r>
      <w:r>
        <w:rPr>
          <w:rFonts w:ascii="Arial" w:hAnsi="Arial" w:cs="Arial"/>
          <w:color w:val="000000" w:themeColor="text1"/>
          <w:sz w:val="24"/>
          <w:szCs w:val="24"/>
          <w:lang w:val="fr-FR"/>
        </w:rPr>
        <w:t xml:space="preserve"> of </w:t>
      </w:r>
      <w:proofErr w:type="spellStart"/>
      <w:r>
        <w:rPr>
          <w:rFonts w:ascii="Arial" w:hAnsi="Arial" w:cs="Arial"/>
          <w:color w:val="000000" w:themeColor="text1"/>
          <w:sz w:val="24"/>
          <w:szCs w:val="24"/>
          <w:lang w:val="fr-FR"/>
        </w:rPr>
        <w:t>activities</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throughout</w:t>
      </w:r>
      <w:proofErr w:type="spellEnd"/>
      <w:r>
        <w:rPr>
          <w:rFonts w:ascii="Arial" w:hAnsi="Arial" w:cs="Arial"/>
          <w:color w:val="000000" w:themeColor="text1"/>
          <w:sz w:val="24"/>
          <w:szCs w:val="24"/>
          <w:lang w:val="fr-FR"/>
        </w:rPr>
        <w:t xml:space="preserve"> the life cycle of </w:t>
      </w:r>
      <w:proofErr w:type="spellStart"/>
      <w:r>
        <w:rPr>
          <w:rFonts w:ascii="Arial" w:hAnsi="Arial" w:cs="Arial"/>
          <w:color w:val="000000" w:themeColor="text1"/>
          <w:sz w:val="24"/>
          <w:szCs w:val="24"/>
          <w:lang w:val="fr-FR"/>
        </w:rPr>
        <w:t>employees</w:t>
      </w:r>
      <w:proofErr w:type="spellEnd"/>
      <w:r>
        <w:rPr>
          <w:rFonts w:ascii="Arial" w:hAnsi="Arial" w:cs="Arial"/>
          <w:color w:val="000000" w:themeColor="text1"/>
          <w:sz w:val="24"/>
          <w:szCs w:val="24"/>
          <w:lang w:val="fr-FR"/>
        </w:rPr>
        <w:t xml:space="preserve"> and plans </w:t>
      </w:r>
      <w:proofErr w:type="spellStart"/>
      <w:r>
        <w:rPr>
          <w:rFonts w:ascii="Arial" w:hAnsi="Arial" w:cs="Arial"/>
          <w:color w:val="000000" w:themeColor="text1"/>
          <w:sz w:val="24"/>
          <w:szCs w:val="24"/>
          <w:lang w:val="fr-FR"/>
        </w:rPr>
        <w:t>strategies</w:t>
      </w:r>
      <w:proofErr w:type="spellEnd"/>
      <w:r>
        <w:rPr>
          <w:rFonts w:ascii="Arial" w:hAnsi="Arial" w:cs="Arial"/>
          <w:color w:val="000000" w:themeColor="text1"/>
          <w:sz w:val="24"/>
          <w:szCs w:val="24"/>
          <w:lang w:val="fr-FR"/>
        </w:rPr>
        <w:t xml:space="preserve"> to </w:t>
      </w:r>
      <w:proofErr w:type="spellStart"/>
      <w:r>
        <w:rPr>
          <w:rFonts w:ascii="Arial" w:hAnsi="Arial" w:cs="Arial"/>
          <w:color w:val="000000" w:themeColor="text1"/>
          <w:sz w:val="24"/>
          <w:szCs w:val="24"/>
          <w:lang w:val="fr-FR"/>
        </w:rPr>
        <w:t>promote</w:t>
      </w:r>
      <w:proofErr w:type="spellEnd"/>
      <w:r>
        <w:rPr>
          <w:rFonts w:ascii="Arial" w:hAnsi="Arial" w:cs="Arial"/>
          <w:color w:val="000000" w:themeColor="text1"/>
          <w:sz w:val="24"/>
          <w:szCs w:val="24"/>
          <w:lang w:val="fr-FR"/>
        </w:rPr>
        <w:t xml:space="preserve"> a </w:t>
      </w:r>
      <w:proofErr w:type="spellStart"/>
      <w:r>
        <w:rPr>
          <w:rFonts w:ascii="Arial" w:hAnsi="Arial" w:cs="Arial"/>
          <w:color w:val="000000" w:themeColor="text1"/>
          <w:sz w:val="24"/>
          <w:szCs w:val="24"/>
          <w:lang w:val="fr-FR"/>
        </w:rPr>
        <w:t>healthy</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working</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environment</w:t>
      </w:r>
      <w:proofErr w:type="spellEnd"/>
      <w:r>
        <w:rPr>
          <w:rFonts w:ascii="Arial" w:hAnsi="Arial" w:cs="Arial"/>
          <w:color w:val="000000" w:themeColor="text1"/>
          <w:sz w:val="24"/>
          <w:szCs w:val="24"/>
          <w:lang w:val="fr-FR"/>
        </w:rPr>
        <w:t xml:space="preserve"> by </w:t>
      </w:r>
      <w:proofErr w:type="spellStart"/>
      <w:r>
        <w:rPr>
          <w:rFonts w:ascii="Arial" w:hAnsi="Arial" w:cs="Arial"/>
          <w:color w:val="000000" w:themeColor="text1"/>
          <w:sz w:val="24"/>
          <w:szCs w:val="24"/>
          <w:lang w:val="fr-FR"/>
        </w:rPr>
        <w:t>which</w:t>
      </w:r>
      <w:proofErr w:type="spellEnd"/>
      <w:r>
        <w:rPr>
          <w:rFonts w:ascii="Arial" w:hAnsi="Arial" w:cs="Arial"/>
          <w:color w:val="000000" w:themeColor="text1"/>
          <w:sz w:val="24"/>
          <w:szCs w:val="24"/>
          <w:lang w:val="fr-FR"/>
        </w:rPr>
        <w:t xml:space="preserve"> engagement can </w:t>
      </w:r>
      <w:proofErr w:type="spellStart"/>
      <w:r>
        <w:rPr>
          <w:rFonts w:ascii="Arial" w:hAnsi="Arial" w:cs="Arial"/>
          <w:color w:val="000000" w:themeColor="text1"/>
          <w:sz w:val="24"/>
          <w:szCs w:val="24"/>
          <w:lang w:val="fr-FR"/>
        </w:rPr>
        <w:t>be</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fostered</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Employees</w:t>
      </w:r>
      <w:proofErr w:type="spellEnd"/>
      <w:r>
        <w:rPr>
          <w:rFonts w:ascii="Arial" w:hAnsi="Arial" w:cs="Arial"/>
          <w:color w:val="000000" w:themeColor="text1"/>
          <w:sz w:val="24"/>
          <w:szCs w:val="24"/>
          <w:lang w:val="fr-FR"/>
        </w:rPr>
        <w:t xml:space="preserve"> are the fuel for </w:t>
      </w:r>
      <w:proofErr w:type="spellStart"/>
      <w:r>
        <w:rPr>
          <w:rFonts w:ascii="Arial" w:hAnsi="Arial" w:cs="Arial"/>
          <w:color w:val="000000" w:themeColor="text1"/>
          <w:sz w:val="24"/>
          <w:szCs w:val="24"/>
          <w:lang w:val="fr-FR"/>
        </w:rPr>
        <w:t>every</w:t>
      </w:r>
      <w:proofErr w:type="spellEnd"/>
      <w:r>
        <w:rPr>
          <w:rFonts w:ascii="Arial" w:hAnsi="Arial" w:cs="Arial"/>
          <w:color w:val="000000" w:themeColor="text1"/>
          <w:sz w:val="24"/>
          <w:szCs w:val="24"/>
          <w:lang w:val="fr-FR"/>
        </w:rPr>
        <w:t xml:space="preserve"> organisation </w:t>
      </w:r>
      <w:proofErr w:type="spellStart"/>
      <w:r>
        <w:rPr>
          <w:rFonts w:ascii="Arial" w:hAnsi="Arial" w:cs="Arial"/>
          <w:color w:val="000000" w:themeColor="text1"/>
          <w:sz w:val="24"/>
          <w:szCs w:val="24"/>
          <w:lang w:val="fr-FR"/>
        </w:rPr>
        <w:t>around</w:t>
      </w:r>
      <w:proofErr w:type="spellEnd"/>
      <w:r>
        <w:rPr>
          <w:rFonts w:ascii="Arial" w:hAnsi="Arial" w:cs="Arial"/>
          <w:color w:val="000000" w:themeColor="text1"/>
          <w:sz w:val="24"/>
          <w:szCs w:val="24"/>
          <w:lang w:val="fr-FR"/>
        </w:rPr>
        <w:t xml:space="preserve"> the globe, and the HR </w:t>
      </w:r>
      <w:proofErr w:type="spellStart"/>
      <w:r>
        <w:rPr>
          <w:rFonts w:ascii="Arial" w:hAnsi="Arial" w:cs="Arial"/>
          <w:color w:val="000000" w:themeColor="text1"/>
          <w:sz w:val="24"/>
          <w:szCs w:val="24"/>
          <w:lang w:val="fr-FR"/>
        </w:rPr>
        <w:t>department</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incorporates</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various</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strategies</w:t>
      </w:r>
      <w:proofErr w:type="spellEnd"/>
      <w:r>
        <w:rPr>
          <w:rFonts w:ascii="Arial" w:hAnsi="Arial" w:cs="Arial"/>
          <w:color w:val="000000" w:themeColor="text1"/>
          <w:sz w:val="24"/>
          <w:szCs w:val="24"/>
          <w:lang w:val="fr-FR"/>
        </w:rPr>
        <w:t xml:space="preserve"> to drive </w:t>
      </w:r>
      <w:proofErr w:type="spellStart"/>
      <w:r>
        <w:rPr>
          <w:rFonts w:ascii="Arial" w:hAnsi="Arial" w:cs="Arial"/>
          <w:color w:val="000000" w:themeColor="text1"/>
          <w:sz w:val="24"/>
          <w:szCs w:val="24"/>
          <w:lang w:val="fr-FR"/>
        </w:rPr>
        <w:t>success</w:t>
      </w:r>
      <w:proofErr w:type="spellEnd"/>
      <w:r>
        <w:rPr>
          <w:rFonts w:ascii="Arial" w:hAnsi="Arial" w:cs="Arial"/>
          <w:color w:val="000000" w:themeColor="text1"/>
          <w:sz w:val="24"/>
          <w:szCs w:val="24"/>
          <w:lang w:val="fr-FR"/>
        </w:rPr>
        <w:t xml:space="preserve"> and boost engagement </w:t>
      </w:r>
      <w:proofErr w:type="spellStart"/>
      <w:r>
        <w:rPr>
          <w:rFonts w:ascii="Arial" w:hAnsi="Arial" w:cs="Arial"/>
          <w:color w:val="000000" w:themeColor="text1"/>
          <w:sz w:val="24"/>
          <w:szCs w:val="24"/>
          <w:lang w:val="fr-FR"/>
        </w:rPr>
        <w:t>through</w:t>
      </w:r>
      <w:proofErr w:type="spellEnd"/>
      <w:r>
        <w:rPr>
          <w:rFonts w:ascii="Arial" w:hAnsi="Arial" w:cs="Arial"/>
          <w:color w:val="000000" w:themeColor="text1"/>
          <w:sz w:val="24"/>
          <w:szCs w:val="24"/>
          <w:lang w:val="fr-FR"/>
        </w:rPr>
        <w:t xml:space="preserve"> communication and </w:t>
      </w:r>
      <w:proofErr w:type="spellStart"/>
      <w:r>
        <w:rPr>
          <w:rFonts w:ascii="Arial" w:hAnsi="Arial" w:cs="Arial"/>
          <w:color w:val="000000" w:themeColor="text1"/>
          <w:sz w:val="24"/>
          <w:szCs w:val="24"/>
          <w:lang w:val="fr-FR"/>
        </w:rPr>
        <w:t>investing</w:t>
      </w:r>
      <w:proofErr w:type="spellEnd"/>
      <w:r>
        <w:rPr>
          <w:rFonts w:ascii="Arial" w:hAnsi="Arial" w:cs="Arial"/>
          <w:color w:val="000000" w:themeColor="text1"/>
          <w:sz w:val="24"/>
          <w:szCs w:val="24"/>
          <w:lang w:val="fr-FR"/>
        </w:rPr>
        <w:t xml:space="preserve"> in the </w:t>
      </w:r>
      <w:proofErr w:type="spellStart"/>
      <w:r>
        <w:rPr>
          <w:rFonts w:ascii="Arial" w:hAnsi="Arial" w:cs="Arial"/>
          <w:color w:val="000000" w:themeColor="text1"/>
          <w:sz w:val="24"/>
          <w:szCs w:val="24"/>
          <w:lang w:val="fr-FR"/>
        </w:rPr>
        <w:t>being</w:t>
      </w:r>
      <w:proofErr w:type="spellEnd"/>
      <w:r>
        <w:rPr>
          <w:rFonts w:ascii="Arial" w:hAnsi="Arial" w:cs="Arial"/>
          <w:color w:val="000000" w:themeColor="text1"/>
          <w:sz w:val="24"/>
          <w:szCs w:val="24"/>
          <w:lang w:val="fr-FR"/>
        </w:rPr>
        <w:t xml:space="preserve"> of </w:t>
      </w:r>
      <w:proofErr w:type="spellStart"/>
      <w:r>
        <w:rPr>
          <w:rFonts w:ascii="Arial" w:hAnsi="Arial" w:cs="Arial"/>
          <w:color w:val="000000" w:themeColor="text1"/>
          <w:sz w:val="24"/>
          <w:szCs w:val="24"/>
          <w:lang w:val="fr-FR"/>
        </w:rPr>
        <w:t>employees</w:t>
      </w:r>
      <w:proofErr w:type="spellEnd"/>
      <w:r>
        <w:rPr>
          <w:rFonts w:ascii="Arial" w:hAnsi="Arial" w:cs="Arial"/>
          <w:color w:val="000000" w:themeColor="text1"/>
          <w:sz w:val="24"/>
          <w:szCs w:val="24"/>
          <w:lang w:val="fr-FR"/>
        </w:rPr>
        <w:t xml:space="preserve">. In addition to </w:t>
      </w:r>
      <w:proofErr w:type="spellStart"/>
      <w:r>
        <w:rPr>
          <w:rFonts w:ascii="Arial" w:hAnsi="Arial" w:cs="Arial"/>
          <w:color w:val="000000" w:themeColor="text1"/>
          <w:sz w:val="24"/>
          <w:szCs w:val="24"/>
          <w:lang w:val="fr-FR"/>
        </w:rPr>
        <w:t>this</w:t>
      </w:r>
      <w:proofErr w:type="spellEnd"/>
      <w:r>
        <w:rPr>
          <w:rFonts w:ascii="Arial" w:hAnsi="Arial" w:cs="Arial"/>
          <w:color w:val="000000" w:themeColor="text1"/>
          <w:sz w:val="24"/>
          <w:szCs w:val="24"/>
          <w:lang w:val="fr-FR"/>
        </w:rPr>
        <w:t xml:space="preserve">, the HR </w:t>
      </w:r>
      <w:proofErr w:type="spellStart"/>
      <w:r>
        <w:rPr>
          <w:rFonts w:ascii="Arial" w:hAnsi="Arial" w:cs="Arial"/>
          <w:color w:val="000000" w:themeColor="text1"/>
          <w:sz w:val="24"/>
          <w:szCs w:val="24"/>
          <w:lang w:val="fr-FR"/>
        </w:rPr>
        <w:t>department</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also</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takes</w:t>
      </w:r>
      <w:proofErr w:type="spellEnd"/>
      <w:r>
        <w:rPr>
          <w:rFonts w:ascii="Arial" w:hAnsi="Arial" w:cs="Arial"/>
          <w:color w:val="000000" w:themeColor="text1"/>
          <w:sz w:val="24"/>
          <w:szCs w:val="24"/>
          <w:lang w:val="fr-FR"/>
        </w:rPr>
        <w:t xml:space="preserve"> plan </w:t>
      </w:r>
      <w:proofErr w:type="spellStart"/>
      <w:r>
        <w:rPr>
          <w:rFonts w:ascii="Arial" w:hAnsi="Arial" w:cs="Arial"/>
          <w:color w:val="000000" w:themeColor="text1"/>
          <w:sz w:val="24"/>
          <w:szCs w:val="24"/>
          <w:lang w:val="fr-FR"/>
        </w:rPr>
        <w:t>strategies</w:t>
      </w:r>
      <w:proofErr w:type="spellEnd"/>
      <w:r>
        <w:rPr>
          <w:rFonts w:ascii="Arial" w:hAnsi="Arial" w:cs="Arial"/>
          <w:color w:val="000000" w:themeColor="text1"/>
          <w:sz w:val="24"/>
          <w:szCs w:val="24"/>
          <w:lang w:val="fr-FR"/>
        </w:rPr>
        <w:t xml:space="preserve"> to </w:t>
      </w:r>
      <w:proofErr w:type="spellStart"/>
      <w:r>
        <w:rPr>
          <w:rFonts w:ascii="Arial" w:hAnsi="Arial" w:cs="Arial"/>
          <w:color w:val="000000" w:themeColor="text1"/>
          <w:sz w:val="24"/>
          <w:szCs w:val="24"/>
          <w:lang w:val="fr-FR"/>
        </w:rPr>
        <w:t>take</w:t>
      </w:r>
      <w:proofErr w:type="spellEnd"/>
      <w:r>
        <w:rPr>
          <w:rFonts w:ascii="Arial" w:hAnsi="Arial" w:cs="Arial"/>
          <w:color w:val="000000" w:themeColor="text1"/>
          <w:sz w:val="24"/>
          <w:szCs w:val="24"/>
          <w:lang w:val="fr-FR"/>
        </w:rPr>
        <w:t xml:space="preserve"> feedback </w:t>
      </w:r>
      <w:proofErr w:type="spellStart"/>
      <w:r>
        <w:rPr>
          <w:rFonts w:ascii="Arial" w:hAnsi="Arial" w:cs="Arial"/>
          <w:color w:val="000000" w:themeColor="text1"/>
          <w:sz w:val="24"/>
          <w:szCs w:val="24"/>
          <w:lang w:val="fr-FR"/>
        </w:rPr>
        <w:t>from</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employees</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regularly</w:t>
      </w:r>
      <w:proofErr w:type="spellEnd"/>
      <w:r>
        <w:rPr>
          <w:rFonts w:ascii="Arial" w:hAnsi="Arial" w:cs="Arial"/>
          <w:color w:val="000000" w:themeColor="text1"/>
          <w:sz w:val="24"/>
          <w:szCs w:val="24"/>
          <w:lang w:val="fr-FR"/>
        </w:rPr>
        <w:t xml:space="preserve"> and </w:t>
      </w:r>
      <w:proofErr w:type="spellStart"/>
      <w:r>
        <w:rPr>
          <w:rFonts w:ascii="Arial" w:hAnsi="Arial" w:cs="Arial"/>
          <w:color w:val="000000" w:themeColor="text1"/>
          <w:sz w:val="24"/>
          <w:szCs w:val="24"/>
          <w:lang w:val="fr-FR"/>
        </w:rPr>
        <w:t>adapt</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policies</w:t>
      </w:r>
      <w:proofErr w:type="spellEnd"/>
      <w:r>
        <w:rPr>
          <w:rFonts w:ascii="Arial" w:hAnsi="Arial" w:cs="Arial"/>
          <w:color w:val="000000" w:themeColor="text1"/>
          <w:sz w:val="24"/>
          <w:szCs w:val="24"/>
          <w:lang w:val="fr-FR"/>
        </w:rPr>
        <w:t xml:space="preserve"> and practices </w:t>
      </w:r>
      <w:proofErr w:type="spellStart"/>
      <w:r>
        <w:rPr>
          <w:rFonts w:ascii="Arial" w:hAnsi="Arial" w:cs="Arial"/>
          <w:color w:val="000000" w:themeColor="text1"/>
          <w:sz w:val="24"/>
          <w:szCs w:val="24"/>
          <w:lang w:val="fr-FR"/>
        </w:rPr>
        <w:t>accordingly</w:t>
      </w:r>
      <w:proofErr w:type="spellEnd"/>
      <w:r>
        <w:rPr>
          <w:rFonts w:ascii="Arial" w:hAnsi="Arial" w:cs="Arial"/>
          <w:color w:val="000000" w:themeColor="text1"/>
          <w:sz w:val="24"/>
          <w:szCs w:val="24"/>
          <w:lang w:val="fr-FR"/>
        </w:rPr>
        <w:t xml:space="preserve">. This </w:t>
      </w:r>
      <w:proofErr w:type="spellStart"/>
      <w:r>
        <w:rPr>
          <w:rFonts w:ascii="Arial" w:hAnsi="Arial" w:cs="Arial"/>
          <w:color w:val="000000" w:themeColor="text1"/>
          <w:sz w:val="24"/>
          <w:szCs w:val="24"/>
          <w:lang w:val="fr-FR"/>
        </w:rPr>
        <w:t>essay</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will</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provide</w:t>
      </w:r>
      <w:proofErr w:type="spellEnd"/>
      <w:r>
        <w:rPr>
          <w:rFonts w:ascii="Arial" w:hAnsi="Arial" w:cs="Arial"/>
          <w:color w:val="000000" w:themeColor="text1"/>
          <w:sz w:val="24"/>
          <w:szCs w:val="24"/>
          <w:lang w:val="fr-FR"/>
        </w:rPr>
        <w:t xml:space="preserve"> an </w:t>
      </w:r>
      <w:proofErr w:type="spellStart"/>
      <w:r>
        <w:rPr>
          <w:rFonts w:ascii="Arial" w:hAnsi="Arial" w:cs="Arial"/>
          <w:color w:val="000000" w:themeColor="text1"/>
          <w:sz w:val="24"/>
          <w:szCs w:val="24"/>
          <w:lang w:val="fr-FR"/>
        </w:rPr>
        <w:t>overview</w:t>
      </w:r>
      <w:proofErr w:type="spellEnd"/>
      <w:r>
        <w:rPr>
          <w:rFonts w:ascii="Arial" w:hAnsi="Arial" w:cs="Arial"/>
          <w:color w:val="000000" w:themeColor="text1"/>
          <w:sz w:val="24"/>
          <w:szCs w:val="24"/>
          <w:lang w:val="fr-FR"/>
        </w:rPr>
        <w:t xml:space="preserve"> of the </w:t>
      </w:r>
      <w:proofErr w:type="spellStart"/>
      <w:r>
        <w:rPr>
          <w:rFonts w:ascii="Arial" w:hAnsi="Arial" w:cs="Arial"/>
          <w:color w:val="000000" w:themeColor="text1"/>
          <w:sz w:val="24"/>
          <w:szCs w:val="24"/>
          <w:lang w:val="fr-FR"/>
        </w:rPr>
        <w:t>strategies</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that</w:t>
      </w:r>
      <w:proofErr w:type="spellEnd"/>
      <w:r>
        <w:rPr>
          <w:rFonts w:ascii="Arial" w:hAnsi="Arial" w:cs="Arial"/>
          <w:color w:val="000000" w:themeColor="text1"/>
          <w:sz w:val="24"/>
          <w:szCs w:val="24"/>
          <w:lang w:val="fr-FR"/>
        </w:rPr>
        <w:t xml:space="preserve"> can </w:t>
      </w:r>
      <w:proofErr w:type="spellStart"/>
      <w:r>
        <w:rPr>
          <w:rFonts w:ascii="Arial" w:hAnsi="Arial" w:cs="Arial"/>
          <w:color w:val="000000" w:themeColor="text1"/>
          <w:sz w:val="24"/>
          <w:szCs w:val="24"/>
          <w:lang w:val="fr-FR"/>
        </w:rPr>
        <w:t>be</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implemented</w:t>
      </w:r>
      <w:proofErr w:type="spellEnd"/>
      <w:r>
        <w:rPr>
          <w:rFonts w:ascii="Arial" w:hAnsi="Arial" w:cs="Arial"/>
          <w:color w:val="000000" w:themeColor="text1"/>
          <w:sz w:val="24"/>
          <w:szCs w:val="24"/>
          <w:lang w:val="fr-FR"/>
        </w:rPr>
        <w:t xml:space="preserve"> by the HR </w:t>
      </w:r>
      <w:proofErr w:type="spellStart"/>
      <w:r>
        <w:rPr>
          <w:rFonts w:ascii="Arial" w:hAnsi="Arial" w:cs="Arial"/>
          <w:color w:val="000000" w:themeColor="text1"/>
          <w:sz w:val="24"/>
          <w:szCs w:val="24"/>
          <w:lang w:val="fr-FR"/>
        </w:rPr>
        <w:t>department</w:t>
      </w:r>
      <w:proofErr w:type="spellEnd"/>
      <w:r>
        <w:rPr>
          <w:rFonts w:ascii="Arial" w:hAnsi="Arial" w:cs="Arial"/>
          <w:color w:val="000000" w:themeColor="text1"/>
          <w:sz w:val="24"/>
          <w:szCs w:val="24"/>
          <w:lang w:val="fr-FR"/>
        </w:rPr>
        <w:t xml:space="preserve"> to engage </w:t>
      </w:r>
      <w:proofErr w:type="spellStart"/>
      <w:r>
        <w:rPr>
          <w:rFonts w:ascii="Arial" w:hAnsi="Arial" w:cs="Arial"/>
          <w:color w:val="000000" w:themeColor="text1"/>
          <w:sz w:val="24"/>
          <w:szCs w:val="24"/>
          <w:lang w:val="fr-FR"/>
        </w:rPr>
        <w:t>Generation</w:t>
      </w:r>
      <w:proofErr w:type="spellEnd"/>
      <w:r>
        <w:rPr>
          <w:rFonts w:ascii="Arial" w:hAnsi="Arial" w:cs="Arial"/>
          <w:color w:val="000000" w:themeColor="text1"/>
          <w:sz w:val="24"/>
          <w:szCs w:val="24"/>
          <w:lang w:val="fr-FR"/>
        </w:rPr>
        <w:t xml:space="preserve"> Z </w:t>
      </w:r>
      <w:proofErr w:type="spellStart"/>
      <w:r>
        <w:rPr>
          <w:rFonts w:ascii="Arial" w:hAnsi="Arial" w:cs="Arial"/>
          <w:color w:val="000000" w:themeColor="text1"/>
          <w:sz w:val="24"/>
          <w:szCs w:val="24"/>
          <w:lang w:val="fr-FR"/>
        </w:rPr>
        <w:t>employees</w:t>
      </w:r>
      <w:proofErr w:type="spellEnd"/>
      <w:r>
        <w:rPr>
          <w:rFonts w:ascii="Arial" w:hAnsi="Arial" w:cs="Arial"/>
          <w:color w:val="000000" w:themeColor="text1"/>
          <w:sz w:val="24"/>
          <w:szCs w:val="24"/>
          <w:lang w:val="fr-FR"/>
        </w:rPr>
        <w:t xml:space="preserve"> in the </w:t>
      </w:r>
      <w:proofErr w:type="spellStart"/>
      <w:r>
        <w:rPr>
          <w:rFonts w:ascii="Arial" w:hAnsi="Arial" w:cs="Arial"/>
          <w:color w:val="000000" w:themeColor="text1"/>
          <w:sz w:val="24"/>
          <w:szCs w:val="24"/>
          <w:lang w:val="fr-FR"/>
        </w:rPr>
        <w:t>hotel</w:t>
      </w:r>
      <w:proofErr w:type="spellEnd"/>
      <w:r>
        <w:rPr>
          <w:rFonts w:ascii="Arial" w:hAnsi="Arial" w:cs="Arial"/>
          <w:color w:val="000000" w:themeColor="text1"/>
          <w:sz w:val="24"/>
          <w:szCs w:val="24"/>
          <w:lang w:val="fr-FR"/>
        </w:rPr>
        <w:t xml:space="preserve"> </w:t>
      </w:r>
      <w:proofErr w:type="spellStart"/>
      <w:r>
        <w:rPr>
          <w:rFonts w:ascii="Arial" w:hAnsi="Arial" w:cs="Arial"/>
          <w:color w:val="000000" w:themeColor="text1"/>
          <w:sz w:val="24"/>
          <w:szCs w:val="24"/>
          <w:lang w:val="fr-FR"/>
        </w:rPr>
        <w:t>sector</w:t>
      </w:r>
      <w:proofErr w:type="spellEnd"/>
      <w:r>
        <w:rPr>
          <w:rFonts w:ascii="Arial" w:hAnsi="Arial" w:cs="Arial"/>
          <w:color w:val="000000" w:themeColor="text1"/>
          <w:sz w:val="24"/>
          <w:szCs w:val="24"/>
          <w:lang w:val="fr-FR"/>
        </w:rPr>
        <w:t>.</w:t>
      </w:r>
    </w:p>
    <w:p w14:paraId="09D76F2C" w14:textId="77777777" w:rsidR="00E8102D" w:rsidRDefault="00E8102D" w:rsidP="00E8102D">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AS narrated by </w:t>
      </w:r>
      <w:r>
        <w:rPr>
          <w:rFonts w:ascii="Arial" w:hAnsi="Arial" w:cs="Arial"/>
          <w:color w:val="000000" w:themeColor="text1"/>
          <w:sz w:val="24"/>
          <w:szCs w:val="24"/>
          <w:shd w:val="clear" w:color="auto" w:fill="FFFFFF"/>
        </w:rPr>
        <w:t xml:space="preserve">Ingham and Ulrich (2016), </w:t>
      </w:r>
      <w:r>
        <w:rPr>
          <w:rFonts w:ascii="Arial" w:hAnsi="Arial" w:cs="Arial"/>
          <w:color w:val="000000" w:themeColor="text1"/>
          <w:sz w:val="24"/>
          <w:szCs w:val="24"/>
          <w:lang w:val="en-US"/>
        </w:rPr>
        <w:t>Human resources can be regarded as the division of business that is associated with employees throughout the lifecycle. In addition to this, employees are also associated with the planning of employee benefit programs. The HR department is responsible for ensuring all the employees working comply with the laws and employment standards. HR is also responsible for engaging employees through compensation and benefits through satisfactory benefits and attractive salary packages. As HR is the main point of contact for employees throughout the journey, it works to build a unique position and establish an excellent place for working (</w:t>
      </w:r>
      <w:r>
        <w:rPr>
          <w:rFonts w:ascii="Arial" w:hAnsi="Arial" w:cs="Arial"/>
          <w:color w:val="000000" w:themeColor="text1"/>
          <w:sz w:val="24"/>
          <w:szCs w:val="24"/>
          <w:shd w:val="clear" w:color="auto" w:fill="FFFFFF"/>
        </w:rPr>
        <w:t>Ulrich and Grochowski 2018)</w:t>
      </w:r>
      <w:r>
        <w:rPr>
          <w:rFonts w:ascii="Arial" w:hAnsi="Arial" w:cs="Arial"/>
          <w:color w:val="000000" w:themeColor="text1"/>
          <w:sz w:val="24"/>
          <w:szCs w:val="24"/>
          <w:lang w:val="en-US"/>
        </w:rPr>
        <w:t>. By fostering a positive experience, it is ensured that employees feel engaged and motivated to have a productive working culture. Furthermore, the HR department can incorporate various strategies by which employees feel engaged with the job, and it involves choosing the best employee for each position by recruiting the most appropriate candidate (</w:t>
      </w:r>
      <w:r>
        <w:rPr>
          <w:rFonts w:ascii="Arial" w:hAnsi="Arial" w:cs="Arial"/>
          <w:color w:val="000000" w:themeColor="text1"/>
          <w:sz w:val="24"/>
          <w:szCs w:val="24"/>
          <w:shd w:val="clear" w:color="auto" w:fill="FFFFFF"/>
        </w:rPr>
        <w:t>Sharma, 2023).</w:t>
      </w:r>
      <w:r>
        <w:rPr>
          <w:rFonts w:ascii="Arial" w:hAnsi="Arial" w:cs="Arial"/>
          <w:color w:val="000000" w:themeColor="text1"/>
          <w:sz w:val="24"/>
          <w:szCs w:val="24"/>
          <w:lang w:val="en-US"/>
        </w:rPr>
        <w:t xml:space="preserve"> This means that it is HR’s responsibility to ensure employee thrives on the team and are able to do the role given. Moreover, HR also promotes engagement by improving communication, as it plays a crucial role in improving engagement because workers feel that the company can be trusted as the concerns and questions are addressed and answered (</w:t>
      </w:r>
      <w:r>
        <w:rPr>
          <w:rFonts w:ascii="Arial" w:hAnsi="Arial" w:cs="Arial"/>
          <w:color w:val="000000" w:themeColor="text1"/>
          <w:sz w:val="24"/>
          <w:szCs w:val="24"/>
          <w:shd w:val="clear" w:color="auto" w:fill="FFFFFF"/>
        </w:rPr>
        <w:t xml:space="preserve">Stone </w:t>
      </w:r>
      <w:r>
        <w:rPr>
          <w:rFonts w:ascii="Arial" w:hAnsi="Arial" w:cs="Arial"/>
          <w:i/>
          <w:color w:val="000000" w:themeColor="text1"/>
          <w:sz w:val="24"/>
          <w:szCs w:val="24"/>
          <w:shd w:val="clear" w:color="auto" w:fill="FFFFFF"/>
        </w:rPr>
        <w:t>et al</w:t>
      </w:r>
      <w:r>
        <w:rPr>
          <w:rFonts w:ascii="Arial" w:hAnsi="Arial" w:cs="Arial"/>
          <w:color w:val="000000" w:themeColor="text1"/>
          <w:sz w:val="24"/>
          <w:szCs w:val="24"/>
          <w:shd w:val="clear" w:color="auto" w:fill="FFFFFF"/>
        </w:rPr>
        <w:t>., 2020).</w:t>
      </w:r>
    </w:p>
    <w:p w14:paraId="28D0AF65" w14:textId="77777777" w:rsidR="00E8102D" w:rsidRDefault="00E8102D" w:rsidP="00E8102D">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Additionally, one of the most effective initiatives that can be taken by HR is collecting feedback from employees regularly. Through feedback, a safe place is provided for employees to submit thoughts and opinions without fear so that the gaps for improvement can be identified to promote engagement. The productivity of employees increases significantly when provided with recognition and acknowledgement for their efforts can create a positive culture of working and the initiatives are planned by the </w:t>
      </w:r>
      <w:r>
        <w:rPr>
          <w:rFonts w:ascii="Arial" w:hAnsi="Arial" w:cs="Arial"/>
          <w:color w:val="000000" w:themeColor="text1"/>
          <w:sz w:val="24"/>
          <w:szCs w:val="24"/>
          <w:lang w:val="en-US"/>
        </w:rPr>
        <w:lastRenderedPageBreak/>
        <w:t>HR department (</w:t>
      </w:r>
      <w:r>
        <w:rPr>
          <w:rFonts w:ascii="Arial" w:hAnsi="Arial" w:cs="Arial"/>
          <w:color w:val="000000" w:themeColor="text1"/>
          <w:sz w:val="24"/>
          <w:szCs w:val="24"/>
          <w:shd w:val="clear" w:color="auto" w:fill="FFFFFF"/>
        </w:rPr>
        <w:t>Sun and Bunchapattanasakda 2019)</w:t>
      </w:r>
      <w:r>
        <w:rPr>
          <w:rFonts w:ascii="Arial" w:hAnsi="Arial" w:cs="Arial"/>
          <w:color w:val="000000" w:themeColor="text1"/>
          <w:sz w:val="24"/>
          <w:szCs w:val="24"/>
          <w:lang w:val="en-US"/>
        </w:rPr>
        <w:t>. Along with that, HR also has the role of encouraging team building activities to establish solid, genuine connection and providing professional development opportunities. With Development opportunities, employees feel creative and driven by learning all the necessary skills that enable them to work more efficiently. Employee engagement is one of the crucial drivers of success for the business in a competitive environment, and with high engagement, talented employees are retained, and customer loyalty is promoted. Employee engagement is promoted significantly when positive and direct communication is promoted among managers and supervisors. Hence, HR also plays a role in planning strategies by which a respectful and trusting relationship is formed and company values are adequately communicated (</w:t>
      </w:r>
      <w:r>
        <w:rPr>
          <w:rFonts w:ascii="Arial" w:hAnsi="Arial" w:cs="Arial"/>
          <w:color w:val="000000" w:themeColor="text1"/>
          <w:sz w:val="24"/>
          <w:szCs w:val="24"/>
          <w:shd w:val="clear" w:color="auto" w:fill="FFFFFF"/>
        </w:rPr>
        <w:t xml:space="preserve">Chandani </w:t>
      </w:r>
      <w:r>
        <w:rPr>
          <w:rFonts w:ascii="Arial" w:hAnsi="Arial" w:cs="Arial"/>
          <w:i/>
          <w:color w:val="000000" w:themeColor="text1"/>
          <w:sz w:val="24"/>
          <w:szCs w:val="24"/>
          <w:shd w:val="clear" w:color="auto" w:fill="FFFFFF"/>
        </w:rPr>
        <w:t>et al</w:t>
      </w:r>
      <w:r>
        <w:rPr>
          <w:rFonts w:ascii="Arial" w:hAnsi="Arial" w:cs="Arial"/>
          <w:color w:val="000000" w:themeColor="text1"/>
          <w:sz w:val="24"/>
          <w:szCs w:val="24"/>
          <w:shd w:val="clear" w:color="auto" w:fill="FFFFFF"/>
        </w:rPr>
        <w:t>., 2016).</w:t>
      </w:r>
    </w:p>
    <w:p w14:paraId="68E5894F" w14:textId="77777777" w:rsidR="00E8102D" w:rsidRDefault="00E8102D" w:rsidP="00E8102D">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Employees are the backbone of any </w:t>
      </w:r>
      <w:proofErr w:type="spellStart"/>
      <w:r>
        <w:rPr>
          <w:rFonts w:ascii="Arial" w:hAnsi="Arial" w:cs="Arial"/>
          <w:color w:val="000000" w:themeColor="text1"/>
          <w:sz w:val="24"/>
          <w:szCs w:val="24"/>
          <w:lang w:val="en-US"/>
        </w:rPr>
        <w:t>organisation</w:t>
      </w:r>
      <w:proofErr w:type="spellEnd"/>
      <w:r>
        <w:rPr>
          <w:rFonts w:ascii="Arial" w:hAnsi="Arial" w:cs="Arial"/>
          <w:color w:val="000000" w:themeColor="text1"/>
          <w:sz w:val="24"/>
          <w:szCs w:val="24"/>
          <w:lang w:val="en-US"/>
        </w:rPr>
        <w:t xml:space="preserve"> and are responsible for the success and smooth functioning of an </w:t>
      </w:r>
      <w:proofErr w:type="spellStart"/>
      <w:r>
        <w:rPr>
          <w:rFonts w:ascii="Arial" w:hAnsi="Arial" w:cs="Arial"/>
          <w:color w:val="000000" w:themeColor="text1"/>
          <w:sz w:val="24"/>
          <w:szCs w:val="24"/>
          <w:lang w:val="en-US"/>
        </w:rPr>
        <w:t>organisation</w:t>
      </w:r>
      <w:proofErr w:type="spellEnd"/>
      <w:r>
        <w:rPr>
          <w:rFonts w:ascii="Arial" w:hAnsi="Arial" w:cs="Arial"/>
          <w:color w:val="000000" w:themeColor="text1"/>
          <w:sz w:val="24"/>
          <w:szCs w:val="24"/>
          <w:lang w:val="en-US"/>
        </w:rPr>
        <w:t xml:space="preserve">. It is the duty of an </w:t>
      </w:r>
      <w:proofErr w:type="spellStart"/>
      <w:r>
        <w:rPr>
          <w:rFonts w:ascii="Arial" w:hAnsi="Arial" w:cs="Arial"/>
          <w:color w:val="000000" w:themeColor="text1"/>
          <w:sz w:val="24"/>
          <w:szCs w:val="24"/>
          <w:lang w:val="en-US"/>
        </w:rPr>
        <w:t>organisation</w:t>
      </w:r>
      <w:proofErr w:type="spellEnd"/>
      <w:r>
        <w:rPr>
          <w:rFonts w:ascii="Arial" w:hAnsi="Arial" w:cs="Arial"/>
          <w:color w:val="000000" w:themeColor="text1"/>
          <w:sz w:val="24"/>
          <w:szCs w:val="24"/>
          <w:lang w:val="en-US"/>
        </w:rPr>
        <w:t xml:space="preserve"> to keep the employee motivated and engaged to boost the engagement level of people working. The hotel industry implements various strategies to engage employees in order to meet the expectations of Generation Z. Generation Z expect HR professional to adapt as per their preferences, values, and expectations because of having distinct expectations and characteristic from previous generations. In addition to this, generation Z is born during the era of technological advancements, and it is the first generation that is fully immersed in digital technology. HR must incorporate technology within the recruitment, onboarding and employee engagement process by </w:t>
      </w:r>
      <w:proofErr w:type="spellStart"/>
      <w:r>
        <w:rPr>
          <w:rFonts w:ascii="Arial" w:hAnsi="Arial" w:cs="Arial"/>
          <w:color w:val="000000" w:themeColor="text1"/>
          <w:sz w:val="24"/>
          <w:szCs w:val="24"/>
          <w:lang w:val="en-US"/>
        </w:rPr>
        <w:t>utilisation</w:t>
      </w:r>
      <w:proofErr w:type="spellEnd"/>
      <w:r>
        <w:rPr>
          <w:rFonts w:ascii="Arial" w:hAnsi="Arial" w:cs="Arial"/>
          <w:color w:val="000000" w:themeColor="text1"/>
          <w:sz w:val="24"/>
          <w:szCs w:val="24"/>
          <w:lang w:val="en-US"/>
        </w:rPr>
        <w:t xml:space="preserve"> of virtual communication tools and social media to connect and engage with Generation Z employees. Generation Z values flexibility and authenticity, so the HR department must incorporate flexibility in work arrangement and provides flexible hours and remote working options as well. Additionally, generation Z is one that is highly collaborative and social for HR, encourages collaboration and creates a working environment that promotes teamwork, open communication and inclusivity (</w:t>
      </w:r>
      <w:r>
        <w:rPr>
          <w:rFonts w:ascii="Arial" w:hAnsi="Arial" w:cs="Arial"/>
          <w:color w:val="000000" w:themeColor="text1"/>
          <w:sz w:val="24"/>
          <w:szCs w:val="24"/>
          <w:shd w:val="clear" w:color="auto" w:fill="FFFFFF"/>
        </w:rPr>
        <w:t xml:space="preserve">Nair </w:t>
      </w:r>
      <w:r>
        <w:rPr>
          <w:rFonts w:ascii="Arial" w:hAnsi="Arial" w:cs="Arial"/>
          <w:i/>
          <w:color w:val="000000" w:themeColor="text1"/>
          <w:sz w:val="24"/>
          <w:szCs w:val="24"/>
          <w:shd w:val="clear" w:color="auto" w:fill="FFFFFF"/>
        </w:rPr>
        <w:t>et al</w:t>
      </w:r>
      <w:r>
        <w:rPr>
          <w:rFonts w:ascii="Arial" w:hAnsi="Arial" w:cs="Arial"/>
          <w:color w:val="000000" w:themeColor="text1"/>
          <w:sz w:val="24"/>
          <w:szCs w:val="24"/>
          <w:shd w:val="clear" w:color="auto" w:fill="FFFFFF"/>
        </w:rPr>
        <w:t>., 2019).</w:t>
      </w:r>
    </w:p>
    <w:p w14:paraId="48D190D0" w14:textId="77777777" w:rsidR="00E8102D" w:rsidRDefault="00E8102D" w:rsidP="00E8102D">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 Furthermore, generation Z prefers relevancy in the work that growth opportunities are planned within the business structure to help in advancing in careers through learning. By providing regular training options, mentorship programs, and opportunities for skill development that fosters constant growth, generation Z can be engaged. Generation Z has emerged as the population that is increasingly worthy of attention and requires regular recognition and acknowledgement from managers and supervisors. Along with </w:t>
      </w:r>
      <w:r>
        <w:rPr>
          <w:rFonts w:ascii="Arial" w:hAnsi="Arial" w:cs="Arial"/>
          <w:color w:val="000000" w:themeColor="text1"/>
          <w:sz w:val="24"/>
          <w:szCs w:val="24"/>
          <w:lang w:val="en-US"/>
        </w:rPr>
        <w:lastRenderedPageBreak/>
        <w:t>that, generation Z appreciates recognition and feedback, for which a culture of regular recognition system can be fostered (</w:t>
      </w:r>
      <w:r>
        <w:rPr>
          <w:rFonts w:ascii="Arial" w:hAnsi="Arial" w:cs="Arial"/>
          <w:color w:val="000000" w:themeColor="text1"/>
          <w:sz w:val="24"/>
          <w:szCs w:val="24"/>
          <w:shd w:val="clear" w:color="auto" w:fill="FFFFFF"/>
        </w:rPr>
        <w:t>Pandita and Kumar 2022)</w:t>
      </w:r>
      <w:r>
        <w:rPr>
          <w:rFonts w:ascii="Arial" w:hAnsi="Arial" w:cs="Arial"/>
          <w:color w:val="000000" w:themeColor="text1"/>
          <w:sz w:val="24"/>
          <w:szCs w:val="24"/>
          <w:lang w:val="en-US"/>
        </w:rPr>
        <w:t xml:space="preserve">. Moreover, generation Z is pragmatic and financially minded that HR must plan benefits and attractive salary packages to keep employees engaged. One of the significant challenges for Generation Z is mental health challenges, for this generation strongly </w:t>
      </w:r>
      <w:proofErr w:type="spellStart"/>
      <w:r>
        <w:rPr>
          <w:rFonts w:ascii="Arial" w:hAnsi="Arial" w:cs="Arial"/>
          <w:color w:val="000000" w:themeColor="text1"/>
          <w:sz w:val="24"/>
          <w:szCs w:val="24"/>
          <w:lang w:val="en-US"/>
        </w:rPr>
        <w:t>emphasises</w:t>
      </w:r>
      <w:proofErr w:type="spellEnd"/>
      <w:r>
        <w:rPr>
          <w:rFonts w:ascii="Arial" w:hAnsi="Arial" w:cs="Arial"/>
          <w:color w:val="000000" w:themeColor="text1"/>
          <w:sz w:val="24"/>
          <w:szCs w:val="24"/>
          <w:lang w:val="en-US"/>
        </w:rPr>
        <w:t xml:space="preserve"> mental health. HR can offer resources and support for mental well-being, like employee assistance programs and promote mental health awareness campaigns to build an emotional connection with the employees (Bakker, 2020). As Generation Z is environmentally conscious and promotes sustainability, HR can incorporate sustainable practices within the </w:t>
      </w:r>
      <w:proofErr w:type="spellStart"/>
      <w:r>
        <w:rPr>
          <w:rFonts w:ascii="Arial" w:hAnsi="Arial" w:cs="Arial"/>
          <w:color w:val="000000" w:themeColor="text1"/>
          <w:sz w:val="24"/>
          <w:szCs w:val="24"/>
          <w:lang w:val="en-US"/>
        </w:rPr>
        <w:t>organisation</w:t>
      </w:r>
      <w:proofErr w:type="spellEnd"/>
      <w:r>
        <w:rPr>
          <w:rFonts w:ascii="Arial" w:hAnsi="Arial" w:cs="Arial"/>
          <w:color w:val="000000" w:themeColor="text1"/>
          <w:sz w:val="24"/>
          <w:szCs w:val="24"/>
          <w:lang w:val="en-US"/>
        </w:rPr>
        <w:t xml:space="preserve"> and take sustainability practices to create a positive impact on the communities and environment. An HR department can also incorporate gamification techniques, as Generation Z was born around the era of technological advancements. It requires technology in every aspect. Furthermore, HR regularly seeks feedback from Generation Z employees and adapts policies and practices accordingly in order to foster trust and loyalty among the employees. Generation Z is still growing up, and for that, it encourages healthy work-life balance that HR can promote through balance and preventing overburdening and overworking schedules (</w:t>
      </w:r>
      <w:r>
        <w:rPr>
          <w:rFonts w:ascii="Arial" w:hAnsi="Arial" w:cs="Arial"/>
          <w:color w:val="000000" w:themeColor="text1"/>
          <w:sz w:val="24"/>
          <w:szCs w:val="24"/>
          <w:shd w:val="clear" w:color="auto" w:fill="FFFFFF"/>
        </w:rPr>
        <w:t>Atieq, 2019).</w:t>
      </w:r>
    </w:p>
    <w:p w14:paraId="2AAD51BB" w14:textId="77777777" w:rsidR="00E8102D" w:rsidRDefault="00E8102D" w:rsidP="00E8102D">
      <w:pPr>
        <w:rPr>
          <w:rFonts w:ascii="Arial" w:hAnsi="Arial" w:cs="Arial"/>
          <w:color w:val="000000" w:themeColor="text1"/>
          <w:sz w:val="24"/>
          <w:szCs w:val="24"/>
        </w:rPr>
      </w:pPr>
      <w:r>
        <w:rPr>
          <w:rFonts w:ascii="Arial" w:hAnsi="Arial" w:cs="Arial"/>
          <w:color w:val="000000" w:themeColor="text1"/>
          <w:sz w:val="24"/>
          <w:szCs w:val="24"/>
        </w:rPr>
        <w:t>The onboarding phase following the recruitment of a new employee is of utmost importance. The initiation of individuals into the organisational culture and principles can commence immediately upon their entry into the company, facilitated by meticulously crafted onboarding initiatives (Bakker and Albrecht, 2018). This stage augments the initial engagement phase as it facilitates the formation of anticipations and the elucidation of responsibilities. The hotel industry encompasses various stages in the professional trajectory of its workers, each characterised by distinct merits and drawbacks. Developing a devoted and motivated workforce necessitates a comprehensive comprehension of and unwavering dedication to employing engagement strategies throughout all phases.</w:t>
      </w:r>
    </w:p>
    <w:p w14:paraId="5625486D" w14:textId="77777777" w:rsidR="00E8102D" w:rsidRDefault="00E8102D" w:rsidP="00E8102D">
      <w:pPr>
        <w:rPr>
          <w:rFonts w:ascii="Arial" w:hAnsi="Arial" w:cs="Arial"/>
          <w:color w:val="000000" w:themeColor="text1"/>
          <w:sz w:val="24"/>
          <w:szCs w:val="24"/>
        </w:rPr>
      </w:pPr>
    </w:p>
    <w:p w14:paraId="6F58611A" w14:textId="77777777" w:rsidR="00E8102D" w:rsidRDefault="00E8102D" w:rsidP="00E8102D">
      <w:pPr>
        <w:rPr>
          <w:rFonts w:ascii="Arial" w:hAnsi="Arial" w:cs="Arial"/>
          <w:color w:val="000000" w:themeColor="text1"/>
          <w:sz w:val="24"/>
          <w:szCs w:val="24"/>
        </w:rPr>
      </w:pPr>
      <w:bookmarkStart w:id="0" w:name="_Toc146989478"/>
    </w:p>
    <w:p w14:paraId="2C9204AE" w14:textId="77777777" w:rsidR="00E8102D" w:rsidRDefault="00E8102D" w:rsidP="00E8102D">
      <w:pPr>
        <w:rPr>
          <w:rFonts w:ascii="Arial" w:hAnsi="Arial" w:cs="Arial"/>
          <w:color w:val="000000" w:themeColor="text1"/>
          <w:sz w:val="24"/>
          <w:szCs w:val="24"/>
        </w:rPr>
      </w:pPr>
      <w:bookmarkStart w:id="1" w:name="_Toc146989479"/>
      <w:bookmarkEnd w:id="0"/>
      <w:r>
        <w:rPr>
          <w:rFonts w:ascii="Arial" w:hAnsi="Arial" w:cs="Arial"/>
          <w:color w:val="000000" w:themeColor="text1"/>
          <w:sz w:val="24"/>
          <w:szCs w:val="24"/>
        </w:rPr>
        <w:t xml:space="preserve">The general public's perception of JW Marriott in the United Kingdom significantly influences the initial phase of the employee lifecycle, commonly referred to as attraction. The attraction of highly skilled individuals is of utmost importance, and JW Marriott's robust brand image effectively communicates a positive work environment </w:t>
      </w:r>
      <w:r>
        <w:rPr>
          <w:rFonts w:ascii="Arial" w:hAnsi="Arial" w:cs="Arial"/>
          <w:color w:val="000000" w:themeColor="text1"/>
          <w:sz w:val="24"/>
          <w:szCs w:val="24"/>
        </w:rPr>
        <w:lastRenderedPageBreak/>
        <w:t>and sincere concern for its employees. Establishing a robust brand that effectively embodies the values and culture of an organisation is of utmost importance in attracting and keeping top-tier workers (Park et al., 2019).</w:t>
      </w:r>
    </w:p>
    <w:p w14:paraId="78CA3FC7" w14:textId="77777777" w:rsidR="00E8102D" w:rsidRDefault="00E8102D" w:rsidP="00E8102D">
      <w:pPr>
        <w:rPr>
          <w:rFonts w:ascii="Arial" w:hAnsi="Arial" w:cs="Arial"/>
          <w:color w:val="000000" w:themeColor="text1"/>
          <w:sz w:val="24"/>
          <w:szCs w:val="24"/>
        </w:rPr>
      </w:pPr>
      <w:r>
        <w:rPr>
          <w:rFonts w:ascii="Arial" w:hAnsi="Arial" w:cs="Arial"/>
          <w:color w:val="000000" w:themeColor="text1"/>
          <w:sz w:val="24"/>
          <w:szCs w:val="24"/>
        </w:rPr>
        <w:t>The JW Marriott establishment located in the United Kingdom has effectively achieved an increase in engagement during the subsequent stage of its operations, namely recruitment. By implementing transparent and collaborative recruitment strategies, the organisation effectively conveys its values and performance standards to prospective staff members. This approach ensures that candidates understand the company's commitment to achieving excellence and cultivating a positive organisational culture. During the subsequent stage, referred to as Development, JW Marriott actively fosters engagement by providing enough opportunities for additional training and education. Training, mentorship, and promotion initiatives can enhance employees' morale and productivity. The hotel's commitment to cultivating a proficient and motivated workforce is evident via its investment in training and educational initiatives.</w:t>
      </w:r>
    </w:p>
    <w:p w14:paraId="01FDBAD2" w14:textId="77777777" w:rsidR="00E8102D" w:rsidRDefault="00E8102D" w:rsidP="00E8102D">
      <w:pPr>
        <w:rPr>
          <w:rFonts w:ascii="Arial" w:hAnsi="Arial" w:cs="Arial"/>
          <w:color w:val="000000" w:themeColor="text1"/>
          <w:sz w:val="24"/>
          <w:szCs w:val="24"/>
        </w:rPr>
      </w:pPr>
      <w:r>
        <w:rPr>
          <w:rFonts w:ascii="Arial" w:hAnsi="Arial" w:cs="Arial"/>
          <w:color w:val="000000" w:themeColor="text1"/>
          <w:sz w:val="24"/>
          <w:szCs w:val="24"/>
        </w:rPr>
        <w:t xml:space="preserve">The JW Marriott establishment in the United Kingdom recognises the significance of consistently providing encouragement and reinforcement throughout the retention phase. In order to cultivate enduring happiness and commitment among employees, managers employ strategies encompassing recognition initiatives, feedback mechanisms, and the promotion of work-life equilibrium. By adopting this approach, the hotel can ensure that its personnel will demonstrate a solid commitment to the organisation and its achievements during their employment period (Zhang </w:t>
      </w:r>
      <w:r>
        <w:rPr>
          <w:rFonts w:ascii="Arial" w:hAnsi="Arial" w:cs="Arial"/>
          <w:i/>
          <w:iCs/>
          <w:color w:val="000000" w:themeColor="text1"/>
          <w:sz w:val="24"/>
          <w:szCs w:val="24"/>
        </w:rPr>
        <w:t>et al</w:t>
      </w:r>
      <w:r>
        <w:rPr>
          <w:rFonts w:ascii="Arial" w:hAnsi="Arial" w:cs="Arial"/>
          <w:color w:val="000000" w:themeColor="text1"/>
          <w:sz w:val="24"/>
          <w:szCs w:val="24"/>
        </w:rPr>
        <w:t>., 2022). The JW Marriott adeptly manages the concluding phase, known as Separation. While turnover may be inevitable, it is greatly appreciated when employees depart and offer insights that enhance engagement initiatives. If an employee departs from an organisation under favourable circumstances, there is an increased likelihood of reemployment in subsequent periods (Karumuri, 2016). JW Marriott in the United Kingdom acknowledges the significance of implementing employee engagement practises across the entirety of the employee's lifetime. From the process of recruitment to the point of departure, this level of commitment significantly contributes to the hotel's success and sustainability in the long term, as it effectively reduces employee turnover rates and enhances visitor satisfaction levels. The dedication demonstrated by JW Marriott towards its employees is a source of inspiration for the broader hospitality industry in the United Kingdom.</w:t>
      </w:r>
    </w:p>
    <w:p w14:paraId="7DF4B1C6" w14:textId="77777777" w:rsidR="00E8102D" w:rsidRDefault="00E8102D" w:rsidP="00E8102D">
      <w:pPr>
        <w:rPr>
          <w:rFonts w:ascii="Arial" w:hAnsi="Arial" w:cs="Arial"/>
          <w:color w:val="000000" w:themeColor="text1"/>
          <w:sz w:val="24"/>
          <w:szCs w:val="24"/>
        </w:rPr>
      </w:pPr>
      <w:r>
        <w:rPr>
          <w:rFonts w:ascii="Arial" w:hAnsi="Arial" w:cs="Arial"/>
          <w:color w:val="000000" w:themeColor="text1"/>
          <w:sz w:val="24"/>
          <w:szCs w:val="24"/>
        </w:rPr>
        <w:lastRenderedPageBreak/>
        <w:t xml:space="preserve">The hospitality business offers a plethora of instances showcasing successful employee engagement initiatives, underscoring the pivotal importance of cultivating a dedicated and impassioned workforce (Mazzetti </w:t>
      </w:r>
      <w:r>
        <w:rPr>
          <w:rFonts w:ascii="Arial" w:hAnsi="Arial" w:cs="Arial"/>
          <w:i/>
          <w:iCs/>
          <w:color w:val="000000" w:themeColor="text1"/>
          <w:sz w:val="24"/>
          <w:szCs w:val="24"/>
        </w:rPr>
        <w:t>et al</w:t>
      </w:r>
      <w:r>
        <w:rPr>
          <w:rFonts w:ascii="Arial" w:hAnsi="Arial" w:cs="Arial"/>
          <w:color w:val="000000" w:themeColor="text1"/>
          <w:sz w:val="24"/>
          <w:szCs w:val="24"/>
        </w:rPr>
        <w:t>., 2023). One notable example of this type of programme is JW Marriott in the United Kingdom. A strategy that aligns with the "Three Steps of Service" framework has been implemented, wherein employees proactively anticipate and fulfil guests' needs, warmly greet them, and bid them farewell sincerely. Implementing this direct approach has resulted in establishing a corporate culture that prioritises providing exceptional customer service (Lee and Ok, 2016). Demonstrating appreciation towards employees and emphasising their essential role in delivering exceptional customer service, this approach serves as a tangible manifestation of gratitude (Saks, 2019).</w:t>
      </w:r>
    </w:p>
    <w:p w14:paraId="2F54EE92" w14:textId="77777777" w:rsidR="00E8102D" w:rsidRDefault="00E8102D" w:rsidP="00E8102D">
      <w:pPr>
        <w:rPr>
          <w:rFonts w:ascii="Arial" w:hAnsi="Arial" w:cs="Arial"/>
          <w:color w:val="000000" w:themeColor="text1"/>
          <w:sz w:val="24"/>
          <w:szCs w:val="24"/>
        </w:rPr>
      </w:pPr>
      <w:r>
        <w:rPr>
          <w:rFonts w:ascii="Arial" w:hAnsi="Arial" w:cs="Arial"/>
          <w:color w:val="000000" w:themeColor="text1"/>
          <w:sz w:val="24"/>
          <w:szCs w:val="24"/>
        </w:rPr>
        <w:t xml:space="preserve">Similarly, Four Seasons Hotels &amp; Resorts extends a notable degree of autonomy to its personnel in the United Kingdom, granting them the authority to promptly and efficiently address customer grievances. The method's emphasis on trust and accountability fosters greater employee engagement in the organisation's success, leading to increased willingness to exceed expectations in their respective jobs (Tremble </w:t>
      </w:r>
      <w:r>
        <w:rPr>
          <w:rFonts w:ascii="Arial" w:hAnsi="Arial" w:cs="Arial"/>
          <w:i/>
          <w:iCs/>
          <w:color w:val="000000" w:themeColor="text1"/>
          <w:sz w:val="24"/>
          <w:szCs w:val="24"/>
        </w:rPr>
        <w:t>et al</w:t>
      </w:r>
      <w:r>
        <w:rPr>
          <w:rFonts w:ascii="Arial" w:hAnsi="Arial" w:cs="Arial"/>
          <w:color w:val="000000" w:themeColor="text1"/>
          <w:sz w:val="24"/>
          <w:szCs w:val="24"/>
        </w:rPr>
        <w:t>., 2017). Furthermore, The Peninsula Hotels in the United Kingdom demonstrate a significant commitment to enhancing its workers' professional and personal growth by allocating substantial resources towards a diverse range of training and development initiatives (Myrden and Kelloway, 2015). The investment has yielded positive outcomes regarding staff with enhanced competence and heightened dedication. These initiatives underscore the importance of employee engagement in the thriving UK hotel industry by showcasing the causal link between effective employee engagement and the tactics and models above.</w:t>
      </w:r>
    </w:p>
    <w:bookmarkEnd w:id="1"/>
    <w:p w14:paraId="0C854828" w14:textId="65F9A73A" w:rsidR="00E8102D" w:rsidRPr="00E8102D" w:rsidRDefault="00E8102D" w:rsidP="00E8102D">
      <w:pPr>
        <w:rPr>
          <w:rFonts w:ascii="Arial" w:hAnsi="Arial" w:cs="Arial"/>
          <w:color w:val="000000" w:themeColor="text1"/>
          <w:sz w:val="24"/>
          <w:szCs w:val="24"/>
        </w:rPr>
      </w:pPr>
      <w:r>
        <w:rPr>
          <w:rFonts w:ascii="Arial" w:hAnsi="Arial" w:cs="Arial"/>
          <w:color w:val="000000" w:themeColor="text1"/>
          <w:sz w:val="24"/>
          <w:szCs w:val="24"/>
        </w:rPr>
        <w:t xml:space="preserve">An exemplary illustration is the "Heart of Hilton" initiative implemented by JW Marriott in the United Kingdom. The primary objective of this initiative is to enhance employee recognition and motivation through the acknowledgement and commendation of exceptional accomplishments. This approach aligns with engagement models since it incentivises employees for their contributions. In the United Kingdom, JW Marriott introduced a novel training and education programme named "Room to Grow" during the current year. JW Marriott demonstrates a solid commitment to the well-being and achievement of its employees, as exemplified by the organisation's unwavering focus on fostering their growth and advancement in both their professional and personal capacities. AccorHotels, a globally recognised hotel company, adopts a </w:t>
      </w:r>
      <w:r>
        <w:rPr>
          <w:rFonts w:ascii="Arial" w:hAnsi="Arial" w:cs="Arial"/>
          <w:color w:val="000000" w:themeColor="text1"/>
          <w:sz w:val="24"/>
          <w:szCs w:val="24"/>
        </w:rPr>
        <w:lastRenderedPageBreak/>
        <w:t>comprehensive strategy that mandates its workforce's community service and environmental conservation obligations. This strategy aligns with models such as the Corporate Social Responsibility (CSR) model because it focuses on the broader impact that committed employees may exert on the firm and the community (Olugbade and Karatepe, 2019). The aforementioned empirical instances exemplify the diverse range of strategies JW Marriott employs in the United Kingdom to incentivise its workforce, enhance customer service and augment the organisation's financial performance.</w:t>
      </w:r>
    </w:p>
    <w:p w14:paraId="702DE2FF" w14:textId="77777777" w:rsidR="00E8102D" w:rsidRDefault="00E8102D" w:rsidP="00E8102D">
      <w:pPr>
        <w:rPr>
          <w:rFonts w:ascii="Arial" w:hAnsi="Arial" w:cs="Arial"/>
          <w:color w:val="000000" w:themeColor="text1"/>
          <w:sz w:val="24"/>
          <w:szCs w:val="24"/>
        </w:rPr>
      </w:pPr>
      <w:r>
        <w:rPr>
          <w:rFonts w:ascii="Arial" w:hAnsi="Arial" w:cs="Arial"/>
          <w:color w:val="000000" w:themeColor="text1"/>
          <w:sz w:val="24"/>
          <w:szCs w:val="24"/>
        </w:rPr>
        <w:t>The unwavering commitment exhibited by the staff members at JW Marriott in the United Kingdom is a compelling demonstration of how a dedicated workforce can drive a hotel chain to achieve unparalleled success within its industry. The cultivation of a lively and engaged workforce is of utmost importance, as evidenced by the JW Marriott case study. To achieve this, applying effective engagement tactics that align with concepts such as Maslow's Hierarchy of Needs and the principles of employee empowerment is essential. The JW Marriott, located in the United Kingdom, serves as a notable illustration of the positive outcomes that may be attained through strategies such as employee recognition and growth alongside active engagement with the local community. The hotel's ongoing prosperity and outstanding reputation, along with the satisfaction expressed by its visitors, serve as tangible indicators of the achieved outcomes. The significance of a motivated workforce in establishing a prosperous and esteemed hotel enterprise is underscored by JW Marriott's dedication to fostering employee engagement within the fiercely competitive hotel market of the United Kingdom.</w:t>
      </w:r>
    </w:p>
    <w:p w14:paraId="2B6A40E2" w14:textId="77777777" w:rsidR="00E8102D" w:rsidRDefault="00E8102D" w:rsidP="00E8102D">
      <w:pPr>
        <w:rPr>
          <w:rFonts w:ascii="Arial" w:hAnsi="Arial" w:cs="Arial"/>
          <w:color w:val="000000" w:themeColor="text1"/>
          <w:sz w:val="24"/>
          <w:szCs w:val="24"/>
        </w:rPr>
      </w:pPr>
      <w:r>
        <w:rPr>
          <w:rFonts w:ascii="Arial" w:hAnsi="Arial" w:cs="Arial"/>
          <w:color w:val="000000" w:themeColor="text1"/>
          <w:kern w:val="0"/>
          <w:sz w:val="24"/>
          <w:szCs w:val="24"/>
          <w14:ligatures w14:val="none"/>
        </w:rPr>
        <w:br w:type="page"/>
      </w:r>
    </w:p>
    <w:p w14:paraId="2647D57A" w14:textId="77777777" w:rsidR="00E8102D" w:rsidRDefault="00E8102D" w:rsidP="00E8102D">
      <w:pPr>
        <w:rPr>
          <w:rFonts w:ascii="Arial" w:hAnsi="Arial" w:cs="Arial"/>
          <w:color w:val="000000" w:themeColor="text1"/>
          <w:sz w:val="24"/>
          <w:szCs w:val="24"/>
          <w:lang w:val="en-US"/>
        </w:rPr>
      </w:pPr>
    </w:p>
    <w:p w14:paraId="11ABE065" w14:textId="77777777" w:rsidR="00E8102D" w:rsidRDefault="00E8102D" w:rsidP="00E8102D">
      <w:pPr>
        <w:ind w:left="720" w:hanging="720"/>
        <w:rPr>
          <w:rFonts w:ascii="Arial" w:hAnsi="Arial" w:cs="Arial"/>
          <w:color w:val="000000" w:themeColor="text1"/>
          <w:sz w:val="24"/>
          <w:szCs w:val="24"/>
        </w:rPr>
      </w:pPr>
      <w:r>
        <w:rPr>
          <w:rFonts w:ascii="Arial" w:hAnsi="Arial" w:cs="Arial"/>
          <w:color w:val="000000" w:themeColor="text1"/>
          <w:sz w:val="24"/>
          <w:szCs w:val="24"/>
        </w:rPr>
        <w:t xml:space="preserve">  Armstrong, M. and Taylor, S., 2020. </w:t>
      </w:r>
      <w:r>
        <w:rPr>
          <w:rFonts w:ascii="Arial" w:hAnsi="Arial" w:cs="Arial"/>
          <w:i/>
          <w:iCs/>
          <w:color w:val="000000" w:themeColor="text1"/>
          <w:sz w:val="24"/>
          <w:szCs w:val="24"/>
        </w:rPr>
        <w:t xml:space="preserve">Armstrong's handbook of human resource management </w:t>
      </w:r>
      <w:r>
        <w:rPr>
          <w:rFonts w:ascii="Arial" w:hAnsi="Arial" w:cs="Arial"/>
          <w:color w:val="000000" w:themeColor="text1"/>
          <w:sz w:val="24"/>
          <w:szCs w:val="24"/>
        </w:rPr>
        <w:t xml:space="preserve">practice, </w:t>
      </w:r>
      <w:r>
        <w:rPr>
          <w:rFonts w:ascii="Arial" w:hAnsi="Arial" w:cs="Arial"/>
          <w:i/>
          <w:iCs/>
          <w:color w:val="000000" w:themeColor="text1"/>
          <w:sz w:val="24"/>
          <w:szCs w:val="24"/>
        </w:rPr>
        <w:t>15th edition. London, United Kingdom: KoganPage</w:t>
      </w:r>
      <w:r>
        <w:rPr>
          <w:rFonts w:ascii="Arial" w:hAnsi="Arial" w:cs="Arial"/>
          <w:color w:val="000000" w:themeColor="text1"/>
          <w:sz w:val="24"/>
          <w:szCs w:val="24"/>
        </w:rPr>
        <w:t>.</w:t>
      </w:r>
    </w:p>
    <w:p w14:paraId="09CC3E0A" w14:textId="77777777" w:rsidR="00E8102D" w:rsidRDefault="00E8102D" w:rsidP="00E8102D">
      <w:pPr>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Atieq, M.Q., 2019. Comparative analysis of employee engagement in employees Generation X, Y, and Z. </w:t>
      </w:r>
      <w:r>
        <w:rPr>
          <w:rFonts w:ascii="Arial" w:hAnsi="Arial" w:cs="Arial"/>
          <w:i/>
          <w:iCs/>
          <w:color w:val="000000" w:themeColor="text1"/>
          <w:sz w:val="24"/>
          <w:szCs w:val="24"/>
          <w:shd w:val="clear" w:color="auto" w:fill="FFFFFF"/>
        </w:rPr>
        <w:t>Al-Amwal: Jurnal Ekonomi dan Perbankan Syari'ah</w:t>
      </w:r>
      <w:r>
        <w:rPr>
          <w:rFonts w:ascii="Arial" w:hAnsi="Arial" w:cs="Arial"/>
          <w:color w:val="000000" w:themeColor="text1"/>
          <w:sz w:val="24"/>
          <w:szCs w:val="24"/>
          <w:shd w:val="clear" w:color="auto" w:fill="FFFFFF"/>
        </w:rPr>
        <w:t>, </w:t>
      </w:r>
      <w:r>
        <w:rPr>
          <w:rFonts w:ascii="Arial" w:hAnsi="Arial" w:cs="Arial"/>
          <w:i/>
          <w:iCs/>
          <w:color w:val="000000" w:themeColor="text1"/>
          <w:sz w:val="24"/>
          <w:szCs w:val="24"/>
          <w:shd w:val="clear" w:color="auto" w:fill="FFFFFF"/>
        </w:rPr>
        <w:t>11</w:t>
      </w:r>
      <w:r>
        <w:rPr>
          <w:rFonts w:ascii="Arial" w:hAnsi="Arial" w:cs="Arial"/>
          <w:color w:val="000000" w:themeColor="text1"/>
          <w:sz w:val="24"/>
          <w:szCs w:val="24"/>
          <w:shd w:val="clear" w:color="auto" w:fill="FFFFFF"/>
        </w:rPr>
        <w:t>(2), pp.285-299.</w:t>
      </w:r>
    </w:p>
    <w:p w14:paraId="7B74B3B6" w14:textId="77777777" w:rsidR="00E8102D" w:rsidRDefault="00E8102D" w:rsidP="00E8102D">
      <w:pPr>
        <w:ind w:left="720" w:hanging="720"/>
        <w:rPr>
          <w:rFonts w:ascii="Arial" w:hAnsi="Arial" w:cs="Arial"/>
          <w:color w:val="000000" w:themeColor="text1"/>
          <w:sz w:val="24"/>
          <w:szCs w:val="24"/>
        </w:rPr>
      </w:pPr>
      <w:r>
        <w:rPr>
          <w:rFonts w:ascii="Arial" w:hAnsi="Arial" w:cs="Arial"/>
          <w:color w:val="000000" w:themeColor="text1"/>
          <w:sz w:val="24"/>
          <w:szCs w:val="24"/>
        </w:rPr>
        <w:t>Bakker, A.B. and Albrecht, S., 2018. Work engagement: current trends. </w:t>
      </w:r>
      <w:r>
        <w:rPr>
          <w:rFonts w:ascii="Arial" w:hAnsi="Arial" w:cs="Arial"/>
          <w:i/>
          <w:iCs/>
          <w:color w:val="000000" w:themeColor="text1"/>
          <w:sz w:val="24"/>
          <w:szCs w:val="24"/>
        </w:rPr>
        <w:t>Career Development International</w:t>
      </w:r>
      <w:r>
        <w:rPr>
          <w:rFonts w:ascii="Arial" w:hAnsi="Arial" w:cs="Arial"/>
          <w:color w:val="000000" w:themeColor="text1"/>
          <w:sz w:val="24"/>
          <w:szCs w:val="24"/>
        </w:rPr>
        <w:t>, </w:t>
      </w:r>
      <w:r>
        <w:rPr>
          <w:rFonts w:ascii="Arial" w:hAnsi="Arial" w:cs="Arial"/>
          <w:i/>
          <w:iCs/>
          <w:color w:val="000000" w:themeColor="text1"/>
          <w:sz w:val="24"/>
          <w:szCs w:val="24"/>
        </w:rPr>
        <w:t>23</w:t>
      </w:r>
      <w:r>
        <w:rPr>
          <w:rFonts w:ascii="Arial" w:hAnsi="Arial" w:cs="Arial"/>
          <w:color w:val="000000" w:themeColor="text1"/>
          <w:sz w:val="24"/>
          <w:szCs w:val="24"/>
        </w:rPr>
        <w:t>(1), pp.4-11.</w:t>
      </w:r>
    </w:p>
    <w:p w14:paraId="471F4228" w14:textId="77777777" w:rsidR="00E8102D" w:rsidRDefault="00E8102D" w:rsidP="00E8102D">
      <w:pPr>
        <w:ind w:left="720" w:hanging="720"/>
        <w:rPr>
          <w:rFonts w:ascii="Arial" w:hAnsi="Arial" w:cs="Arial"/>
          <w:color w:val="000000" w:themeColor="text1"/>
          <w:sz w:val="24"/>
          <w:szCs w:val="24"/>
          <w:lang w:val="en-US"/>
        </w:rPr>
      </w:pPr>
      <w:r>
        <w:rPr>
          <w:rFonts w:ascii="Arial" w:hAnsi="Arial" w:cs="Arial"/>
          <w:color w:val="000000" w:themeColor="text1"/>
          <w:sz w:val="24"/>
          <w:szCs w:val="24"/>
          <w:shd w:val="clear" w:color="auto" w:fill="FFFFFF"/>
        </w:rPr>
        <w:t>Bakker, A.D., 2020. Retention and Employee Engagement of Generation Z in the Dutch Hospitality Industry.</w:t>
      </w:r>
    </w:p>
    <w:p w14:paraId="1539C7E2" w14:textId="77777777" w:rsidR="00E8102D" w:rsidRDefault="00E8102D" w:rsidP="00E8102D">
      <w:pPr>
        <w:ind w:left="720" w:hanging="720"/>
        <w:rPr>
          <w:rFonts w:ascii="Arial" w:hAnsi="Arial" w:cs="Arial"/>
          <w:color w:val="000000" w:themeColor="text1"/>
          <w:sz w:val="24"/>
          <w:szCs w:val="24"/>
          <w:lang w:val="en-US"/>
        </w:rPr>
      </w:pPr>
      <w:r>
        <w:rPr>
          <w:rFonts w:ascii="Arial" w:hAnsi="Arial" w:cs="Arial"/>
          <w:color w:val="000000" w:themeColor="text1"/>
          <w:sz w:val="24"/>
          <w:szCs w:val="24"/>
          <w:shd w:val="clear" w:color="auto" w:fill="FFFFFF"/>
        </w:rPr>
        <w:t>Chandani, A., Mehta, M., Mall, A. and Khokhar, V., 2016. Employee engagement: A review paper on factors affecting employee engagement. </w:t>
      </w:r>
      <w:r>
        <w:rPr>
          <w:rFonts w:ascii="Arial" w:hAnsi="Arial" w:cs="Arial"/>
          <w:i/>
          <w:iCs/>
          <w:color w:val="000000" w:themeColor="text1"/>
          <w:sz w:val="24"/>
          <w:szCs w:val="24"/>
          <w:shd w:val="clear" w:color="auto" w:fill="FFFFFF"/>
        </w:rPr>
        <w:t>Indian Journal of Science and Technology</w:t>
      </w:r>
      <w:r>
        <w:rPr>
          <w:rFonts w:ascii="Arial" w:hAnsi="Arial" w:cs="Arial"/>
          <w:color w:val="000000" w:themeColor="text1"/>
          <w:sz w:val="24"/>
          <w:szCs w:val="24"/>
          <w:shd w:val="clear" w:color="auto" w:fill="FFFFFF"/>
        </w:rPr>
        <w:t>, </w:t>
      </w:r>
      <w:r>
        <w:rPr>
          <w:rFonts w:ascii="Arial" w:hAnsi="Arial" w:cs="Arial"/>
          <w:i/>
          <w:iCs/>
          <w:color w:val="000000" w:themeColor="text1"/>
          <w:sz w:val="24"/>
          <w:szCs w:val="24"/>
          <w:shd w:val="clear" w:color="auto" w:fill="FFFFFF"/>
        </w:rPr>
        <w:t>9</w:t>
      </w:r>
      <w:r>
        <w:rPr>
          <w:rFonts w:ascii="Arial" w:hAnsi="Arial" w:cs="Arial"/>
          <w:color w:val="000000" w:themeColor="text1"/>
          <w:sz w:val="24"/>
          <w:szCs w:val="24"/>
          <w:shd w:val="clear" w:color="auto" w:fill="FFFFFF"/>
        </w:rPr>
        <w:t>(15), pp.1-7.</w:t>
      </w:r>
    </w:p>
    <w:p w14:paraId="64B5EA4A" w14:textId="77777777" w:rsidR="00E8102D" w:rsidRDefault="00E8102D" w:rsidP="00E8102D">
      <w:pPr>
        <w:ind w:left="720" w:hanging="720"/>
        <w:rPr>
          <w:rFonts w:ascii="Arial" w:hAnsi="Arial" w:cs="Arial"/>
          <w:color w:val="000000" w:themeColor="text1"/>
          <w:sz w:val="24"/>
          <w:szCs w:val="24"/>
        </w:rPr>
      </w:pPr>
      <w:r>
        <w:rPr>
          <w:rFonts w:ascii="Arial" w:hAnsi="Arial" w:cs="Arial"/>
          <w:color w:val="000000" w:themeColor="text1"/>
          <w:sz w:val="24"/>
          <w:szCs w:val="24"/>
        </w:rPr>
        <w:t xml:space="preserve">Friedman, A., 2012. Continuing professional development: lifelong learning of millions. </w:t>
      </w:r>
      <w:r>
        <w:rPr>
          <w:rFonts w:ascii="Arial" w:hAnsi="Arial" w:cs="Arial"/>
          <w:i/>
          <w:iCs/>
          <w:color w:val="000000" w:themeColor="text1"/>
          <w:sz w:val="24"/>
          <w:szCs w:val="24"/>
        </w:rPr>
        <w:t>London</w:t>
      </w:r>
      <w:r>
        <w:rPr>
          <w:rFonts w:ascii="Arial" w:hAnsi="Arial" w:cs="Arial"/>
          <w:color w:val="000000" w:themeColor="text1"/>
          <w:sz w:val="24"/>
          <w:szCs w:val="24"/>
        </w:rPr>
        <w:t xml:space="preserve">: </w:t>
      </w:r>
      <w:r>
        <w:rPr>
          <w:rFonts w:ascii="Arial" w:hAnsi="Arial" w:cs="Arial"/>
          <w:i/>
          <w:iCs/>
          <w:color w:val="000000" w:themeColor="text1"/>
          <w:sz w:val="24"/>
          <w:szCs w:val="24"/>
        </w:rPr>
        <w:t>Routledge</w:t>
      </w:r>
      <w:r>
        <w:rPr>
          <w:rFonts w:ascii="Arial" w:hAnsi="Arial" w:cs="Arial"/>
          <w:color w:val="000000" w:themeColor="text1"/>
          <w:sz w:val="24"/>
          <w:szCs w:val="24"/>
        </w:rPr>
        <w:t>.</w:t>
      </w:r>
    </w:p>
    <w:p w14:paraId="31E9F3C6" w14:textId="77777777" w:rsidR="00E8102D" w:rsidRDefault="00E8102D" w:rsidP="00E8102D">
      <w:pPr>
        <w:ind w:left="720" w:hanging="720"/>
        <w:rPr>
          <w:rFonts w:ascii="Arial" w:hAnsi="Arial" w:cs="Arial"/>
          <w:color w:val="000000" w:themeColor="text1"/>
          <w:sz w:val="24"/>
          <w:szCs w:val="24"/>
        </w:rPr>
      </w:pPr>
      <w:r>
        <w:rPr>
          <w:rFonts w:ascii="Arial" w:hAnsi="Arial" w:cs="Arial"/>
          <w:color w:val="000000" w:themeColor="text1"/>
          <w:sz w:val="24"/>
          <w:szCs w:val="24"/>
        </w:rPr>
        <w:t xml:space="preserve">Gallagher, K., 2016. Essential study and employment skills for business and management students. </w:t>
      </w:r>
      <w:r>
        <w:rPr>
          <w:rFonts w:ascii="Arial" w:hAnsi="Arial" w:cs="Arial"/>
          <w:i/>
          <w:iCs/>
          <w:color w:val="000000" w:themeColor="text1"/>
          <w:sz w:val="24"/>
          <w:szCs w:val="24"/>
        </w:rPr>
        <w:t>Oxford: Oxford University Press</w:t>
      </w:r>
      <w:r>
        <w:rPr>
          <w:rFonts w:ascii="Arial" w:hAnsi="Arial" w:cs="Arial"/>
          <w:color w:val="000000" w:themeColor="text1"/>
          <w:sz w:val="24"/>
          <w:szCs w:val="24"/>
        </w:rPr>
        <w:t>.</w:t>
      </w:r>
    </w:p>
    <w:p w14:paraId="7739B311" w14:textId="77777777" w:rsidR="00E8102D" w:rsidRDefault="00E8102D" w:rsidP="00E8102D">
      <w:pPr>
        <w:ind w:left="720" w:hanging="720"/>
        <w:rPr>
          <w:rFonts w:ascii="Arial" w:hAnsi="Arial" w:cs="Arial"/>
          <w:i/>
          <w:iCs/>
          <w:color w:val="000000" w:themeColor="text1"/>
          <w:sz w:val="24"/>
          <w:szCs w:val="24"/>
        </w:rPr>
      </w:pPr>
      <w:r>
        <w:rPr>
          <w:rFonts w:ascii="Arial" w:hAnsi="Arial" w:cs="Arial"/>
          <w:color w:val="000000" w:themeColor="text1"/>
          <w:sz w:val="24"/>
          <w:szCs w:val="24"/>
        </w:rPr>
        <w:t xml:space="preserve">Horn, R., 2009. The business skills handbook. </w:t>
      </w:r>
      <w:r>
        <w:rPr>
          <w:rFonts w:ascii="Arial" w:hAnsi="Arial" w:cs="Arial"/>
          <w:i/>
          <w:iCs/>
          <w:color w:val="000000" w:themeColor="text1"/>
          <w:sz w:val="24"/>
          <w:szCs w:val="24"/>
        </w:rPr>
        <w:t>London: Chartered Institute of Personnel and Development.</w:t>
      </w:r>
    </w:p>
    <w:p w14:paraId="7B977F98" w14:textId="77777777" w:rsidR="00E8102D" w:rsidRDefault="00E8102D" w:rsidP="00E8102D">
      <w:pPr>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Ingham, J. and Ulrich, D., 2016. Building better HR departments. </w:t>
      </w:r>
      <w:r>
        <w:rPr>
          <w:rFonts w:ascii="Arial" w:hAnsi="Arial" w:cs="Arial"/>
          <w:i/>
          <w:iCs/>
          <w:color w:val="000000" w:themeColor="text1"/>
          <w:sz w:val="24"/>
          <w:szCs w:val="24"/>
          <w:shd w:val="clear" w:color="auto" w:fill="FFFFFF"/>
        </w:rPr>
        <w:t>Strategic HR Review</w:t>
      </w:r>
      <w:r>
        <w:rPr>
          <w:rFonts w:ascii="Arial" w:hAnsi="Arial" w:cs="Arial"/>
          <w:color w:val="000000" w:themeColor="text1"/>
          <w:sz w:val="24"/>
          <w:szCs w:val="24"/>
          <w:shd w:val="clear" w:color="auto" w:fill="FFFFFF"/>
        </w:rPr>
        <w:t>, </w:t>
      </w:r>
      <w:r>
        <w:rPr>
          <w:rFonts w:ascii="Arial" w:hAnsi="Arial" w:cs="Arial"/>
          <w:i/>
          <w:iCs/>
          <w:color w:val="000000" w:themeColor="text1"/>
          <w:sz w:val="24"/>
          <w:szCs w:val="24"/>
          <w:shd w:val="clear" w:color="auto" w:fill="FFFFFF"/>
        </w:rPr>
        <w:t>15</w:t>
      </w:r>
      <w:r>
        <w:rPr>
          <w:rFonts w:ascii="Arial" w:hAnsi="Arial" w:cs="Arial"/>
          <w:color w:val="000000" w:themeColor="text1"/>
          <w:sz w:val="24"/>
          <w:szCs w:val="24"/>
          <w:shd w:val="clear" w:color="auto" w:fill="FFFFFF"/>
        </w:rPr>
        <w:t>(3), pp.129-136.</w:t>
      </w:r>
    </w:p>
    <w:p w14:paraId="7E06E420" w14:textId="77777777" w:rsidR="00E8102D" w:rsidRDefault="00E8102D" w:rsidP="00E8102D">
      <w:pPr>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Inman, M., O'Sullivan, N. and Murton, A., 2014. </w:t>
      </w:r>
      <w:r>
        <w:rPr>
          <w:rFonts w:ascii="Arial" w:hAnsi="Arial" w:cs="Arial"/>
          <w:i/>
          <w:iCs/>
          <w:color w:val="000000" w:themeColor="text1"/>
          <w:sz w:val="24"/>
          <w:szCs w:val="24"/>
          <w:shd w:val="clear" w:color="auto" w:fill="FFFFFF"/>
        </w:rPr>
        <w:t>Unlocking human resource management</w:t>
      </w:r>
      <w:r>
        <w:rPr>
          <w:rFonts w:ascii="Arial" w:hAnsi="Arial" w:cs="Arial"/>
          <w:color w:val="000000" w:themeColor="text1"/>
          <w:sz w:val="24"/>
          <w:szCs w:val="24"/>
          <w:shd w:val="clear" w:color="auto" w:fill="FFFFFF"/>
        </w:rPr>
        <w:t>. Routledge.</w:t>
      </w:r>
    </w:p>
    <w:p w14:paraId="696A8DD8" w14:textId="77777777" w:rsidR="00E8102D" w:rsidRDefault="00E8102D" w:rsidP="00E8102D">
      <w:pPr>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Johnston, R. and Clark, G., 2005. </w:t>
      </w:r>
      <w:r>
        <w:rPr>
          <w:rFonts w:ascii="Arial" w:hAnsi="Arial" w:cs="Arial"/>
          <w:i/>
          <w:iCs/>
          <w:color w:val="000000" w:themeColor="text1"/>
          <w:sz w:val="24"/>
          <w:szCs w:val="24"/>
          <w:shd w:val="clear" w:color="auto" w:fill="FFFFFF"/>
        </w:rPr>
        <w:t>Service operations management: improving service delivery</w:t>
      </w:r>
      <w:r>
        <w:rPr>
          <w:rFonts w:ascii="Arial" w:hAnsi="Arial" w:cs="Arial"/>
          <w:color w:val="000000" w:themeColor="text1"/>
          <w:sz w:val="24"/>
          <w:szCs w:val="24"/>
          <w:shd w:val="clear" w:color="auto" w:fill="FFFFFF"/>
        </w:rPr>
        <w:t>. Pearson Education.</w:t>
      </w:r>
    </w:p>
    <w:p w14:paraId="37D078CD" w14:textId="77777777" w:rsidR="00E8102D" w:rsidRDefault="00E8102D" w:rsidP="00E8102D">
      <w:pPr>
        <w:ind w:left="720" w:hanging="720"/>
        <w:rPr>
          <w:rFonts w:ascii="Arial" w:hAnsi="Arial" w:cs="Arial"/>
          <w:color w:val="000000" w:themeColor="text1"/>
          <w:sz w:val="24"/>
          <w:szCs w:val="24"/>
        </w:rPr>
      </w:pPr>
      <w:r>
        <w:rPr>
          <w:rFonts w:ascii="Arial" w:hAnsi="Arial" w:cs="Arial"/>
          <w:color w:val="000000" w:themeColor="text1"/>
          <w:sz w:val="24"/>
          <w:szCs w:val="24"/>
        </w:rPr>
        <w:t>Karumuri, V., 2016. Employee Engagement: Hotel Industry. </w:t>
      </w:r>
      <w:r>
        <w:rPr>
          <w:rFonts w:ascii="Arial" w:hAnsi="Arial" w:cs="Arial"/>
          <w:i/>
          <w:iCs/>
          <w:color w:val="000000" w:themeColor="text1"/>
          <w:sz w:val="24"/>
          <w:szCs w:val="24"/>
        </w:rPr>
        <w:t>SCMS Journal of Indian Management</w:t>
      </w:r>
      <w:r>
        <w:rPr>
          <w:rFonts w:ascii="Arial" w:hAnsi="Arial" w:cs="Arial"/>
          <w:color w:val="000000" w:themeColor="text1"/>
          <w:sz w:val="24"/>
          <w:szCs w:val="24"/>
        </w:rPr>
        <w:t>, </w:t>
      </w:r>
      <w:r>
        <w:rPr>
          <w:rFonts w:ascii="Arial" w:hAnsi="Arial" w:cs="Arial"/>
          <w:i/>
          <w:iCs/>
          <w:color w:val="000000" w:themeColor="text1"/>
          <w:sz w:val="24"/>
          <w:szCs w:val="24"/>
        </w:rPr>
        <w:t>13</w:t>
      </w:r>
      <w:r>
        <w:rPr>
          <w:rFonts w:ascii="Arial" w:hAnsi="Arial" w:cs="Arial"/>
          <w:color w:val="000000" w:themeColor="text1"/>
          <w:sz w:val="24"/>
          <w:szCs w:val="24"/>
        </w:rPr>
        <w:t>(3).</w:t>
      </w:r>
    </w:p>
    <w:p w14:paraId="53B72870" w14:textId="77777777" w:rsidR="00E8102D" w:rsidRDefault="00E8102D" w:rsidP="00E8102D">
      <w:pPr>
        <w:ind w:left="720" w:hanging="720"/>
        <w:rPr>
          <w:rFonts w:ascii="Arial" w:hAnsi="Arial" w:cs="Arial"/>
          <w:color w:val="000000" w:themeColor="text1"/>
          <w:sz w:val="24"/>
          <w:szCs w:val="24"/>
        </w:rPr>
      </w:pPr>
      <w:r>
        <w:rPr>
          <w:rFonts w:ascii="Arial" w:hAnsi="Arial" w:cs="Arial"/>
          <w:color w:val="000000" w:themeColor="text1"/>
          <w:sz w:val="24"/>
          <w:szCs w:val="24"/>
        </w:rPr>
        <w:t>Lee, J. and Ok, C.M., 2016. Hotel employee work engagement and its consequences. </w:t>
      </w:r>
      <w:r>
        <w:rPr>
          <w:rFonts w:ascii="Arial" w:hAnsi="Arial" w:cs="Arial"/>
          <w:i/>
          <w:iCs/>
          <w:color w:val="000000" w:themeColor="text1"/>
          <w:sz w:val="24"/>
          <w:szCs w:val="24"/>
        </w:rPr>
        <w:t>Journal of Hospitality Marketing &amp; Management</w:t>
      </w:r>
      <w:r>
        <w:rPr>
          <w:rFonts w:ascii="Arial" w:hAnsi="Arial" w:cs="Arial"/>
          <w:color w:val="000000" w:themeColor="text1"/>
          <w:sz w:val="24"/>
          <w:szCs w:val="24"/>
        </w:rPr>
        <w:t>, </w:t>
      </w:r>
      <w:r>
        <w:rPr>
          <w:rFonts w:ascii="Arial" w:hAnsi="Arial" w:cs="Arial"/>
          <w:i/>
          <w:iCs/>
          <w:color w:val="000000" w:themeColor="text1"/>
          <w:sz w:val="24"/>
          <w:szCs w:val="24"/>
        </w:rPr>
        <w:t>25</w:t>
      </w:r>
      <w:r>
        <w:rPr>
          <w:rFonts w:ascii="Arial" w:hAnsi="Arial" w:cs="Arial"/>
          <w:color w:val="000000" w:themeColor="text1"/>
          <w:sz w:val="24"/>
          <w:szCs w:val="24"/>
        </w:rPr>
        <w:t>(2), pp.133-166.</w:t>
      </w:r>
    </w:p>
    <w:p w14:paraId="349733F8" w14:textId="77777777" w:rsidR="00E8102D" w:rsidRDefault="00E8102D" w:rsidP="00E8102D">
      <w:pPr>
        <w:ind w:left="720" w:hanging="720"/>
        <w:rPr>
          <w:rFonts w:ascii="Arial" w:hAnsi="Arial" w:cs="Arial"/>
          <w:i/>
          <w:iCs/>
          <w:color w:val="000000" w:themeColor="text1"/>
          <w:sz w:val="24"/>
          <w:szCs w:val="24"/>
        </w:rPr>
      </w:pPr>
      <w:r>
        <w:rPr>
          <w:rFonts w:ascii="Arial" w:hAnsi="Arial" w:cs="Arial"/>
          <w:color w:val="000000" w:themeColor="text1"/>
          <w:sz w:val="24"/>
          <w:szCs w:val="24"/>
          <w:shd w:val="clear" w:color="auto" w:fill="FFFFFF"/>
        </w:rPr>
        <w:t>Marchington, M., Wilkinson, A., Donnelly, R. and Kynighou, A., 2016. </w:t>
      </w:r>
      <w:r>
        <w:rPr>
          <w:rFonts w:ascii="Arial" w:hAnsi="Arial" w:cs="Arial"/>
          <w:i/>
          <w:iCs/>
          <w:color w:val="000000" w:themeColor="text1"/>
          <w:sz w:val="24"/>
          <w:szCs w:val="24"/>
          <w:shd w:val="clear" w:color="auto" w:fill="FFFFFF"/>
        </w:rPr>
        <w:t>Human resource management at work</w:t>
      </w:r>
      <w:r>
        <w:rPr>
          <w:rFonts w:ascii="Arial" w:hAnsi="Arial" w:cs="Arial"/>
          <w:color w:val="000000" w:themeColor="text1"/>
          <w:sz w:val="24"/>
          <w:szCs w:val="24"/>
          <w:shd w:val="clear" w:color="auto" w:fill="FFFFFF"/>
        </w:rPr>
        <w:t>. Kogan Page Publishers.</w:t>
      </w:r>
    </w:p>
    <w:p w14:paraId="27B17E6C" w14:textId="77777777" w:rsidR="00E8102D" w:rsidRDefault="00E8102D" w:rsidP="00E8102D">
      <w:pPr>
        <w:ind w:left="720" w:hanging="720"/>
        <w:rPr>
          <w:rFonts w:ascii="Arial" w:hAnsi="Arial" w:cs="Arial"/>
          <w:color w:val="000000" w:themeColor="text1"/>
          <w:sz w:val="24"/>
          <w:szCs w:val="24"/>
        </w:rPr>
      </w:pPr>
      <w:r>
        <w:rPr>
          <w:rFonts w:ascii="Arial" w:hAnsi="Arial" w:cs="Arial"/>
          <w:color w:val="000000" w:themeColor="text1"/>
          <w:sz w:val="24"/>
          <w:szCs w:val="24"/>
        </w:rPr>
        <w:lastRenderedPageBreak/>
        <w:t>Mazzetti, G., Robledo, E., Vignoli, M., Topa, G., Guglielmi, D. and Schaufeli, W.B., 2023. Work engagement: A meta-analysis using the job demands-resources model. </w:t>
      </w:r>
      <w:r>
        <w:rPr>
          <w:rFonts w:ascii="Arial" w:hAnsi="Arial" w:cs="Arial"/>
          <w:i/>
          <w:iCs/>
          <w:color w:val="000000" w:themeColor="text1"/>
          <w:sz w:val="24"/>
          <w:szCs w:val="24"/>
        </w:rPr>
        <w:t>Psychological Reports</w:t>
      </w:r>
      <w:r>
        <w:rPr>
          <w:rFonts w:ascii="Arial" w:hAnsi="Arial" w:cs="Arial"/>
          <w:color w:val="000000" w:themeColor="text1"/>
          <w:sz w:val="24"/>
          <w:szCs w:val="24"/>
        </w:rPr>
        <w:t>, </w:t>
      </w:r>
      <w:r>
        <w:rPr>
          <w:rFonts w:ascii="Arial" w:hAnsi="Arial" w:cs="Arial"/>
          <w:i/>
          <w:iCs/>
          <w:color w:val="000000" w:themeColor="text1"/>
          <w:sz w:val="24"/>
          <w:szCs w:val="24"/>
        </w:rPr>
        <w:t>126</w:t>
      </w:r>
      <w:r>
        <w:rPr>
          <w:rFonts w:ascii="Arial" w:hAnsi="Arial" w:cs="Arial"/>
          <w:color w:val="000000" w:themeColor="text1"/>
          <w:sz w:val="24"/>
          <w:szCs w:val="24"/>
        </w:rPr>
        <w:t>(3), pp.1069-1107.</w:t>
      </w:r>
    </w:p>
    <w:p w14:paraId="5F4BBA18" w14:textId="77777777" w:rsidR="00E8102D" w:rsidRDefault="00E8102D" w:rsidP="00E8102D">
      <w:pPr>
        <w:ind w:left="720" w:hanging="720"/>
        <w:rPr>
          <w:rFonts w:ascii="Arial" w:hAnsi="Arial" w:cs="Arial"/>
          <w:color w:val="000000" w:themeColor="text1"/>
          <w:sz w:val="24"/>
          <w:szCs w:val="24"/>
        </w:rPr>
      </w:pPr>
      <w:r>
        <w:rPr>
          <w:rFonts w:ascii="Arial" w:hAnsi="Arial" w:cs="Arial"/>
          <w:color w:val="000000" w:themeColor="text1"/>
          <w:sz w:val="24"/>
          <w:szCs w:val="24"/>
        </w:rPr>
        <w:t>Myrden, S.E. and Kelloway, E.K., 2015. Leading to customer loyalty: a daily test of the service-profit chain. </w:t>
      </w:r>
      <w:r>
        <w:rPr>
          <w:rFonts w:ascii="Arial" w:hAnsi="Arial" w:cs="Arial"/>
          <w:i/>
          <w:iCs/>
          <w:color w:val="000000" w:themeColor="text1"/>
          <w:sz w:val="24"/>
          <w:szCs w:val="24"/>
        </w:rPr>
        <w:t>Journal of Services Marketing</w:t>
      </w:r>
      <w:r>
        <w:rPr>
          <w:rFonts w:ascii="Arial" w:hAnsi="Arial" w:cs="Arial"/>
          <w:color w:val="000000" w:themeColor="text1"/>
          <w:sz w:val="24"/>
          <w:szCs w:val="24"/>
        </w:rPr>
        <w:t>, </w:t>
      </w:r>
      <w:r>
        <w:rPr>
          <w:rFonts w:ascii="Arial" w:hAnsi="Arial" w:cs="Arial"/>
          <w:i/>
          <w:iCs/>
          <w:color w:val="000000" w:themeColor="text1"/>
          <w:sz w:val="24"/>
          <w:szCs w:val="24"/>
        </w:rPr>
        <w:t>29</w:t>
      </w:r>
      <w:r>
        <w:rPr>
          <w:rFonts w:ascii="Arial" w:hAnsi="Arial" w:cs="Arial"/>
          <w:color w:val="000000" w:themeColor="text1"/>
          <w:sz w:val="24"/>
          <w:szCs w:val="24"/>
        </w:rPr>
        <w:t>(6/7), pp.585-598.</w:t>
      </w:r>
    </w:p>
    <w:p w14:paraId="772F01C8" w14:textId="77777777" w:rsidR="00E8102D" w:rsidRDefault="00E8102D" w:rsidP="00E8102D">
      <w:pPr>
        <w:ind w:left="720" w:hanging="720"/>
        <w:rPr>
          <w:rFonts w:ascii="Arial" w:hAnsi="Arial" w:cs="Arial"/>
          <w:color w:val="000000" w:themeColor="text1"/>
          <w:sz w:val="24"/>
          <w:szCs w:val="24"/>
          <w:lang w:val="en-US"/>
        </w:rPr>
      </w:pPr>
      <w:r>
        <w:rPr>
          <w:rFonts w:ascii="Arial" w:hAnsi="Arial" w:cs="Arial"/>
          <w:color w:val="000000" w:themeColor="text1"/>
          <w:sz w:val="24"/>
          <w:szCs w:val="24"/>
          <w:shd w:val="clear" w:color="auto" w:fill="FFFFFF"/>
        </w:rPr>
        <w:t>Nair, A., Sadasivan, R. and Krishnan, A., 2019. Winning the talent game: HR gamification experience for Generation Z. </w:t>
      </w:r>
      <w:r>
        <w:rPr>
          <w:rFonts w:ascii="Arial" w:hAnsi="Arial" w:cs="Arial"/>
          <w:i/>
          <w:iCs/>
          <w:color w:val="000000" w:themeColor="text1"/>
          <w:sz w:val="24"/>
          <w:szCs w:val="24"/>
          <w:shd w:val="clear" w:color="auto" w:fill="FFFFFF"/>
        </w:rPr>
        <w:t>International Journal on Leadership</w:t>
      </w:r>
      <w:r>
        <w:rPr>
          <w:rFonts w:ascii="Arial" w:hAnsi="Arial" w:cs="Arial"/>
          <w:color w:val="000000" w:themeColor="text1"/>
          <w:sz w:val="24"/>
          <w:szCs w:val="24"/>
          <w:shd w:val="clear" w:color="auto" w:fill="FFFFFF"/>
        </w:rPr>
        <w:t>, </w:t>
      </w:r>
      <w:r>
        <w:rPr>
          <w:rFonts w:ascii="Arial" w:hAnsi="Arial" w:cs="Arial"/>
          <w:i/>
          <w:iCs/>
          <w:color w:val="000000" w:themeColor="text1"/>
          <w:sz w:val="24"/>
          <w:szCs w:val="24"/>
          <w:shd w:val="clear" w:color="auto" w:fill="FFFFFF"/>
        </w:rPr>
        <w:t>7</w:t>
      </w:r>
      <w:r>
        <w:rPr>
          <w:rFonts w:ascii="Arial" w:hAnsi="Arial" w:cs="Arial"/>
          <w:color w:val="000000" w:themeColor="text1"/>
          <w:sz w:val="24"/>
          <w:szCs w:val="24"/>
          <w:shd w:val="clear" w:color="auto" w:fill="FFFFFF"/>
        </w:rPr>
        <w:t>(1), pp.44-49.. Winning the talent game: HR gamification experience for Generation Z. </w:t>
      </w:r>
      <w:r>
        <w:rPr>
          <w:rFonts w:ascii="Arial" w:hAnsi="Arial" w:cs="Arial"/>
          <w:i/>
          <w:iCs/>
          <w:color w:val="000000" w:themeColor="text1"/>
          <w:sz w:val="24"/>
          <w:szCs w:val="24"/>
          <w:shd w:val="clear" w:color="auto" w:fill="FFFFFF"/>
        </w:rPr>
        <w:t>International Journal on Leadership</w:t>
      </w:r>
      <w:r>
        <w:rPr>
          <w:rFonts w:ascii="Arial" w:hAnsi="Arial" w:cs="Arial"/>
          <w:color w:val="000000" w:themeColor="text1"/>
          <w:sz w:val="24"/>
          <w:szCs w:val="24"/>
          <w:shd w:val="clear" w:color="auto" w:fill="FFFFFF"/>
        </w:rPr>
        <w:t>, </w:t>
      </w:r>
      <w:r>
        <w:rPr>
          <w:rFonts w:ascii="Arial" w:hAnsi="Arial" w:cs="Arial"/>
          <w:i/>
          <w:iCs/>
          <w:color w:val="000000" w:themeColor="text1"/>
          <w:sz w:val="24"/>
          <w:szCs w:val="24"/>
          <w:shd w:val="clear" w:color="auto" w:fill="FFFFFF"/>
        </w:rPr>
        <w:t>7</w:t>
      </w:r>
      <w:r>
        <w:rPr>
          <w:rFonts w:ascii="Arial" w:hAnsi="Arial" w:cs="Arial"/>
          <w:color w:val="000000" w:themeColor="text1"/>
          <w:sz w:val="24"/>
          <w:szCs w:val="24"/>
          <w:shd w:val="clear" w:color="auto" w:fill="FFFFFF"/>
        </w:rPr>
        <w:t>(1), pp.44-49.</w:t>
      </w:r>
    </w:p>
    <w:p w14:paraId="61645868" w14:textId="77777777" w:rsidR="00E8102D" w:rsidRDefault="00E8102D" w:rsidP="00E8102D">
      <w:pPr>
        <w:ind w:left="720" w:hanging="720"/>
        <w:rPr>
          <w:rFonts w:ascii="Arial" w:hAnsi="Arial" w:cs="Arial"/>
          <w:color w:val="000000" w:themeColor="text1"/>
          <w:sz w:val="24"/>
          <w:szCs w:val="24"/>
        </w:rPr>
      </w:pPr>
      <w:r>
        <w:rPr>
          <w:rFonts w:ascii="Arial" w:hAnsi="Arial" w:cs="Arial"/>
          <w:color w:val="000000" w:themeColor="text1"/>
          <w:sz w:val="24"/>
          <w:szCs w:val="24"/>
        </w:rPr>
        <w:t>Olugbade, O.A. and Karatepe, O.M., 2019. Stressors, work engagement and their effects on hotel employee outcomes. </w:t>
      </w:r>
      <w:r>
        <w:rPr>
          <w:rFonts w:ascii="Arial" w:hAnsi="Arial" w:cs="Arial"/>
          <w:i/>
          <w:iCs/>
          <w:color w:val="000000" w:themeColor="text1"/>
          <w:sz w:val="24"/>
          <w:szCs w:val="24"/>
        </w:rPr>
        <w:t>The Service Industries Journal</w:t>
      </w:r>
      <w:r>
        <w:rPr>
          <w:rFonts w:ascii="Arial" w:hAnsi="Arial" w:cs="Arial"/>
          <w:color w:val="000000" w:themeColor="text1"/>
          <w:sz w:val="24"/>
          <w:szCs w:val="24"/>
        </w:rPr>
        <w:t>, </w:t>
      </w:r>
      <w:r>
        <w:rPr>
          <w:rFonts w:ascii="Arial" w:hAnsi="Arial" w:cs="Arial"/>
          <w:i/>
          <w:iCs/>
          <w:color w:val="000000" w:themeColor="text1"/>
          <w:sz w:val="24"/>
          <w:szCs w:val="24"/>
        </w:rPr>
        <w:t>39</w:t>
      </w:r>
      <w:r>
        <w:rPr>
          <w:rFonts w:ascii="Arial" w:hAnsi="Arial" w:cs="Arial"/>
          <w:color w:val="000000" w:themeColor="text1"/>
          <w:sz w:val="24"/>
          <w:szCs w:val="24"/>
        </w:rPr>
        <w:t>(3-4), pp.279-298.</w:t>
      </w:r>
    </w:p>
    <w:p w14:paraId="61A06645" w14:textId="77777777" w:rsidR="00E8102D" w:rsidRDefault="00E8102D" w:rsidP="00E8102D">
      <w:pPr>
        <w:ind w:left="720" w:hanging="720"/>
        <w:rPr>
          <w:rFonts w:ascii="Arial" w:hAnsi="Arial" w:cs="Arial"/>
          <w:color w:val="000000" w:themeColor="text1"/>
          <w:sz w:val="24"/>
          <w:szCs w:val="24"/>
          <w:lang w:val="en-US"/>
        </w:rPr>
      </w:pPr>
      <w:r>
        <w:rPr>
          <w:rFonts w:ascii="Arial" w:hAnsi="Arial" w:cs="Arial"/>
          <w:color w:val="000000" w:themeColor="text1"/>
          <w:sz w:val="24"/>
          <w:szCs w:val="24"/>
          <w:shd w:val="clear" w:color="auto" w:fill="FFFFFF"/>
        </w:rPr>
        <w:t xml:space="preserve">Pandita, D. and Kumar, A., 2022. Transforming people practices by re-structuring job engagement practices for Generation Z: An empirical study. </w:t>
      </w:r>
      <w:r>
        <w:rPr>
          <w:rFonts w:ascii="Arial" w:hAnsi="Arial" w:cs="Arial"/>
          <w:i/>
          <w:iCs/>
          <w:color w:val="000000" w:themeColor="text1"/>
          <w:sz w:val="24"/>
          <w:szCs w:val="24"/>
          <w:shd w:val="clear" w:color="auto" w:fill="FFFFFF"/>
        </w:rPr>
        <w:t>International Journal of Organizational Analysis</w:t>
      </w:r>
      <w:r>
        <w:rPr>
          <w:rFonts w:ascii="Arial" w:hAnsi="Arial" w:cs="Arial"/>
          <w:color w:val="000000" w:themeColor="text1"/>
          <w:sz w:val="24"/>
          <w:szCs w:val="24"/>
          <w:shd w:val="clear" w:color="auto" w:fill="FFFFFF"/>
        </w:rPr>
        <w:t>, </w:t>
      </w:r>
      <w:r>
        <w:rPr>
          <w:rFonts w:ascii="Arial" w:hAnsi="Arial" w:cs="Arial"/>
          <w:i/>
          <w:iCs/>
          <w:color w:val="000000" w:themeColor="text1"/>
          <w:sz w:val="24"/>
          <w:szCs w:val="24"/>
          <w:shd w:val="clear" w:color="auto" w:fill="FFFFFF"/>
        </w:rPr>
        <w:t>30</w:t>
      </w:r>
      <w:r>
        <w:rPr>
          <w:rFonts w:ascii="Arial" w:hAnsi="Arial" w:cs="Arial"/>
          <w:color w:val="000000" w:themeColor="text1"/>
          <w:sz w:val="24"/>
          <w:szCs w:val="24"/>
          <w:shd w:val="clear" w:color="auto" w:fill="FFFFFF"/>
        </w:rPr>
        <w:t>(1), pp.115-129.</w:t>
      </w:r>
    </w:p>
    <w:p w14:paraId="618052C2" w14:textId="77777777" w:rsidR="00E8102D" w:rsidRDefault="00E8102D" w:rsidP="00E8102D">
      <w:pPr>
        <w:ind w:left="720" w:hanging="720"/>
        <w:rPr>
          <w:rFonts w:ascii="Arial" w:hAnsi="Arial" w:cs="Arial"/>
          <w:color w:val="000000" w:themeColor="text1"/>
          <w:sz w:val="24"/>
          <w:szCs w:val="24"/>
        </w:rPr>
      </w:pPr>
      <w:r>
        <w:rPr>
          <w:rFonts w:ascii="Arial" w:hAnsi="Arial" w:cs="Arial"/>
          <w:color w:val="000000" w:themeColor="text1"/>
          <w:sz w:val="24"/>
          <w:szCs w:val="24"/>
        </w:rPr>
        <w:t>Park, S., Johnson, K.R. and Chaudhuri, S., 2019. Promoting work engagement in the hotel sector: review and analysis. </w:t>
      </w:r>
      <w:r>
        <w:rPr>
          <w:rFonts w:ascii="Arial" w:hAnsi="Arial" w:cs="Arial"/>
          <w:i/>
          <w:iCs/>
          <w:color w:val="000000" w:themeColor="text1"/>
          <w:sz w:val="24"/>
          <w:szCs w:val="24"/>
        </w:rPr>
        <w:t>Management Research Review</w:t>
      </w:r>
      <w:r>
        <w:rPr>
          <w:rFonts w:ascii="Arial" w:hAnsi="Arial" w:cs="Arial"/>
          <w:color w:val="000000" w:themeColor="text1"/>
          <w:sz w:val="24"/>
          <w:szCs w:val="24"/>
        </w:rPr>
        <w:t>, </w:t>
      </w:r>
      <w:r>
        <w:rPr>
          <w:rFonts w:ascii="Arial" w:hAnsi="Arial" w:cs="Arial"/>
          <w:i/>
          <w:iCs/>
          <w:color w:val="000000" w:themeColor="text1"/>
          <w:sz w:val="24"/>
          <w:szCs w:val="24"/>
        </w:rPr>
        <w:t>42</w:t>
      </w:r>
      <w:r>
        <w:rPr>
          <w:rFonts w:ascii="Arial" w:hAnsi="Arial" w:cs="Arial"/>
          <w:color w:val="000000" w:themeColor="text1"/>
          <w:sz w:val="24"/>
          <w:szCs w:val="24"/>
        </w:rPr>
        <w:t>(8), pp.971-990.</w:t>
      </w:r>
    </w:p>
    <w:p w14:paraId="12F3D9AF" w14:textId="77777777" w:rsidR="00E8102D" w:rsidRDefault="00E8102D" w:rsidP="00E8102D">
      <w:pPr>
        <w:ind w:left="720" w:hanging="720"/>
        <w:rPr>
          <w:rFonts w:ascii="Arial" w:hAnsi="Arial" w:cs="Arial"/>
          <w:color w:val="000000" w:themeColor="text1"/>
          <w:sz w:val="24"/>
          <w:szCs w:val="24"/>
        </w:rPr>
      </w:pPr>
      <w:r>
        <w:rPr>
          <w:rFonts w:ascii="Arial" w:hAnsi="Arial" w:cs="Arial"/>
          <w:color w:val="000000" w:themeColor="text1"/>
          <w:sz w:val="24"/>
          <w:szCs w:val="24"/>
        </w:rPr>
        <w:t>Saks, A.M., 2019. Antecedents and consequences of employee engagement revisited. </w:t>
      </w:r>
      <w:r>
        <w:rPr>
          <w:rFonts w:ascii="Arial" w:hAnsi="Arial" w:cs="Arial"/>
          <w:i/>
          <w:iCs/>
          <w:color w:val="000000" w:themeColor="text1"/>
          <w:sz w:val="24"/>
          <w:szCs w:val="24"/>
        </w:rPr>
        <w:t>Journal of Organizational Effectiveness: People and Performance</w:t>
      </w:r>
      <w:r>
        <w:rPr>
          <w:rFonts w:ascii="Arial" w:hAnsi="Arial" w:cs="Arial"/>
          <w:color w:val="000000" w:themeColor="text1"/>
          <w:sz w:val="24"/>
          <w:szCs w:val="24"/>
        </w:rPr>
        <w:t>, </w:t>
      </w:r>
      <w:r>
        <w:rPr>
          <w:rFonts w:ascii="Arial" w:hAnsi="Arial" w:cs="Arial"/>
          <w:i/>
          <w:iCs/>
          <w:color w:val="000000" w:themeColor="text1"/>
          <w:sz w:val="24"/>
          <w:szCs w:val="24"/>
        </w:rPr>
        <w:t>6</w:t>
      </w:r>
      <w:r>
        <w:rPr>
          <w:rFonts w:ascii="Arial" w:hAnsi="Arial" w:cs="Arial"/>
          <w:color w:val="000000" w:themeColor="text1"/>
          <w:sz w:val="24"/>
          <w:szCs w:val="24"/>
        </w:rPr>
        <w:t>(1), pp.19-38.</w:t>
      </w:r>
    </w:p>
    <w:p w14:paraId="2FF2D60F" w14:textId="77777777" w:rsidR="00E8102D" w:rsidRDefault="00E8102D" w:rsidP="00E8102D">
      <w:pPr>
        <w:ind w:left="720" w:hanging="720"/>
        <w:rPr>
          <w:rFonts w:ascii="Arial" w:hAnsi="Arial" w:cs="Arial"/>
          <w:color w:val="000000" w:themeColor="text1"/>
          <w:sz w:val="24"/>
          <w:szCs w:val="24"/>
          <w:lang w:val="en-US"/>
        </w:rPr>
      </w:pPr>
      <w:r>
        <w:rPr>
          <w:rFonts w:ascii="Arial" w:hAnsi="Arial" w:cs="Arial"/>
          <w:color w:val="000000" w:themeColor="text1"/>
          <w:sz w:val="24"/>
          <w:szCs w:val="24"/>
          <w:shd w:val="clear" w:color="auto" w:fill="FFFFFF"/>
        </w:rPr>
        <w:t>Sharma, F.C., 2023. </w:t>
      </w:r>
      <w:r>
        <w:rPr>
          <w:rFonts w:ascii="Arial" w:hAnsi="Arial" w:cs="Arial"/>
          <w:i/>
          <w:iCs/>
          <w:color w:val="000000" w:themeColor="text1"/>
          <w:sz w:val="24"/>
          <w:szCs w:val="24"/>
          <w:shd w:val="clear" w:color="auto" w:fill="FFFFFF"/>
        </w:rPr>
        <w:t>Human resource management</w:t>
      </w:r>
      <w:r>
        <w:rPr>
          <w:rFonts w:ascii="Arial" w:hAnsi="Arial" w:cs="Arial"/>
          <w:color w:val="000000" w:themeColor="text1"/>
          <w:sz w:val="24"/>
          <w:szCs w:val="24"/>
          <w:shd w:val="clear" w:color="auto" w:fill="FFFFFF"/>
        </w:rPr>
        <w:t>. SBPD Publications.</w:t>
      </w:r>
    </w:p>
    <w:p w14:paraId="120ABBDE" w14:textId="77777777" w:rsidR="00E8102D" w:rsidRDefault="00E8102D" w:rsidP="00E8102D">
      <w:pPr>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Stone, R.J., Cox, A. and Gavin, M., 2020. </w:t>
      </w:r>
      <w:r>
        <w:rPr>
          <w:rFonts w:ascii="Arial" w:hAnsi="Arial" w:cs="Arial"/>
          <w:i/>
          <w:iCs/>
          <w:color w:val="000000" w:themeColor="text1"/>
          <w:sz w:val="24"/>
          <w:szCs w:val="24"/>
          <w:shd w:val="clear" w:color="auto" w:fill="FFFFFF"/>
        </w:rPr>
        <w:t>Human resource management</w:t>
      </w:r>
      <w:r>
        <w:rPr>
          <w:rFonts w:ascii="Arial" w:hAnsi="Arial" w:cs="Arial"/>
          <w:color w:val="000000" w:themeColor="text1"/>
          <w:sz w:val="24"/>
          <w:szCs w:val="24"/>
          <w:shd w:val="clear" w:color="auto" w:fill="FFFFFF"/>
        </w:rPr>
        <w:t>. John Wiley &amp; Sons.</w:t>
      </w:r>
    </w:p>
    <w:p w14:paraId="40D5F2E3" w14:textId="77777777" w:rsidR="00E8102D" w:rsidRDefault="00E8102D" w:rsidP="00E8102D">
      <w:pPr>
        <w:ind w:left="720" w:hanging="720"/>
        <w:rPr>
          <w:rFonts w:ascii="Arial" w:hAnsi="Arial" w:cs="Arial"/>
          <w:color w:val="000000" w:themeColor="text1"/>
          <w:sz w:val="24"/>
          <w:szCs w:val="24"/>
          <w:lang w:val="en-US"/>
        </w:rPr>
      </w:pPr>
      <w:r>
        <w:rPr>
          <w:rFonts w:ascii="Arial" w:hAnsi="Arial" w:cs="Arial"/>
          <w:color w:val="000000" w:themeColor="text1"/>
          <w:sz w:val="24"/>
          <w:szCs w:val="24"/>
          <w:shd w:val="clear" w:color="auto" w:fill="FFFFFF"/>
        </w:rPr>
        <w:t>Sun, L. and Bunchapattanasakda, C., 2019. Employee engagement: A literature review. </w:t>
      </w:r>
      <w:r>
        <w:rPr>
          <w:rFonts w:ascii="Arial" w:hAnsi="Arial" w:cs="Arial"/>
          <w:i/>
          <w:iCs/>
          <w:color w:val="000000" w:themeColor="text1"/>
          <w:sz w:val="24"/>
          <w:szCs w:val="24"/>
          <w:shd w:val="clear" w:color="auto" w:fill="FFFFFF"/>
        </w:rPr>
        <w:t>International Journal of Human Resource Studies</w:t>
      </w:r>
      <w:r>
        <w:rPr>
          <w:rFonts w:ascii="Arial" w:hAnsi="Arial" w:cs="Arial"/>
          <w:color w:val="000000" w:themeColor="text1"/>
          <w:sz w:val="24"/>
          <w:szCs w:val="24"/>
          <w:shd w:val="clear" w:color="auto" w:fill="FFFFFF"/>
        </w:rPr>
        <w:t>, </w:t>
      </w:r>
      <w:r>
        <w:rPr>
          <w:rFonts w:ascii="Arial" w:hAnsi="Arial" w:cs="Arial"/>
          <w:i/>
          <w:iCs/>
          <w:color w:val="000000" w:themeColor="text1"/>
          <w:sz w:val="24"/>
          <w:szCs w:val="24"/>
          <w:shd w:val="clear" w:color="auto" w:fill="FFFFFF"/>
        </w:rPr>
        <w:t>9</w:t>
      </w:r>
      <w:r>
        <w:rPr>
          <w:rFonts w:ascii="Arial" w:hAnsi="Arial" w:cs="Arial"/>
          <w:color w:val="000000" w:themeColor="text1"/>
          <w:sz w:val="24"/>
          <w:szCs w:val="24"/>
          <w:shd w:val="clear" w:color="auto" w:fill="FFFFFF"/>
        </w:rPr>
        <w:t>(1), pp.63-80.</w:t>
      </w:r>
    </w:p>
    <w:p w14:paraId="6AD3D3FE" w14:textId="77777777" w:rsidR="00E8102D" w:rsidRDefault="00E8102D" w:rsidP="00E8102D">
      <w:pPr>
        <w:ind w:left="720" w:hanging="720"/>
        <w:rPr>
          <w:rFonts w:ascii="Arial" w:hAnsi="Arial" w:cs="Arial"/>
          <w:color w:val="000000" w:themeColor="text1"/>
          <w:sz w:val="24"/>
          <w:szCs w:val="24"/>
        </w:rPr>
      </w:pPr>
      <w:r>
        <w:rPr>
          <w:rFonts w:ascii="Arial" w:hAnsi="Arial" w:cs="Arial"/>
          <w:color w:val="000000" w:themeColor="text1"/>
          <w:sz w:val="24"/>
          <w:szCs w:val="24"/>
        </w:rPr>
        <w:t xml:space="preserve">Torrington, D., Hall, L., Atkinson, C., and Taylor, S., 2020. Human Resource Management, Pearson Education, Limited, Harlow. </w:t>
      </w:r>
      <w:r>
        <w:rPr>
          <w:rFonts w:ascii="Arial" w:hAnsi="Arial" w:cs="Arial"/>
          <w:i/>
          <w:iCs/>
          <w:color w:val="000000" w:themeColor="text1"/>
          <w:sz w:val="24"/>
          <w:szCs w:val="24"/>
        </w:rPr>
        <w:t>Available from ProQuest Ebook Central</w:t>
      </w:r>
      <w:r>
        <w:rPr>
          <w:rFonts w:ascii="Arial" w:hAnsi="Arial" w:cs="Arial"/>
          <w:color w:val="000000" w:themeColor="text1"/>
          <w:sz w:val="24"/>
          <w:szCs w:val="24"/>
        </w:rPr>
        <w:t>.</w:t>
      </w:r>
    </w:p>
    <w:p w14:paraId="5B7895D5" w14:textId="77777777" w:rsidR="00E8102D" w:rsidRDefault="00E8102D" w:rsidP="00E8102D">
      <w:pPr>
        <w:ind w:left="720" w:hanging="720"/>
        <w:rPr>
          <w:rFonts w:ascii="Arial" w:hAnsi="Arial" w:cs="Arial"/>
          <w:color w:val="000000" w:themeColor="text1"/>
          <w:sz w:val="24"/>
          <w:szCs w:val="24"/>
        </w:rPr>
      </w:pPr>
      <w:r>
        <w:rPr>
          <w:rFonts w:ascii="Arial" w:hAnsi="Arial" w:cs="Arial"/>
          <w:color w:val="000000" w:themeColor="text1"/>
          <w:sz w:val="24"/>
          <w:szCs w:val="24"/>
        </w:rPr>
        <w:t xml:space="preserve">Tremble, T.R., Payne, S.C., Finch, J.F. and Bullis, R.C., 2017. Opening organisational archives to research: Analog measures of organisational commitment. In </w:t>
      </w:r>
      <w:r>
        <w:rPr>
          <w:rFonts w:ascii="Arial" w:hAnsi="Arial" w:cs="Arial"/>
          <w:i/>
          <w:iCs/>
          <w:color w:val="000000" w:themeColor="text1"/>
          <w:sz w:val="24"/>
          <w:szCs w:val="24"/>
        </w:rPr>
        <w:t>Organisational Commitment in the Military</w:t>
      </w:r>
      <w:r>
        <w:rPr>
          <w:rFonts w:ascii="Arial" w:hAnsi="Arial" w:cs="Arial"/>
          <w:color w:val="000000" w:themeColor="text1"/>
          <w:sz w:val="24"/>
          <w:szCs w:val="24"/>
        </w:rPr>
        <w:t> (pp. 167-190). Psychology Press.</w:t>
      </w:r>
    </w:p>
    <w:p w14:paraId="3C18EF36" w14:textId="77777777" w:rsidR="00E8102D" w:rsidRDefault="00E8102D" w:rsidP="00E8102D">
      <w:pPr>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 xml:space="preserve">Ulrich, D. and Grochowski, J., 2018. Building a world-class HR department. </w:t>
      </w:r>
      <w:r>
        <w:rPr>
          <w:rFonts w:ascii="Arial" w:hAnsi="Arial" w:cs="Arial"/>
          <w:i/>
          <w:iCs/>
          <w:color w:val="000000" w:themeColor="text1"/>
          <w:sz w:val="24"/>
          <w:szCs w:val="24"/>
          <w:shd w:val="clear" w:color="auto" w:fill="FFFFFF"/>
        </w:rPr>
        <w:t>Strategic HR Review</w:t>
      </w:r>
      <w:r>
        <w:rPr>
          <w:rFonts w:ascii="Arial" w:hAnsi="Arial" w:cs="Arial"/>
          <w:color w:val="000000" w:themeColor="text1"/>
          <w:sz w:val="24"/>
          <w:szCs w:val="24"/>
          <w:shd w:val="clear" w:color="auto" w:fill="FFFFFF"/>
        </w:rPr>
        <w:t>, </w:t>
      </w:r>
      <w:r>
        <w:rPr>
          <w:rFonts w:ascii="Arial" w:hAnsi="Arial" w:cs="Arial"/>
          <w:i/>
          <w:iCs/>
          <w:color w:val="000000" w:themeColor="text1"/>
          <w:sz w:val="24"/>
          <w:szCs w:val="24"/>
          <w:shd w:val="clear" w:color="auto" w:fill="FFFFFF"/>
        </w:rPr>
        <w:t>17</w:t>
      </w:r>
      <w:r>
        <w:rPr>
          <w:rFonts w:ascii="Arial" w:hAnsi="Arial" w:cs="Arial"/>
          <w:color w:val="000000" w:themeColor="text1"/>
          <w:sz w:val="24"/>
          <w:szCs w:val="24"/>
          <w:shd w:val="clear" w:color="auto" w:fill="FFFFFF"/>
        </w:rPr>
        <w:t>(4), pp.181-185.</w:t>
      </w:r>
    </w:p>
    <w:p w14:paraId="239DB480" w14:textId="77777777" w:rsidR="00E8102D" w:rsidRDefault="00E8102D" w:rsidP="00E8102D">
      <w:pPr>
        <w:ind w:left="720" w:hanging="720"/>
        <w:rPr>
          <w:rFonts w:ascii="Arial" w:hAnsi="Arial" w:cs="Arial"/>
          <w:color w:val="000000" w:themeColor="text1"/>
          <w:sz w:val="24"/>
          <w:szCs w:val="24"/>
        </w:rPr>
      </w:pPr>
      <w:r>
        <w:rPr>
          <w:rFonts w:ascii="Arial" w:hAnsi="Arial" w:cs="Arial"/>
          <w:color w:val="000000" w:themeColor="text1"/>
          <w:sz w:val="24"/>
          <w:szCs w:val="24"/>
        </w:rPr>
        <w:t>Zhang, T.C., Ronzoni, G., Medeiros, M. and Bufquin, D., 2022. A qualitative assessment of hotel employee engagement in anti-human-trafficking initiatives. </w:t>
      </w:r>
      <w:r>
        <w:rPr>
          <w:rFonts w:ascii="Arial" w:hAnsi="Arial" w:cs="Arial"/>
          <w:i/>
          <w:iCs/>
          <w:color w:val="000000" w:themeColor="text1"/>
          <w:sz w:val="24"/>
          <w:szCs w:val="24"/>
        </w:rPr>
        <w:t>International Journal of Hospitality Management</w:t>
      </w:r>
      <w:r>
        <w:rPr>
          <w:rFonts w:ascii="Arial" w:hAnsi="Arial" w:cs="Arial"/>
          <w:color w:val="000000" w:themeColor="text1"/>
          <w:sz w:val="24"/>
          <w:szCs w:val="24"/>
        </w:rPr>
        <w:t>, </w:t>
      </w:r>
      <w:r>
        <w:rPr>
          <w:rFonts w:ascii="Arial" w:hAnsi="Arial" w:cs="Arial"/>
          <w:i/>
          <w:iCs/>
          <w:color w:val="000000" w:themeColor="text1"/>
          <w:sz w:val="24"/>
          <w:szCs w:val="24"/>
        </w:rPr>
        <w:t>102</w:t>
      </w:r>
      <w:r>
        <w:rPr>
          <w:rFonts w:ascii="Arial" w:hAnsi="Arial" w:cs="Arial"/>
          <w:color w:val="000000" w:themeColor="text1"/>
          <w:sz w:val="24"/>
          <w:szCs w:val="24"/>
        </w:rPr>
        <w:t>, p.103148.</w:t>
      </w:r>
    </w:p>
    <w:p w14:paraId="742249B8" w14:textId="77777777" w:rsidR="00E8102D" w:rsidRDefault="00E8102D" w:rsidP="00E8102D">
      <w:pPr>
        <w:rPr>
          <w:rFonts w:ascii="Arial" w:hAnsi="Arial" w:cs="Arial"/>
          <w:color w:val="000000" w:themeColor="text1"/>
          <w:sz w:val="24"/>
          <w:szCs w:val="24"/>
          <w:lang w:val="en-US"/>
        </w:rPr>
      </w:pPr>
    </w:p>
    <w:p w14:paraId="62731306" w14:textId="77777777" w:rsidR="00E8102D" w:rsidRDefault="00E8102D" w:rsidP="00E8102D">
      <w:pPr>
        <w:rPr>
          <w:rFonts w:ascii="Arial" w:hAnsi="Arial" w:cs="Arial"/>
          <w:color w:val="000000" w:themeColor="text1"/>
          <w:sz w:val="24"/>
          <w:szCs w:val="24"/>
          <w:lang w:val="en-US"/>
        </w:rPr>
      </w:pPr>
    </w:p>
    <w:p w14:paraId="73ADBEB1" w14:textId="77777777" w:rsidR="00E8102D" w:rsidRDefault="00E8102D" w:rsidP="00E8102D">
      <w:pPr>
        <w:rPr>
          <w:rFonts w:ascii="Arial" w:hAnsi="Arial" w:cs="Arial"/>
          <w:color w:val="000000" w:themeColor="text1"/>
          <w:sz w:val="24"/>
          <w:szCs w:val="24"/>
          <w:lang w:val="en-US"/>
        </w:rPr>
      </w:pPr>
    </w:p>
    <w:p w14:paraId="6B79939E" w14:textId="77777777" w:rsidR="00E8102D" w:rsidRDefault="00E8102D" w:rsidP="00E8102D">
      <w:pPr>
        <w:rPr>
          <w:rFonts w:ascii="Arial" w:hAnsi="Arial" w:cs="Arial"/>
          <w:color w:val="000000" w:themeColor="text1"/>
          <w:sz w:val="24"/>
          <w:szCs w:val="24"/>
          <w:lang w:val="en-US"/>
        </w:rPr>
      </w:pPr>
    </w:p>
    <w:p w14:paraId="32211666" w14:textId="77777777" w:rsidR="00E8102D" w:rsidRDefault="00E8102D" w:rsidP="00E8102D">
      <w:pPr>
        <w:rPr>
          <w:rFonts w:ascii="Arial" w:hAnsi="Arial" w:cs="Arial"/>
          <w:color w:val="000000" w:themeColor="text1"/>
          <w:sz w:val="24"/>
          <w:szCs w:val="24"/>
          <w:lang w:val="en-US"/>
        </w:rPr>
      </w:pPr>
    </w:p>
    <w:p w14:paraId="3A652697" w14:textId="77777777" w:rsidR="00E8102D" w:rsidRDefault="00E8102D" w:rsidP="00E8102D">
      <w:pPr>
        <w:rPr>
          <w:rFonts w:ascii="Arial" w:hAnsi="Arial" w:cs="Arial"/>
          <w:color w:val="000000" w:themeColor="text1"/>
          <w:sz w:val="24"/>
          <w:szCs w:val="24"/>
          <w:lang w:val="en-US"/>
        </w:rPr>
      </w:pPr>
    </w:p>
    <w:p w14:paraId="55863909" w14:textId="77777777" w:rsidR="00E8102D" w:rsidRDefault="00E8102D" w:rsidP="00E8102D">
      <w:pPr>
        <w:ind w:left="720" w:hanging="720"/>
        <w:rPr>
          <w:rFonts w:ascii="Arial" w:hAnsi="Arial" w:cs="Arial"/>
          <w:color w:val="000000" w:themeColor="text1"/>
          <w:sz w:val="24"/>
          <w:szCs w:val="24"/>
          <w:shd w:val="clear" w:color="auto" w:fill="FFFFFF"/>
        </w:rPr>
      </w:pPr>
    </w:p>
    <w:p w14:paraId="47B2E795" w14:textId="77777777" w:rsidR="00452CC3" w:rsidRDefault="00452CC3"/>
    <w:sectPr w:rsidR="00452C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C5CBD"/>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5356631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02D"/>
    <w:rsid w:val="00452CC3"/>
    <w:rsid w:val="00E81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6FF67"/>
  <w15:chartTrackingRefBased/>
  <w15:docId w15:val="{B951EEFB-17A1-4A80-83D7-B5C379B0D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02D"/>
    <w:pPr>
      <w:spacing w:after="0" w:line="360" w:lineRule="auto"/>
      <w:jc w:val="both"/>
    </w:pPr>
    <w:rPr>
      <w:lang w:val=""/>
    </w:rPr>
  </w:style>
  <w:style w:type="paragraph" w:styleId="Heading1">
    <w:name w:val="heading 1"/>
    <w:basedOn w:val="Normal"/>
    <w:next w:val="Normal"/>
    <w:link w:val="Heading1Char"/>
    <w:uiPriority w:val="9"/>
    <w:qFormat/>
    <w:rsid w:val="00E8102D"/>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8102D"/>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8102D"/>
    <w:pPr>
      <w:keepNext/>
      <w:keepLines/>
      <w:numPr>
        <w:ilvl w:val="2"/>
        <w:numId w:val="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8102D"/>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8102D"/>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8102D"/>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8102D"/>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102D"/>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102D"/>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02D"/>
    <w:rPr>
      <w:rFonts w:asciiTheme="majorHAnsi" w:eastAsiaTheme="majorEastAsia" w:hAnsiTheme="majorHAnsi" w:cstheme="majorBidi"/>
      <w:color w:val="2F5496" w:themeColor="accent1" w:themeShade="BF"/>
      <w:sz w:val="32"/>
      <w:szCs w:val="32"/>
      <w:lang w:val=""/>
    </w:rPr>
  </w:style>
  <w:style w:type="character" w:customStyle="1" w:styleId="Heading2Char">
    <w:name w:val="Heading 2 Char"/>
    <w:basedOn w:val="DefaultParagraphFont"/>
    <w:link w:val="Heading2"/>
    <w:uiPriority w:val="9"/>
    <w:semiHidden/>
    <w:rsid w:val="00E8102D"/>
    <w:rPr>
      <w:rFonts w:asciiTheme="majorHAnsi" w:eastAsiaTheme="majorEastAsia" w:hAnsiTheme="majorHAnsi" w:cstheme="majorBidi"/>
      <w:color w:val="2F5496" w:themeColor="accent1" w:themeShade="BF"/>
      <w:sz w:val="26"/>
      <w:szCs w:val="26"/>
      <w:lang w:val=""/>
    </w:rPr>
  </w:style>
  <w:style w:type="character" w:customStyle="1" w:styleId="Heading3Char">
    <w:name w:val="Heading 3 Char"/>
    <w:basedOn w:val="DefaultParagraphFont"/>
    <w:link w:val="Heading3"/>
    <w:uiPriority w:val="9"/>
    <w:semiHidden/>
    <w:rsid w:val="00E8102D"/>
    <w:rPr>
      <w:rFonts w:asciiTheme="majorHAnsi" w:eastAsiaTheme="majorEastAsia" w:hAnsiTheme="majorHAnsi" w:cstheme="majorBidi"/>
      <w:color w:val="1F3763" w:themeColor="accent1" w:themeShade="7F"/>
      <w:sz w:val="24"/>
      <w:szCs w:val="24"/>
      <w:lang w:val=""/>
    </w:rPr>
  </w:style>
  <w:style w:type="character" w:customStyle="1" w:styleId="Heading4Char">
    <w:name w:val="Heading 4 Char"/>
    <w:basedOn w:val="DefaultParagraphFont"/>
    <w:link w:val="Heading4"/>
    <w:uiPriority w:val="9"/>
    <w:semiHidden/>
    <w:rsid w:val="00E8102D"/>
    <w:rPr>
      <w:rFonts w:asciiTheme="majorHAnsi" w:eastAsiaTheme="majorEastAsia" w:hAnsiTheme="majorHAnsi" w:cstheme="majorBidi"/>
      <w:i/>
      <w:iCs/>
      <w:color w:val="2F5496" w:themeColor="accent1" w:themeShade="BF"/>
      <w:lang w:val=""/>
    </w:rPr>
  </w:style>
  <w:style w:type="character" w:customStyle="1" w:styleId="Heading5Char">
    <w:name w:val="Heading 5 Char"/>
    <w:basedOn w:val="DefaultParagraphFont"/>
    <w:link w:val="Heading5"/>
    <w:uiPriority w:val="9"/>
    <w:semiHidden/>
    <w:rsid w:val="00E8102D"/>
    <w:rPr>
      <w:rFonts w:asciiTheme="majorHAnsi" w:eastAsiaTheme="majorEastAsia" w:hAnsiTheme="majorHAnsi" w:cstheme="majorBidi"/>
      <w:color w:val="2F5496" w:themeColor="accent1" w:themeShade="BF"/>
      <w:lang w:val=""/>
    </w:rPr>
  </w:style>
  <w:style w:type="character" w:customStyle="1" w:styleId="Heading6Char">
    <w:name w:val="Heading 6 Char"/>
    <w:basedOn w:val="DefaultParagraphFont"/>
    <w:link w:val="Heading6"/>
    <w:uiPriority w:val="9"/>
    <w:semiHidden/>
    <w:rsid w:val="00E8102D"/>
    <w:rPr>
      <w:rFonts w:asciiTheme="majorHAnsi" w:eastAsiaTheme="majorEastAsia" w:hAnsiTheme="majorHAnsi" w:cstheme="majorBidi"/>
      <w:color w:val="1F3763" w:themeColor="accent1" w:themeShade="7F"/>
      <w:lang w:val=""/>
    </w:rPr>
  </w:style>
  <w:style w:type="character" w:customStyle="1" w:styleId="Heading7Char">
    <w:name w:val="Heading 7 Char"/>
    <w:basedOn w:val="DefaultParagraphFont"/>
    <w:link w:val="Heading7"/>
    <w:uiPriority w:val="9"/>
    <w:semiHidden/>
    <w:rsid w:val="00E8102D"/>
    <w:rPr>
      <w:rFonts w:asciiTheme="majorHAnsi" w:eastAsiaTheme="majorEastAsia" w:hAnsiTheme="majorHAnsi" w:cstheme="majorBidi"/>
      <w:i/>
      <w:iCs/>
      <w:color w:val="1F3763" w:themeColor="accent1" w:themeShade="7F"/>
      <w:lang w:val=""/>
    </w:rPr>
  </w:style>
  <w:style w:type="character" w:customStyle="1" w:styleId="Heading8Char">
    <w:name w:val="Heading 8 Char"/>
    <w:basedOn w:val="DefaultParagraphFont"/>
    <w:link w:val="Heading8"/>
    <w:uiPriority w:val="9"/>
    <w:semiHidden/>
    <w:rsid w:val="00E8102D"/>
    <w:rPr>
      <w:rFonts w:asciiTheme="majorHAnsi" w:eastAsiaTheme="majorEastAsia" w:hAnsiTheme="majorHAnsi" w:cstheme="majorBidi"/>
      <w:color w:val="272727" w:themeColor="text1" w:themeTint="D8"/>
      <w:sz w:val="21"/>
      <w:szCs w:val="21"/>
      <w:lang w:val=""/>
    </w:rPr>
  </w:style>
  <w:style w:type="character" w:customStyle="1" w:styleId="Heading9Char">
    <w:name w:val="Heading 9 Char"/>
    <w:basedOn w:val="DefaultParagraphFont"/>
    <w:link w:val="Heading9"/>
    <w:uiPriority w:val="9"/>
    <w:semiHidden/>
    <w:rsid w:val="00E8102D"/>
    <w:rPr>
      <w:rFonts w:asciiTheme="majorHAnsi" w:eastAsiaTheme="majorEastAsia" w:hAnsiTheme="majorHAnsi" w:cstheme="majorBidi"/>
      <w:i/>
      <w:iCs/>
      <w:color w:val="272727" w:themeColor="text1" w:themeTint="D8"/>
      <w:sz w:val="21"/>
      <w:szCs w:val="21"/>
      <w:lang w:val=""/>
    </w:rPr>
  </w:style>
  <w:style w:type="character" w:styleId="Hyperlink">
    <w:name w:val="Hyperlink"/>
    <w:basedOn w:val="DefaultParagraphFont"/>
    <w:uiPriority w:val="99"/>
    <w:semiHidden/>
    <w:unhideWhenUsed/>
    <w:rsid w:val="00E8102D"/>
    <w:rPr>
      <w:color w:val="0563C1" w:themeColor="hyperlink"/>
      <w:u w:val="single"/>
    </w:rPr>
  </w:style>
  <w:style w:type="paragraph" w:styleId="TOC1">
    <w:name w:val="toc 1"/>
    <w:basedOn w:val="Normal"/>
    <w:next w:val="Normal"/>
    <w:autoRedefine/>
    <w:uiPriority w:val="39"/>
    <w:semiHidden/>
    <w:unhideWhenUsed/>
    <w:rsid w:val="00E8102D"/>
    <w:pPr>
      <w:spacing w:after="100"/>
    </w:pPr>
  </w:style>
  <w:style w:type="paragraph" w:styleId="TOCHeading">
    <w:name w:val="TOC Heading"/>
    <w:basedOn w:val="Heading1"/>
    <w:next w:val="Normal"/>
    <w:uiPriority w:val="39"/>
    <w:unhideWhenUsed/>
    <w:qFormat/>
    <w:rsid w:val="00E8102D"/>
    <w:pPr>
      <w:numPr>
        <w:numId w:val="0"/>
      </w:numPr>
      <w:spacing w:line="256" w:lineRule="auto"/>
      <w:outlineLvl w:val="9"/>
    </w:pPr>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5764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2906</Words>
  <Characters>16567</Characters>
  <Application>Microsoft Office Word</Application>
  <DocSecurity>0</DocSecurity>
  <Lines>138</Lines>
  <Paragraphs>38</Paragraphs>
  <ScaleCrop>false</ScaleCrop>
  <Company/>
  <LinksUpToDate>false</LinksUpToDate>
  <CharactersWithSpaces>19435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Andrei Ghinea</dc:creator>
  <cp:keywords/>
  <dc:description/>
  <cp:lastModifiedBy>Florin Andrei Ghinea</cp:lastModifiedBy>
  <cp:revision>1</cp:revision>
  <dcterms:created xsi:type="dcterms:W3CDTF">2023-10-19T09:13:00Z</dcterms:created>
  <dcterms:modified xsi:type="dcterms:W3CDTF">2023-10-19T09:22:00Z</dcterms:modified>
</cp:coreProperties>
</file>