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41A04" w:rsidRDefault="0055719E" w:rsidP="00E3058A">
      <w:pPr>
        <w:jc w:val="center"/>
        <w:rPr>
          <w:sz w:val="28"/>
          <w:szCs w:val="28"/>
        </w:rPr>
      </w:pPr>
      <w:r w:rsidRPr="00E3058A">
        <w:rPr>
          <w:sz w:val="28"/>
          <w:szCs w:val="28"/>
        </w:rPr>
        <w:t>The following factors can all influence the ‘agenda bias’, ‘gatekeeping’ or ‘agenda setting of an organisation;</w:t>
      </w:r>
    </w:p>
    <w:p w:rsidR="00E3058A" w:rsidRPr="00E3058A" w:rsidRDefault="00E3058A" w:rsidP="00E3058A">
      <w:pPr>
        <w:jc w:val="center"/>
        <w:rPr>
          <w:sz w:val="28"/>
          <w:szCs w:val="28"/>
        </w:rPr>
      </w:pPr>
    </w:p>
    <w:tbl>
      <w:tblPr>
        <w:tblStyle w:val="GridTable5Dark-Accent5"/>
        <w:tblW w:w="14454" w:type="dxa"/>
        <w:tblLook w:val="04A0" w:firstRow="1" w:lastRow="0" w:firstColumn="1" w:lastColumn="0" w:noHBand="0" w:noVBand="1"/>
      </w:tblPr>
      <w:tblGrid>
        <w:gridCol w:w="1980"/>
        <w:gridCol w:w="9639"/>
        <w:gridCol w:w="2835"/>
      </w:tblGrid>
      <w:tr w:rsidR="00C41A04" w:rsidTr="00E3058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C41A04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Type of Agenda Bias</w:t>
            </w:r>
          </w:p>
        </w:tc>
        <w:tc>
          <w:tcPr>
            <w:tcW w:w="9639" w:type="dxa"/>
          </w:tcPr>
          <w:p w:rsidR="00C41A04" w:rsidRPr="00C41A04" w:rsidRDefault="00C41A04" w:rsidP="00C41A04">
            <w:pPr>
              <w:spacing w:before="120" w:after="12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Motivation for this Bias</w:t>
            </w:r>
          </w:p>
        </w:tc>
        <w:tc>
          <w:tcPr>
            <w:tcW w:w="2835" w:type="dxa"/>
          </w:tcPr>
          <w:p w:rsidR="00C41A04" w:rsidRPr="00C41A04" w:rsidRDefault="00C41A04" w:rsidP="00C41A04">
            <w:pPr>
              <w:spacing w:before="120" w:after="12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Source</w:t>
            </w:r>
          </w:p>
        </w:tc>
      </w:tr>
      <w:tr w:rsidR="00C41A04" w:rsidTr="00E305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C41A04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Ideological</w:t>
            </w:r>
          </w:p>
        </w:tc>
        <w:tc>
          <w:tcPr>
            <w:tcW w:w="9639" w:type="dxa"/>
          </w:tcPr>
          <w:p w:rsidR="00C41A04" w:rsidRDefault="00C41A04" w:rsidP="00C41A04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selecting stories that fit with that organisation’s own political views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</w:t>
            </w:r>
            <w:proofErr w:type="spellStart"/>
            <w:r w:rsidRPr="00C41A04">
              <w:rPr>
                <w:sz w:val="24"/>
                <w:szCs w:val="24"/>
              </w:rPr>
              <w:t>Eberl</w:t>
            </w:r>
            <w:proofErr w:type="spellEnd"/>
            <w:r w:rsidRPr="00C41A04">
              <w:rPr>
                <w:sz w:val="24"/>
                <w:szCs w:val="24"/>
              </w:rPr>
              <w:t xml:space="preserve"> </w:t>
            </w:r>
            <w:r w:rsidRPr="00C41A04">
              <w:rPr>
                <w:i/>
                <w:iCs/>
                <w:sz w:val="24"/>
                <w:szCs w:val="24"/>
              </w:rPr>
              <w:t>et al</w:t>
            </w:r>
            <w:r w:rsidRPr="00C41A04">
              <w:rPr>
                <w:sz w:val="24"/>
                <w:szCs w:val="24"/>
              </w:rPr>
              <w:t>, 2015)</w:t>
            </w:r>
          </w:p>
        </w:tc>
      </w:tr>
      <w:tr w:rsidR="00C41A04" w:rsidTr="00E305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C41A04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Advertising</w:t>
            </w:r>
          </w:p>
        </w:tc>
        <w:tc>
          <w:tcPr>
            <w:tcW w:w="9639" w:type="dxa"/>
          </w:tcPr>
          <w:p w:rsidR="00C41A04" w:rsidRDefault="00C41A04" w:rsidP="00C41A0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selecting stories that will appeal to certain advertisers (who want to target specific readers)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</w:t>
            </w:r>
            <w:proofErr w:type="spellStart"/>
            <w:r w:rsidRPr="00C41A04">
              <w:rPr>
                <w:sz w:val="24"/>
                <w:szCs w:val="24"/>
              </w:rPr>
              <w:t>Eberl</w:t>
            </w:r>
            <w:proofErr w:type="spellEnd"/>
            <w:r w:rsidRPr="00C41A04">
              <w:rPr>
                <w:sz w:val="24"/>
                <w:szCs w:val="24"/>
              </w:rPr>
              <w:t xml:space="preserve"> </w:t>
            </w:r>
            <w:r w:rsidRPr="00C41A04">
              <w:rPr>
                <w:i/>
                <w:iCs/>
                <w:sz w:val="24"/>
                <w:szCs w:val="24"/>
              </w:rPr>
              <w:t>et al</w:t>
            </w:r>
            <w:r>
              <w:rPr>
                <w:sz w:val="24"/>
                <w:szCs w:val="24"/>
              </w:rPr>
              <w:t>, 2018</w:t>
            </w:r>
            <w:r w:rsidRPr="00C41A04">
              <w:rPr>
                <w:sz w:val="24"/>
                <w:szCs w:val="24"/>
              </w:rPr>
              <w:t>)</w:t>
            </w:r>
          </w:p>
        </w:tc>
      </w:tr>
      <w:tr w:rsidR="00C41A04" w:rsidTr="00E305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C41A04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Amplitude</w:t>
            </w:r>
          </w:p>
        </w:tc>
        <w:tc>
          <w:tcPr>
            <w:tcW w:w="9639" w:type="dxa"/>
          </w:tcPr>
          <w:p w:rsidR="00C41A04" w:rsidRDefault="00C41A04" w:rsidP="00C41A04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selecting stories that are ‘big’ enough to be considered newsworthy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(Hodkinson, 2011)</w:t>
            </w:r>
          </w:p>
        </w:tc>
      </w:tr>
      <w:tr w:rsidR="00C41A04" w:rsidTr="00E305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C41A04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Clarity</w:t>
            </w:r>
          </w:p>
        </w:tc>
        <w:tc>
          <w:tcPr>
            <w:tcW w:w="9639" w:type="dxa"/>
          </w:tcPr>
          <w:p w:rsidR="00C41A04" w:rsidRDefault="00C41A04" w:rsidP="00C41A0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selecting stories where there is a clear attribution of who is wrong and who is right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(Hodkinson, 2011)</w:t>
            </w:r>
          </w:p>
        </w:tc>
      </w:tr>
      <w:tr w:rsidR="00C41A04" w:rsidTr="00E305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C41A04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Cultural Proximity</w:t>
            </w:r>
          </w:p>
        </w:tc>
        <w:tc>
          <w:tcPr>
            <w:tcW w:w="9639" w:type="dxa"/>
          </w:tcPr>
          <w:p w:rsidR="00C41A04" w:rsidRDefault="00C41A04" w:rsidP="00C41A04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selecting stories that involve people from a similar culture etc. to the audience (i.e. news is ethnocentric)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(Hodkinson, 2011)</w:t>
            </w:r>
          </w:p>
        </w:tc>
      </w:tr>
      <w:tr w:rsidR="00C41A04" w:rsidTr="00E305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E3058A" w:rsidP="00E3058A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 w:rsidRPr="00E3058A">
              <w:rPr>
                <w:sz w:val="24"/>
                <w:szCs w:val="24"/>
              </w:rPr>
              <w:t>Predictability</w:t>
            </w:r>
          </w:p>
        </w:tc>
        <w:tc>
          <w:tcPr>
            <w:tcW w:w="9639" w:type="dxa"/>
          </w:tcPr>
          <w:p w:rsidR="00C41A04" w:rsidRDefault="00E3058A" w:rsidP="00C41A0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E3058A">
              <w:rPr>
                <w:sz w:val="24"/>
                <w:szCs w:val="24"/>
              </w:rPr>
              <w:t>selecting stories that fit neatly with the expectations of the audience (i.e. the story conforms to the stereotypes that the audience holds)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(Hodkinson, 2011)</w:t>
            </w:r>
          </w:p>
        </w:tc>
      </w:tr>
      <w:tr w:rsidR="00C41A04" w:rsidTr="00E305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E3058A" w:rsidP="00E3058A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Unexpectedness</w:t>
            </w:r>
          </w:p>
        </w:tc>
        <w:tc>
          <w:tcPr>
            <w:tcW w:w="9639" w:type="dxa"/>
          </w:tcPr>
          <w:p w:rsidR="00C41A04" w:rsidRPr="00E3058A" w:rsidRDefault="00E3058A" w:rsidP="00C41A04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sz w:val="24"/>
                <w:szCs w:val="24"/>
              </w:rPr>
            </w:pPr>
            <w:r w:rsidRPr="00E3058A">
              <w:rPr>
                <w:b/>
                <w:sz w:val="24"/>
                <w:szCs w:val="24"/>
              </w:rPr>
              <w:t>unlike many of the above, this is selection of a story because it is different, original or surprising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(Hodkinson, 2011)</w:t>
            </w:r>
          </w:p>
        </w:tc>
      </w:tr>
      <w:tr w:rsidR="00C41A04" w:rsidTr="00E3058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E3058A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>
              <w:rPr>
                <w:b w:val="0"/>
                <w:sz w:val="24"/>
                <w:szCs w:val="24"/>
              </w:rPr>
              <w:t>E</w:t>
            </w:r>
            <w:r w:rsidRPr="00E3058A">
              <w:rPr>
                <w:sz w:val="24"/>
                <w:szCs w:val="24"/>
              </w:rPr>
              <w:t>litism</w:t>
            </w:r>
          </w:p>
        </w:tc>
        <w:tc>
          <w:tcPr>
            <w:tcW w:w="9639" w:type="dxa"/>
          </w:tcPr>
          <w:p w:rsidR="00C41A04" w:rsidRDefault="00E3058A" w:rsidP="00C41A04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E3058A">
              <w:rPr>
                <w:sz w:val="24"/>
                <w:szCs w:val="24"/>
              </w:rPr>
              <w:t>only selecting stories that are about ‘important’ counties or people, reporting on the ‘people who matter’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(Hodkinson, 2011)</w:t>
            </w:r>
          </w:p>
        </w:tc>
      </w:tr>
      <w:tr w:rsidR="00C41A04" w:rsidTr="00E305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:rsidR="00C41A04" w:rsidRPr="00C41A04" w:rsidRDefault="00E3058A" w:rsidP="00C41A04">
            <w:pPr>
              <w:spacing w:before="120" w:after="120"/>
              <w:jc w:val="center"/>
              <w:rPr>
                <w:b w:val="0"/>
                <w:sz w:val="24"/>
                <w:szCs w:val="24"/>
              </w:rPr>
            </w:pPr>
            <w:r w:rsidRPr="00E3058A">
              <w:rPr>
                <w:sz w:val="24"/>
                <w:szCs w:val="24"/>
              </w:rPr>
              <w:t>Personification</w:t>
            </w:r>
          </w:p>
        </w:tc>
        <w:tc>
          <w:tcPr>
            <w:tcW w:w="9639" w:type="dxa"/>
          </w:tcPr>
          <w:p w:rsidR="00C41A04" w:rsidRDefault="00E3058A" w:rsidP="00C41A04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E3058A">
              <w:rPr>
                <w:sz w:val="24"/>
                <w:szCs w:val="24"/>
              </w:rPr>
              <w:t>selecting stories where it can be seen that events are influenced by individual morals, decisions and behaviour rather than ‘faceless’ organisations</w:t>
            </w:r>
          </w:p>
        </w:tc>
        <w:tc>
          <w:tcPr>
            <w:tcW w:w="2835" w:type="dxa"/>
          </w:tcPr>
          <w:p w:rsidR="00C41A04" w:rsidRDefault="00C41A04" w:rsidP="00E3058A">
            <w:pPr>
              <w:spacing w:before="120" w:after="12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1A04">
              <w:rPr>
                <w:sz w:val="24"/>
                <w:szCs w:val="24"/>
              </w:rPr>
              <w:t>(Hodkinson, 2011)</w:t>
            </w:r>
          </w:p>
        </w:tc>
      </w:tr>
    </w:tbl>
    <w:p w:rsidR="00C41A04" w:rsidRDefault="00C41A04">
      <w:pPr>
        <w:rPr>
          <w:sz w:val="24"/>
          <w:szCs w:val="24"/>
        </w:rPr>
      </w:pPr>
    </w:p>
    <w:sectPr w:rsidR="00C41A04" w:rsidSect="00E3058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843" w:left="1440" w:header="708" w:footer="51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719E" w:rsidRDefault="0055719E" w:rsidP="0055719E">
      <w:pPr>
        <w:spacing w:after="0" w:line="240" w:lineRule="auto"/>
      </w:pPr>
      <w:r>
        <w:separator/>
      </w:r>
    </w:p>
  </w:endnote>
  <w:endnote w:type="continuationSeparator" w:id="0">
    <w:p w:rsidR="0055719E" w:rsidRDefault="0055719E" w:rsidP="005571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719E" w:rsidRDefault="005571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719E" w:rsidRDefault="00E3058A" w:rsidP="00E3058A">
    <w:pPr>
      <w:pStyle w:val="Footer"/>
      <w:numPr>
        <w:ilvl w:val="0"/>
        <w:numId w:val="1"/>
      </w:numPr>
      <w:rPr>
        <w:sz w:val="16"/>
        <w:szCs w:val="16"/>
      </w:rPr>
    </w:pPr>
    <w:proofErr w:type="spellStart"/>
    <w:r w:rsidRPr="00E3058A">
      <w:rPr>
        <w:sz w:val="16"/>
        <w:szCs w:val="16"/>
      </w:rPr>
      <w:t>Eberl</w:t>
    </w:r>
    <w:proofErr w:type="spellEnd"/>
    <w:r w:rsidRPr="00E3058A">
      <w:rPr>
        <w:sz w:val="16"/>
        <w:szCs w:val="16"/>
      </w:rPr>
      <w:t xml:space="preserve">, J. M.; </w:t>
    </w:r>
    <w:proofErr w:type="spellStart"/>
    <w:r w:rsidRPr="00E3058A">
      <w:rPr>
        <w:sz w:val="16"/>
        <w:szCs w:val="16"/>
      </w:rPr>
      <w:t>Boomgaarden</w:t>
    </w:r>
    <w:proofErr w:type="spellEnd"/>
    <w:r w:rsidRPr="00E3058A">
      <w:rPr>
        <w:sz w:val="16"/>
        <w:szCs w:val="16"/>
      </w:rPr>
      <w:t xml:space="preserve">, H. G.; Wagner, M. (2015). "One Bias Fits All? Three Types of Media Bias and Their Effects on Party Preferences". Communication Research. Vol. 4 (8) pp.1125–1148. </w:t>
    </w:r>
    <w:hyperlink r:id="rId1" w:history="1">
      <w:r w:rsidRPr="00BA5902">
        <w:rPr>
          <w:rStyle w:val="Hyperlink"/>
          <w:sz w:val="16"/>
          <w:szCs w:val="16"/>
        </w:rPr>
        <w:t>https://doi:10.1177/0093650215614364</w:t>
      </w:r>
    </w:hyperlink>
  </w:p>
  <w:p w:rsidR="00E3058A" w:rsidRDefault="00E3058A" w:rsidP="00E3058A">
    <w:pPr>
      <w:pStyle w:val="Footer"/>
      <w:numPr>
        <w:ilvl w:val="0"/>
        <w:numId w:val="1"/>
      </w:numPr>
      <w:rPr>
        <w:sz w:val="16"/>
        <w:szCs w:val="16"/>
      </w:rPr>
    </w:pPr>
    <w:proofErr w:type="spellStart"/>
    <w:r w:rsidRPr="00E3058A">
      <w:rPr>
        <w:sz w:val="16"/>
        <w:szCs w:val="16"/>
      </w:rPr>
      <w:t>Eberl</w:t>
    </w:r>
    <w:proofErr w:type="spellEnd"/>
    <w:r w:rsidRPr="00E3058A">
      <w:rPr>
        <w:sz w:val="16"/>
        <w:szCs w:val="16"/>
      </w:rPr>
      <w:t>, J. M., Wagner, M &amp;</w:t>
    </w:r>
    <w:proofErr w:type="spellStart"/>
    <w:r w:rsidRPr="00E3058A">
      <w:rPr>
        <w:sz w:val="16"/>
        <w:szCs w:val="16"/>
      </w:rPr>
      <w:t>Boomgaarden</w:t>
    </w:r>
    <w:proofErr w:type="spellEnd"/>
    <w:r w:rsidRPr="00E3058A">
      <w:rPr>
        <w:sz w:val="16"/>
        <w:szCs w:val="16"/>
      </w:rPr>
      <w:t xml:space="preserve">, H. G. (2018). "Party Advertising in Newspapers". Journalism Studies. Vol. 19 (6) pp.782–802. </w:t>
    </w:r>
    <w:hyperlink r:id="rId2" w:history="1">
      <w:r w:rsidRPr="00BA5902">
        <w:rPr>
          <w:rStyle w:val="Hyperlink"/>
          <w:sz w:val="16"/>
          <w:szCs w:val="16"/>
        </w:rPr>
        <w:t>https://doi:10.1080/1461670X.2016.134356</w:t>
      </w:r>
    </w:hyperlink>
    <w:r>
      <w:rPr>
        <w:sz w:val="16"/>
        <w:szCs w:val="16"/>
      </w:rPr>
      <w:t xml:space="preserve"> </w:t>
    </w:r>
  </w:p>
  <w:p w:rsidR="00E3058A" w:rsidRPr="00E3058A" w:rsidRDefault="00E3058A" w:rsidP="00E3058A">
    <w:pPr>
      <w:pStyle w:val="Footer"/>
      <w:numPr>
        <w:ilvl w:val="0"/>
        <w:numId w:val="1"/>
      </w:numPr>
      <w:rPr>
        <w:sz w:val="16"/>
        <w:szCs w:val="16"/>
      </w:rPr>
    </w:pPr>
    <w:r w:rsidRPr="00E3058A">
      <w:rPr>
        <w:sz w:val="16"/>
        <w:szCs w:val="16"/>
      </w:rPr>
      <w:t xml:space="preserve">Hodkinson, P. (2011) </w:t>
    </w:r>
    <w:r w:rsidRPr="00E3058A">
      <w:rPr>
        <w:i/>
        <w:iCs/>
        <w:sz w:val="16"/>
        <w:szCs w:val="16"/>
      </w:rPr>
      <w:t xml:space="preserve">Media, Culture and Society: An Introduction </w:t>
    </w:r>
    <w:r w:rsidRPr="00E3058A">
      <w:rPr>
        <w:sz w:val="16"/>
        <w:szCs w:val="16"/>
      </w:rPr>
      <w:t xml:space="preserve">London : Sage </w:t>
    </w:r>
  </w:p>
  <w:p w:rsidR="00E3058A" w:rsidRPr="00E3058A" w:rsidRDefault="00E3058A">
    <w:pPr>
      <w:pStyle w:val="Footer"/>
      <w:rPr>
        <w:sz w:val="16"/>
        <w:szCs w:val="16"/>
      </w:rPr>
    </w:pPr>
    <w:bookmarkStart w:id="0" w:name="_GoBack"/>
    <w:bookmarkEnd w:id="0"/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719E" w:rsidRDefault="005571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719E" w:rsidRDefault="0055719E" w:rsidP="0055719E">
      <w:pPr>
        <w:spacing w:after="0" w:line="240" w:lineRule="auto"/>
      </w:pPr>
      <w:r>
        <w:separator/>
      </w:r>
    </w:p>
  </w:footnote>
  <w:footnote w:type="continuationSeparator" w:id="0">
    <w:p w:rsidR="0055719E" w:rsidRDefault="0055719E" w:rsidP="005571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719E" w:rsidRDefault="0055719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719E" w:rsidRPr="0055719E" w:rsidRDefault="0055719E" w:rsidP="0055719E">
    <w:pPr>
      <w:pStyle w:val="Header"/>
      <w:jc w:val="center"/>
      <w:rPr>
        <w:b/>
        <w:sz w:val="32"/>
        <w:szCs w:val="32"/>
      </w:rPr>
    </w:pPr>
    <w:r>
      <w:rPr>
        <w:b/>
        <w:sz w:val="32"/>
        <w:szCs w:val="32"/>
      </w:rPr>
      <w:t>Hot Topics</w:t>
    </w:r>
    <w:r w:rsidRPr="0055719E">
      <w:rPr>
        <w:b/>
        <w:sz w:val="32"/>
        <w:szCs w:val="32"/>
      </w:rPr>
      <w:t xml:space="preserve"> – Agenda Bias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5719E" w:rsidRDefault="0055719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46C5FC7"/>
    <w:multiLevelType w:val="hybridMultilevel"/>
    <w:tmpl w:val="59BAC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719E"/>
    <w:rsid w:val="002A2D81"/>
    <w:rsid w:val="0055719E"/>
    <w:rsid w:val="00C41A04"/>
    <w:rsid w:val="00E305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B7DC3"/>
  <w15:chartTrackingRefBased/>
  <w15:docId w15:val="{32D290DB-6054-493B-8096-73A465DFF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7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19E"/>
  </w:style>
  <w:style w:type="paragraph" w:styleId="Footer">
    <w:name w:val="footer"/>
    <w:basedOn w:val="Normal"/>
    <w:link w:val="FooterChar"/>
    <w:uiPriority w:val="99"/>
    <w:unhideWhenUsed/>
    <w:rsid w:val="00557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719E"/>
  </w:style>
  <w:style w:type="table" w:styleId="TableGrid">
    <w:name w:val="Table Grid"/>
    <w:basedOn w:val="TableNormal"/>
    <w:uiPriority w:val="39"/>
    <w:rsid w:val="00C41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5">
    <w:name w:val="Grid Table 5 Dark Accent 5"/>
    <w:basedOn w:val="TableNormal"/>
    <w:uiPriority w:val="50"/>
    <w:rsid w:val="00E3058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character" w:styleId="Hyperlink">
    <w:name w:val="Hyperlink"/>
    <w:basedOn w:val="DefaultParagraphFont"/>
    <w:uiPriority w:val="99"/>
    <w:unhideWhenUsed/>
    <w:rsid w:val="00E3058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381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0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1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4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3126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79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5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5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doi:10.1080/1461670X.2016.134356" TargetMode="External"/><Relationship Id="rId1" Type="http://schemas.openxmlformats.org/officeDocument/2006/relationships/hyperlink" Target="https://doi:10.1177/00936502156143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2020-02-12T11:14:00Z</dcterms:created>
  <dcterms:modified xsi:type="dcterms:W3CDTF">2020-02-12T12:27:00Z</dcterms:modified>
</cp:coreProperties>
</file>