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91057" w:rsidP="4D1D4207" w:rsidRDefault="00D91057" w14:paraId="5E5787A5" w14:textId="43D6A5C4">
      <w:pPr>
        <w:rPr>
          <w:b w:val="1"/>
          <w:bCs w:val="1"/>
        </w:rPr>
      </w:pPr>
      <w:r w:rsidRPr="4D1D4207" w:rsidR="524D0731">
        <w:rPr>
          <w:b w:val="1"/>
          <w:bCs w:val="1"/>
        </w:rPr>
        <w:t xml:space="preserve">Research Title </w:t>
      </w:r>
    </w:p>
    <w:p w:rsidR="524D0731" w:rsidRDefault="524D0731" w14:paraId="75FA0BA4" w14:textId="386DEC5C">
      <w:r w:rsidR="524D0731">
        <w:rPr/>
        <w:t xml:space="preserve">Exploring the experiences of integrative counsellors talking about antidepressants with clients in a therapeutic setting: a thematic analysis </w:t>
      </w:r>
    </w:p>
    <w:p w:rsidR="524D0731" w:rsidP="4D1D4207" w:rsidRDefault="524D0731" w14:paraId="28BCDA3F" w14:textId="6A0EF041">
      <w:pPr>
        <w:pStyle w:val="Normal"/>
        <w:rPr>
          <w:b w:val="1"/>
          <w:bCs w:val="1"/>
        </w:rPr>
      </w:pPr>
      <w:r w:rsidRPr="4D1D4207" w:rsidR="524D0731">
        <w:rPr>
          <w:b w:val="1"/>
          <w:bCs w:val="1"/>
        </w:rPr>
        <w:t>Research Aims</w:t>
      </w:r>
    </w:p>
    <w:p w:rsidR="524D0731" w:rsidP="4D1D4207" w:rsidRDefault="524D0731" w14:paraId="37284EAA" w14:textId="378F1830">
      <w:pPr>
        <w:pStyle w:val="ListParagraph"/>
        <w:numPr>
          <w:ilvl w:val="0"/>
          <w:numId w:val="1"/>
        </w:numPr>
        <w:rPr>
          <w:sz w:val="24"/>
          <w:szCs w:val="24"/>
        </w:rPr>
      </w:pPr>
      <w:r w:rsidR="524D0731">
        <w:rPr/>
        <w:t xml:space="preserve">To explore occurrences of clients discussing antidepressants within counselling. </w:t>
      </w:r>
    </w:p>
    <w:p w:rsidR="524D0731" w:rsidP="4D1D4207" w:rsidRDefault="524D0731" w14:paraId="7C080ED4" w14:textId="33E4D48F">
      <w:pPr>
        <w:pStyle w:val="ListParagraph"/>
        <w:numPr>
          <w:ilvl w:val="0"/>
          <w:numId w:val="1"/>
        </w:numPr>
        <w:rPr>
          <w:sz w:val="24"/>
          <w:szCs w:val="24"/>
        </w:rPr>
      </w:pPr>
      <w:r w:rsidR="524D0731">
        <w:rPr/>
        <w:t xml:space="preserve">To understand counsellor’s opinions of antidepressants, and how personal experience, training, and integrative model influences this. </w:t>
      </w:r>
    </w:p>
    <w:p w:rsidR="524D0731" w:rsidP="4D1D4207" w:rsidRDefault="524D0731" w14:paraId="550ED438" w14:textId="43F285EF">
      <w:pPr>
        <w:pStyle w:val="ListParagraph"/>
        <w:numPr>
          <w:ilvl w:val="0"/>
          <w:numId w:val="1"/>
        </w:numPr>
        <w:rPr>
          <w:sz w:val="24"/>
          <w:szCs w:val="24"/>
        </w:rPr>
      </w:pPr>
      <w:r w:rsidR="524D0731">
        <w:rPr/>
        <w:t xml:space="preserve">To explore counsellor clinical decision making processes in relation to discussions of antidepressants within counselling. </w:t>
      </w:r>
    </w:p>
    <w:p w:rsidR="524D0731" w:rsidP="4D1D4207" w:rsidRDefault="524D0731" w14:paraId="202F451F" w14:textId="4300400A">
      <w:pPr>
        <w:pStyle w:val="ListParagraph"/>
        <w:numPr>
          <w:ilvl w:val="0"/>
          <w:numId w:val="1"/>
        </w:numPr>
        <w:rPr/>
      </w:pPr>
      <w:r w:rsidR="524D0731">
        <w:rPr/>
        <w:t>To understand how competent counsellors feel when discussing antidepressants, and how training prepared them for the topic.</w:t>
      </w:r>
    </w:p>
    <w:p w:rsidR="524D0731" w:rsidP="4D1D4207" w:rsidRDefault="524D0731" w14:paraId="3CB369FA" w14:textId="7C045DB1">
      <w:pPr>
        <w:pStyle w:val="Normal"/>
        <w:ind w:left="0"/>
        <w:rPr>
          <w:b w:val="1"/>
          <w:bCs w:val="1"/>
          <w:sz w:val="24"/>
          <w:szCs w:val="24"/>
        </w:rPr>
      </w:pPr>
      <w:r w:rsidRPr="4D1D4207" w:rsidR="524D0731">
        <w:rPr>
          <w:b w:val="1"/>
          <w:bCs w:val="1"/>
          <w:sz w:val="24"/>
          <w:szCs w:val="24"/>
        </w:rPr>
        <w:t>Lit Review</w:t>
      </w:r>
    </w:p>
    <w:p w:rsidR="524D0731" w:rsidP="4D1D4207" w:rsidRDefault="524D0731" w14:paraId="667F46C8" w14:textId="39877CB6">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Antidepressant medications have a history going back over 50 years, with a complex and changing relationship with usage and culture (Jauhar, Cowen, and Browning, 2023). This runs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somewhat parallel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to the continued development of talking therapies, although the two developed under different paradigms; biomedical and psychological (Simms, 2018).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Naturally</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this divergence results in a complex relationship between the two, so an overview of literature reviewing cultural, professional, and personal explorations of antidepressants is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required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to foreground this piece of research. Much of what has been written about antidepressants comes from the fields of psychiatry and psychology, occasionally overlapping with the field of psychotherapy. While purely psychotherapeutic literature tends not to cover antidepressants, it offers some insight into current practices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regarding</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sensitive material and practitioner bias. </w:t>
      </w:r>
    </w:p>
    <w:p w:rsidR="524D0731" w:rsidP="4D1D4207" w:rsidRDefault="524D0731" w14:paraId="7C794504" w14:textId="438A9703">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This chapter considers key literature from these fields in the discussion of antidepressants relevant to psychotherapy. To begin with, a review of the discussion on the efficacy of antidepressants and cultural opinion is detailed to provide the cultural context around antidepressants in which psychotherapy takes place. From there, three further themes are explored: how antidepressants are currently intertwined with the field of psychotherapy, how antidepressants are understood in the psychotherapeutic space, and lastly, the implication of practitioner bias on therapeutic interventions</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w:t>
      </w:r>
    </w:p>
    <w:p w:rsidR="524D0731" w:rsidP="4D1D4207" w:rsidRDefault="524D0731" w14:paraId="4768E7A2" w14:textId="20B459F0">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These categories have been chosen as they speak to pertinent areas which inform psychotherapeutic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practice, and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provide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an appropriate background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through which to explore the experiences of integrative therapists in relation to antidepressant conversations which this research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seeks</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to address.</w:t>
      </w:r>
    </w:p>
    <w:p w:rsidR="524D0731" w:rsidP="4D1D4207" w:rsidRDefault="524D0731" w14:paraId="113BF883" w14:textId="32A7A653">
      <w:pPr>
        <w:pStyle w:val="Normal"/>
        <w:keepNext w:val="0"/>
        <w:keepLines w:val="0"/>
        <w:spacing w:line="360" w:lineRule="auto"/>
        <w:ind w:left="0"/>
        <w:rPr>
          <w:rFonts w:ascii="Aptos" w:hAnsi="Aptos" w:eastAsia="ＭＳ 明朝" w:cs="Arial"/>
          <w:b w:val="1"/>
          <w:bCs w:val="1"/>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1"/>
          <w:bCs w:val="1"/>
          <w:i w:val="0"/>
          <w:iCs w:val="0"/>
          <w:caps w:val="0"/>
          <w:smallCaps w:val="0"/>
          <w:noProof w:val="0"/>
          <w:color w:val="000000" w:themeColor="text1" w:themeTint="FF" w:themeShade="FF"/>
          <w:sz w:val="24"/>
          <w:szCs w:val="24"/>
          <w:lang w:val="en-GB"/>
        </w:rPr>
        <w:t>2.1 Antidepressant Usage and Culture</w:t>
      </w:r>
    </w:p>
    <w:p w:rsidR="524D0731" w:rsidP="4D1D4207" w:rsidRDefault="524D0731" w14:paraId="4EA0D5D9" w14:textId="1EA9DDD4">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The statistics</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vertAlign w:val="superscript"/>
          <w:lang w:val="en-GB"/>
        </w:rPr>
        <w:t xml:space="preserve">5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on the prescribing rates of antidepressants are reflective of dominant narratives within healthcare that medication is the answer to depression, found throughout qualitative studies such as Maund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2019, Blair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and Crowe, Inder, and McCall, 2023. Crowe, Inder, and McCall’s 2023 meta-synthesis reveals how individuals felt railroaded into taking antidepressants, presented as a prerequisite for accessing therapy and “the only option available” (Crowe, Inder, and McCall, 2023, pp. 24). This narrative is found despite NICE treatment guidelines for depression which do not suggest antidepressant medication as the first line of treatment (NICE, 2022), and research showing that General Practitioners (GPs) prefer not to prescribe antidepressants (Read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2020b). </w:t>
      </w:r>
    </w:p>
    <w:p w:rsidR="524D0731" w:rsidP="4D1D4207" w:rsidRDefault="524D0731" w14:paraId="0B55A8D0" w14:textId="67E5DE6B">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Although this present study is not concerned with the efficacy of antidepressants, it would be remiss to conduct this study without acknowledging the current debate around the efficacy of Selective Serotonin Reuptake Inhibitors (SSRIs), the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most commonly prescribed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form of antidepressants (Lalji, McGrogan, and Bailey, 2021). The hypothesis that clinical depression is caused by deficiency in serotonin is over 50 years’ old (Jauhar, Cowen, and Browning, 2023), and Moncrieff’s 2022 umbrella review found no statistically significant link between serotonin and depression; i.e., the mechanism through which SSRIs are designed to work is unreliable at best (Moncrieff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2022). However, rebuttals to this popular study have highlighted the narrow lens through which it assesses antidepressants (Wise, 2022; Möller and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Falkai</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2023), with literature noting how depression is a complex condition that does not come from a simple chemical imbalance (Wise, 2022; Möller and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Falkai</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2023). A more recent narrative review suggests the link between serotonin and depression is more nuanced than originally thought and should not yet be dismissed (Jauhar, Cowen, and Browning, 2023).</w:t>
      </w:r>
    </w:p>
    <w:p w:rsidR="524D0731" w:rsidP="4D1D4207" w:rsidRDefault="524D0731" w14:paraId="2946DA4E" w14:textId="6BAFFA11">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This argument on the efficacy of antidepressants is reflected in research on user experiences, with studies returning a mix of positive and negative experiences (Bosman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2016; Gibson, Cartwright, and Read, 2016; Maund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2019; Brydges, Rennick-Egglestone, and Anderson, 2020; Read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2020a; Crowe, Inder, and McCall, 2023). Crowe, Inder, and McCall’s meta-synthesis found that some individuals find antidepressants helpful, while an earlier meta-synthesis found individuals felt they “mask[ed] the real problem” (Cuijpers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2015, pp. 30). This finding is reflected in Read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 xml:space="preserve">et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’s</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2020a qualitative survey of antidepressant users, which was not included in Crowe, Inder, and McCall’s 2023 meta-synthesis. This suggests a certain degree of selection bias in the papers synthesised. </w:t>
      </w:r>
    </w:p>
    <w:p w:rsidR="524D0731" w:rsidP="4D1D4207" w:rsidRDefault="524D0731" w14:paraId="30952D32" w14:textId="31AB3D6B">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Three pieces of research highlight relationships with others as a reason for continuing or ending antidepressant treatment (Bosman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2016; Maund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2019; Read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2020a). Read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.’s 2020a thematic analysis found prescriber relationships to be both a positive and negative theme of antidepressant user experience (Read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2020a). These findings reveal a potential relational aspect to an individual’s experience of antidepressants. However, none of these studies look at the potential influence a therapeutic relationship may have on antidepressant use, which is an area demanding exploration as therapy is part of the stepped treatment of care recommended in NICE guidelines (NICE, 2022), and, as highlighted in the introduction, a significant enough percentage of individuals are prescribed antidepressants that it is reasonable to assume psychotherapists come into contact with antidepressant users regularly.</w:t>
      </w:r>
    </w:p>
    <w:p w:rsidR="524D0731" w:rsidP="4D1D4207" w:rsidRDefault="524D0731" w14:paraId="52D98FF3" w14:textId="2A1B33C6">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Multiple pieces of research reveal how combined treatment utilising antidepressants and therapy have a greater effect on alleviating depressive symptoms versus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monotreatments</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(McKinney and Maxey, 2013; Cuijpers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2015;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Zilcha</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-Mano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2015), with holistic care noted as the “most logical approach” (McKinney and Maxey, 2013, pp. 12) to depression management. One study specifically notes that the therapeutic alliance has some influence on the effectiveness of psychopharmacology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Zilcha</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-Mano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2015).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Zilcha</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-Mano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(2015) suggest this may be as the alliance creates an enhanced treatment environment through which the therapist can address and resolve client concerns around medication dependence, expectations, and effectiveness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Zilcha</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-Mano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2015). However, this is conjecture as to what it is about the therapeutic alliance which enables antidepressants to be more effective, with no exploration of how (or if) therapists explore these avenues with clients.</w:t>
      </w:r>
    </w:p>
    <w:p w:rsidR="524D0731" w:rsidP="4D1D4207" w:rsidRDefault="524D0731" w14:paraId="1FB7345D" w14:textId="13318782">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The above literature tells us that, overarchingly, antidepressants used in tandem with talking therapies offer greater outcomes for depression management than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monotreatments</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alone. However, there is a lack of research on why this is the case, and what it is about the psychotherapeutic space in combination with antidepressants which results in better outcomes.</w:t>
      </w:r>
    </w:p>
    <w:p w:rsidR="524D0731" w:rsidP="4D1D4207" w:rsidRDefault="524D0731" w14:paraId="4DEE103F" w14:textId="45141214">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Although antidepressant prescribing is rife, user experience studies suggest a lukewarm reception to antidepressants (Gibson, Cartwright, and Read, 2016; Eveleigh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2019; Maund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2019; Read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2020a), and a stigma around usage (Crowe, Inder, and McCall, 2023). Read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.’s 2020b qualitative study reinforces this by suggesting a general discomfort around antidepressant usage within a medical setting (Read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2020b). These stigmatising sentiments are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somewhat mirrored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within popular culture, with research focused on public sentiment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regarding</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antidepressants highlighting negative attitudes as dominant (Gupta and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Ariefdjohan</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Pathak, Lim, and Lawrie, 2021; de Anta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2022). Gupta and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Ariefdjohan’s</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Instagram study reveals how 43% of posts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disclose</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personal antidepressant use, with 58% of these detailing negative sentiments (Gupta and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Ariefdjohan</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which is reflective of studies exploring antidepressant user experience. Interestingly, de Anta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.’s study of antidepressant content on the social media platform X</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vertAlign w:val="superscript"/>
          <w:lang w:val="en-GB"/>
        </w:rPr>
        <w:t>6</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highlights stigmatised attitudes in posts from individuals who do not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disclose</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a personal experience with antidepressants (de Anta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2022), suggesting a general culture of negative attitudes towards antidepressants not influenced by personal experience. This is reflected in a study of those receiving medical training, which highlights how those at the beginning of their training who have not yet learnt about antidepressants have stigmatised attitudes towards antidepressants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Nalçakan</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2022). </w:t>
      </w:r>
    </w:p>
    <w:p w:rsidR="524D0731" w:rsidP="4D1D4207" w:rsidRDefault="524D0731" w14:paraId="33EFB692" w14:textId="7FEC94DE">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These studies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provide</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some insight into how antidepressants are perceived culturally, which is with a slant towards negative, stigmatising attitudes. This is important to note as relationships with others may have some influence on the effectiveness of antidepressants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Zilcha</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-Mano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2015; Bosman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2016; Maund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2019; Read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2020a). Psychotherapists are not immune to cultural influence (Finlay, 2022), and there are currently limited resources designed to inform counsellors about antidepressants (Guy, Davies, and Rizq, 2019). Further research is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required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to understand the impact of this on the therapeutic space.</w:t>
      </w:r>
    </w:p>
    <w:p w:rsidR="524D0731" w:rsidP="4D1D4207" w:rsidRDefault="524D0731" w14:paraId="70399A58" w14:textId="65119F13">
      <w:pPr>
        <w:pStyle w:val="Normal"/>
        <w:keepNext w:val="0"/>
        <w:keepLines w:val="0"/>
        <w:spacing w:line="360" w:lineRule="auto"/>
        <w:ind w:left="0"/>
        <w:rPr>
          <w:rFonts w:ascii="Aptos" w:hAnsi="Aptos" w:eastAsia="ＭＳ 明朝" w:cs="Arial"/>
          <w:b w:val="1"/>
          <w:bCs w:val="1"/>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1"/>
          <w:bCs w:val="1"/>
          <w:i w:val="0"/>
          <w:iCs w:val="0"/>
          <w:caps w:val="0"/>
          <w:smallCaps w:val="0"/>
          <w:noProof w:val="0"/>
          <w:color w:val="000000" w:themeColor="text1" w:themeTint="FF" w:themeShade="FF"/>
          <w:sz w:val="24"/>
          <w:szCs w:val="24"/>
          <w:lang w:val="en-GB"/>
        </w:rPr>
        <w:t>2.2 Psychotherapy and Antidepressants: The Current Reality</w:t>
      </w:r>
    </w:p>
    <w:p w:rsidR="524D0731" w:rsidP="4D1D4207" w:rsidRDefault="524D0731" w14:paraId="0CFB9858" w14:textId="4B807C91">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As explored above, multiple pieces of research explore the effectiveness of combination treatment versus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monotreatments</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for depression, with evidence suggesting a combination of psychotherapy and antidepressants is more effective than treatments in isolation (McKinney and Maxey, 2013; Cuijpers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2015;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Zilcha</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-Mano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2015; Zhang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2016; Menon and Bhagat, 2022).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Zilcha</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-Mano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 xml:space="preserve">et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’s</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2015 study is the only one which does not differentiate between or focus on a specific therapeutic mode, only looking at the “therapeutic alliance”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Zilcha</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-Mano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2015, pp. 177). CBT is prominent across other research, with three studies reviewing primarily, or solely, CBT practices in combination with psychopharmacology (Cuijpers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2015; Zhang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2016; Menon and Bhagat, 2022). More than a third of the studies reviewed in Cuijpers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.’s 2015 meta-analysis look at CBT as the psychotherapeutic mode used in combination with psychopharmacology (Cuijpers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2015). The study suggests that there is a slightly greater effect when antidepressants are used in conjunction with CBT versus interpersonal psychotherapy (Cuijpers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2015). It does not offer any analysis for why this may be. Zhang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specifically look at CBT group therapy, finding a statistically significant positive outcome in the group given combination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treatment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Zhang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2016). </w:t>
      </w:r>
    </w:p>
    <w:p w:rsidR="524D0731" w:rsidP="4D1D4207" w:rsidRDefault="524D0731" w14:paraId="72C889BF" w14:textId="29777DB0">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The prominence of CBT in these studies may be as CBT is already well integrated into depression treatment pathways (NICE, 2022). The current treatment guidelines for depression do not recommend antidepressants as first-line treatment, instead suggesting a stepped programme of care centred around self-help and various therapies (NICE, 2022). At the forefront of therapies recommended is CBT (NICE, 2022). This is reflected in CBT training texts, which readily discuss CBT’s place within the NICE guidelines, and how CBT works within a stepped treatment programme alongside antidepressants (Petersen, 2006; David, 2013; Hutton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2014; Rathod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2015). In contrast, relational texts do not readily discuss psychopharmacological interventions, leading to a lack of awareness in the field (Blair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2021).</w:t>
      </w:r>
    </w:p>
    <w:p w:rsidR="524D0731" w:rsidP="4D1D4207" w:rsidRDefault="524D0731" w14:paraId="7F88E166" w14:textId="5AAC3AF9">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The professional role of psychotherapists does not encompass giving medical advice (Dale, 2017), which may go some way in explaining why relational texts do not cover antidepressants. However, as explored above, CBT modalities do not seem to have this issue. While CBT can form a part of integrative counselling practices (Faris and Van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Ooijen</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2012; Finlay, 2016), integrative models are less likely to consider the role of antidepressants in conjunction with their practices, with only cursory mentions within training texts, if at all (Blair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For example, Faris and Van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Ooijen’s</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only mention of antidepressants within their relational integrative book (2012) seems to conflate sadness with all shades of depression, reflecting on antidepressants being touted as a “cure” (Faris and Van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Ooijen</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2012, pp. 141) rather than as part of a depression management strategy, and therefore at odds with the human condition (Faris and Van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Ooijen</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2012). This dismissal of antidepressants is problematic as research shows how engagement with topics during training influences practitioners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Vesentini</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2024). This negative slant within training texts could be detrimental to client experience as mental health medication forms part of an individual’s overall care (Simms, 2018)</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w:t>
      </w:r>
    </w:p>
    <w:p w:rsidR="524D0731" w:rsidP="4D1D4207" w:rsidRDefault="524D0731" w14:paraId="5ECE9805" w14:textId="7C0E8199">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The lack of developed exploration of how integrative therapists should engage with antidepressant client material reveals a gap in our understanding of how integrative counsellors engage with this common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facet</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of client experience (McKinney and Maxey, 2013). Additionally, as counsellor experience is influential in clinical decision-making (Fox, Hagedorn, and Sivo, 2016), interventions addressing antidepressant material may not be informed by training or model. This is backed up by research beyond the psychotherapeutic space which looks at human decision-making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processes, and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concludes that intuitive decision-making is developed from experience (Ambady, 2010). </w:t>
      </w:r>
    </w:p>
    <w:p w:rsidR="524D0731" w:rsidP="4D1D4207" w:rsidRDefault="524D0731" w14:paraId="157A2A20" w14:textId="203F421C">
      <w:pPr>
        <w:pStyle w:val="Normal"/>
        <w:keepNext w:val="0"/>
        <w:keepLines w:val="0"/>
        <w:spacing w:line="360" w:lineRule="auto"/>
        <w:ind w:left="0"/>
        <w:rPr>
          <w:rFonts w:ascii="Aptos" w:hAnsi="Aptos" w:eastAsia="ＭＳ 明朝" w:cs="Arial"/>
          <w:b w:val="1"/>
          <w:bCs w:val="1"/>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1"/>
          <w:bCs w:val="1"/>
          <w:i w:val="0"/>
          <w:iCs w:val="0"/>
          <w:caps w:val="0"/>
          <w:smallCaps w:val="0"/>
          <w:noProof w:val="0"/>
          <w:color w:val="000000" w:themeColor="text1" w:themeTint="FF" w:themeShade="FF"/>
          <w:sz w:val="24"/>
          <w:szCs w:val="24"/>
          <w:lang w:val="en-GB"/>
        </w:rPr>
        <w:t>2.3 Psychotherapeutic Understanding of Antidepressants</w:t>
      </w:r>
    </w:p>
    <w:p w:rsidR="524D0731" w:rsidP="4D1D4207" w:rsidRDefault="524D0731" w14:paraId="0191C2CF" w14:textId="04A234FF">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While experience may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ultimately inform</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how counsellors engage with unfamiliar material, it is important to review how these topics are engaged with prior to a meaningful amount of clinical experience – i.e. what experiences do novice counsellors draw upon to make decisions within sessions. As previously discussed, relational therapeutic training texts do not readily discuss medication or antidepressants, often eschewing it altogether (Faris and Van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Ooijen</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2012; Blair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Research shows how novice counsellors are influenced by training when they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encounter</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taboo topics in practice, with discussion of sensitive topics during training leading to less discomfort in exploring these topics with clients (Owen-Pugh and Baines, 2014;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Vesentini</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2024). While these papers focus on differently sensitive topics, they highlight how training influences how novice counsellors feel and act when engaging with unfamiliar, potentially sensitive topics. This echoes earlier research which reveals how early career psychotherapists are reluctant to engage with topics they are unfamiliar with (Thériault, Gazzola, and Richardson, 2009), suggesting a lack of training in specific areas leads to purposeful avoidance of them. </w:t>
      </w:r>
    </w:p>
    <w:p w:rsidR="524D0731" w:rsidP="4D1D4207" w:rsidRDefault="524D0731" w14:paraId="09BE23D5" w14:textId="19D7C77B">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While none of the above literature focuses on antidepressants, it does cover topics which psychotherapists have felt undertrained in. This phenomenon is reflected in Blair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.’s 2021 survey study, which sheds some light on psychotherapists feelings on working with clients taking psychopharmaceuticals. The study highlights how some therapists feel training inadequately prepares them for the topic (Blair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However, this study does not differentiate between psychopharmaceuticals, meaning this lack of training does not specifically pertain to antidepressants. In the context of the research previously discussed highlighting topic avoidance, we can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reasonably assert</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that psychotherapists who have not received information and guidance on antidepressants may be uncomfortable engaging – or refuse to engage – with the topic. However, further research is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required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to confirm this.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Again</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this highlights a gap in our understanding of how counsellors handle antidepressant material within therapeutic settings.</w:t>
      </w:r>
    </w:p>
    <w:p w:rsidR="524D0731" w:rsidP="4D1D4207" w:rsidRDefault="524D0731" w14:paraId="4B4C4665" w14:textId="5EB787F7">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Prior to Blair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.’s mixed-method study, therapist’s views on psychiatric drugs had not been explored (Blair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The research was conducted to inform the development of guidance for psychological therapists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regarding</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drug dependence, resulting in an edited book by Guy, Davies, and Rizq (2019), with the research paper published two years after the first edition. The research conducted only reviews therapist concerns, as it is looking to inform the guidance. As previously noted, it covers all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psychopharmaceuticals, and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does not differentiate between responses which discuss antidepressants and antipsychotics, for example. The survey method of data collection also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misses out on</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the depth of respondents’ experiences. </w:t>
      </w:r>
    </w:p>
    <w:p w:rsidR="524D0731" w:rsidP="4D1D4207" w:rsidRDefault="524D0731" w14:paraId="617341E2" w14:textId="66291DB1">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In addition to telling us that some therapists feel training does not adequately inform them about psychopharmaceuticals, the study also reveals how some therapists feel medication could affect the encounter negatively, while others find medication and therapy complement each other (Blair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Therapy and antidepressants being complementary treatments is reflected in broader research as discussed previously, which shows how combined treatments can have better outcomes (McKinney and Maxey, 2013; Cuijpers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2015;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Zilcha</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-Mano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2015).</w:t>
      </w:r>
    </w:p>
    <w:p w:rsidR="524D0731" w:rsidP="4D1D4207" w:rsidRDefault="524D0731" w14:paraId="098AA6FE" w14:textId="022B7F8B">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The book which is informed by Blair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.’s study goes some way to address the lack of guidance available to therapists regarding psychopharmaceutical interventions. It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contains</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contributions from experts to inform therapists about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commonly-prescribed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psychopharmaceuticals in the UK (Guy, Davies, and Rizq, 2019). However, the section of this book informing readers about antidepressants is co-authored by Professor Joanna Moncrieff and Dr Tom Stockmann (Moncrieff and Stockmann, 2019), whom the former of has consistently published work casting doubt on the link between serotonin and depression (Moncrieff, Wessely, and Hardy, 1998; Moncrieff, 2008; Moncrieff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2022). This is problematic, as the link is more nuanced than this (Jauhar, Cowen, and Browning, 2023), Moncrieff’s study conclusions are overstated (Möller and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Falkai</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2023) and antidepressant effects of SSRIs go beyond the serotonin link (Wise, 2022). Throughout the book, antidepressants are referenced in the negative (Guy, Davies, and Rizq, 2019). This book is currently the only primer for therapists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regarding</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psychopharmacology, and the section on antidepressants is focused on discrediting and questioning any effectiveness of antidepressants (Moncrieff and Stockmann, 2019). It offers some background on antidepressants although does not engage meaningfully with any material discussing positive experiences of antidepressants, relies on sources over 20 years old when critiquing the effectiveness of combined treatment, and crucially, asserts that antidepressants may prevent individuals from learning to manage their emotions through therapy (Moncrieff and Stockmann, 2019).</w:t>
      </w:r>
    </w:p>
    <w:p w:rsidR="524D0731" w:rsidP="4D1D4207" w:rsidRDefault="524D0731" w14:paraId="5B9859D5" w14:textId="6C9A25B1">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One recent article exists examining how a humanistic psychological lens can keep the individual’s experience at the forefront of depression management, rather than reducing treatment to questioning if antidepressants work (Cosgrove, Troeger, and Karter, 2020). This paper takes a humanistic view of antidepressants, adopting a lens of lived experience rather than disease-oriented outcome measures (Cosgrove, Troeger, and Karter, 2020). It remarks how antidepressants are an individual experience, and psychotherapists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are not in a position to</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decide if antidepressants work but rather appreciate the clients’ experience as the expert on themselves (Cosgrove, Troeger, and Karter, 2020). While this paper is successful in its purpose of reflecting on humanistic practice and ultimately concludes that conversations with antidepressant users are critically important, it does not offer insight into how these conversations may take place in the therapeutic space, nor does it offer reflections on therapist experience (Cosgrove , Troeger, and Karter, 2020). </w:t>
      </w:r>
    </w:p>
    <w:p w:rsidR="524D0731" w:rsidP="4D1D4207" w:rsidRDefault="524D0731" w14:paraId="5EFBA8F4" w14:textId="6673C30D">
      <w:pPr>
        <w:pStyle w:val="Normal"/>
        <w:keepNext w:val="0"/>
        <w:keepLines w:val="0"/>
        <w:spacing w:line="360" w:lineRule="auto"/>
        <w:ind w:left="0"/>
        <w:rPr>
          <w:rFonts w:ascii="Aptos" w:hAnsi="Aptos" w:eastAsia="ＭＳ 明朝" w:cs="Arial"/>
          <w:b w:val="1"/>
          <w:bCs w:val="1"/>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1"/>
          <w:bCs w:val="1"/>
          <w:i w:val="0"/>
          <w:iCs w:val="0"/>
          <w:caps w:val="0"/>
          <w:smallCaps w:val="0"/>
          <w:noProof w:val="0"/>
          <w:color w:val="000000" w:themeColor="text1" w:themeTint="FF" w:themeShade="FF"/>
          <w:sz w:val="24"/>
          <w:szCs w:val="24"/>
          <w:lang w:val="en-GB"/>
        </w:rPr>
        <w:t>2.4. The Impact of Practitioner Bias on Psychotherapeutic Interventions</w:t>
      </w:r>
    </w:p>
    <w:p w:rsidR="524D0731" w:rsidP="4D1D4207" w:rsidRDefault="524D0731" w14:paraId="4ED27680" w14:textId="29270E79">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As reviewed above, there is a cultural stigma around antidepressant usage (Crowe, Inder, and McCall, 2023). When combined with the knowledge that therapists’ are not immune to cultural influence (Finlay, 2022), the lack of balanced information reviewing antidepressants for psychotherapists (Guy, Davies, and Rizq, 2019), and the knowledge that taboo topics are avoided by novice therapists (Thériault, Gazzola, and Richardson, 2009), it is important to understand how this plays out in psychotherapist engagement with antidepressant material. While there is a lack of research on this topic, we can get closer to understanding this by reviewing literature looking at clinical decision-making, and how this is informed by client expectation and psychotherapist experience.</w:t>
      </w:r>
    </w:p>
    <w:p w:rsidR="524D0731" w:rsidP="4D1D4207" w:rsidRDefault="524D0731" w14:paraId="0310491D" w14:textId="5A3BCF53">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Literature shows that clients can come into the therapeutic space with a certain degree of expectation around receiving advice from the psychotherapist (Lambert, 2007; Prass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Prass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review advice-giving through the lens of psychodynamic practice, noting how when the psychotherapist gives unsolicited advice, this can damage the therapeutic relationship (Prass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Conversely, they find that collaborative approaches to advice-giving improve outcomes (Prass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Similar themes can be found in literature looking at the use of psychoeducational interventions in practice (Magill, Martino, and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Wampold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Crowe, Inder, and McCall, 2023). Magill, Martino, and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Wampold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suggest that a collaborative approach to psychoeducation is most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effective, and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offer a synopsis of best practice for information sharing with clients, which includes ensuring psychoeducation is high-quality and well-informed (Magill, Martino, and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Wampold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These best practice principles are designed to be a resource for therapists who are not necessarily aligned with practices such as CBT, alluding to the discomfort other therapeutic modes experience with advice-giving (Magill, Martino, and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Wampold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This acknowledgement that psychoeducation is an under-trained and under-utilised resource in other therapeutic modes is reflected in earlier research showing CBT therapists and those employed by the NHS are more likely to use research to inform their practice than other therapists (Gyani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2014). This focus on CBT reveals a gap in understanding how relational therapists approach advice-giving and psychoeducation with clients. This gap is important to understand as clients often come into the therapeutic space trusting the authority of the profession (Margolin, 2017), with an expectation of advice (Lambert, 2007).</w:t>
      </w:r>
    </w:p>
    <w:p w:rsidR="524D0731" w:rsidP="4D1D4207" w:rsidRDefault="524D0731" w14:paraId="2D79265B" w14:textId="303CA0C0">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While advice-giving is not outside the realms of relational psychotherapeutic practices (Prass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it is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somewhat incongruent</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with the nondirective approach of client-centred therapy (Rogers, 1951), which often forms a part of integrative practice (Holm-</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Hadulla</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Hoffman, and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Sperth</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2011). However, multiple pieces of literature across the last few decades argue how nondirective interventions are littered with practitioner bias (Dryden, 1997; Kahn, 1999; Bransford and Bakken, 2002; Lundh, 2012; Margolin, 2017;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Mcgovern</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2020), and the authority of the psychotherapist in the therapeutic space can never truly be negated (Bransford and Bakken, 2002; Lambert, 2007; Lundh, 2012). Kahn (1999) offers an in-depth critique of nondirective practice, detailing how practitioner interventions are influenced by personal biases and decisions on what the practitioner believes is important, meaning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nondirectivity</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is an illusion (Kahn, 1999). While Kahn’s paper is several decades old, more recent literature reaches similar conclusions, such as Lundh (2012), who examines how practitioner bias is inevitable. Margolin (2017) addresses bias in practitioner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nondirectivity</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by claiming that therapists alleging to be nondirective in their practice can be dangerous, as they are less discerning of the power they hold in the therapeutic space, and less interrogative of how their own opinions may influence client journeys (Margolin, 2017).  </w:t>
      </w:r>
    </w:p>
    <w:p w:rsidR="524D0731" w:rsidP="4D1D4207" w:rsidRDefault="524D0731" w14:paraId="6B1E7732" w14:textId="50467471">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What the above literature tells us is that practitioner knowledge and opinion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forms</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an important part of how practitioners work with client material, echoing research showing how practitioner experience is a major influence on clinical decision-making (Fox, Hagedorn, and Sivo, 2016). Although the majority of the literature reviewed does not look at specific topics, their ideas, when applied in abstract to antidepressant material clients may bring into therapeutic spaces, suggest that psychotherapists will engage with this material based on their own knowledge of and comfort with the topic (Kahn, 1999; Gyani </w:t>
      </w:r>
      <w:r w:rsidRPr="4D1D4207" w:rsidR="524D0731">
        <w:rPr>
          <w:rFonts w:ascii="Aptos" w:hAnsi="Aptos" w:eastAsia="ＭＳ 明朝" w:cs="Arial"/>
          <w:b w:val="0"/>
          <w:bCs w:val="0"/>
          <w:i w:val="1"/>
          <w:iCs w:val="1"/>
          <w:caps w:val="0"/>
          <w:smallCaps w:val="0"/>
          <w:noProof w:val="0"/>
          <w:color w:val="000000" w:themeColor="text1" w:themeTint="FF" w:themeShade="FF"/>
          <w:sz w:val="24"/>
          <w:szCs w:val="24"/>
          <w:lang w:val="en-GB"/>
        </w:rPr>
        <w:t>et al</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2014; Margolin, 2017; Magill, Martino, and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Wampold</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2021). However, this is mere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suggestion</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and further research is needed to understand how psychotherapists choose to engage with the sensitive topic of antidepressants.</w:t>
      </w:r>
    </w:p>
    <w:p w:rsidR="524D0731" w:rsidP="4D1D4207" w:rsidRDefault="524D0731" w14:paraId="6179434C" w14:textId="6F4B3048">
      <w:pPr>
        <w:pStyle w:val="Normal"/>
        <w:keepNext w:val="0"/>
        <w:keepLines w:val="0"/>
        <w:spacing w:line="360" w:lineRule="auto"/>
        <w:ind w:left="0"/>
        <w:rPr>
          <w:rFonts w:ascii="Aptos" w:hAnsi="Aptos" w:eastAsia="ＭＳ 明朝" w:cs="Arial"/>
          <w:b w:val="1"/>
          <w:bCs w:val="1"/>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1"/>
          <w:bCs w:val="1"/>
          <w:i w:val="0"/>
          <w:iCs w:val="0"/>
          <w:caps w:val="0"/>
          <w:smallCaps w:val="0"/>
          <w:noProof w:val="0"/>
          <w:color w:val="000000" w:themeColor="text1" w:themeTint="FF" w:themeShade="FF"/>
          <w:sz w:val="24"/>
          <w:szCs w:val="24"/>
          <w:lang w:val="en-GB"/>
        </w:rPr>
        <w:t>2.5 Conclusion of Literature Review</w:t>
      </w:r>
    </w:p>
    <w:p w:rsidR="524D0731" w:rsidP="4D1D4207" w:rsidRDefault="524D0731" w14:paraId="4D9B8987" w14:textId="283F6063">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The above discussion broadly informs the context through which this present study takes place. Antidepressant experiences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appear to be</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highly individual, and a cultural stigma around antidepressant usage exists which may influence practitioners. While psychotherapist interventions are inevitably biased, combination treatments can improve client outcomes, although this is not necessarily the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perception</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psychotherapists have. Relational psychotherapists have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scant</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dedicated resources through which to understand antidepressants, despite the pervasiveness of antidepressant usage.</w:t>
      </w:r>
    </w:p>
    <w:p w:rsidR="524D0731" w:rsidP="4D1D4207" w:rsidRDefault="524D0731" w14:paraId="5816BD98" w14:textId="2217888D">
      <w:pPr>
        <w:pStyle w:val="Normal"/>
        <w:spacing w:line="360" w:lineRule="auto"/>
        <w:ind w:left="0"/>
        <w:rPr>
          <w:rFonts w:ascii="Aptos" w:hAnsi="Aptos" w:eastAsia="ＭＳ 明朝" w:cs="Arial"/>
          <w:b w:val="0"/>
          <w:bCs w:val="0"/>
          <w:i w:val="0"/>
          <w:iCs w:val="0"/>
          <w:caps w:val="0"/>
          <w:smallCaps w:val="0"/>
          <w:noProof w:val="0"/>
          <w:color w:val="000000" w:themeColor="text1" w:themeTint="FF" w:themeShade="FF"/>
          <w:sz w:val="24"/>
          <w:szCs w:val="24"/>
          <w:lang w:val="en-GB"/>
        </w:rPr>
      </w:pP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The reviewed literature paints a picture of a culture of depression management which heavily utilises antidepressant medications </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in spite of</w:t>
      </w:r>
      <w:r w:rsidRPr="4D1D4207" w:rsidR="524D0731">
        <w:rPr>
          <w:rFonts w:ascii="Aptos" w:hAnsi="Aptos" w:eastAsia="ＭＳ 明朝" w:cs="Arial"/>
          <w:b w:val="0"/>
          <w:bCs w:val="0"/>
          <w:i w:val="0"/>
          <w:iCs w:val="0"/>
          <w:caps w:val="0"/>
          <w:smallCaps w:val="0"/>
          <w:noProof w:val="0"/>
          <w:color w:val="000000" w:themeColor="text1" w:themeTint="FF" w:themeShade="FF"/>
          <w:sz w:val="24"/>
          <w:szCs w:val="24"/>
          <w:lang w:val="en-GB"/>
        </w:rPr>
        <w:t xml:space="preserve"> user and medical professional weariness, and relational therapeutic practices which may reinforce this stigma or avoid the topic altogether. However, there is a lack literature looking at integrative therapist experience, engagement, and perspectives on antidepressants, so this notion is purely based on available, adjacent research and cannot yet be proved. This is the gap in existing research which this study aims to address.</w:t>
      </w:r>
    </w:p>
    <w:sectPr w:rsidR="00D91057">
      <w:headerReference w:type="even" r:id="rId6"/>
      <w:headerReference w:type="default" r:id="rId7"/>
      <w:headerReference w:type="first" r:id="rId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7227C" w:rsidP="0037227C" w:rsidRDefault="0037227C" w14:paraId="74546F0A" w14:textId="77777777">
      <w:pPr>
        <w:spacing w:after="0" w:line="240" w:lineRule="auto"/>
      </w:pPr>
      <w:r>
        <w:separator/>
      </w:r>
    </w:p>
  </w:endnote>
  <w:endnote w:type="continuationSeparator" w:id="0">
    <w:p w:rsidR="0037227C" w:rsidP="0037227C" w:rsidRDefault="0037227C" w14:paraId="2728210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7227C" w:rsidP="0037227C" w:rsidRDefault="0037227C" w14:paraId="11FA9D34" w14:textId="77777777">
      <w:pPr>
        <w:spacing w:after="0" w:line="240" w:lineRule="auto"/>
      </w:pPr>
      <w:r>
        <w:separator/>
      </w:r>
    </w:p>
  </w:footnote>
  <w:footnote w:type="continuationSeparator" w:id="0">
    <w:p w:rsidR="0037227C" w:rsidP="0037227C" w:rsidRDefault="0037227C" w14:paraId="41F9231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37227C" w:rsidRDefault="0037227C" w14:paraId="3F146E78" w14:textId="358B4C6B">
    <w:pPr>
      <w:pStyle w:val="Header"/>
    </w:pPr>
    <w:r>
      <w:rPr>
        <w:noProof/>
      </w:rPr>
      <mc:AlternateContent>
        <mc:Choice Requires="wps">
          <w:drawing>
            <wp:anchor distT="0" distB="0" distL="0" distR="0" simplePos="0" relativeHeight="251659264" behindDoc="0" locked="0" layoutInCell="1" allowOverlap="1" wp14:anchorId="3BFF6BFB" wp14:editId="2BCE54A1">
              <wp:simplePos x="635" y="635"/>
              <wp:positionH relativeFrom="page">
                <wp:align>right</wp:align>
              </wp:positionH>
              <wp:positionV relativeFrom="page">
                <wp:align>top</wp:align>
              </wp:positionV>
              <wp:extent cx="1492250" cy="371475"/>
              <wp:effectExtent l="0" t="0" r="0" b="9525"/>
              <wp:wrapNone/>
              <wp:docPr id="876246462" name="Text Box 2"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92250" cy="371475"/>
                      </a:xfrm>
                      <a:prstGeom prst="rect">
                        <a:avLst/>
                      </a:prstGeom>
                      <a:noFill/>
                      <a:ln>
                        <a:noFill/>
                      </a:ln>
                    </wps:spPr>
                    <wps:txbx>
                      <w:txbxContent>
                        <w:p w:rsidRPr="0037227C" w:rsidR="0037227C" w:rsidP="0037227C" w:rsidRDefault="0037227C" w14:paraId="5CA49276" w14:textId="3093A930">
                          <w:pPr>
                            <w:spacing w:after="0"/>
                            <w:rPr>
                              <w:rFonts w:ascii="Aptos" w:hAnsi="Aptos" w:eastAsia="Aptos" w:cs="Aptos"/>
                              <w:noProof/>
                              <w:color w:val="000000"/>
                              <w:sz w:val="20"/>
                              <w:szCs w:val="20"/>
                            </w:rPr>
                          </w:pPr>
                          <w:r w:rsidRPr="0037227C">
                            <w:rPr>
                              <w:rFonts w:ascii="Aptos" w:hAnsi="Aptos" w:eastAsia="Aptos" w:cs="Aptos"/>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BFF6BFB">
              <v:stroke joinstyle="miter"/>
              <v:path gradientshapeok="t" o:connecttype="rect"/>
            </v:shapetype>
            <v:shape id="Text Box 2" style="position:absolute;margin-left:66.3pt;margin-top:0;width:117.5pt;height:29.25pt;z-index:251659264;visibility:visible;mso-wrap-style:none;mso-wrap-distance-left:0;mso-wrap-distance-top:0;mso-wrap-distance-right:0;mso-wrap-distance-bottom:0;mso-position-horizontal:right;mso-position-horizontal-relative:page;mso-position-vertical:top;mso-position-vertical-relative:page;v-text-anchor:top" alt="PUBLIC / CYHOEDDUS"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">
              <v:fill o:detectmouseclick="t"/>
              <v:textbox style="mso-fit-shape-to-text:t" inset="0,15pt,20pt,0">
                <w:txbxContent>
                  <w:p w:rsidRPr="0037227C" w:rsidR="0037227C" w:rsidP="0037227C" w:rsidRDefault="0037227C" w14:paraId="5CA49276" w14:textId="3093A930">
                    <w:pPr>
                      <w:spacing w:after="0"/>
                      <w:rPr>
                        <w:rFonts w:ascii="Aptos" w:hAnsi="Aptos" w:eastAsia="Aptos" w:cs="Aptos"/>
                        <w:noProof/>
                        <w:color w:val="000000"/>
                        <w:sz w:val="20"/>
                        <w:szCs w:val="20"/>
                      </w:rPr>
                    </w:pPr>
                    <w:r w:rsidRPr="0037227C">
                      <w:rPr>
                        <w:rFonts w:ascii="Aptos" w:hAnsi="Aptos" w:eastAsia="Aptos" w:cs="Aptos"/>
                        <w:noProof/>
                        <w:color w:val="000000"/>
                        <w:sz w:val="20"/>
                        <w:szCs w:val="20"/>
                      </w:rPr>
                      <w:t>PUBLIC / CYHOEDDUS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37227C" w:rsidRDefault="0037227C" w14:paraId="34D66E07" w14:textId="58497DF7">
    <w:pPr>
      <w:pStyle w:val="Header"/>
    </w:pPr>
    <w:r>
      <w:rPr>
        <w:noProof/>
      </w:rPr>
      <mc:AlternateContent>
        <mc:Choice Requires="wps">
          <w:drawing>
            <wp:anchor distT="0" distB="0" distL="0" distR="0" simplePos="0" relativeHeight="251660288" behindDoc="0" locked="0" layoutInCell="1" allowOverlap="1" wp14:anchorId="16724A2B" wp14:editId="2D6324AF">
              <wp:simplePos x="635" y="635"/>
              <wp:positionH relativeFrom="page">
                <wp:align>right</wp:align>
              </wp:positionH>
              <wp:positionV relativeFrom="page">
                <wp:align>top</wp:align>
              </wp:positionV>
              <wp:extent cx="1492250" cy="371475"/>
              <wp:effectExtent l="0" t="0" r="0" b="9525"/>
              <wp:wrapNone/>
              <wp:docPr id="913803910" name="Text Box 3"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92250" cy="371475"/>
                      </a:xfrm>
                      <a:prstGeom prst="rect">
                        <a:avLst/>
                      </a:prstGeom>
                      <a:noFill/>
                      <a:ln>
                        <a:noFill/>
                      </a:ln>
                    </wps:spPr>
                    <wps:txbx>
                      <w:txbxContent>
                        <w:p w:rsidRPr="0037227C" w:rsidR="0037227C" w:rsidP="0037227C" w:rsidRDefault="0037227C" w14:paraId="2E2FB630" w14:textId="776D0B9B">
                          <w:pPr>
                            <w:spacing w:after="0"/>
                            <w:rPr>
                              <w:rFonts w:ascii="Aptos" w:hAnsi="Aptos" w:eastAsia="Aptos" w:cs="Aptos"/>
                              <w:noProof/>
                              <w:color w:val="000000"/>
                              <w:sz w:val="20"/>
                              <w:szCs w:val="20"/>
                            </w:rPr>
                          </w:pPr>
                          <w:r w:rsidRPr="0037227C">
                            <w:rPr>
                              <w:rFonts w:ascii="Aptos" w:hAnsi="Aptos" w:eastAsia="Aptos" w:cs="Aptos"/>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16724A2B">
              <v:stroke joinstyle="miter"/>
              <v:path gradientshapeok="t" o:connecttype="rect"/>
            </v:shapetype>
            <v:shape id="Text Box 3" style="position:absolute;margin-left:66.3pt;margin-top:0;width:117.5pt;height:29.25pt;z-index:251660288;visibility:visible;mso-wrap-style:none;mso-wrap-distance-left:0;mso-wrap-distance-top:0;mso-wrap-distance-right:0;mso-wrap-distance-bottom:0;mso-position-horizontal:right;mso-position-horizontal-relative:page;mso-position-vertical:top;mso-position-vertical-relative:page;v-text-anchor:top" alt="PUBLIC / CYHOEDDUS"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">
              <v:fill o:detectmouseclick="t"/>
              <v:textbox style="mso-fit-shape-to-text:t" inset="0,15pt,20pt,0">
                <w:txbxContent>
                  <w:p w:rsidRPr="0037227C" w:rsidR="0037227C" w:rsidP="0037227C" w:rsidRDefault="0037227C" w14:paraId="2E2FB630" w14:textId="776D0B9B">
                    <w:pPr>
                      <w:spacing w:after="0"/>
                      <w:rPr>
                        <w:rFonts w:ascii="Aptos" w:hAnsi="Aptos" w:eastAsia="Aptos" w:cs="Aptos"/>
                        <w:noProof/>
                        <w:color w:val="000000"/>
                        <w:sz w:val="20"/>
                        <w:szCs w:val="20"/>
                      </w:rPr>
                    </w:pPr>
                    <w:r w:rsidRPr="0037227C">
                      <w:rPr>
                        <w:rFonts w:ascii="Aptos" w:hAnsi="Aptos" w:eastAsia="Aptos" w:cs="Aptos"/>
                        <w:noProof/>
                        <w:color w:val="000000"/>
                        <w:sz w:val="20"/>
                        <w:szCs w:val="20"/>
                      </w:rPr>
                      <w:t>PUBLIC / CYHOEDDUS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37227C" w:rsidRDefault="0037227C" w14:paraId="6C6FF8F7" w14:textId="3B223933">
    <w:pPr>
      <w:pStyle w:val="Header"/>
    </w:pPr>
    <w:r>
      <w:rPr>
        <w:noProof/>
      </w:rPr>
      <mc:AlternateContent>
        <mc:Choice Requires="wps">
          <w:drawing>
            <wp:anchor distT="0" distB="0" distL="0" distR="0" simplePos="0" relativeHeight="251658240" behindDoc="0" locked="0" layoutInCell="1" allowOverlap="1" wp14:anchorId="2AF92F52" wp14:editId="2A212DD3">
              <wp:simplePos x="635" y="635"/>
              <wp:positionH relativeFrom="page">
                <wp:align>right</wp:align>
              </wp:positionH>
              <wp:positionV relativeFrom="page">
                <wp:align>top</wp:align>
              </wp:positionV>
              <wp:extent cx="1492250" cy="371475"/>
              <wp:effectExtent l="0" t="0" r="0" b="9525"/>
              <wp:wrapNone/>
              <wp:docPr id="565191652" name="Text Box 1"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92250" cy="371475"/>
                      </a:xfrm>
                      <a:prstGeom prst="rect">
                        <a:avLst/>
                      </a:prstGeom>
                      <a:noFill/>
                      <a:ln>
                        <a:noFill/>
                      </a:ln>
                    </wps:spPr>
                    <wps:txbx>
                      <w:txbxContent>
                        <w:p w:rsidRPr="0037227C" w:rsidR="0037227C" w:rsidP="0037227C" w:rsidRDefault="0037227C" w14:paraId="698DC17C" w14:textId="7E44A2A9">
                          <w:pPr>
                            <w:spacing w:after="0"/>
                            <w:rPr>
                              <w:rFonts w:ascii="Aptos" w:hAnsi="Aptos" w:eastAsia="Aptos" w:cs="Aptos"/>
                              <w:noProof/>
                              <w:color w:val="000000"/>
                              <w:sz w:val="20"/>
                              <w:szCs w:val="20"/>
                            </w:rPr>
                          </w:pPr>
                          <w:r w:rsidRPr="0037227C">
                            <w:rPr>
                              <w:rFonts w:ascii="Aptos" w:hAnsi="Aptos" w:eastAsia="Aptos" w:cs="Aptos"/>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2AF92F52">
              <v:stroke joinstyle="miter"/>
              <v:path gradientshapeok="t" o:connecttype="rect"/>
            </v:shapetype>
            <v:shape id="Text Box 1" style="position:absolute;margin-left:66.3pt;margin-top:0;width:117.5pt;height:29.25pt;z-index:251658240;visibility:visible;mso-wrap-style:none;mso-wrap-distance-left:0;mso-wrap-distance-top:0;mso-wrap-distance-right:0;mso-wrap-distance-bottom:0;mso-position-horizontal:right;mso-position-horizontal-relative:page;mso-position-vertical:top;mso-position-vertical-relative:page;v-text-anchor:top" alt="PUBLIC / CYHOEDDUS"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">
              <v:fill o:detectmouseclick="t"/>
              <v:textbox style="mso-fit-shape-to-text:t" inset="0,15pt,20pt,0">
                <w:txbxContent>
                  <w:p w:rsidRPr="0037227C" w:rsidR="0037227C" w:rsidP="0037227C" w:rsidRDefault="0037227C" w14:paraId="698DC17C" w14:textId="7E44A2A9">
                    <w:pPr>
                      <w:spacing w:after="0"/>
                      <w:rPr>
                        <w:rFonts w:ascii="Aptos" w:hAnsi="Aptos" w:eastAsia="Aptos" w:cs="Aptos"/>
                        <w:noProof/>
                        <w:color w:val="000000"/>
                        <w:sz w:val="20"/>
                        <w:szCs w:val="20"/>
                      </w:rPr>
                    </w:pPr>
                    <w:r w:rsidRPr="0037227C">
                      <w:rPr>
                        <w:rFonts w:ascii="Aptos" w:hAnsi="Aptos" w:eastAsia="Aptos" w:cs="Aptos"/>
                        <w:noProof/>
                        <w:color w:val="000000"/>
                        <w:sz w:val="20"/>
                        <w:szCs w:val="20"/>
                      </w:rPr>
                      <w:t>PUBLIC / CYHOEDDUS</w:t>
                    </w:r>
                  </w:p>
                </w:txbxContent>
              </v:textbox>
              <w10:wrap anchorx="page" anchory="page"/>
            </v:shape>
          </w:pict>
        </mc:Fallback>
      </mc:AlternateContent>
    </w:r>
  </w:p>
</w:hdr>
</file>

<file path=word/numbering.xml><?xml version="1.0" encoding="utf-8"?>
<w:numbering xmlns:w="http://schemas.openxmlformats.org/wordprocessingml/2006/main">
  <w:abstractNum xmlns:w="http://schemas.openxmlformats.org/wordprocessingml/2006/main" w:abstractNumId="1">
    <w:nsid w:val="aea20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2EE99E"/>
    <w:rsid w:val="00087C9A"/>
    <w:rsid w:val="0037227C"/>
    <w:rsid w:val="00D91057"/>
    <w:rsid w:val="3F064D18"/>
    <w:rsid w:val="4D1D4207"/>
    <w:rsid w:val="524D0731"/>
    <w:rsid w:val="5F2EE99E"/>
    <w:rsid w:val="6D7A3FD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EE99E"/>
  <w15:chartTrackingRefBased/>
  <w15:docId w15:val="{667BE029-726B-47DB-B492-CFD023128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7227C"/>
    <w:pPr>
      <w:tabs>
        <w:tab w:val="center" w:pos="4513"/>
        <w:tab w:val="right" w:pos="9026"/>
      </w:tabs>
      <w:spacing w:after="0" w:line="240" w:lineRule="auto"/>
    </w:pPr>
  </w:style>
  <w:style w:type="character" w:styleId="HeaderChar" w:customStyle="1">
    <w:name w:val="Header Char"/>
    <w:basedOn w:val="DefaultParagraphFont"/>
    <w:link w:val="Header"/>
    <w:uiPriority w:val="99"/>
    <w:rsid w:val="0037227C"/>
  </w:style>
  <w:style w:type="character" w:styleId="Head1DissChar" w:customStyle="true">
    <w:uiPriority w:val="1"/>
    <w:name w:val="Head1 Diss Char"/>
    <w:basedOn w:val="DefaultParagraphFont"/>
    <w:link w:val="Head1Diss"/>
    <w:rsid w:val="4D1D4207"/>
    <w:rPr>
      <w:rFonts w:ascii="Arial" w:hAnsi="Arial" w:eastAsia="游ゴシック Light" w:cs="Arial" w:asciiTheme="majorAscii" w:hAnsiTheme="majorAscii" w:eastAsiaTheme="majorEastAsia" w:cstheme="majorBidi"/>
      <w:b w:val="1"/>
      <w:bCs w:val="1"/>
      <w:color w:val="0F4761" w:themeColor="accent1" w:themeTint="FF" w:themeShade="BF"/>
      <w:sz w:val="28"/>
      <w:szCs w:val="28"/>
    </w:rPr>
  </w:style>
  <w:style w:type="paragraph" w:styleId="Head1Diss" w:customStyle="true">
    <w:uiPriority w:val="1"/>
    <w:name w:val="Head1 Diss"/>
    <w:basedOn w:val="Normal"/>
    <w:link w:val="Head1DissChar"/>
    <w:qFormat/>
    <w:rsid w:val="4D1D4207"/>
    <w:rPr>
      <w:rFonts w:ascii="Arial" w:hAnsi="Arial" w:eastAsia="游ゴシック Light" w:cs="Arial" w:asciiTheme="majorAscii" w:hAnsiTheme="majorAscii" w:eastAsiaTheme="majorEastAsia" w:cstheme="majorBidi"/>
      <w:b w:val="1"/>
      <w:bCs w:val="1"/>
      <w:color w:val="auto"/>
      <w:sz w:val="28"/>
      <w:szCs w:val="28"/>
    </w:rPr>
    <w:pPr>
      <w:keepNext w:val="1"/>
      <w:keepLines w:val="1"/>
      <w:spacing w:before="0" w:after="240" w:line="480" w:lineRule="auto"/>
      <w:outlineLvl w:val="0"/>
    </w:pPr>
  </w:style>
  <w:style w:type="paragraph" w:styleId="DissertationBody" w:customStyle="true">
    <w:uiPriority w:val="1"/>
    <w:name w:val="Dissertation Body"/>
    <w:basedOn w:val="Normal"/>
    <w:link w:val="DissertationBodyChar"/>
    <w:qFormat/>
    <w:rsid w:val="4D1D4207"/>
    <w:rPr>
      <w:rFonts w:ascii="Arial" w:hAnsi="Arial" w:eastAsia="Times New Roman" w:cs="Arial" w:asciiTheme="minorAscii" w:hAnsiTheme="minorAscii" w:eastAsiaTheme="minorAscii" w:cstheme="minorBidi"/>
      <w:sz w:val="24"/>
      <w:szCs w:val="24"/>
    </w:rPr>
    <w:pPr>
      <w:spacing w:after="240" w:line="480" w:lineRule="auto"/>
      <w:jc w:val="both"/>
    </w:pPr>
  </w:style>
  <w:style w:type="character" w:styleId="DissertationBodyChar" w:customStyle="true">
    <w:uiPriority w:val="1"/>
    <w:name w:val="Dissertation Body Char"/>
    <w:basedOn w:val="DefaultParagraphFont"/>
    <w:link w:val="DissertationBody"/>
    <w:rsid w:val="4D1D4207"/>
    <w:rPr>
      <w:rFonts w:ascii="Arial" w:hAnsi="Arial" w:eastAsia="Times New Roman" w:cs="Arial" w:asciiTheme="minorAscii" w:hAnsiTheme="minorAscii" w:eastAsiaTheme="minorAscii" w:cstheme="minorBidi"/>
      <w:sz w:val="24"/>
      <w:szCs w:val="24"/>
    </w:rPr>
  </w:style>
  <w:style w:type="paragraph" w:styleId="ListParagraph">
    <w:uiPriority w:val="34"/>
    <w:name w:val="List Paragraph"/>
    <w:basedOn w:val="Normal"/>
    <w:qFormat/>
    <w:rsid w:val="4D1D4207"/>
    <w:pPr>
      <w:spacing/>
      <w:ind w:left="720"/>
      <w:contextualSpacing/>
    </w:pPr>
  </w:style>
  <w:style w:type="paragraph" w:styleId="Head2Diss" w:customStyle="true">
    <w:uiPriority w:val="1"/>
    <w:name w:val="Head2 Diss"/>
    <w:basedOn w:val="Normal"/>
    <w:link w:val="Head2DissChar"/>
    <w:qFormat/>
    <w:rsid w:val="4D1D4207"/>
    <w:rPr>
      <w:rFonts w:ascii="Arial" w:hAnsi="Arial" w:eastAsia="Aptos" w:cs="Arial" w:asciiTheme="majorAscii" w:hAnsiTheme="majorAscii" w:eastAsiaTheme="minorAscii" w:cstheme="majorBidi"/>
      <w:b w:val="1"/>
      <w:bCs w:val="1"/>
      <w:color w:val="auto"/>
      <w:sz w:val="28"/>
      <w:szCs w:val="28"/>
    </w:rPr>
    <w:pPr>
      <w:keepNext w:val="0"/>
      <w:keepLines w:val="0"/>
      <w:spacing w:before="240" w:after="240" w:line="480" w:lineRule="auto"/>
      <w:outlineLvl w:val="1"/>
    </w:pPr>
  </w:style>
  <w:style w:type="character" w:styleId="Head2DissChar" w:customStyle="true">
    <w:uiPriority w:val="1"/>
    <w:name w:val="Head2 Diss Char"/>
    <w:basedOn w:val="DefaultParagraphFont"/>
    <w:link w:val="Head2Diss"/>
    <w:rsid w:val="4D1D4207"/>
    <w:rPr>
      <w:rFonts w:ascii="Arial" w:hAnsi="Arial" w:eastAsia="游ゴシック Light" w:cs="Arial" w:asciiTheme="majorAscii" w:hAnsiTheme="majorAscii" w:eastAsiaTheme="majorEastAsia" w:cstheme="majorBidi"/>
      <w:b w:val="1"/>
      <w:bCs w:val="1"/>
      <w:color w:val="0F4761" w:themeColor="accent1" w:themeTint="FF"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3.xml" Id="rId8" /><Relationship Type="http://schemas.openxmlformats.org/officeDocument/2006/relationships/webSettings" Target="webSettings.xml" Id="rId3" /><Relationship Type="http://schemas.openxmlformats.org/officeDocument/2006/relationships/header" Target="header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 Type="http://schemas.openxmlformats.org/officeDocument/2006/relationships/numbering" Target="numbering.xml" Id="R935a3cc5d0c94f5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53f0066-c24e-444c-9c2a-7427c31ebeab}" enabled="1" method="Standard" siteId="{e5aafe7c-971b-4ab7-b039-141ad36acec0}"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Mason Neely</dc:creator>
  <keywords/>
  <dc:description/>
  <lastModifiedBy>Mason Neely</lastModifiedBy>
  <revision>3</revision>
  <dcterms:created xsi:type="dcterms:W3CDTF">2025-10-22T06:10:00.0000000Z</dcterms:created>
  <dcterms:modified xsi:type="dcterms:W3CDTF">2025-10-22T06:12:48.6290086Z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21b023e4,343a75be,36778a86</vt:lpwstr>
  </property>
  <property fmtid="{D5CDD505-2E9C-101B-9397-08002B2CF9AE}" pid="3" name="ClassificationContentMarkingHeaderFontProps">
    <vt:lpwstr>#000000,10,Aptos</vt:lpwstr>
  </property>
  <property fmtid="{D5CDD505-2E9C-101B-9397-08002B2CF9AE}" pid="4" name="ClassificationContentMarkingHeaderText">
    <vt:lpwstr>PUBLIC / CYHOEDDUS</vt:lpwstr>
  </property>
</Properties>
</file>