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C15A5" w:rsidRDefault="00EC15A5" w14:paraId="00000001" w14:textId="3E7324A8">
      <w:pPr>
        <w:jc w:val="center"/>
        <w:rPr>
          <w:b/>
          <w:sz w:val="32"/>
          <w:szCs w:val="32"/>
        </w:rPr>
      </w:pPr>
    </w:p>
    <w:p w:rsidR="00530209" w:rsidRDefault="00530209" w14:paraId="625209A3" w14:textId="00488C6F">
      <w:pPr>
        <w:jc w:val="center"/>
        <w:rPr>
          <w:b/>
          <w:sz w:val="32"/>
          <w:szCs w:val="32"/>
        </w:rPr>
      </w:pPr>
    </w:p>
    <w:p w:rsidR="00530209" w:rsidRDefault="00530209" w14:paraId="7A40261C" w14:textId="77777777">
      <w:pPr>
        <w:jc w:val="center"/>
        <w:rPr>
          <w:b/>
          <w:sz w:val="32"/>
          <w:szCs w:val="32"/>
        </w:rPr>
      </w:pPr>
    </w:p>
    <w:p w:rsidR="00EC15A5" w:rsidRDefault="00EC15A5" w14:paraId="00000002" w14:textId="77777777">
      <w:pPr>
        <w:jc w:val="center"/>
        <w:rPr>
          <w:b/>
          <w:sz w:val="32"/>
          <w:szCs w:val="32"/>
        </w:rPr>
      </w:pPr>
    </w:p>
    <w:p w:rsidR="00EC15A5" w:rsidP="20D999A8" w:rsidRDefault="00EC15A5" w14:paraId="00000003" w14:textId="114934C9">
      <w:pPr>
        <w:jc w:val="center"/>
        <w:rPr>
          <w:b w:val="1"/>
          <w:bCs w:val="1"/>
          <w:sz w:val="36"/>
          <w:szCs w:val="36"/>
        </w:rPr>
      </w:pPr>
      <w:r w:rsidRPr="20D999A8" w:rsidR="20D999A8">
        <w:rPr>
          <w:b w:val="1"/>
          <w:bCs w:val="1"/>
          <w:sz w:val="36"/>
          <w:szCs w:val="36"/>
        </w:rPr>
        <w:t xml:space="preserve">BA(Hons) Business Management </w:t>
      </w:r>
    </w:p>
    <w:p w:rsidR="00EC15A5" w:rsidRDefault="00000000" w14:paraId="00000004" w14:textId="77777777">
      <w:pPr>
        <w:jc w:val="center"/>
        <w:rPr>
          <w:b/>
          <w:sz w:val="32"/>
          <w:szCs w:val="32"/>
        </w:rPr>
      </w:pPr>
      <w:r w:rsidRPr="20D999A8" w:rsidR="20D999A8">
        <w:rPr>
          <w:b w:val="1"/>
          <w:bCs w:val="1"/>
          <w:sz w:val="32"/>
          <w:szCs w:val="32"/>
        </w:rPr>
        <w:t>PROJECT MANAGEMENT</w:t>
      </w:r>
    </w:p>
    <w:p w:rsidR="20D999A8" w:rsidP="20D999A8" w:rsidRDefault="20D999A8" w14:paraId="6E72D6D8" w14:textId="52618AFD">
      <w:pPr>
        <w:pStyle w:val="Normal"/>
        <w:jc w:val="center"/>
        <w:rPr>
          <w:b w:val="1"/>
          <w:bCs w:val="1"/>
          <w:sz w:val="32"/>
          <w:szCs w:val="32"/>
        </w:rPr>
      </w:pPr>
      <w:r w:rsidRPr="20D999A8" w:rsidR="20D999A8">
        <w:rPr>
          <w:b w:val="1"/>
          <w:bCs w:val="1"/>
          <w:sz w:val="32"/>
          <w:szCs w:val="32"/>
        </w:rPr>
        <w:t>LCBB5005</w:t>
      </w:r>
    </w:p>
    <w:p w:rsidR="20D999A8" w:rsidP="20D999A8" w:rsidRDefault="20D999A8" w14:paraId="2048A91A" w14:textId="7486FF6D">
      <w:pPr>
        <w:pStyle w:val="Normal"/>
        <w:jc w:val="center"/>
        <w:rPr>
          <w:b w:val="1"/>
          <w:bCs w:val="1"/>
          <w:sz w:val="28"/>
          <w:szCs w:val="28"/>
        </w:rPr>
      </w:pPr>
      <w:r w:rsidRPr="20D999A8" w:rsidR="20D999A8">
        <w:rPr>
          <w:b w:val="1"/>
          <w:bCs w:val="1"/>
          <w:sz w:val="28"/>
          <w:szCs w:val="28"/>
        </w:rPr>
        <w:t>Student Name: Krisztina</w:t>
      </w:r>
      <w:r w:rsidRPr="20D999A8" w:rsidR="20D999A8">
        <w:rPr>
          <w:b w:val="1"/>
          <w:bCs w:val="1"/>
          <w:sz w:val="28"/>
          <w:szCs w:val="28"/>
        </w:rPr>
        <w:t xml:space="preserve"> </w:t>
      </w:r>
      <w:r w:rsidRPr="20D999A8" w:rsidR="20D999A8">
        <w:rPr>
          <w:b w:val="1"/>
          <w:bCs w:val="1"/>
          <w:sz w:val="28"/>
          <w:szCs w:val="28"/>
        </w:rPr>
        <w:t>P</w:t>
      </w:r>
      <w:r w:rsidRPr="20D999A8" w:rsidR="20D999A8">
        <w:rPr>
          <w:b w:val="1"/>
          <w:bCs w:val="1"/>
          <w:sz w:val="28"/>
          <w:szCs w:val="28"/>
        </w:rPr>
        <w:t>ocsi</w:t>
      </w:r>
      <w:r w:rsidRPr="20D999A8" w:rsidR="20D999A8">
        <w:rPr>
          <w:b w:val="1"/>
          <w:bCs w:val="1"/>
          <w:sz w:val="28"/>
          <w:szCs w:val="28"/>
        </w:rPr>
        <w:t>k</w:t>
      </w:r>
    </w:p>
    <w:p w:rsidR="20D999A8" w:rsidP="20D999A8" w:rsidRDefault="20D999A8" w14:paraId="42CA0B7D" w14:textId="634E2A90">
      <w:pPr>
        <w:pStyle w:val="Normal"/>
        <w:jc w:val="center"/>
        <w:rPr>
          <w:b w:val="1"/>
          <w:bCs w:val="1"/>
          <w:sz w:val="28"/>
          <w:szCs w:val="28"/>
        </w:rPr>
      </w:pPr>
      <w:r w:rsidRPr="20D999A8" w:rsidR="20D999A8">
        <w:rPr>
          <w:b w:val="1"/>
          <w:bCs w:val="1"/>
          <w:sz w:val="28"/>
          <w:szCs w:val="28"/>
        </w:rPr>
        <w:t>Student Number: 2115263</w:t>
      </w:r>
    </w:p>
    <w:p w:rsidR="20D999A8" w:rsidP="20D999A8" w:rsidRDefault="20D999A8" w14:paraId="5A444295" w14:textId="14E52B7D">
      <w:pPr>
        <w:pStyle w:val="Normal"/>
        <w:jc w:val="center"/>
        <w:rPr>
          <w:b w:val="1"/>
          <w:bCs w:val="1"/>
          <w:sz w:val="28"/>
          <w:szCs w:val="28"/>
        </w:rPr>
      </w:pPr>
      <w:r w:rsidRPr="72EBE1BF" w:rsidR="72EBE1BF">
        <w:rPr>
          <w:b w:val="1"/>
          <w:bCs w:val="1"/>
          <w:sz w:val="28"/>
          <w:szCs w:val="28"/>
        </w:rPr>
        <w:t xml:space="preserve">Lecture Name: Dr Anupam Mazumdar </w:t>
      </w:r>
    </w:p>
    <w:p w:rsidR="00EC15A5" w:rsidRDefault="00EC15A5" w14:paraId="00000005" w14:textId="77777777">
      <w:pPr>
        <w:jc w:val="center"/>
        <w:rPr>
          <w:b/>
          <w:sz w:val="32"/>
          <w:szCs w:val="32"/>
        </w:rPr>
      </w:pPr>
    </w:p>
    <w:p w:rsidR="00EC15A5" w:rsidRDefault="00000000" w14:paraId="00000007" w14:textId="77777777">
      <w:pPr>
        <w:jc w:val="center"/>
        <w:rPr>
          <w:b/>
          <w:sz w:val="32"/>
          <w:szCs w:val="32"/>
        </w:rPr>
      </w:pPr>
      <w:r>
        <w:br w:type="page"/>
      </w:r>
    </w:p>
    <w:bookmarkStart w:name="_n552v5h1dajf" w:colFirst="0" w:colLast="0" w:displacedByCustomXml="next" w:id="0"/>
    <w:bookmarkEnd w:displacedByCustomXml="next" w:id="0"/>
    <w:sdt>
      <w:sdtPr>
        <w:id w:val="2103152987"/>
        <w:docPartObj>
          <w:docPartGallery w:val="Table of Contents"/>
          <w:docPartUnique/>
        </w:docPartObj>
      </w:sdtPr>
      <w:sdtContent>
        <w:p w:rsidRPr="007F4DFA" w:rsidR="00530209" w:rsidP="007F4DFA" w:rsidRDefault="00530209" w14:paraId="2872E223" w14:textId="15B7CA2F" w14:noSpellErr="1">
          <w:pPr>
            <w:pStyle w:val="TOCHeading"/>
            <w:jc w:val="center"/>
            <w:rPr>
              <w:rFonts w:ascii="Times New Roman" w:hAnsi="Times New Roman" w:cs="Times New Roman"/>
              <w:b w:val="1"/>
              <w:bCs w:val="1"/>
              <w:color w:val="000000" w:themeColor="text1"/>
              <w:sz w:val="36"/>
              <w:szCs w:val="36"/>
            </w:rPr>
          </w:pPr>
          <w:r w:rsidRPr="20D999A8" w:rsidR="20D999A8">
            <w:rPr>
              <w:rFonts w:ascii="Times New Roman" w:hAnsi="Times New Roman" w:cs="Times New Roman"/>
              <w:b w:val="1"/>
              <w:bCs w:val="1"/>
              <w:color w:val="000000" w:themeColor="text1" w:themeTint="FF" w:themeShade="FF"/>
              <w:sz w:val="36"/>
              <w:szCs w:val="36"/>
            </w:rPr>
            <w:t>Table of Contents</w:t>
          </w:r>
        </w:p>
        <w:p w:rsidRPr="00530209" w:rsidR="00530209" w:rsidP="00530209" w:rsidRDefault="00530209" w14:paraId="46D42904" w14:textId="77777777" w14:noSpellErr="1">
          <w:pPr>
            <w:rPr>
              <w:lang w:val="en-US" w:eastAsia="en-US" w:bidi="ar-SA"/>
            </w:rPr>
          </w:pPr>
        </w:p>
        <w:p w:rsidR="007F4DFA" w:rsidP="20D999A8" w:rsidRDefault="00530209" w14:paraId="27B43CBF" w14:textId="262F9C80">
          <w:pPr>
            <w:pStyle w:val="TOC1"/>
            <w:tabs>
              <w:tab w:val="right" w:leader="dot" w:pos="9015"/>
            </w:tabs>
            <w:rPr>
              <w:rStyle w:val="Hyperlink"/>
              <w:noProof/>
              <w:lang w:val="en-IN"/>
            </w:rPr>
          </w:pPr>
          <w:r>
            <w:fldChar w:fldCharType="begin"/>
          </w:r>
          <w:r>
            <w:instrText xml:space="preserve">TOC \o "1-3" \h \z \u</w:instrText>
          </w:r>
          <w:r>
            <w:fldChar w:fldCharType="separate"/>
          </w:r>
          <w:hyperlink w:anchor="_Toc1038558766">
            <w:r w:rsidRPr="20D999A8" w:rsidR="20D999A8">
              <w:rPr>
                <w:rStyle w:val="Hyperlink"/>
              </w:rPr>
              <w:t>Introduction</w:t>
            </w:r>
            <w:r>
              <w:tab/>
            </w:r>
            <w:r>
              <w:fldChar w:fldCharType="begin"/>
            </w:r>
            <w:r>
              <w:instrText xml:space="preserve">PAGEREF _Toc1038558766 \h</w:instrText>
            </w:r>
            <w:r>
              <w:fldChar w:fldCharType="separate"/>
            </w:r>
            <w:r w:rsidRPr="20D999A8" w:rsidR="20D999A8">
              <w:rPr>
                <w:rStyle w:val="Hyperlink"/>
              </w:rPr>
              <w:t>2</w:t>
            </w:r>
            <w:r>
              <w:fldChar w:fldCharType="end"/>
            </w:r>
          </w:hyperlink>
        </w:p>
        <w:p w:rsidR="007F4DFA" w:rsidP="20D999A8" w:rsidRDefault="00000000" w14:paraId="488B44DA" w14:textId="2A16D0B6">
          <w:pPr>
            <w:pStyle w:val="TOC1"/>
            <w:tabs>
              <w:tab w:val="right" w:leader="dot" w:pos="9015"/>
            </w:tabs>
            <w:rPr>
              <w:rStyle w:val="Hyperlink"/>
              <w:noProof/>
              <w:lang w:val="en-IN"/>
            </w:rPr>
          </w:pPr>
          <w:hyperlink w:anchor="_Toc352671285">
            <w:r w:rsidRPr="20D999A8" w:rsidR="20D999A8">
              <w:rPr>
                <w:rStyle w:val="Hyperlink"/>
              </w:rPr>
              <w:t>Overall Current progress of the organization</w:t>
            </w:r>
            <w:r>
              <w:tab/>
            </w:r>
            <w:r>
              <w:fldChar w:fldCharType="begin"/>
            </w:r>
            <w:r>
              <w:instrText xml:space="preserve">PAGEREF _Toc352671285 \h</w:instrText>
            </w:r>
            <w:r>
              <w:fldChar w:fldCharType="separate"/>
            </w:r>
            <w:r w:rsidRPr="20D999A8" w:rsidR="20D999A8">
              <w:rPr>
                <w:rStyle w:val="Hyperlink"/>
              </w:rPr>
              <w:t>3</w:t>
            </w:r>
            <w:r>
              <w:fldChar w:fldCharType="end"/>
            </w:r>
          </w:hyperlink>
        </w:p>
        <w:p w:rsidR="007F4DFA" w:rsidP="20D999A8" w:rsidRDefault="00000000" w14:paraId="21DD3464" w14:textId="34618E51">
          <w:pPr>
            <w:pStyle w:val="TOC2"/>
            <w:tabs>
              <w:tab w:val="right" w:leader="dot" w:pos="9015"/>
            </w:tabs>
            <w:rPr>
              <w:rStyle w:val="Hyperlink"/>
              <w:noProof/>
              <w:lang w:val="en-IN"/>
            </w:rPr>
          </w:pPr>
          <w:hyperlink w:anchor="_Toc703265064">
            <w:r w:rsidRPr="20D999A8" w:rsidR="20D999A8">
              <w:rPr>
                <w:rStyle w:val="Hyperlink"/>
              </w:rPr>
              <w:t>Background and scope</w:t>
            </w:r>
            <w:r>
              <w:tab/>
            </w:r>
            <w:r>
              <w:fldChar w:fldCharType="begin"/>
            </w:r>
            <w:r>
              <w:instrText xml:space="preserve">PAGEREF _Toc703265064 \h</w:instrText>
            </w:r>
            <w:r>
              <w:fldChar w:fldCharType="separate"/>
            </w:r>
            <w:r w:rsidRPr="20D999A8" w:rsidR="20D999A8">
              <w:rPr>
                <w:rStyle w:val="Hyperlink"/>
              </w:rPr>
              <w:t>4</w:t>
            </w:r>
            <w:r>
              <w:fldChar w:fldCharType="end"/>
            </w:r>
          </w:hyperlink>
        </w:p>
        <w:p w:rsidR="007F4DFA" w:rsidP="20D999A8" w:rsidRDefault="00000000" w14:paraId="3E2FA7F6" w14:textId="637EF632">
          <w:pPr>
            <w:pStyle w:val="TOC2"/>
            <w:tabs>
              <w:tab w:val="right" w:leader="dot" w:pos="9015"/>
            </w:tabs>
            <w:rPr>
              <w:rStyle w:val="Hyperlink"/>
              <w:noProof/>
              <w:lang w:val="en-IN"/>
            </w:rPr>
          </w:pPr>
          <w:hyperlink w:anchor="_Toc1549301967">
            <w:r w:rsidRPr="20D999A8" w:rsidR="20D999A8">
              <w:rPr>
                <w:rStyle w:val="Hyperlink"/>
              </w:rPr>
              <w:t>Timing</w:t>
            </w:r>
            <w:r>
              <w:tab/>
            </w:r>
            <w:r>
              <w:fldChar w:fldCharType="begin"/>
            </w:r>
            <w:r>
              <w:instrText xml:space="preserve">PAGEREF _Toc1549301967 \h</w:instrText>
            </w:r>
            <w:r>
              <w:fldChar w:fldCharType="separate"/>
            </w:r>
            <w:r w:rsidRPr="20D999A8" w:rsidR="20D999A8">
              <w:rPr>
                <w:rStyle w:val="Hyperlink"/>
              </w:rPr>
              <w:t>5</w:t>
            </w:r>
            <w:r>
              <w:fldChar w:fldCharType="end"/>
            </w:r>
          </w:hyperlink>
        </w:p>
        <w:p w:rsidR="007F4DFA" w:rsidP="20D999A8" w:rsidRDefault="00000000" w14:paraId="454B54B8" w14:textId="4B5FD87C">
          <w:pPr>
            <w:pStyle w:val="TOC2"/>
            <w:tabs>
              <w:tab w:val="right" w:leader="dot" w:pos="9015"/>
            </w:tabs>
            <w:rPr>
              <w:rStyle w:val="Hyperlink"/>
              <w:noProof/>
              <w:lang w:val="en-IN"/>
            </w:rPr>
          </w:pPr>
          <w:hyperlink w:anchor="_Toc1024483108">
            <w:r w:rsidRPr="20D999A8" w:rsidR="20D999A8">
              <w:rPr>
                <w:rStyle w:val="Hyperlink"/>
              </w:rPr>
              <w:t>Quality</w:t>
            </w:r>
            <w:r>
              <w:tab/>
            </w:r>
            <w:r>
              <w:fldChar w:fldCharType="begin"/>
            </w:r>
            <w:r>
              <w:instrText xml:space="preserve">PAGEREF _Toc1024483108 \h</w:instrText>
            </w:r>
            <w:r>
              <w:fldChar w:fldCharType="separate"/>
            </w:r>
            <w:r w:rsidRPr="20D999A8" w:rsidR="20D999A8">
              <w:rPr>
                <w:rStyle w:val="Hyperlink"/>
              </w:rPr>
              <w:t>5</w:t>
            </w:r>
            <w:r>
              <w:fldChar w:fldCharType="end"/>
            </w:r>
          </w:hyperlink>
        </w:p>
        <w:p w:rsidR="007F4DFA" w:rsidP="20D999A8" w:rsidRDefault="00000000" w14:paraId="75FDF434" w14:textId="158D7FAD">
          <w:pPr>
            <w:pStyle w:val="TOC2"/>
            <w:tabs>
              <w:tab w:val="right" w:leader="dot" w:pos="9015"/>
            </w:tabs>
            <w:rPr>
              <w:rStyle w:val="Hyperlink"/>
              <w:noProof/>
              <w:lang w:val="en-IN"/>
            </w:rPr>
          </w:pPr>
          <w:hyperlink w:anchor="_Toc30596766">
            <w:r w:rsidRPr="20D999A8" w:rsidR="20D999A8">
              <w:rPr>
                <w:rStyle w:val="Hyperlink"/>
              </w:rPr>
              <w:t>Stakeholders</w:t>
            </w:r>
            <w:r>
              <w:tab/>
            </w:r>
            <w:r>
              <w:fldChar w:fldCharType="begin"/>
            </w:r>
            <w:r>
              <w:instrText xml:space="preserve">PAGEREF _Toc30596766 \h</w:instrText>
            </w:r>
            <w:r>
              <w:fldChar w:fldCharType="separate"/>
            </w:r>
            <w:r w:rsidRPr="20D999A8" w:rsidR="20D999A8">
              <w:rPr>
                <w:rStyle w:val="Hyperlink"/>
              </w:rPr>
              <w:t>6</w:t>
            </w:r>
            <w:r>
              <w:fldChar w:fldCharType="end"/>
            </w:r>
          </w:hyperlink>
        </w:p>
        <w:p w:rsidR="007F4DFA" w:rsidP="20D999A8" w:rsidRDefault="00000000" w14:paraId="2A8E552B" w14:textId="02E4AA98">
          <w:pPr>
            <w:pStyle w:val="TOC2"/>
            <w:tabs>
              <w:tab w:val="right" w:leader="dot" w:pos="9015"/>
            </w:tabs>
            <w:rPr>
              <w:rStyle w:val="Hyperlink"/>
              <w:noProof/>
              <w:lang w:val="en-IN"/>
            </w:rPr>
          </w:pPr>
          <w:hyperlink w:anchor="_Toc1628116863">
            <w:r w:rsidRPr="20D999A8" w:rsidR="20D999A8">
              <w:rPr>
                <w:rStyle w:val="Hyperlink"/>
              </w:rPr>
              <w:t>Risk factors</w:t>
            </w:r>
            <w:r>
              <w:tab/>
            </w:r>
            <w:r>
              <w:fldChar w:fldCharType="begin"/>
            </w:r>
            <w:r>
              <w:instrText xml:space="preserve">PAGEREF _Toc1628116863 \h</w:instrText>
            </w:r>
            <w:r>
              <w:fldChar w:fldCharType="separate"/>
            </w:r>
            <w:r w:rsidRPr="20D999A8" w:rsidR="20D999A8">
              <w:rPr>
                <w:rStyle w:val="Hyperlink"/>
              </w:rPr>
              <w:t>6</w:t>
            </w:r>
            <w:r>
              <w:fldChar w:fldCharType="end"/>
            </w:r>
          </w:hyperlink>
        </w:p>
        <w:p w:rsidR="007F4DFA" w:rsidP="20D999A8" w:rsidRDefault="00000000" w14:paraId="31662A37" w14:textId="6DE2F030">
          <w:pPr>
            <w:pStyle w:val="TOC1"/>
            <w:tabs>
              <w:tab w:val="right" w:leader="dot" w:pos="9015"/>
            </w:tabs>
            <w:rPr>
              <w:rStyle w:val="Hyperlink"/>
              <w:noProof/>
              <w:lang w:val="en-IN"/>
            </w:rPr>
          </w:pPr>
          <w:hyperlink w:anchor="_Toc1060574616">
            <w:r w:rsidRPr="20D999A8" w:rsidR="20D999A8">
              <w:rPr>
                <w:rStyle w:val="Hyperlink"/>
              </w:rPr>
              <w:t>Issues in the initial project plan</w:t>
            </w:r>
            <w:r>
              <w:tab/>
            </w:r>
            <w:r>
              <w:fldChar w:fldCharType="begin"/>
            </w:r>
            <w:r>
              <w:instrText xml:space="preserve">PAGEREF _Toc1060574616 \h</w:instrText>
            </w:r>
            <w:r>
              <w:fldChar w:fldCharType="separate"/>
            </w:r>
            <w:r w:rsidRPr="20D999A8" w:rsidR="20D999A8">
              <w:rPr>
                <w:rStyle w:val="Hyperlink"/>
              </w:rPr>
              <w:t>7</w:t>
            </w:r>
            <w:r>
              <w:fldChar w:fldCharType="end"/>
            </w:r>
          </w:hyperlink>
        </w:p>
        <w:p w:rsidR="007F4DFA" w:rsidP="20D999A8" w:rsidRDefault="00000000" w14:paraId="376E406B" w14:textId="1BC77AD8">
          <w:pPr>
            <w:pStyle w:val="TOC1"/>
            <w:tabs>
              <w:tab w:val="right" w:leader="dot" w:pos="9015"/>
            </w:tabs>
            <w:rPr>
              <w:rStyle w:val="Hyperlink"/>
              <w:noProof/>
              <w:lang w:val="en-IN"/>
            </w:rPr>
          </w:pPr>
          <w:hyperlink w:anchor="_Toc334781968">
            <w:r w:rsidRPr="20D999A8" w:rsidR="20D999A8">
              <w:rPr>
                <w:rStyle w:val="Hyperlink"/>
              </w:rPr>
              <w:t>Determination of factors that results in huge delays and overruns</w:t>
            </w:r>
            <w:r>
              <w:tab/>
            </w:r>
            <w:r>
              <w:fldChar w:fldCharType="begin"/>
            </w:r>
            <w:r>
              <w:instrText xml:space="preserve">PAGEREF _Toc334781968 \h</w:instrText>
            </w:r>
            <w:r>
              <w:fldChar w:fldCharType="separate"/>
            </w:r>
            <w:r w:rsidRPr="20D999A8" w:rsidR="20D999A8">
              <w:rPr>
                <w:rStyle w:val="Hyperlink"/>
              </w:rPr>
              <w:t>7</w:t>
            </w:r>
            <w:r>
              <w:fldChar w:fldCharType="end"/>
            </w:r>
          </w:hyperlink>
        </w:p>
        <w:p w:rsidR="007F4DFA" w:rsidP="20D999A8" w:rsidRDefault="00000000" w14:paraId="1BAA2ACE" w14:textId="1A05EF76">
          <w:pPr>
            <w:pStyle w:val="TOC1"/>
            <w:tabs>
              <w:tab w:val="right" w:leader="dot" w:pos="9015"/>
            </w:tabs>
            <w:rPr>
              <w:rStyle w:val="Hyperlink"/>
              <w:noProof/>
              <w:lang w:val="en-IN"/>
            </w:rPr>
          </w:pPr>
          <w:hyperlink w:anchor="_Toc865862409">
            <w:r w:rsidRPr="20D999A8" w:rsidR="20D999A8">
              <w:rPr>
                <w:rStyle w:val="Hyperlink"/>
              </w:rPr>
              <w:t>Conclusions</w:t>
            </w:r>
            <w:r>
              <w:tab/>
            </w:r>
            <w:r>
              <w:fldChar w:fldCharType="begin"/>
            </w:r>
            <w:r>
              <w:instrText xml:space="preserve">PAGEREF _Toc865862409 \h</w:instrText>
            </w:r>
            <w:r>
              <w:fldChar w:fldCharType="separate"/>
            </w:r>
            <w:r w:rsidRPr="20D999A8" w:rsidR="20D999A8">
              <w:rPr>
                <w:rStyle w:val="Hyperlink"/>
              </w:rPr>
              <w:t>8</w:t>
            </w:r>
            <w:r>
              <w:fldChar w:fldCharType="end"/>
            </w:r>
          </w:hyperlink>
        </w:p>
        <w:p w:rsidR="007F4DFA" w:rsidP="20D999A8" w:rsidRDefault="00000000" w14:paraId="6A38E3D2" w14:textId="7BB1A0A4">
          <w:pPr>
            <w:pStyle w:val="TOC1"/>
            <w:tabs>
              <w:tab w:val="right" w:leader="dot" w:pos="9015"/>
            </w:tabs>
            <w:rPr>
              <w:rStyle w:val="Hyperlink"/>
              <w:noProof/>
              <w:lang w:val="en-IN"/>
            </w:rPr>
          </w:pPr>
          <w:hyperlink w:anchor="_Toc1705090521">
            <w:r w:rsidRPr="20D999A8" w:rsidR="20D999A8">
              <w:rPr>
                <w:rStyle w:val="Hyperlink"/>
              </w:rPr>
              <w:t>References</w:t>
            </w:r>
            <w:r>
              <w:tab/>
            </w:r>
            <w:r>
              <w:fldChar w:fldCharType="begin"/>
            </w:r>
            <w:r>
              <w:instrText xml:space="preserve">PAGEREF _Toc1705090521 \h</w:instrText>
            </w:r>
            <w:r>
              <w:fldChar w:fldCharType="separate"/>
            </w:r>
            <w:r w:rsidRPr="20D999A8" w:rsidR="20D999A8">
              <w:rPr>
                <w:rStyle w:val="Hyperlink"/>
              </w:rPr>
              <w:t>8</w:t>
            </w:r>
            <w:r>
              <w:fldChar w:fldCharType="end"/>
            </w:r>
          </w:hyperlink>
          <w:r>
            <w:fldChar w:fldCharType="end"/>
          </w:r>
        </w:p>
      </w:sdtContent>
    </w:sdt>
    <w:p w:rsidR="00530209" w:rsidRDefault="00530209" w14:paraId="5A5A309B" w14:textId="2388D7F7" w14:noSpellErr="1"/>
    <w:p w:rsidR="00530209" w:rsidRDefault="00530209" w14:paraId="1F173F10" w14:textId="77777777">
      <w:pPr>
        <w:rPr>
          <w:b/>
          <w:sz w:val="28"/>
          <w:szCs w:val="28"/>
        </w:rPr>
      </w:pPr>
      <w:r>
        <w:br w:type="page"/>
      </w:r>
    </w:p>
    <w:p w:rsidR="00EC15A5" w:rsidP="00530209" w:rsidRDefault="00000000" w14:paraId="00000008" w14:textId="02CE9C5B">
      <w:pPr>
        <w:pStyle w:val="Heading1"/>
        <w:rPr>
          <w:b w:val="0"/>
          <w:bCs w:val="0"/>
        </w:rPr>
      </w:pPr>
      <w:bookmarkStart w:name="_Toc1038558766" w:id="852618448"/>
      <w:r w:rsidR="017FA8AE">
        <w:rPr>
          <w:b w:val="0"/>
          <w:bCs w:val="0"/>
        </w:rPr>
        <w:t>Introduction</w:t>
      </w:r>
      <w:bookmarkEnd w:id="852618448"/>
    </w:p>
    <w:p w:rsidR="00EC15A5" w:rsidRDefault="00000000" w14:paraId="0000000B" w14:textId="7C23F0C3">
      <w:r w:rsidR="66437152">
        <w:rPr/>
        <w:t xml:space="preserve">Project management is the application of a range of skills and tools to meet the </w:t>
      </w:r>
      <w:r w:rsidR="66437152">
        <w:rPr/>
        <w:t>objectives</w:t>
      </w:r>
      <w:r w:rsidR="66437152">
        <w:rPr/>
        <w:t xml:space="preserve"> of the project. It defines a project in two aspects- all projects are purposeful that aim to create something for consumer value and a project is something unique. These two simple principles promote a work atmosphere that </w:t>
      </w:r>
      <w:r w:rsidR="66437152">
        <w:rPr/>
        <w:t>necessitates</w:t>
      </w:r>
      <w:r w:rsidR="66437152">
        <w:rPr/>
        <w:t xml:space="preserve"> a different management style than that of a manager, whose job is focused on long-term, continuous process development. A project manager calls for certain skills that can define the success and failure of the project. The idea of the project is to deliver a unique product or serve a unique purpose. The job of the project manager hence lies in developing the plan that would make the project successful. In this context, the nuclear power project of Hinkley Point C</w:t>
      </w:r>
      <w:r w:rsidRPr="66437152" w:rsidR="66437152">
        <w:rPr>
          <w:b w:val="1"/>
          <w:bCs w:val="1"/>
          <w:i w:val="1"/>
          <w:iCs w:val="1"/>
        </w:rPr>
        <w:t xml:space="preserve"> </w:t>
      </w:r>
      <w:r w:rsidR="66437152">
        <w:rPr/>
        <w:t xml:space="preserve">in the UK will be evaluated. In this modern world, there are different benefits of nuclear power. Nuclear power is </w:t>
      </w:r>
      <w:r w:rsidR="66437152">
        <w:rPr/>
        <w:t>rather a</w:t>
      </w:r>
      <w:r w:rsidR="66437152">
        <w:rPr/>
        <w:t xml:space="preserve"> resourceful energy alternative that is more environmentally friendly than conventional energy resources. The biggest disadvantage of nuclear power is it destructiveness and the difficulty in the disposal of the by-products. </w:t>
      </w:r>
      <w:r w:rsidR="66437152">
        <w:rPr/>
        <w:t>Judging the need for such, there</w:t>
      </w:r>
      <w:r w:rsidR="66437152">
        <w:rPr/>
        <w:t xml:space="preserve"> was a project proposal to build Hinkley Point C nuclear power plant in Somerset, UK. It is one of the nuclear power generation plants- 3,260MW, that aims to generate clean and reliable nuclear power that would be able to </w:t>
      </w:r>
      <w:r w:rsidR="66437152">
        <w:rPr/>
        <w:t>provide</w:t>
      </w:r>
      <w:r w:rsidR="66437152">
        <w:rPr/>
        <w:t xml:space="preserve"> 6 million tonnes of low-carbon electricity over its 60-year lifespan (EDF, 2023). It is also set to create huge employment opportunities. </w:t>
      </w:r>
      <w:r w:rsidR="66437152">
        <w:rPr/>
        <w:t xml:space="preserve"> </w:t>
      </w:r>
    </w:p>
    <w:p w:rsidR="00EC15A5" w:rsidP="00530209" w:rsidRDefault="00000000" w14:paraId="0000000C" w14:textId="565CFE45">
      <w:pPr>
        <w:pStyle w:val="Heading1"/>
        <w:rPr>
          <w:b w:val="0"/>
          <w:bCs w:val="0"/>
        </w:rPr>
      </w:pPr>
      <w:bookmarkStart w:name="_Toc352671285" w:id="686338079"/>
      <w:r w:rsidR="017FA8AE">
        <w:rPr>
          <w:b w:val="0"/>
          <w:bCs w:val="0"/>
        </w:rPr>
        <w:t>Overall Current progress of the organization</w:t>
      </w:r>
      <w:r w:rsidR="017FA8AE">
        <w:rPr>
          <w:b w:val="0"/>
          <w:bCs w:val="0"/>
        </w:rPr>
        <w:t xml:space="preserve"> </w:t>
      </w:r>
      <w:bookmarkEnd w:id="686338079"/>
    </w:p>
    <w:p w:rsidR="00EC15A5" w:rsidRDefault="00000000" w14:paraId="0000000D" w14:textId="4BE779B2">
      <w:r w:rsidR="20D999A8">
        <w:rPr/>
        <w:t xml:space="preserve">The Hinkley Point C project is the first of it is kind in the UK. The plant </w:t>
      </w:r>
      <w:r w:rsidR="20D999A8">
        <w:rPr/>
        <w:t>is capable of generating</w:t>
      </w:r>
      <w:r w:rsidR="20D999A8">
        <w:rPr/>
        <w:t xml:space="preserve"> more than 3260 MW of low carbon, secure electricity over its 60-year lifespan. It has the capacity to power over 6 million homes in the UK and would account for 7% of the UK's electricity (National Audit Office report, 2022). The project is also estimated to be one of the biggest construction sites in Europe and the largest when at its peak. Numerous social and economic advantages. However, this project's size and technological complexity demand the highest level of engineering, design, and nuclear knowledge. The overall project scope detailing the budget, quality, period, risks factor, and </w:t>
      </w:r>
      <w:r w:rsidR="20D999A8">
        <w:rPr/>
        <w:t>identifying</w:t>
      </w:r>
      <w:r w:rsidR="20D999A8">
        <w:rPr/>
        <w:t xml:space="preserve"> stakeholders will be evaluated. </w:t>
      </w:r>
    </w:p>
    <w:p w:rsidR="00EC15A5" w:rsidRDefault="00EC15A5" w14:paraId="0000000E" w14:textId="77777777"/>
    <w:p w:rsidR="00EC15A5" w:rsidRDefault="00000000" w14:paraId="0000000F" w14:textId="097A9AA3">
      <w:pPr>
        <w:pStyle w:val="Heading2"/>
      </w:pPr>
      <w:bookmarkStart w:name="_Toc703265064" w:id="305946919"/>
      <w:r w:rsidR="017FA8AE">
        <w:rPr>
          <w:b w:val="0"/>
          <w:bCs w:val="0"/>
        </w:rPr>
        <w:t>Background and scope</w:t>
      </w:r>
      <w:r w:rsidR="017FA8AE">
        <w:rPr/>
        <w:t xml:space="preserve"> </w:t>
      </w:r>
      <w:bookmarkEnd w:id="305946919"/>
    </w:p>
    <w:p w:rsidR="00EC15A5" w:rsidRDefault="00000000" w14:paraId="00000010" w14:textId="27EE37E0">
      <w:r w:rsidR="20D999A8">
        <w:rPr/>
        <w:t xml:space="preserve">Before the beginning of the construction of the Hinkley Point C project, there were two others. The 500MW Hinkley Point A was decommissioned earlier, while the Point B project has been set to be decommissioned in 2023 (BBC News, 2019). In 2008, EDF Energy decided to complete the set by building a third twin-unit EPR reactor, known as the Hinkley Point C. The project was meant to fill the energy gaps opened by the closure of the </w:t>
      </w:r>
      <w:r w:rsidR="20D999A8">
        <w:rPr/>
        <w:t>previous</w:t>
      </w:r>
      <w:r w:rsidR="20D999A8">
        <w:rPr/>
        <w:t xml:space="preserve"> projects. The EPR reactors are also more advanced than the traditional Magnox or Gas cooled reactors, AGR. Back in 2013, the British Government supported the feed-in prices for the project. Located in Somerset Village in England, the power plant</w:t>
      </w:r>
      <w:r w:rsidR="20D999A8">
        <w:rPr/>
        <w:t xml:space="preserve"> reside</w:t>
      </w:r>
      <w:r w:rsidR="20D999A8">
        <w:rPr/>
        <w:t>s by the Bristol Channel Coast, powered by a national grid connection and a deep-water port. The construction started in 2017 on a 175-ha site on the north coast along Bridgewater Bay (EDF, 2023). The foundation stone was placed in March 2017 and the first J- zero nuclear reactors were completed by June 2019. December 2019</w:t>
      </w:r>
      <w:r w:rsidR="20D999A8">
        <w:rPr/>
        <w:t xml:space="preserve"> witnesse</w:t>
      </w:r>
      <w:r w:rsidR="20D999A8">
        <w:rPr/>
        <w:t>d the installation of steel containment along with the 760m seawall (BBC News, 2019</w:t>
      </w:r>
      <w:r w:rsidR="20D999A8">
        <w:rPr/>
        <w:t xml:space="preserve">). </w:t>
      </w:r>
      <w:r w:rsidR="20D999A8">
        <w:rPr/>
        <w:t xml:space="preserve"> The 3260 MW reactor core today houses 241 fuel assemblies and there will be a 4-loop coolant system for the reactor. Each unit will be associated with a GE ARABELLE turbine connected to a 1630 MW generator (National Audit Office report, 2022). It also houses the world's largest 96-wheeled crane called the Big Carl, put in place in 2019. It will start</w:t>
      </w:r>
      <w:r w:rsidR="20D999A8">
        <w:rPr/>
        <w:t xml:space="preserve"> operatin</w:t>
      </w:r>
      <w:r w:rsidR="20D999A8">
        <w:rPr/>
        <w:t xml:space="preserve">g in 2025 and deliver 26TWh of low-carbon energy annually. </w:t>
      </w:r>
    </w:p>
    <w:p w:rsidR="00EC15A5" w:rsidRDefault="00EC15A5" w14:paraId="00000011" w14:textId="77777777"/>
    <w:p w:rsidR="00EC15A5" w:rsidP="017FA8AE" w:rsidRDefault="00000000" w14:paraId="00000012" w14:textId="749DF42F">
      <w:pPr>
        <w:rPr>
          <w:b w:val="0"/>
          <w:bCs w:val="0"/>
          <w:sz w:val="26"/>
          <w:szCs w:val="26"/>
        </w:rPr>
      </w:pPr>
      <w:r w:rsidRPr="017FA8AE" w:rsidR="017FA8AE">
        <w:rPr>
          <w:b w:val="0"/>
          <w:bCs w:val="0"/>
          <w:sz w:val="26"/>
          <w:szCs w:val="26"/>
        </w:rPr>
        <w:t>Budget</w:t>
      </w:r>
    </w:p>
    <w:p w:rsidR="00EC15A5" w:rsidRDefault="00000000" w14:paraId="00000015" w14:textId="17E19708">
      <w:r w:rsidR="20D999A8">
        <w:rPr/>
        <w:t>Scheduled to open by 2026 end, the Hinkley Point C, or HPC is set to become one of Britain's largest nuclear power plants. It can foster over 25000 employment opportunities and manages 64% of the construction value (BBC News, 2019). This is also the first nuclear power plant to be constructed in Britain since Japan's Fukushima tragedy. It has been estimated to significantly raise the efforts of the country to source clean energy and over it is 60-</w:t>
      </w:r>
      <w:r w:rsidR="20D999A8">
        <w:rPr/>
        <w:t>year. Back</w:t>
      </w:r>
      <w:r w:rsidR="20D999A8">
        <w:rPr/>
        <w:t xml:space="preserve"> on September 29, 2016, the Department for Business, Energy &amp; Industrial Strategy declared that it had achieved an agreement to back the development of the Hinkley Point C (HPC) project. The estimated value of the project then was £30 billion. The Department estimated that it will cost around 10-15 euros from the annual household electricity bills in the UK to support the building of the HPC till 2030 (</w:t>
      </w:r>
      <w:r w:rsidR="20D999A8">
        <w:rPr/>
        <w:t>Alam</w:t>
      </w:r>
      <w:r w:rsidR="20D999A8">
        <w:rPr/>
        <w:t xml:space="preserve"> </w:t>
      </w:r>
      <w:r w:rsidRPr="20D999A8" w:rsidR="20D999A8">
        <w:rPr>
          <w:i w:val="1"/>
          <w:iCs w:val="1"/>
        </w:rPr>
        <w:t>et al</w:t>
      </w:r>
      <w:r w:rsidR="20D999A8">
        <w:rPr/>
        <w:t xml:space="preserve">, 2019). The estimated average increase in electricity bills annually if the project gets delayed would be 21-24 Euros. It was also calculated that decommissioning the project and getting rid of the waste will take £7.3 billion. Further, the net project cash flow at the end of 2085 according to the department's estimate is £79.7 billion. However, today the cost estimates have risen to £22.5bn, owing to certain "challenging ground conditions". In 2022, the budget has risen by another £3bn (EDF, 2023). </w:t>
      </w:r>
    </w:p>
    <w:p w:rsidR="00EC15A5" w:rsidRDefault="00EC15A5" w14:paraId="00000016" w14:textId="77777777"/>
    <w:p w:rsidR="00EC15A5" w:rsidRDefault="00000000" w14:paraId="00000017" w14:textId="3F43A845">
      <w:pPr>
        <w:pStyle w:val="Heading2"/>
        <w:rPr>
          <w:b w:val="0"/>
          <w:bCs w:val="0"/>
        </w:rPr>
      </w:pPr>
      <w:bookmarkStart w:name="_Toc1549301967" w:id="1933629306"/>
      <w:r w:rsidR="017FA8AE">
        <w:rPr>
          <w:b w:val="0"/>
          <w:bCs w:val="0"/>
        </w:rPr>
        <w:t>Timing</w:t>
      </w:r>
      <w:bookmarkEnd w:id="1933629306"/>
    </w:p>
    <w:p w:rsidR="00EC15A5" w:rsidRDefault="00000000" w14:paraId="00000018" w14:textId="4572049E">
      <w:r w:rsidR="5918627E">
        <w:rPr/>
        <w:t xml:space="preserve">The Hinkley Point C project is set to go live in 2025 and run over a lifespan of 60 years. The project began with EDF energy </w:t>
      </w:r>
      <w:r w:rsidR="5918627E">
        <w:rPr/>
        <w:t>acquiring</w:t>
      </w:r>
      <w:r w:rsidR="5918627E">
        <w:rPr/>
        <w:t xml:space="preserve"> British Energy, owning 8 coal-fired plants in the UK, and the joint venture between EDF Energy and China General power to build four nuclear power plants in the UK (Wealer </w:t>
      </w:r>
      <w:r w:rsidRPr="5918627E" w:rsidR="5918627E">
        <w:rPr>
          <w:i w:val="1"/>
          <w:iCs w:val="1"/>
        </w:rPr>
        <w:t>et al</w:t>
      </w:r>
      <w:r w:rsidR="5918627E">
        <w:rPr/>
        <w:t>, 2021). After getting approved, the project started in 2009. In 2011, the company filed the proposal to the UK's infrastructure planning commission, where the design was accepted and deployed after licensing in the UK. The development consent order was issued in 2013. In 2015, the Hinkley Point C project was issued and the FID or final investment decision was made. Hence in 2016, the authorization of the HPC construction was made and the construction began.</w:t>
      </w:r>
    </w:p>
    <w:p w:rsidR="00EC15A5" w:rsidRDefault="00EC15A5" w14:paraId="00000019" w14:textId="77777777"/>
    <w:p w:rsidR="00EC15A5" w:rsidRDefault="00000000" w14:paraId="0000001A" w14:textId="14A9503E">
      <w:pPr>
        <w:pStyle w:val="Heading2"/>
        <w:rPr>
          <w:b w:val="0"/>
          <w:bCs w:val="0"/>
        </w:rPr>
      </w:pPr>
      <w:bookmarkStart w:name="_Toc1024483108" w:id="1916195960"/>
      <w:r w:rsidR="017FA8AE">
        <w:rPr>
          <w:b w:val="0"/>
          <w:bCs w:val="0"/>
        </w:rPr>
        <w:t>Quality</w:t>
      </w:r>
      <w:bookmarkEnd w:id="1916195960"/>
    </w:p>
    <w:p w:rsidR="00EC15A5" w:rsidRDefault="00000000" w14:paraId="0000001B" w14:textId="2AFA7E1D">
      <w:r w:rsidR="20D999A8">
        <w:rPr/>
        <w:t xml:space="preserve">As estimated, the Hinkley Point C project will account for 8% of the UK's electricity. The project is set to be a success and guaranteed to run for over 35 years with the estimated price, rising only with price dynamics. The aim of the project is to develop sustainable and clean energy to bring down energy costs. In September 2007, EDF and Areva, now known as Framatome presented the EPR design for safety evaluation to the UK's Office for Nuclear Regulation (ONR). In January 2009, EDF purchased British Energy, the proprietor, and manager of eight power plants in the UK, including Hinkley Point (National Audit Office report, 2022). </w:t>
      </w:r>
    </w:p>
    <w:p w:rsidR="00EC15A5" w:rsidRDefault="00000000" w14:paraId="0000001C" w14:textId="697A6701">
      <w:r>
        <w:t>Because of Hinkley Point C's role in the battle against climate change, the environment will be greatly benefited throughout its 60 years of running. It is thought to be a good alternative to other resources for energy. Wind energy has accounted for 13.3% of the UK's total electricity in 2022, coming down from 20% in 2020 (EDF, 2023). A group of environmental experts is utilizing new methods as they work to improve the local wildlife and habitats, allowing nature to flourish on the previously heavily farmed territory of the project location (Popov</w:t>
      </w:r>
      <w:r>
        <w:rPr>
          <w:i/>
        </w:rPr>
        <w:t xml:space="preserve"> et al</w:t>
      </w:r>
      <w:r>
        <w:t xml:space="preserve">, 2021). </w:t>
      </w:r>
    </w:p>
    <w:p w:rsidR="00EC15A5" w:rsidRDefault="00EC15A5" w14:paraId="0000001D" w14:textId="77777777"/>
    <w:p w:rsidR="00EC15A5" w:rsidRDefault="00000000" w14:paraId="0000001E" w14:textId="53223849">
      <w:pPr>
        <w:pStyle w:val="Heading2"/>
        <w:rPr>
          <w:b w:val="0"/>
          <w:bCs w:val="0"/>
        </w:rPr>
      </w:pPr>
      <w:bookmarkStart w:name="_Toc30596766" w:id="1594836058"/>
      <w:r w:rsidR="017FA8AE">
        <w:rPr>
          <w:b w:val="0"/>
          <w:bCs w:val="0"/>
        </w:rPr>
        <w:t>Stakeholders</w:t>
      </w:r>
      <w:bookmarkEnd w:id="1594836058"/>
    </w:p>
    <w:p w:rsidR="00EC15A5" w:rsidRDefault="00000000" w14:paraId="0000001F" w14:textId="3898654E">
      <w:r w:rsidR="66437152">
        <w:rPr/>
        <w:t xml:space="preserve">EDF Energy and the Chinese General Nuclear Power are funding the whole project, with a loan of 2.3bn euros sanctioned by the UK government. The major fund of the project was made by CGNP with it contributing more than 7.28bn Euros to the project in 2015 (Stewart, and </w:t>
      </w:r>
      <w:r w:rsidR="66437152">
        <w:rPr/>
        <w:t>Shirvan</w:t>
      </w:r>
      <w:r w:rsidR="66437152">
        <w:rPr/>
        <w:t xml:space="preserve">, 2022). The project was also guaranteed with </w:t>
      </w:r>
      <w:r w:rsidR="66437152">
        <w:rPr/>
        <w:t>a 144 euros</w:t>
      </w:r>
      <w:r w:rsidR="66437152">
        <w:rPr/>
        <w:t xml:space="preserve"> strike price as per 2012 pricing for each MWh power generated across 35 years. The major construction contract was given to a joint venture between Bouygues and Laing O'Rourke or BYLOR in 2013, worth 1.8 billion Euros (The Guardian, 2016). In 2015, the three maritime tunnels ranging 9.5km in total were further given to the company with a deal of 227 million Euros. In 2016, the EPR reactor installation contract was given to Arena NP, now called Framatome with a 5.3 billion Euro contract (EDF, 2023). Further, in 2016, GE received another contract to build the Arabelle steam turbines along with the generators worth 1.75bn Euros. In 2019, there was a 300 million GBP contract from the National Grid of the UK that was given to J. Murphy &amp; Sons, Balfour Beatty, and Siemens (BBC News, 2019). Another contract worth around 69 million Euros was given to the German Industrial engineering Company, Bilfinger in 2020 to build the balance of plant or BOP, and the construction of a 56 km pipeline for the Hinkley C nuclear energy site (National Audit Office report, 2022).</w:t>
      </w:r>
    </w:p>
    <w:p w:rsidR="00EC15A5" w:rsidRDefault="00EC15A5" w14:paraId="00000020" w14:textId="77777777"/>
    <w:p w:rsidR="00EC15A5" w:rsidRDefault="00000000" w14:paraId="00000021" w14:textId="677DDDCB">
      <w:pPr>
        <w:pStyle w:val="Heading2"/>
        <w:rPr>
          <w:b w:val="0"/>
          <w:bCs w:val="0"/>
        </w:rPr>
      </w:pPr>
      <w:bookmarkStart w:name="_Toc1628116863" w:id="303428696"/>
      <w:r w:rsidR="017FA8AE">
        <w:rPr>
          <w:b w:val="0"/>
          <w:bCs w:val="0"/>
        </w:rPr>
        <w:t>Risk factors</w:t>
      </w:r>
      <w:bookmarkEnd w:id="303428696"/>
    </w:p>
    <w:p w:rsidR="00EC15A5" w:rsidRDefault="00000000" w14:paraId="00000022" w14:textId="79187F4E">
      <w:r w:rsidR="20D999A8">
        <w:rPr/>
        <w:t xml:space="preserve">There are several risk factors associated with the construction of a nuclear power plant. The Hinkley Point C project has been associated with risks of water contamination, with relevant levels of hydrazine in cooling water, impacting the Severn estuary or SAC (Sainati </w:t>
      </w:r>
      <w:r w:rsidRPr="20D999A8" w:rsidR="20D999A8">
        <w:rPr>
          <w:i w:val="1"/>
          <w:iCs w:val="1"/>
        </w:rPr>
        <w:t xml:space="preserve">et al, </w:t>
      </w:r>
      <w:r w:rsidR="20D999A8">
        <w:rPr/>
        <w:t xml:space="preserve">2019). There is a claim that the water temperature in the Severn Estuary SAC will increase as a result of the hot water being released from Hinkley Point C. This might have an impact on the species that </w:t>
      </w:r>
      <w:r w:rsidR="20D999A8">
        <w:rPr/>
        <w:t>reside</w:t>
      </w:r>
      <w:r w:rsidR="20D999A8">
        <w:rPr/>
        <w:t xml:space="preserve"> on the river bottom. However, other </w:t>
      </w:r>
      <w:r w:rsidR="20D999A8">
        <w:rPr/>
        <w:t>possible contaminants</w:t>
      </w:r>
      <w:r w:rsidR="20D999A8">
        <w:rPr/>
        <w:t xml:space="preserve"> were found low. In case of construction difficulties, the reactor design is new and therefore could be subjected to delays. The company's financial position has also weakened since 2013 and thus can lead to cash flow difficulties. There are </w:t>
      </w:r>
      <w:r w:rsidR="20D999A8">
        <w:rPr/>
        <w:t>additional</w:t>
      </w:r>
      <w:r w:rsidR="20D999A8">
        <w:rPr/>
        <w:t xml:space="preserve"> risks to energy security as well (The Guardian, 2016). If the project encounters difficulties, the government may be forced to revise its agreement or be forced to finance alternatives to guarantee a secure supply.</w:t>
      </w:r>
    </w:p>
    <w:p w:rsidR="00EC15A5" w:rsidRDefault="00EC15A5" w14:paraId="00000023" w14:textId="77777777"/>
    <w:p w:rsidR="00EC15A5" w:rsidP="00530209" w:rsidRDefault="00000000" w14:paraId="00000024" w14:textId="6EEB508C">
      <w:pPr>
        <w:pStyle w:val="Heading1"/>
        <w:rPr>
          <w:b w:val="0"/>
          <w:bCs w:val="0"/>
        </w:rPr>
      </w:pPr>
      <w:bookmarkStart w:name="_Toc1060574616" w:id="722523405"/>
      <w:r w:rsidR="017FA8AE">
        <w:rPr>
          <w:b w:val="0"/>
          <w:bCs w:val="0"/>
        </w:rPr>
        <w:t xml:space="preserve">Issues in the </w:t>
      </w:r>
      <w:r w:rsidR="017FA8AE">
        <w:rPr>
          <w:b w:val="0"/>
          <w:bCs w:val="0"/>
        </w:rPr>
        <w:t>i</w:t>
      </w:r>
      <w:r w:rsidR="017FA8AE">
        <w:rPr>
          <w:b w:val="0"/>
          <w:bCs w:val="0"/>
        </w:rPr>
        <w:t>nitial</w:t>
      </w:r>
      <w:r w:rsidR="017FA8AE">
        <w:rPr>
          <w:b w:val="0"/>
          <w:bCs w:val="0"/>
        </w:rPr>
        <w:t xml:space="preserve"> </w:t>
      </w:r>
      <w:r w:rsidR="017FA8AE">
        <w:rPr>
          <w:b w:val="0"/>
          <w:bCs w:val="0"/>
        </w:rPr>
        <w:t>project plan</w:t>
      </w:r>
      <w:r w:rsidR="017FA8AE">
        <w:rPr>
          <w:b w:val="0"/>
          <w:bCs w:val="0"/>
        </w:rPr>
        <w:t xml:space="preserve"> </w:t>
      </w:r>
      <w:bookmarkEnd w:id="722523405"/>
    </w:p>
    <w:p w:rsidR="00EC15A5" w:rsidRDefault="00000000" w14:paraId="00000025" w14:textId="18742AB6">
      <w:r w:rsidR="20D999A8">
        <w:rPr/>
        <w:t xml:space="preserve">The project, though estimated to be effectively planned, met several difficulties in the </w:t>
      </w:r>
      <w:r w:rsidR="20D999A8">
        <w:rPr/>
        <w:t>initial</w:t>
      </w:r>
      <w:r w:rsidR="20D999A8">
        <w:rPr/>
        <w:t xml:space="preserve"> stages. First, there were extensive earthworks requirements that </w:t>
      </w:r>
      <w:r w:rsidR="20D999A8">
        <w:rPr/>
        <w:t>required</w:t>
      </w:r>
      <w:r w:rsidR="20D999A8">
        <w:rPr/>
        <w:t xml:space="preserve"> an excavation. With degraded rock surfaces, the project required tight controls. There were engineering difficulties with the installation and movement of heavy equipment. Not only that, despite such challenges, then there are </w:t>
      </w:r>
      <w:r w:rsidR="20D999A8">
        <w:rPr/>
        <w:t>labour</w:t>
      </w:r>
      <w:r w:rsidR="20D999A8">
        <w:rPr/>
        <w:t xml:space="preserve"> difficulties with </w:t>
      </w:r>
      <w:r w:rsidR="20D999A8">
        <w:rPr/>
        <w:t>additional</w:t>
      </w:r>
      <w:r w:rsidR="20D999A8">
        <w:rPr/>
        <w:t xml:space="preserve"> security checks. There were</w:t>
      </w:r>
      <w:r w:rsidR="20D999A8">
        <w:rPr/>
        <w:t xml:space="preserve"> </w:t>
      </w:r>
      <w:r w:rsidR="20D999A8">
        <w:rPr/>
        <w:t>additiona</w:t>
      </w:r>
      <w:r w:rsidR="20D999A8">
        <w:rPr/>
        <w:t>l</w:t>
      </w:r>
      <w:r w:rsidR="20D999A8">
        <w:rPr/>
        <w:t xml:space="preserve"> training and accommodation costs to bear and then mobilizing them to ensure efficiency. There were delays in enabling contracts and government approval which in turn created difficulties for the project in the</w:t>
      </w:r>
      <w:r w:rsidR="20D999A8">
        <w:rPr/>
        <w:t xml:space="preserve"> </w:t>
      </w:r>
      <w:r w:rsidR="20D999A8">
        <w:rPr/>
        <w:t>initia</w:t>
      </w:r>
      <w:r w:rsidR="20D999A8">
        <w:rPr/>
        <w:t>l</w:t>
      </w:r>
      <w:r w:rsidR="20D999A8">
        <w:rPr/>
        <w:t xml:space="preserve"> stages. Since 2013, the company's financial situation has deteriorated as well, which caused problems with revenue flow in the</w:t>
      </w:r>
      <w:r w:rsidR="20D999A8">
        <w:rPr/>
        <w:t xml:space="preserve"> </w:t>
      </w:r>
      <w:r w:rsidR="20D999A8">
        <w:rPr/>
        <w:t>initia</w:t>
      </w:r>
      <w:r w:rsidR="20D999A8">
        <w:rPr/>
        <w:t>l</w:t>
      </w:r>
      <w:r w:rsidR="20D999A8">
        <w:rPr/>
        <w:t xml:space="preserve"> stages of construction (Butcher </w:t>
      </w:r>
      <w:r w:rsidRPr="20D999A8" w:rsidR="20D999A8">
        <w:rPr>
          <w:i w:val="1"/>
          <w:iCs w:val="1"/>
        </w:rPr>
        <w:t>et al</w:t>
      </w:r>
      <w:r w:rsidR="20D999A8">
        <w:rPr/>
        <w:t xml:space="preserve">, 2021). Then there were challenges to abiding by sustainable rules in the UK and promoting sustainable construction processes as well (Glasson </w:t>
      </w:r>
      <w:r w:rsidRPr="20D999A8" w:rsidR="20D999A8">
        <w:rPr>
          <w:i w:val="1"/>
          <w:iCs w:val="1"/>
        </w:rPr>
        <w:t>et al</w:t>
      </w:r>
      <w:r w:rsidR="20D999A8">
        <w:rPr/>
        <w:t>, 2021)</w:t>
      </w:r>
    </w:p>
    <w:p w:rsidR="00EC15A5" w:rsidRDefault="00EC15A5" w14:paraId="00000026" w14:textId="77777777"/>
    <w:p w:rsidR="00EC15A5" w:rsidP="00530209" w:rsidRDefault="00000000" w14:paraId="00000027" w14:textId="5EFFE6D7">
      <w:pPr>
        <w:pStyle w:val="Heading1"/>
        <w:rPr>
          <w:b w:val="0"/>
          <w:bCs w:val="0"/>
        </w:rPr>
      </w:pPr>
      <w:bookmarkStart w:name="_Toc334781968" w:id="605402938"/>
      <w:r w:rsidR="017FA8AE">
        <w:rPr>
          <w:b w:val="0"/>
          <w:bCs w:val="0"/>
        </w:rPr>
        <w:t xml:space="preserve">Determination of factors that results in huge delays and </w:t>
      </w:r>
      <w:r w:rsidR="017FA8AE">
        <w:rPr>
          <w:b w:val="0"/>
          <w:bCs w:val="0"/>
        </w:rPr>
        <w:t>overruns</w:t>
      </w:r>
      <w:r w:rsidR="017FA8AE">
        <w:rPr>
          <w:b w:val="0"/>
          <w:bCs w:val="0"/>
        </w:rPr>
        <w:t xml:space="preserve"> </w:t>
      </w:r>
      <w:bookmarkEnd w:id="605402938"/>
    </w:p>
    <w:p w:rsidR="00EC15A5" w:rsidRDefault="00000000" w14:paraId="00000028" w14:textId="6CEADE35">
      <w:r>
        <w:t>There are many factors that caused delays and overruns of the Hinkley Point C projects. Besides the risk factors involved, there were additional difficulties like rising energy costs, inflation in the country, and others. Though the prices for new wind power were reduced to 40 euros /MWh against the estimated 92.5 euros/ MWh, there are still factors that are causing overruns, extending the project to 2026 (National Audit Office report, 2022). There has been rising project estimation owing to uncertainties. Cost rises take into account amended action plan objectives and difficult ground conditions that made earthworks more costly than expected (Daniel and Daniel, 2019). There are also additional costs required to execute the finished functional design, which has been modified for a unique application in the UK context. The project is the first of its kind and hence developed certain engineering challenges as well. Then there are additional climate risks to consider. There were significant delays on part of the government to sanction the loans and approve the project which caused further delays, extending the project for almost 10 years (Resch and Suna, 2019). There are increasing costs of equipment and materials causing further delays and risks with energy security, adding to the causes of delaying the construction in terms of budget and timespan.</w:t>
      </w:r>
    </w:p>
    <w:p w:rsidR="00EC15A5" w:rsidRDefault="00EC15A5" w14:paraId="00000029" w14:textId="77777777"/>
    <w:p w:rsidR="00EC15A5" w:rsidP="007F4DFA" w:rsidRDefault="00000000" w14:paraId="0000002B" w14:textId="36A30CEE">
      <w:pPr>
        <w:pStyle w:val="Heading1"/>
        <w:rPr>
          <w:b w:val="0"/>
          <w:bCs w:val="0"/>
        </w:rPr>
      </w:pPr>
      <w:bookmarkStart w:name="_Toc865862409" w:id="978833500"/>
      <w:r w:rsidR="017FA8AE">
        <w:rPr>
          <w:b w:val="0"/>
          <w:bCs w:val="0"/>
        </w:rPr>
        <w:t>Conclusions</w:t>
      </w:r>
      <w:r w:rsidR="017FA8AE">
        <w:rPr>
          <w:b w:val="0"/>
          <w:bCs w:val="0"/>
        </w:rPr>
        <w:t xml:space="preserve"> </w:t>
      </w:r>
      <w:bookmarkEnd w:id="978833500"/>
    </w:p>
    <w:p w:rsidR="00EC15A5" w:rsidP="00C9661C" w:rsidRDefault="00000000" w14:paraId="0000002C" w14:textId="3B174881">
      <w:r w:rsidR="5918627E">
        <w:rPr/>
        <w:t xml:space="preserve">The UK's Hinkley Point C initiative is a pioneer in its field. At its height, the building is </w:t>
      </w:r>
      <w:r w:rsidR="5918627E">
        <w:rPr/>
        <w:t>anticipated</w:t>
      </w:r>
      <w:r w:rsidR="5918627E">
        <w:rPr/>
        <w:t xml:space="preserve"> to be the greatest construction location in all of Europe. However, the project has battled many risks and barriers. To overcome any more difficulties, there can be certain steps that the company can take. First, there needs to be a thorough evaluation of the environmental risk factors that would subdue all bogus claims of a rules violation and the management should put such environmentally sustainable practices in its construction and testing processes (Butcher </w:t>
      </w:r>
      <w:r w:rsidRPr="5918627E" w:rsidR="5918627E">
        <w:rPr>
          <w:i w:val="1"/>
          <w:iCs w:val="1"/>
        </w:rPr>
        <w:t>et al</w:t>
      </w:r>
      <w:r w:rsidR="5918627E">
        <w:rPr/>
        <w:t xml:space="preserve">, 2019). There should be plans for the disposal and control of nuclear waste as well. There should be a robust independent inspection of the reactors to ensure the highest standards of safety and quality in the processes and improvements should be implemented in the company's construction and manufacturing activities. Also, there needs to be a proper contract in place ensuring accountability and process in case the project </w:t>
      </w:r>
      <w:r w:rsidR="5918627E">
        <w:rPr/>
        <w:t>has to</w:t>
      </w:r>
      <w:r w:rsidR="5918627E">
        <w:rPr/>
        <w:t xml:space="preserve"> be decommissioned. New mechanisms should be put in place as well to </w:t>
      </w:r>
      <w:r w:rsidR="5918627E">
        <w:rPr/>
        <w:t>monitor</w:t>
      </w:r>
      <w:r w:rsidR="5918627E">
        <w:rPr/>
        <w:t xml:space="preserve"> the structures and their effectiveness over time. The stakeholders should come together to </w:t>
      </w:r>
      <w:r w:rsidR="5918627E">
        <w:rPr/>
        <w:t>establish</w:t>
      </w:r>
      <w:r w:rsidR="5918627E">
        <w:rPr/>
        <w:t xml:space="preserve"> the local and national benefits of the project and offer visibility to its aim of generating clean energy. </w:t>
      </w:r>
    </w:p>
    <w:p w:rsidR="00EC15A5" w:rsidRDefault="00EC15A5" w14:paraId="0000002D" w14:textId="77777777">
      <w:pPr>
        <w:jc w:val="left"/>
      </w:pPr>
    </w:p>
    <w:p w:rsidR="00530209" w:rsidP="72EBE1BF" w:rsidRDefault="00530209" w14:paraId="2E214407" w14:textId="683C2871">
      <w:pPr>
        <w:pStyle w:val="Heading1"/>
        <w:jc w:val="left"/>
        <w:rPr>
          <w:b w:val="0"/>
          <w:bCs w:val="0"/>
        </w:rPr>
      </w:pPr>
      <w:bookmarkStart w:name="_Toc1705090521" w:id="1979198548"/>
      <w:r w:rsidR="017FA8AE">
        <w:rPr>
          <w:b w:val="0"/>
          <w:bCs w:val="0"/>
        </w:rPr>
        <w:t>References</w:t>
      </w:r>
      <w:bookmarkEnd w:id="1979198548"/>
    </w:p>
    <w:p w:rsidR="00530209" w:rsidRDefault="00530209" w14:paraId="4D3B8F11" w14:textId="77777777">
      <w:pPr>
        <w:jc w:val="left"/>
      </w:pPr>
      <w:r>
        <w:t xml:space="preserve">About Hinkley point C EDF. Available at: </w:t>
      </w:r>
      <w:hyperlink r:id="rId7">
        <w:r>
          <w:rPr>
            <w:color w:val="1155CC"/>
            <w:u w:val="single"/>
          </w:rPr>
          <w:t>https://www.edfenergy.com/energy/nuclear-new-build-projects/hinkley-point-c/about</w:t>
        </w:r>
      </w:hyperlink>
      <w:r>
        <w:t xml:space="preserve">  </w:t>
      </w:r>
    </w:p>
    <w:p w:rsidR="00530209" w:rsidRDefault="00530209" w14:paraId="00EC66CE" w14:textId="77777777">
      <w:pPr>
        <w:jc w:val="left"/>
      </w:pPr>
      <w:r>
        <w:t>Alam, F., Sarkar, R. and Chowdhury, H., 2019. Nuclear power plants in emerging economies and human resource development: A review. Energy Procedia, 160, pp.3-10.</w:t>
      </w:r>
    </w:p>
    <w:p w:rsidR="00530209" w:rsidRDefault="00530209" w14:paraId="0830A855" w14:textId="77777777">
      <w:pPr>
        <w:jc w:val="left"/>
      </w:pPr>
      <w:r>
        <w:t>Baschin, J., Huth, T. and Vietor, T., 2020, December. An approach for systematic planning of project management methods and project processes in product development. In 2020 IEEE International Conference on Industrial Engineering and Engineering Management (IEEM) (pp. 1037-1041). IEEE.</w:t>
      </w:r>
    </w:p>
    <w:p w:rsidR="00530209" w:rsidRDefault="00530209" w14:paraId="6D7BC97C" w14:textId="7C229C80">
      <w:pPr>
        <w:jc w:val="left"/>
      </w:pPr>
      <w:r w:rsidR="20D999A8">
        <w:rPr/>
        <w:t xml:space="preserve">Becker, P., 2019. Hinkley Point C, </w:t>
      </w:r>
      <w:r w:rsidR="20D999A8">
        <w:rPr/>
        <w:t>Flamanville</w:t>
      </w:r>
      <w:r w:rsidR="20D999A8">
        <w:rPr/>
        <w:t xml:space="preserve">, </w:t>
      </w:r>
      <w:r w:rsidR="20D999A8">
        <w:rPr/>
        <w:t>Olkiluoto</w:t>
      </w:r>
      <w:r w:rsidR="20D999A8">
        <w:rPr/>
        <w:t xml:space="preserve">. The rescue attempts for nuclear power. </w:t>
      </w:r>
      <w:r w:rsidR="20D999A8">
        <w:rPr/>
        <w:t>Zeitschrift</w:t>
      </w:r>
      <w:r w:rsidR="20D999A8">
        <w:rPr/>
        <w:t xml:space="preserve"> </w:t>
      </w:r>
      <w:r w:rsidR="20D999A8">
        <w:rPr/>
        <w:t>fuer</w:t>
      </w:r>
      <w:r w:rsidR="20D999A8">
        <w:rPr/>
        <w:t xml:space="preserve"> Neues </w:t>
      </w:r>
      <w:r w:rsidR="20D999A8">
        <w:rPr/>
        <w:t>Energierecht</w:t>
      </w:r>
      <w:r w:rsidR="20D999A8">
        <w:rPr/>
        <w:t xml:space="preserve">, 23(1), pp.15-16. </w:t>
      </w:r>
    </w:p>
    <w:p w:rsidR="00530209" w:rsidRDefault="00530209" w14:paraId="345DB7FA" w14:textId="6BC2B630">
      <w:pPr>
        <w:jc w:val="left"/>
      </w:pPr>
      <w:r w:rsidR="20D999A8">
        <w:rPr/>
        <w:t xml:space="preserve">Butcher, A., Stork, A.L., Verdon, J.P., Kendall, J.M., </w:t>
      </w:r>
      <w:r w:rsidR="20D999A8">
        <w:rPr/>
        <w:t>Plenkers</w:t>
      </w:r>
      <w:r w:rsidR="20D999A8">
        <w:rPr/>
        <w:t xml:space="preserve">, K., Booth, F., </w:t>
      </w:r>
      <w:r w:rsidR="20D999A8">
        <w:rPr/>
        <w:t>Boneham</w:t>
      </w:r>
      <w:r w:rsidR="20D999A8">
        <w:rPr/>
        <w:t>, M. and Koe, A., 2021. Evaluating rock mass disturbance within open-pit excavations using seismic methods: A case study from the Hinkley Point C nuclear power station. Journal of Rock Mechanics and Geotechnical Engineering, 13(3), pp.500-512.</w:t>
      </w:r>
    </w:p>
    <w:p w:rsidR="00530209" w:rsidRDefault="00530209" w14:paraId="0A67CF8F" w14:textId="77777777">
      <w:pPr>
        <w:jc w:val="left"/>
      </w:pPr>
      <w:r w:rsidR="20D999A8">
        <w:rPr/>
        <w:t>Daniel, E. and Daniel, P.A., 2019. Megaprojects as complex adaptive systems: The Hinkley point C case. International Journal of Project Management, 37(8), pp.1017-1033.</w:t>
      </w:r>
    </w:p>
    <w:p w:rsidR="00530209" w:rsidRDefault="00530209" w14:paraId="4913BBE1" w14:textId="77777777">
      <w:pPr>
        <w:jc w:val="left"/>
      </w:pPr>
      <w:r>
        <w:lastRenderedPageBreak/>
        <w:t>Glasson, J., Durning, B., Broderick, M. and Welch, K., 2021. Monitoring and auditing the local socio-economic and environmental impacts of the early stage construction of Hinkley Point C Nuclear Power Station, UK. Impact Assessment and Project Appraisal, 39(2), pp.84-95.</w:t>
      </w:r>
    </w:p>
    <w:p w:rsidR="00530209" w:rsidRDefault="00530209" w14:paraId="151B8873" w14:textId="77777777">
      <w:pPr>
        <w:jc w:val="left"/>
      </w:pPr>
      <w:r>
        <w:t xml:space="preserve">Hinkley Point C - National Audit Office (NAO) report (2022) National Audit Office (NAO). Available at: </w:t>
      </w:r>
      <w:hyperlink r:id="rId8">
        <w:r>
          <w:rPr>
            <w:color w:val="1155CC"/>
            <w:u w:val="single"/>
          </w:rPr>
          <w:t>https://www.nao.org.uk/reports/hinkley-point-c/</w:t>
        </w:r>
      </w:hyperlink>
      <w:r>
        <w:t xml:space="preserve">  </w:t>
      </w:r>
    </w:p>
    <w:p w:rsidR="00530209" w:rsidRDefault="00530209" w14:paraId="5C4E51DB" w14:textId="77777777">
      <w:pPr>
        <w:jc w:val="left"/>
      </w:pPr>
      <w:r>
        <w:t xml:space="preserve">Hinkley Point C in doubt after British government delays approval (2016) The Guardian. Guardian News and Media. Available at: </w:t>
      </w:r>
      <w:hyperlink r:id="rId9">
        <w:r>
          <w:rPr>
            <w:color w:val="1155CC"/>
            <w:u w:val="single"/>
          </w:rPr>
          <w:t>https://www.theguardian.com/business/2016/jul/28/hinkley-point-c-to-go-ahead-after-edf-board-approves-project</w:t>
        </w:r>
      </w:hyperlink>
      <w:r>
        <w:t xml:space="preserve"> </w:t>
      </w:r>
    </w:p>
    <w:p w:rsidR="00530209" w:rsidRDefault="00530209" w14:paraId="007343C9" w14:noSpellErr="1" w14:textId="519CD44F">
      <w:pPr>
        <w:jc w:val="left"/>
      </w:pPr>
      <w:r w:rsidR="66437152">
        <w:rPr/>
        <w:t xml:space="preserve">Hinkley Point C nuclear plant to run £2.9bn over budget (2019) BBC News. BBC. Available at: </w:t>
      </w:r>
      <w:hyperlink r:id="R7b071c30458e4f68">
        <w:r w:rsidRPr="66437152" w:rsidR="66437152">
          <w:rPr>
            <w:color w:val="1155CC"/>
            <w:u w:val="single"/>
          </w:rPr>
          <w:t>https://www.bbc.com/news/business-49823305</w:t>
        </w:r>
      </w:hyperlink>
      <w:r w:rsidR="66437152">
        <w:rPr/>
        <w:t xml:space="preserve">.  </w:t>
      </w:r>
    </w:p>
    <w:p w:rsidR="00530209" w:rsidRDefault="00530209" w14:paraId="6802C9E1" w14:textId="77777777">
      <w:pPr>
        <w:jc w:val="left"/>
      </w:pPr>
      <w:r>
        <w:t>Popov, O., Yatsyshyn, A., Yatsyshyn, A., Kovach, V., Artemchuk, V., Gurieiev, V., Kutsan, Y., Zinovieva, І., Alieksieieva, O., Kovalenko, V. and Kiv, A., 2021. Immersive technology for training and professional development of nuclear power plants personnel.</w:t>
      </w:r>
    </w:p>
    <w:p w:rsidR="00530209" w:rsidRDefault="00530209" w14:paraId="4E07BCA4" w14:textId="77777777">
      <w:pPr>
        <w:jc w:val="left"/>
      </w:pPr>
      <w:r>
        <w:lastRenderedPageBreak/>
        <w:t>Resch, G. and Suna, D., 2019. Renewable Energies versus Nuclear Power: Comparison of Financial Support Exemplified at the Case of Hinkley Point C. The Technological and Economic Future of Nuclear Power, pp.117-137.</w:t>
      </w:r>
    </w:p>
    <w:p w:rsidR="00530209" w:rsidRDefault="00530209" w14:paraId="19DCBBBE" w14:textId="77777777">
      <w:pPr>
        <w:jc w:val="left"/>
      </w:pPr>
      <w:r>
        <w:t>Sainati, T., Locatelli, G. and Smith, N., 2019. Project financing in nuclear new build, why not? The legal and regulatory barriers. Energy policy, 129, pp.111-119.</w:t>
      </w:r>
    </w:p>
    <w:p w:rsidR="00530209" w:rsidRDefault="00530209" w14:paraId="441B2B89" w14:textId="77777777">
      <w:pPr>
        <w:jc w:val="left"/>
      </w:pPr>
      <w:r>
        <w:t>Stewart, W.R. and Shirvan, K., 2022. Capital cost estimation for advanced nuclear power plants. Renewable and Sustainable Energy Reviews, 155, p.111880.</w:t>
      </w:r>
    </w:p>
    <w:p w:rsidR="00530209" w:rsidRDefault="00530209" w14:paraId="6161F37F" w14:textId="77777777">
      <w:pPr>
        <w:jc w:val="left"/>
      </w:pPr>
      <w:r w:rsidR="20D999A8">
        <w:rPr/>
        <w:t>Wealer, B., Bauer, S., Hirschhausen, C.V., Kemfert, C. and Göke, L., 2021. Investing into third generation nuclear power plants-Review of recent trends and analysis of future investments using Monte Carlo Simulation. Renewable and Sustainable Energy Reviews, 143, p.110836.</w:t>
      </w:r>
    </w:p>
    <w:p w:rsidR="00EC15A5" w:rsidRDefault="00EC15A5" w14:paraId="0000004C" w14:textId="77777777">
      <w:pPr>
        <w:jc w:val="left"/>
      </w:pPr>
    </w:p>
    <w:p w:rsidR="00EC15A5" w:rsidRDefault="00EC15A5" w14:paraId="0000004D" w14:textId="77777777">
      <w:pPr>
        <w:jc w:val="left"/>
      </w:pPr>
    </w:p>
    <w:sectPr w:rsidR="00EC15A5" w:rsidSect="00530209">
      <w:footerReference w:type="default" r:id="rId11"/>
      <w:pgSz w:w="11909" w:h="16834"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B0176" w:rsidP="00530209" w:rsidRDefault="009B0176" w14:paraId="0BAB80DB" w14:textId="77777777">
      <w:pPr>
        <w:spacing w:after="0" w:line="240" w:lineRule="auto"/>
      </w:pPr>
      <w:r>
        <w:separator/>
      </w:r>
    </w:p>
  </w:endnote>
  <w:endnote w:type="continuationSeparator" w:id="0">
    <w:p w:rsidR="009B0176" w:rsidP="00530209" w:rsidRDefault="009B0176" w14:paraId="01A5912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3247279"/>
      <w:docPartObj>
        <w:docPartGallery w:val="Page Numbers (Bottom of Page)"/>
        <w:docPartUnique/>
      </w:docPartObj>
    </w:sdtPr>
    <w:sdtEndPr>
      <w:rPr>
        <w:noProof/>
      </w:rPr>
    </w:sdtEndPr>
    <w:sdtContent>
      <w:p w:rsidR="00530209" w:rsidRDefault="00530209" w14:paraId="6D9D0159" w14:textId="1514C4F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530209" w:rsidRDefault="00530209" w14:paraId="4D9D1F3A"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B0176" w:rsidP="00530209" w:rsidRDefault="009B0176" w14:paraId="427D9478" w14:textId="77777777">
      <w:pPr>
        <w:spacing w:after="0" w:line="240" w:lineRule="auto"/>
      </w:pPr>
      <w:r>
        <w:separator/>
      </w:r>
    </w:p>
  </w:footnote>
  <w:footnote w:type="continuationSeparator" w:id="0">
    <w:p w:rsidR="009B0176" w:rsidP="00530209" w:rsidRDefault="009B0176" w14:paraId="5D67D001" w14:textId="77777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15A5"/>
    <w:rsid w:val="001F2455"/>
    <w:rsid w:val="00530209"/>
    <w:rsid w:val="007F4DFA"/>
    <w:rsid w:val="009B0176"/>
    <w:rsid w:val="00C9661C"/>
    <w:rsid w:val="00EC15A5"/>
    <w:rsid w:val="017FA8AE"/>
    <w:rsid w:val="20D999A8"/>
    <w:rsid w:val="33D08CB9"/>
    <w:rsid w:val="5918627E"/>
    <w:rsid w:val="66437152"/>
    <w:rsid w:val="72EBE1BF"/>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5A2611"/>
  <w15:docId w15:val="{D5B2C1E5-EE21-439B-9FA3-4868D3847B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color w:val="222222"/>
        <w:sz w:val="24"/>
        <w:szCs w:val="24"/>
        <w:lang w:val="en-GB" w:eastAsia="en-IN" w:bidi="bn-IN"/>
      </w:rPr>
    </w:rPrDefault>
    <w:pPrDefault>
      <w:pPr>
        <w:shd w:val="clear" w:color="auto" w:fill="FFFFFF"/>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rsid w:val="00530209"/>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eastAsia="Arial" w:cs="Arial"/>
      <w:color w:val="666666"/>
      <w:sz w:val="30"/>
      <w:szCs w:val="30"/>
    </w:rPr>
  </w:style>
  <w:style w:type="paragraph" w:styleId="Header">
    <w:name w:val="header"/>
    <w:basedOn w:val="Normal"/>
    <w:link w:val="HeaderChar"/>
    <w:uiPriority w:val="99"/>
    <w:unhideWhenUsed/>
    <w:rsid w:val="00530209"/>
    <w:pPr>
      <w:tabs>
        <w:tab w:val="center" w:pos="4513"/>
        <w:tab w:val="right" w:pos="9026"/>
      </w:tabs>
      <w:spacing w:after="0" w:line="240" w:lineRule="auto"/>
    </w:pPr>
    <w:rPr>
      <w:szCs w:val="30"/>
    </w:rPr>
  </w:style>
  <w:style w:type="character" w:styleId="HeaderChar" w:customStyle="1">
    <w:name w:val="Header Char"/>
    <w:basedOn w:val="DefaultParagraphFont"/>
    <w:link w:val="Header"/>
    <w:uiPriority w:val="99"/>
    <w:rsid w:val="00530209"/>
    <w:rPr>
      <w:szCs w:val="30"/>
      <w:shd w:val="clear" w:color="auto" w:fill="FFFFFF"/>
    </w:rPr>
  </w:style>
  <w:style w:type="paragraph" w:styleId="Footer">
    <w:name w:val="footer"/>
    <w:basedOn w:val="Normal"/>
    <w:link w:val="FooterChar"/>
    <w:uiPriority w:val="99"/>
    <w:unhideWhenUsed/>
    <w:rsid w:val="00530209"/>
    <w:pPr>
      <w:tabs>
        <w:tab w:val="center" w:pos="4513"/>
        <w:tab w:val="right" w:pos="9026"/>
      </w:tabs>
      <w:spacing w:after="0" w:line="240" w:lineRule="auto"/>
    </w:pPr>
    <w:rPr>
      <w:szCs w:val="30"/>
    </w:rPr>
  </w:style>
  <w:style w:type="character" w:styleId="FooterChar" w:customStyle="1">
    <w:name w:val="Footer Char"/>
    <w:basedOn w:val="DefaultParagraphFont"/>
    <w:link w:val="Footer"/>
    <w:uiPriority w:val="99"/>
    <w:rsid w:val="00530209"/>
    <w:rPr>
      <w:szCs w:val="30"/>
      <w:shd w:val="clear" w:color="auto" w:fill="FFFFFF"/>
    </w:rPr>
  </w:style>
  <w:style w:type="paragraph" w:styleId="TOCHeading">
    <w:name w:val="TOC Heading"/>
    <w:basedOn w:val="Heading1"/>
    <w:next w:val="Normal"/>
    <w:uiPriority w:val="39"/>
    <w:unhideWhenUsed/>
    <w:qFormat/>
    <w:rsid w:val="00530209"/>
    <w:pPr>
      <w:shd w:val="clear" w:color="auto" w:fill="auto"/>
      <w:spacing w:before="240" w:after="0" w:line="259" w:lineRule="auto"/>
      <w:jc w:val="left"/>
      <w:outlineLvl w:val="9"/>
    </w:pPr>
    <w:rPr>
      <w:rFonts w:asciiTheme="majorHAnsi" w:hAnsiTheme="majorHAnsi" w:eastAsiaTheme="majorEastAsia" w:cstheme="majorBidi"/>
      <w:b w:val="0"/>
      <w:color w:val="365F91" w:themeColor="accent1" w:themeShade="BF"/>
      <w:sz w:val="32"/>
      <w:szCs w:val="32"/>
      <w:lang w:val="en-US" w:eastAsia="en-US" w:bidi="ar-SA"/>
    </w:rPr>
  </w:style>
  <w:style w:type="paragraph" w:styleId="TOC1">
    <w:name w:val="toc 1"/>
    <w:basedOn w:val="Normal"/>
    <w:next w:val="Normal"/>
    <w:autoRedefine/>
    <w:uiPriority w:val="39"/>
    <w:unhideWhenUsed/>
    <w:rsid w:val="00530209"/>
    <w:pPr>
      <w:spacing w:after="100"/>
    </w:pPr>
    <w:rPr>
      <w:szCs w:val="30"/>
    </w:rPr>
  </w:style>
  <w:style w:type="paragraph" w:styleId="TOC2">
    <w:name w:val="toc 2"/>
    <w:basedOn w:val="Normal"/>
    <w:next w:val="Normal"/>
    <w:autoRedefine/>
    <w:uiPriority w:val="39"/>
    <w:unhideWhenUsed/>
    <w:rsid w:val="00530209"/>
    <w:pPr>
      <w:spacing w:after="100"/>
      <w:ind w:left="240"/>
    </w:pPr>
    <w:rPr>
      <w:szCs w:val="30"/>
    </w:rPr>
  </w:style>
  <w:style w:type="character" w:styleId="Hyperlink">
    <w:name w:val="Hyperlink"/>
    <w:basedOn w:val="DefaultParagraphFont"/>
    <w:uiPriority w:val="99"/>
    <w:unhideWhenUsed/>
    <w:rsid w:val="0053020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hyperlink" Target="https://www.nao.org.uk/reports/hinkley-point-c/" TargetMode="External"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hyperlink" Target="https://www.edfenergy.com/energy/nuclear-new-build-projects/hinkley-point-c/about" TargetMode="External"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er" Target="footer1.xml" Id="rId11"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hyperlink" Target="https://www.theguardian.com/business/2016/jul/28/hinkley-point-c-to-go-ahead-after-edf-board-approves-project" TargetMode="External" Id="rId9" /><Relationship Type="http://schemas.openxmlformats.org/officeDocument/2006/relationships/glossaryDocument" Target="glossary/document.xml" Id="Re70eb1236c544a42" /><Relationship Type="http://schemas.openxmlformats.org/officeDocument/2006/relationships/hyperlink" Target="https://www.bbc.com/news/business-49823305" TargetMode="External" Id="R7b071c30458e4f68"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e81a90e0-463b-4e55-90a7-b98203fadbe1}"/>
      </w:docPartPr>
      <w:docPartBody>
        <w:p w14:paraId="05E33A01">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1A8F27-60F4-4355-9825-D356EAE12B2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Pocsik Kriszti</lastModifiedBy>
  <revision>10</revision>
  <dcterms:created xsi:type="dcterms:W3CDTF">2023-03-29T05:06:00.0000000Z</dcterms:created>
  <dcterms:modified xsi:type="dcterms:W3CDTF">2023-04-06T18:15:41.1810850Z</dcterms:modified>
</coreProperties>
</file>