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6DBDA" w14:textId="77777777" w:rsidR="001904A7" w:rsidRDefault="001904A7" w:rsidP="00EA183C">
      <w:pPr>
        <w:pStyle w:val="Heading1"/>
        <w:jc w:val="center"/>
      </w:pPr>
    </w:p>
    <w:p w14:paraId="31D80A19" w14:textId="77777777" w:rsidR="001904A7" w:rsidRDefault="001904A7" w:rsidP="001904A7">
      <w:pPr>
        <w:jc w:val="center"/>
        <w:rPr>
          <w:rFonts w:ascii="Arial" w:hAnsi="Arial" w:cs="Arial"/>
          <w:sz w:val="28"/>
          <w:szCs w:val="28"/>
        </w:rPr>
      </w:pPr>
    </w:p>
    <w:p w14:paraId="7CE93700" w14:textId="77777777" w:rsidR="001904A7" w:rsidRDefault="001904A7" w:rsidP="001904A7">
      <w:pPr>
        <w:jc w:val="center"/>
        <w:rPr>
          <w:rFonts w:ascii="Arial" w:hAnsi="Arial" w:cs="Arial"/>
          <w:sz w:val="28"/>
          <w:szCs w:val="28"/>
        </w:rPr>
      </w:pPr>
    </w:p>
    <w:p w14:paraId="2A1BF6FE" w14:textId="48082E68" w:rsidR="00EA183C" w:rsidRPr="001904A7" w:rsidRDefault="00EA183C" w:rsidP="001904A7">
      <w:pPr>
        <w:jc w:val="center"/>
        <w:rPr>
          <w:rFonts w:ascii="Arial" w:hAnsi="Arial" w:cs="Arial"/>
          <w:sz w:val="28"/>
          <w:szCs w:val="28"/>
        </w:rPr>
      </w:pPr>
      <w:r w:rsidRPr="001904A7">
        <w:rPr>
          <w:rFonts w:ascii="Arial" w:hAnsi="Arial" w:cs="Arial"/>
          <w:sz w:val="28"/>
          <w:szCs w:val="28"/>
        </w:rPr>
        <w:t>Tag-Heuer Company Automation Strategy</w:t>
      </w:r>
    </w:p>
    <w:p w14:paraId="0DDF42B9" w14:textId="77777777" w:rsidR="00EA183C" w:rsidRPr="001904A7" w:rsidRDefault="00EA183C" w:rsidP="001904A7">
      <w:pPr>
        <w:jc w:val="center"/>
        <w:rPr>
          <w:rFonts w:ascii="Arial" w:hAnsi="Arial" w:cs="Arial"/>
          <w:sz w:val="28"/>
          <w:szCs w:val="28"/>
        </w:rPr>
      </w:pPr>
      <w:r w:rsidRPr="001904A7">
        <w:rPr>
          <w:rFonts w:ascii="Arial" w:hAnsi="Arial" w:cs="Arial"/>
          <w:sz w:val="28"/>
          <w:szCs w:val="28"/>
        </w:rPr>
        <w:t>Virtual Customer Engagement (VCE) (TAG Heuer new Strategy) 20/25</w:t>
      </w:r>
    </w:p>
    <w:p w14:paraId="490F5B85" w14:textId="193596AA" w:rsidR="00EA183C" w:rsidRDefault="00EA183C" w:rsidP="001904A7">
      <w:pPr>
        <w:jc w:val="center"/>
        <w:rPr>
          <w:rFonts w:ascii="Arial" w:hAnsi="Arial" w:cs="Arial"/>
          <w:sz w:val="28"/>
          <w:szCs w:val="28"/>
        </w:rPr>
      </w:pPr>
      <w:r w:rsidRPr="001904A7">
        <w:rPr>
          <w:rFonts w:ascii="Arial" w:hAnsi="Arial" w:cs="Arial"/>
          <w:sz w:val="28"/>
          <w:szCs w:val="28"/>
        </w:rPr>
        <w:t>(Critical Evaluation of Strategic management Activities)</w:t>
      </w:r>
    </w:p>
    <w:p w14:paraId="37E1C4B6" w14:textId="77777777" w:rsidR="001904A7" w:rsidRPr="001904A7" w:rsidRDefault="001904A7" w:rsidP="001904A7">
      <w:pPr>
        <w:rPr>
          <w:rFonts w:ascii="Arial" w:hAnsi="Arial" w:cs="Arial"/>
          <w:sz w:val="28"/>
          <w:szCs w:val="28"/>
        </w:rPr>
      </w:pPr>
    </w:p>
    <w:p w14:paraId="3F0D8A7F" w14:textId="77777777" w:rsidR="001904A7" w:rsidRDefault="001904A7" w:rsidP="001904A7">
      <w:pPr>
        <w:rPr>
          <w:rFonts w:ascii="Arial" w:hAnsi="Arial" w:cs="Arial"/>
          <w:sz w:val="28"/>
          <w:szCs w:val="28"/>
        </w:rPr>
      </w:pPr>
    </w:p>
    <w:p w14:paraId="28A7945F" w14:textId="77777777" w:rsidR="001904A7" w:rsidRDefault="001904A7" w:rsidP="001904A7">
      <w:pPr>
        <w:rPr>
          <w:rFonts w:ascii="Arial" w:hAnsi="Arial" w:cs="Arial"/>
          <w:sz w:val="28"/>
          <w:szCs w:val="28"/>
        </w:rPr>
      </w:pPr>
    </w:p>
    <w:p w14:paraId="183FE8D1" w14:textId="3681BE4D" w:rsidR="001904A7" w:rsidRPr="001904A7" w:rsidRDefault="001904A7" w:rsidP="00644981">
      <w:pPr>
        <w:jc w:val="center"/>
        <w:rPr>
          <w:rFonts w:ascii="Arial" w:hAnsi="Arial" w:cs="Arial"/>
          <w:sz w:val="28"/>
          <w:szCs w:val="28"/>
        </w:rPr>
      </w:pPr>
      <w:r>
        <w:rPr>
          <w:rFonts w:ascii="Arial" w:hAnsi="Arial" w:cs="Arial"/>
          <w:sz w:val="28"/>
          <w:szCs w:val="28"/>
        </w:rPr>
        <w:t xml:space="preserve">Module:     </w:t>
      </w:r>
      <w:r w:rsidRPr="001904A7">
        <w:rPr>
          <w:rFonts w:ascii="Arial" w:hAnsi="Arial" w:cs="Arial"/>
          <w:sz w:val="28"/>
          <w:szCs w:val="28"/>
        </w:rPr>
        <w:t>Strategic Management (BMMB701D)</w:t>
      </w:r>
    </w:p>
    <w:p w14:paraId="58220C65" w14:textId="77777777" w:rsidR="00644981" w:rsidRDefault="001904A7" w:rsidP="00644981">
      <w:pPr>
        <w:jc w:val="center"/>
        <w:rPr>
          <w:rFonts w:ascii="Arial" w:hAnsi="Arial" w:cs="Arial"/>
          <w:sz w:val="28"/>
          <w:szCs w:val="28"/>
        </w:rPr>
      </w:pPr>
      <w:r w:rsidRPr="001904A7">
        <w:rPr>
          <w:rFonts w:ascii="Arial" w:hAnsi="Arial" w:cs="Arial"/>
          <w:sz w:val="28"/>
          <w:szCs w:val="28"/>
        </w:rPr>
        <w:t xml:space="preserve">Lecturer: </w:t>
      </w:r>
      <w:r>
        <w:rPr>
          <w:rFonts w:ascii="Arial" w:hAnsi="Arial" w:cs="Arial"/>
          <w:sz w:val="28"/>
          <w:szCs w:val="28"/>
        </w:rPr>
        <w:t xml:space="preserve">  </w:t>
      </w:r>
      <w:r w:rsidRPr="001904A7">
        <w:rPr>
          <w:rFonts w:ascii="Arial" w:hAnsi="Arial" w:cs="Arial"/>
          <w:sz w:val="28"/>
          <w:szCs w:val="28"/>
        </w:rPr>
        <w:t>Gle</w:t>
      </w:r>
      <w:r w:rsidR="00644981">
        <w:rPr>
          <w:rFonts w:ascii="Arial" w:hAnsi="Arial" w:cs="Arial"/>
          <w:sz w:val="28"/>
          <w:szCs w:val="28"/>
        </w:rPr>
        <w:t>n</w:t>
      </w:r>
      <w:r w:rsidRPr="001904A7">
        <w:rPr>
          <w:rFonts w:ascii="Arial" w:hAnsi="Arial" w:cs="Arial"/>
          <w:sz w:val="28"/>
          <w:szCs w:val="28"/>
        </w:rPr>
        <w:t>n</w:t>
      </w:r>
      <w:r>
        <w:rPr>
          <w:rFonts w:ascii="Arial" w:hAnsi="Arial" w:cs="Arial"/>
          <w:sz w:val="28"/>
          <w:szCs w:val="28"/>
        </w:rPr>
        <w:t xml:space="preserve">   </w:t>
      </w:r>
      <w:r w:rsidR="00EA183C" w:rsidRPr="001904A7">
        <w:rPr>
          <w:rFonts w:ascii="Arial" w:hAnsi="Arial" w:cs="Arial"/>
          <w:sz w:val="28"/>
          <w:szCs w:val="28"/>
        </w:rPr>
        <w:t xml:space="preserve"> </w:t>
      </w:r>
    </w:p>
    <w:p w14:paraId="6D36CC83" w14:textId="01B76222" w:rsidR="00EA183C" w:rsidRPr="001904A7" w:rsidRDefault="00644981" w:rsidP="00644981">
      <w:pPr>
        <w:jc w:val="center"/>
        <w:rPr>
          <w:rFonts w:ascii="Arial" w:hAnsi="Arial" w:cs="Arial"/>
          <w:sz w:val="28"/>
          <w:szCs w:val="28"/>
        </w:rPr>
      </w:pPr>
      <w:r>
        <w:rPr>
          <w:rFonts w:ascii="Arial" w:hAnsi="Arial" w:cs="Arial"/>
          <w:sz w:val="28"/>
          <w:szCs w:val="28"/>
        </w:rPr>
        <w:t xml:space="preserve">By </w:t>
      </w:r>
      <w:r w:rsidR="00EA183C" w:rsidRPr="001904A7">
        <w:rPr>
          <w:rFonts w:ascii="Arial" w:hAnsi="Arial" w:cs="Arial"/>
          <w:sz w:val="28"/>
          <w:szCs w:val="28"/>
        </w:rPr>
        <w:t>Omar Roushdi</w:t>
      </w:r>
    </w:p>
    <w:p w14:paraId="6A50BD91" w14:textId="426D912C" w:rsidR="00EA183C" w:rsidRPr="001904A7" w:rsidRDefault="00EA183C" w:rsidP="00644981">
      <w:pPr>
        <w:jc w:val="center"/>
        <w:rPr>
          <w:rFonts w:ascii="Arial" w:hAnsi="Arial" w:cs="Arial"/>
          <w:sz w:val="28"/>
          <w:szCs w:val="28"/>
        </w:rPr>
      </w:pPr>
      <w:r w:rsidRPr="001904A7">
        <w:rPr>
          <w:rFonts w:ascii="Arial" w:hAnsi="Arial" w:cs="Arial"/>
          <w:sz w:val="28"/>
          <w:szCs w:val="28"/>
        </w:rPr>
        <w:t>University of Wales Trinity Saint David</w:t>
      </w:r>
    </w:p>
    <w:p w14:paraId="7B996851" w14:textId="1DBB6BAB" w:rsidR="00EA183C" w:rsidRPr="001904A7" w:rsidRDefault="001904A7" w:rsidP="00644981">
      <w:pPr>
        <w:jc w:val="center"/>
        <w:rPr>
          <w:rFonts w:ascii="Arial" w:hAnsi="Arial" w:cs="Arial"/>
          <w:sz w:val="28"/>
          <w:szCs w:val="28"/>
        </w:rPr>
      </w:pPr>
      <w:r>
        <w:rPr>
          <w:rFonts w:ascii="Arial" w:hAnsi="Arial" w:cs="Arial"/>
          <w:sz w:val="28"/>
          <w:szCs w:val="28"/>
        </w:rPr>
        <w:t xml:space="preserve">Submitted:   </w:t>
      </w:r>
      <w:r w:rsidR="00EA183C" w:rsidRPr="001904A7">
        <w:rPr>
          <w:rFonts w:ascii="Arial" w:hAnsi="Arial" w:cs="Arial"/>
          <w:sz w:val="28"/>
          <w:szCs w:val="28"/>
        </w:rPr>
        <w:t>1</w:t>
      </w:r>
      <w:r w:rsidR="00C12E6D" w:rsidRPr="001904A7">
        <w:rPr>
          <w:rFonts w:ascii="Arial" w:hAnsi="Arial" w:cs="Arial"/>
          <w:sz w:val="28"/>
          <w:szCs w:val="28"/>
        </w:rPr>
        <w:t>7</w:t>
      </w:r>
      <w:r w:rsidR="00EA183C" w:rsidRPr="001904A7">
        <w:rPr>
          <w:rFonts w:ascii="Arial" w:hAnsi="Arial" w:cs="Arial"/>
          <w:sz w:val="28"/>
          <w:szCs w:val="28"/>
        </w:rPr>
        <w:t>/08/2021</w:t>
      </w:r>
    </w:p>
    <w:p w14:paraId="4743F538" w14:textId="77777777" w:rsidR="00EA183C" w:rsidRDefault="00EA183C" w:rsidP="00EA183C">
      <w:pPr>
        <w:pStyle w:val="Heading1"/>
        <w:jc w:val="center"/>
      </w:pPr>
    </w:p>
    <w:p w14:paraId="152340AF" w14:textId="77777777" w:rsidR="00EA183C" w:rsidRDefault="00EA183C" w:rsidP="00EA183C"/>
    <w:p w14:paraId="04753D2A" w14:textId="77777777" w:rsidR="00EA183C" w:rsidRDefault="00EA183C" w:rsidP="00EA183C"/>
    <w:p w14:paraId="20B82197" w14:textId="77777777" w:rsidR="00EA183C" w:rsidRDefault="00EA183C" w:rsidP="00EA183C"/>
    <w:p w14:paraId="52ED7393" w14:textId="77777777" w:rsidR="00EA183C" w:rsidRDefault="00EA183C" w:rsidP="00EA183C"/>
    <w:p w14:paraId="7A77A072" w14:textId="77777777" w:rsidR="00EA183C" w:rsidRDefault="00EA183C" w:rsidP="00EA183C"/>
    <w:p w14:paraId="5A5331A5" w14:textId="77777777" w:rsidR="00EA183C" w:rsidRDefault="00EA183C" w:rsidP="00EA183C"/>
    <w:p w14:paraId="44A46713" w14:textId="77777777" w:rsidR="00EA183C" w:rsidRDefault="00EA183C" w:rsidP="00EA183C"/>
    <w:p w14:paraId="72131F76" w14:textId="77777777" w:rsidR="00EA183C" w:rsidRDefault="00EA183C" w:rsidP="00EA183C"/>
    <w:p w14:paraId="62AAF0B8" w14:textId="77777777" w:rsidR="00EA183C" w:rsidRDefault="00EA183C" w:rsidP="00EA183C"/>
    <w:p w14:paraId="52E1B09D" w14:textId="77777777" w:rsidR="00EA183C" w:rsidRDefault="00EA183C" w:rsidP="00EA183C"/>
    <w:p w14:paraId="374154D9" w14:textId="77777777" w:rsidR="00EA183C" w:rsidRDefault="00EA183C" w:rsidP="00EA183C"/>
    <w:p w14:paraId="6060CC31" w14:textId="77777777" w:rsidR="00EA183C" w:rsidRDefault="00EA183C" w:rsidP="00EA183C"/>
    <w:p w14:paraId="3E3E83B6" w14:textId="6B65629D" w:rsidR="00B15BAE" w:rsidRDefault="00B15BAE" w:rsidP="008B51B9">
      <w:pPr>
        <w:pStyle w:val="Heading1"/>
      </w:pPr>
    </w:p>
    <w:p w14:paraId="2B85188C" w14:textId="2C0B81E9" w:rsidR="005F000E" w:rsidRDefault="005F000E" w:rsidP="005F000E"/>
    <w:p w14:paraId="50839352" w14:textId="77777777" w:rsidR="005F000E" w:rsidRPr="005F000E" w:rsidRDefault="005F000E" w:rsidP="005F000E"/>
    <w:p w14:paraId="7C8658F3" w14:textId="4A12A211" w:rsidR="00EA183C" w:rsidRPr="001904A7" w:rsidRDefault="00EA183C" w:rsidP="005F000E">
      <w:pPr>
        <w:pStyle w:val="Heading1"/>
        <w:rPr>
          <w:b/>
          <w:bCs/>
          <w:color w:val="auto"/>
        </w:rPr>
      </w:pPr>
      <w:bookmarkStart w:id="0" w:name="_Toc80099276"/>
      <w:bookmarkStart w:id="1" w:name="_Toc80101947"/>
      <w:r w:rsidRPr="001904A7">
        <w:rPr>
          <w:b/>
          <w:bCs/>
          <w:color w:val="auto"/>
        </w:rPr>
        <w:lastRenderedPageBreak/>
        <w:t xml:space="preserve">Executive </w:t>
      </w:r>
      <w:r w:rsidR="001904A7" w:rsidRPr="001904A7">
        <w:rPr>
          <w:b/>
          <w:bCs/>
          <w:color w:val="auto"/>
        </w:rPr>
        <w:t>S</w:t>
      </w:r>
      <w:r w:rsidRPr="001904A7">
        <w:rPr>
          <w:b/>
          <w:bCs/>
          <w:color w:val="auto"/>
        </w:rPr>
        <w:t>ummary</w:t>
      </w:r>
      <w:bookmarkEnd w:id="0"/>
      <w:bookmarkEnd w:id="1"/>
    </w:p>
    <w:p w14:paraId="756629FA" w14:textId="77777777" w:rsidR="005F000E" w:rsidRPr="005F000E" w:rsidRDefault="005F000E" w:rsidP="005F000E"/>
    <w:p w14:paraId="402A6250" w14:textId="431DA680" w:rsidR="00EA76A8" w:rsidRPr="00EA76A8" w:rsidRDefault="00EA76A8" w:rsidP="00EA76A8">
      <w:pPr>
        <w:suppressAutoHyphens/>
        <w:autoSpaceDN w:val="0"/>
        <w:spacing w:line="360" w:lineRule="auto"/>
        <w:jc w:val="both"/>
        <w:textAlignment w:val="baseline"/>
        <w:rPr>
          <w:rFonts w:ascii="Arial" w:eastAsia="Calibri" w:hAnsi="Arial" w:cs="Arial"/>
          <w:sz w:val="24"/>
          <w:szCs w:val="24"/>
        </w:rPr>
      </w:pPr>
      <w:r w:rsidRPr="00EA76A8">
        <w:rPr>
          <w:rFonts w:ascii="Arial" w:eastAsia="Calibri" w:hAnsi="Arial" w:cs="Arial"/>
          <w:sz w:val="24"/>
          <w:szCs w:val="24"/>
        </w:rPr>
        <w:t>In the context of preserving the company's existing customers from the repercussions of the Corona pandemic and working to create new strategic solutions aimed at providing more personalized customer care,</w:t>
      </w:r>
      <w:r w:rsidR="00167AE0">
        <w:rPr>
          <w:rFonts w:ascii="Arial" w:eastAsia="Calibri" w:hAnsi="Arial" w:cs="Arial"/>
          <w:sz w:val="24"/>
          <w:szCs w:val="24"/>
        </w:rPr>
        <w:t xml:space="preserve"> in order to </w:t>
      </w:r>
      <w:r w:rsidRPr="00EA76A8">
        <w:rPr>
          <w:rFonts w:ascii="Arial" w:eastAsia="Calibri" w:hAnsi="Arial" w:cs="Arial"/>
          <w:sz w:val="24"/>
          <w:szCs w:val="24"/>
        </w:rPr>
        <w:t xml:space="preserve">be in line with the rapid change in the purchasing behaviour of customers, which has changed to a large extent due to the imposed health isolation laws which have dramatically affected the company's current strategy </w:t>
      </w:r>
      <w:r w:rsidR="00734D4A" w:rsidRPr="00EA76A8">
        <w:rPr>
          <w:rFonts w:ascii="Arial" w:eastAsia="Calibri" w:hAnsi="Arial" w:cs="Arial"/>
          <w:sz w:val="24"/>
          <w:szCs w:val="24"/>
        </w:rPr>
        <w:t>regarding</w:t>
      </w:r>
      <w:r w:rsidRPr="00EA76A8">
        <w:rPr>
          <w:rFonts w:ascii="Arial" w:eastAsia="Calibri" w:hAnsi="Arial" w:cs="Arial"/>
          <w:sz w:val="24"/>
          <w:szCs w:val="24"/>
        </w:rPr>
        <w:t xml:space="preserve"> customer service. The company needed to adjust its strategy quickly to achieve flexibility and provide it with a sustainable competitive opportunity.</w:t>
      </w:r>
    </w:p>
    <w:p w14:paraId="4B0BA69F" w14:textId="64BD2292" w:rsidR="00EA76A8" w:rsidRPr="00EA76A8" w:rsidRDefault="00EA76A8" w:rsidP="00EA76A8">
      <w:pPr>
        <w:suppressAutoHyphens/>
        <w:autoSpaceDN w:val="0"/>
        <w:spacing w:line="360" w:lineRule="auto"/>
        <w:jc w:val="both"/>
        <w:textAlignment w:val="baseline"/>
        <w:rPr>
          <w:rFonts w:ascii="Arial" w:eastAsia="Calibri" w:hAnsi="Arial" w:cs="Arial"/>
          <w:sz w:val="24"/>
          <w:szCs w:val="24"/>
        </w:rPr>
      </w:pPr>
      <w:r w:rsidRPr="00EA76A8">
        <w:rPr>
          <w:rFonts w:ascii="Arial" w:eastAsia="Calibri" w:hAnsi="Arial" w:cs="Arial"/>
          <w:sz w:val="24"/>
          <w:szCs w:val="24"/>
        </w:rPr>
        <w:t>This emergency adjustment in the strategy required an analysis of the company's external and internal situation so that the company's customer service department could meet the need for more personali</w:t>
      </w:r>
      <w:r w:rsidR="005F000E">
        <w:rPr>
          <w:rFonts w:ascii="Arial" w:eastAsia="Calibri" w:hAnsi="Arial" w:cs="Arial"/>
          <w:sz w:val="24"/>
          <w:szCs w:val="24"/>
        </w:rPr>
        <w:t>s</w:t>
      </w:r>
      <w:r w:rsidRPr="00EA76A8">
        <w:rPr>
          <w:rFonts w:ascii="Arial" w:eastAsia="Calibri" w:hAnsi="Arial" w:cs="Arial"/>
          <w:sz w:val="24"/>
          <w:szCs w:val="24"/>
        </w:rPr>
        <w:t>ed customer care</w:t>
      </w:r>
      <w:r w:rsidR="001904A7">
        <w:rPr>
          <w:rFonts w:ascii="Arial" w:eastAsia="Calibri" w:hAnsi="Arial" w:cs="Arial"/>
          <w:sz w:val="24"/>
          <w:szCs w:val="24"/>
        </w:rPr>
        <w:t xml:space="preserve">. To </w:t>
      </w:r>
      <w:r w:rsidRPr="00EA76A8">
        <w:rPr>
          <w:rFonts w:ascii="Arial" w:eastAsia="Calibri" w:hAnsi="Arial" w:cs="Arial"/>
          <w:sz w:val="24"/>
          <w:szCs w:val="24"/>
        </w:rPr>
        <w:t>reach the best results of analy</w:t>
      </w:r>
      <w:r w:rsidR="005F000E">
        <w:rPr>
          <w:rFonts w:ascii="Arial" w:eastAsia="Calibri" w:hAnsi="Arial" w:cs="Arial"/>
          <w:sz w:val="24"/>
          <w:szCs w:val="24"/>
        </w:rPr>
        <w:t>s</w:t>
      </w:r>
      <w:r w:rsidRPr="00EA76A8">
        <w:rPr>
          <w:rFonts w:ascii="Arial" w:eastAsia="Calibri" w:hAnsi="Arial" w:cs="Arial"/>
          <w:sz w:val="24"/>
          <w:szCs w:val="24"/>
        </w:rPr>
        <w:t>ing the company's current strategic position of the company</w:t>
      </w:r>
      <w:r w:rsidR="005F000E">
        <w:rPr>
          <w:rFonts w:ascii="Arial" w:eastAsia="Calibri" w:hAnsi="Arial" w:cs="Arial"/>
          <w:sz w:val="24"/>
          <w:szCs w:val="24"/>
        </w:rPr>
        <w:t>,</w:t>
      </w:r>
      <w:r w:rsidRPr="00EA76A8">
        <w:rPr>
          <w:rFonts w:ascii="Arial" w:eastAsia="Calibri" w:hAnsi="Arial" w:cs="Arial"/>
          <w:sz w:val="24"/>
          <w:szCs w:val="24"/>
        </w:rPr>
        <w:t xml:space="preserve"> PASTEL analysis tool was used, which contributed significantly to clarifying the company's current political, economic, and technological position.</w:t>
      </w:r>
      <w:r w:rsidR="005F000E">
        <w:rPr>
          <w:rFonts w:ascii="Arial" w:eastAsia="Calibri" w:hAnsi="Arial" w:cs="Arial"/>
          <w:sz w:val="24"/>
          <w:szCs w:val="24"/>
        </w:rPr>
        <w:t xml:space="preserve"> </w:t>
      </w:r>
      <w:r w:rsidR="002B4B49">
        <w:rPr>
          <w:rFonts w:ascii="Arial" w:eastAsia="Calibri" w:hAnsi="Arial" w:cs="Arial"/>
          <w:sz w:val="24"/>
          <w:szCs w:val="24"/>
        </w:rPr>
        <w:t>There</w:t>
      </w:r>
      <w:r w:rsidRPr="00EA76A8">
        <w:rPr>
          <w:rFonts w:ascii="Arial" w:eastAsia="Calibri" w:hAnsi="Arial" w:cs="Arial"/>
          <w:sz w:val="24"/>
          <w:szCs w:val="24"/>
        </w:rPr>
        <w:t xml:space="preserve"> is an excellent opportunity for the company to attract the preservation of its customers and attract new customers by using modern technology that provides the customer with a safe shopping opportunity during the pandemic. </w:t>
      </w:r>
    </w:p>
    <w:p w14:paraId="32687BAA" w14:textId="53DFAF14" w:rsidR="00EA76A8" w:rsidRPr="00EA76A8" w:rsidRDefault="00EA76A8" w:rsidP="00EA76A8">
      <w:pPr>
        <w:suppressAutoHyphens/>
        <w:autoSpaceDN w:val="0"/>
        <w:spacing w:line="360" w:lineRule="auto"/>
        <w:jc w:val="both"/>
        <w:textAlignment w:val="baseline"/>
        <w:rPr>
          <w:rFonts w:ascii="Arial" w:eastAsia="Calibri" w:hAnsi="Arial" w:cs="Arial"/>
          <w:sz w:val="24"/>
          <w:szCs w:val="24"/>
        </w:rPr>
      </w:pPr>
      <w:r w:rsidRPr="00EA76A8">
        <w:rPr>
          <w:rFonts w:ascii="Arial" w:eastAsia="Calibri" w:hAnsi="Arial" w:cs="Arial"/>
          <w:sz w:val="24"/>
          <w:szCs w:val="24"/>
        </w:rPr>
        <w:t>Intelligent technology will create an excellent opportunity for the company to modify its current course; to reach that result, the company must modify its electronic platform to provide customers with a virtual interaction opportunity. The new strategic plan for the company is to go virtual within the next five years.</w:t>
      </w:r>
    </w:p>
    <w:p w14:paraId="2208F279" w14:textId="788EE8E6" w:rsidR="00EA76A8" w:rsidRPr="00EA76A8" w:rsidRDefault="00EA76A8" w:rsidP="00EA76A8">
      <w:pPr>
        <w:suppressAutoHyphens/>
        <w:autoSpaceDN w:val="0"/>
        <w:spacing w:line="360" w:lineRule="auto"/>
        <w:jc w:val="both"/>
        <w:textAlignment w:val="baseline"/>
        <w:rPr>
          <w:rFonts w:ascii="Arial" w:eastAsia="Calibri" w:hAnsi="Arial" w:cs="Arial"/>
          <w:sz w:val="24"/>
          <w:szCs w:val="24"/>
        </w:rPr>
      </w:pPr>
      <w:r w:rsidRPr="00EA76A8">
        <w:rPr>
          <w:rFonts w:ascii="Arial" w:eastAsia="Calibri" w:hAnsi="Arial" w:cs="Arial"/>
          <w:sz w:val="24"/>
          <w:szCs w:val="24"/>
        </w:rPr>
        <w:t>The SWOT analysis tool was used to verify the effectiveness of this strategic adjustment and to clarify the weaknesses, strengths, and future opportunities, which showed that</w:t>
      </w:r>
      <w:r w:rsidR="001904A7">
        <w:rPr>
          <w:rFonts w:ascii="Arial" w:eastAsia="Calibri" w:hAnsi="Arial" w:cs="Arial"/>
          <w:sz w:val="24"/>
          <w:szCs w:val="24"/>
        </w:rPr>
        <w:t>,</w:t>
      </w:r>
      <w:r w:rsidRPr="00EA76A8">
        <w:rPr>
          <w:rFonts w:ascii="Arial" w:eastAsia="Calibri" w:hAnsi="Arial" w:cs="Arial"/>
          <w:sz w:val="24"/>
          <w:szCs w:val="24"/>
        </w:rPr>
        <w:t xml:space="preserve"> although the company occupies fourth place globally in terms of presence and spread, it has a weak website compared to its competitors.</w:t>
      </w:r>
    </w:p>
    <w:p w14:paraId="6F7E0C34" w14:textId="0562C94F" w:rsidR="00EA183C" w:rsidRPr="001904A7" w:rsidRDefault="00EA76A8" w:rsidP="001904A7">
      <w:pPr>
        <w:suppressAutoHyphens/>
        <w:autoSpaceDN w:val="0"/>
        <w:spacing w:line="360" w:lineRule="auto"/>
        <w:jc w:val="both"/>
        <w:textAlignment w:val="baseline"/>
        <w:rPr>
          <w:rFonts w:ascii="Arial" w:eastAsia="Calibri" w:hAnsi="Arial" w:cs="Arial"/>
          <w:sz w:val="24"/>
          <w:szCs w:val="24"/>
        </w:rPr>
      </w:pPr>
      <w:r w:rsidRPr="00EA76A8">
        <w:rPr>
          <w:rFonts w:ascii="Arial" w:eastAsia="Calibri" w:hAnsi="Arial" w:cs="Arial"/>
          <w:sz w:val="24"/>
          <w:szCs w:val="24"/>
        </w:rPr>
        <w:t xml:space="preserve">This report clarified the strategic priorities that the company should take into consideration, which was a better understanding of the consumer through data analysis, customer involvement in the purchasing process, and product update through communication and electronic opinion polls. The company can </w:t>
      </w:r>
      <w:r w:rsidR="001904A7">
        <w:rPr>
          <w:rFonts w:ascii="Arial" w:eastAsia="Calibri" w:hAnsi="Arial" w:cs="Arial"/>
          <w:sz w:val="24"/>
          <w:szCs w:val="24"/>
        </w:rPr>
        <w:t>then</w:t>
      </w:r>
      <w:r w:rsidRPr="00EA76A8">
        <w:rPr>
          <w:rFonts w:ascii="Arial" w:eastAsia="Calibri" w:hAnsi="Arial" w:cs="Arial"/>
          <w:sz w:val="24"/>
          <w:szCs w:val="24"/>
        </w:rPr>
        <w:t xml:space="preserve"> reach the desired strategic goal, which is to achieve the best customer service.</w:t>
      </w:r>
    </w:p>
    <w:p w14:paraId="5426C530" w14:textId="77777777" w:rsidR="002B4B49" w:rsidRDefault="002B4B49" w:rsidP="00EA183C">
      <w:pPr>
        <w:pStyle w:val="Heading1"/>
        <w:rPr>
          <w:b/>
          <w:bCs/>
          <w:color w:val="auto"/>
        </w:rPr>
      </w:pPr>
    </w:p>
    <w:sdt>
      <w:sdtPr>
        <w:rPr>
          <w:rFonts w:asciiTheme="minorHAnsi" w:eastAsiaTheme="minorHAnsi" w:hAnsiTheme="minorHAnsi" w:cstheme="minorBidi"/>
          <w:color w:val="auto"/>
          <w:sz w:val="22"/>
          <w:szCs w:val="22"/>
          <w:lang w:val="en-GB"/>
        </w:rPr>
        <w:id w:val="1059440112"/>
        <w:docPartObj>
          <w:docPartGallery w:val="Table of Contents"/>
          <w:docPartUnique/>
        </w:docPartObj>
      </w:sdtPr>
      <w:sdtEndPr>
        <w:rPr>
          <w:b/>
          <w:bCs/>
          <w:noProof/>
        </w:rPr>
      </w:sdtEndPr>
      <w:sdtContent>
        <w:p w14:paraId="79AD61AF" w14:textId="7E2FB34B" w:rsidR="002B4B49" w:rsidRDefault="00570706">
          <w:pPr>
            <w:pStyle w:val="TOCHeading"/>
          </w:pPr>
          <w:r w:rsidRPr="00570706">
            <w:rPr>
              <w:b/>
              <w:bCs/>
              <w:color w:val="auto"/>
            </w:rPr>
            <w:t>Table of</w:t>
          </w:r>
          <w:r>
            <w:t xml:space="preserve"> </w:t>
          </w:r>
          <w:r w:rsidR="002B4B49" w:rsidRPr="002B4B49">
            <w:rPr>
              <w:b/>
              <w:bCs/>
              <w:color w:val="auto"/>
            </w:rPr>
            <w:t>Contents</w:t>
          </w:r>
        </w:p>
        <w:p w14:paraId="48DD3D2B" w14:textId="77777777" w:rsidR="002B4B49" w:rsidRPr="002B4B49" w:rsidRDefault="002B4B49" w:rsidP="002B4B49">
          <w:pPr>
            <w:rPr>
              <w:lang w:val="en-US"/>
            </w:rPr>
          </w:pPr>
        </w:p>
        <w:p w14:paraId="75487228" w14:textId="6F8513FA" w:rsidR="00417678" w:rsidRDefault="002B4B49">
          <w:pPr>
            <w:pStyle w:val="TOC1"/>
            <w:tabs>
              <w:tab w:val="right" w:leader="dot" w:pos="9016"/>
            </w:tabs>
            <w:rPr>
              <w:rFonts w:eastAsiaTheme="minorEastAsia"/>
              <w:noProof/>
              <w:lang w:val="en-US" w:eastAsia="zh-CN"/>
            </w:rPr>
          </w:pPr>
          <w:r w:rsidRPr="002B4B49">
            <w:rPr>
              <w:rFonts w:ascii="Arial" w:hAnsi="Arial" w:cs="Arial"/>
              <w:sz w:val="24"/>
              <w:szCs w:val="24"/>
            </w:rPr>
            <w:fldChar w:fldCharType="begin"/>
          </w:r>
          <w:r w:rsidRPr="002B4B49">
            <w:rPr>
              <w:rFonts w:ascii="Arial" w:hAnsi="Arial" w:cs="Arial"/>
              <w:sz w:val="24"/>
              <w:szCs w:val="24"/>
            </w:rPr>
            <w:instrText xml:space="preserve"> TOC \o "1-3" \h \z \u </w:instrText>
          </w:r>
          <w:r w:rsidRPr="002B4B49">
            <w:rPr>
              <w:rFonts w:ascii="Arial" w:hAnsi="Arial" w:cs="Arial"/>
              <w:sz w:val="24"/>
              <w:szCs w:val="24"/>
            </w:rPr>
            <w:fldChar w:fldCharType="separate"/>
          </w:r>
          <w:hyperlink w:anchor="_Toc80101947" w:history="1"/>
        </w:p>
        <w:p w14:paraId="775053FA" w14:textId="2433BCC7"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48" w:history="1">
            <w:r w:rsidR="00417678" w:rsidRPr="00B70969">
              <w:rPr>
                <w:rStyle w:val="Hyperlink"/>
                <w:rFonts w:ascii="Arial" w:hAnsi="Arial" w:cs="Arial"/>
                <w:noProof/>
                <w:sz w:val="24"/>
                <w:szCs w:val="24"/>
              </w:rPr>
              <w:t>Introduction</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_Toc80101948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4</w:t>
            </w:r>
            <w:r w:rsidR="00417678" w:rsidRPr="00B70969">
              <w:rPr>
                <w:rFonts w:ascii="Arial" w:hAnsi="Arial" w:cs="Arial"/>
                <w:noProof/>
                <w:webHidden/>
                <w:sz w:val="24"/>
                <w:szCs w:val="24"/>
              </w:rPr>
              <w:fldChar w:fldCharType="end"/>
            </w:r>
          </w:hyperlink>
        </w:p>
        <w:p w14:paraId="5FB289F1" w14:textId="54D725B0"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49" w:history="1">
            <w:r w:rsidR="00417678" w:rsidRPr="00B70969">
              <w:rPr>
                <w:rStyle w:val="Hyperlink"/>
                <w:rFonts w:ascii="Arial" w:hAnsi="Arial" w:cs="Arial"/>
                <w:noProof/>
                <w:sz w:val="24"/>
                <w:szCs w:val="24"/>
              </w:rPr>
              <w:t>Company profile</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_Toc80101949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5</w:t>
            </w:r>
            <w:r w:rsidR="00417678" w:rsidRPr="00B70969">
              <w:rPr>
                <w:rFonts w:ascii="Arial" w:hAnsi="Arial" w:cs="Arial"/>
                <w:noProof/>
                <w:webHidden/>
                <w:sz w:val="24"/>
                <w:szCs w:val="24"/>
              </w:rPr>
              <w:fldChar w:fldCharType="end"/>
            </w:r>
          </w:hyperlink>
        </w:p>
        <w:p w14:paraId="5F62C096" w14:textId="5D9C253B"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0" w:history="1">
            <w:r w:rsidR="00417678" w:rsidRPr="00B70969">
              <w:rPr>
                <w:rStyle w:val="Hyperlink"/>
                <w:rFonts w:ascii="Arial" w:hAnsi="Arial" w:cs="Arial"/>
                <w:noProof/>
                <w:sz w:val="24"/>
                <w:szCs w:val="24"/>
              </w:rPr>
              <w:t>Why TAG Heuer needs to apply some new strategic changes?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_Toc80101950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5</w:t>
            </w:r>
            <w:r w:rsidR="00417678" w:rsidRPr="00B70969">
              <w:rPr>
                <w:rFonts w:ascii="Arial" w:hAnsi="Arial" w:cs="Arial"/>
                <w:noProof/>
                <w:webHidden/>
                <w:sz w:val="24"/>
                <w:szCs w:val="24"/>
              </w:rPr>
              <w:fldChar w:fldCharType="end"/>
            </w:r>
          </w:hyperlink>
        </w:p>
        <w:p w14:paraId="6A8312C1" w14:textId="31B4DDC9"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1" w:history="1">
            <w:r w:rsidR="00417678" w:rsidRPr="00B70969">
              <w:rPr>
                <w:rStyle w:val="Hyperlink"/>
                <w:rFonts w:ascii="Arial" w:hAnsi="Arial" w:cs="Arial"/>
                <w:noProof/>
                <w:sz w:val="24"/>
                <w:szCs w:val="24"/>
              </w:rPr>
              <w:t>Main Findings of strategic analysis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_Toc80101951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6</w:t>
            </w:r>
            <w:r w:rsidR="00417678" w:rsidRPr="00B70969">
              <w:rPr>
                <w:rFonts w:ascii="Arial" w:hAnsi="Arial" w:cs="Arial"/>
                <w:noProof/>
                <w:webHidden/>
                <w:sz w:val="24"/>
                <w:szCs w:val="24"/>
              </w:rPr>
              <w:fldChar w:fldCharType="end"/>
            </w:r>
          </w:hyperlink>
        </w:p>
        <w:p w14:paraId="41737544" w14:textId="532ABE90"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2" w:history="1">
            <w:r w:rsidR="00417678" w:rsidRPr="00B70969">
              <w:rPr>
                <w:rStyle w:val="Hyperlink"/>
                <w:rFonts w:ascii="Arial" w:hAnsi="Arial" w:cs="Arial"/>
                <w:noProof/>
                <w:sz w:val="24"/>
                <w:szCs w:val="24"/>
              </w:rPr>
              <w:t>TAG Heuer’s current business environment</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_Toc80101952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6</w:t>
            </w:r>
            <w:r w:rsidR="00417678" w:rsidRPr="00B70969">
              <w:rPr>
                <w:rFonts w:ascii="Arial" w:hAnsi="Arial" w:cs="Arial"/>
                <w:noProof/>
                <w:webHidden/>
                <w:sz w:val="24"/>
                <w:szCs w:val="24"/>
              </w:rPr>
              <w:fldChar w:fldCharType="end"/>
            </w:r>
          </w:hyperlink>
        </w:p>
        <w:p w14:paraId="056694E9" w14:textId="5864E4BA"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3" w:history="1">
            <w:r w:rsidR="00417678" w:rsidRPr="00B70969">
              <w:rPr>
                <w:rStyle w:val="Hyperlink"/>
                <w:rFonts w:ascii="Arial" w:hAnsi="Arial" w:cs="Arial"/>
                <w:noProof/>
                <w:sz w:val="24"/>
                <w:szCs w:val="24"/>
              </w:rPr>
              <w:t>TAG Heuer and the current economic situation</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_Toc80101953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7</w:t>
            </w:r>
            <w:r w:rsidR="00417678" w:rsidRPr="00B70969">
              <w:rPr>
                <w:rFonts w:ascii="Arial" w:hAnsi="Arial" w:cs="Arial"/>
                <w:noProof/>
                <w:webHidden/>
                <w:sz w:val="24"/>
                <w:szCs w:val="24"/>
              </w:rPr>
              <w:fldChar w:fldCharType="end"/>
            </w:r>
          </w:hyperlink>
        </w:p>
        <w:p w14:paraId="4B6B7500" w14:textId="60581957"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4" w:history="1">
            <w:r w:rsidR="00417678" w:rsidRPr="00B70969">
              <w:rPr>
                <w:rStyle w:val="Hyperlink"/>
                <w:rFonts w:ascii="Arial" w:hAnsi="Arial" w:cs="Arial"/>
                <w:noProof/>
                <w:sz w:val="24"/>
                <w:szCs w:val="24"/>
              </w:rPr>
              <w:t>Online business in TAG Heuer and the current technological situation</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_Toc80101954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7</w:t>
            </w:r>
            <w:r w:rsidR="00417678" w:rsidRPr="00B70969">
              <w:rPr>
                <w:rFonts w:ascii="Arial" w:hAnsi="Arial" w:cs="Arial"/>
                <w:noProof/>
                <w:webHidden/>
                <w:sz w:val="24"/>
                <w:szCs w:val="24"/>
              </w:rPr>
              <w:fldChar w:fldCharType="end"/>
            </w:r>
          </w:hyperlink>
        </w:p>
        <w:p w14:paraId="74747057" w14:textId="4744C9EC"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5" w:history="1">
            <w:r w:rsidR="00417678" w:rsidRPr="00B70969">
              <w:rPr>
                <w:rStyle w:val="Hyperlink"/>
                <w:rFonts w:ascii="Arial" w:hAnsi="Arial" w:cs="Arial"/>
                <w:noProof/>
                <w:sz w:val="24"/>
                <w:szCs w:val="24"/>
              </w:rPr>
              <w:t>Strategic priorities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_Toc80101955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8</w:t>
            </w:r>
            <w:r w:rsidR="00417678" w:rsidRPr="00B70969">
              <w:rPr>
                <w:rFonts w:ascii="Arial" w:hAnsi="Arial" w:cs="Arial"/>
                <w:noProof/>
                <w:webHidden/>
                <w:sz w:val="24"/>
                <w:szCs w:val="24"/>
              </w:rPr>
              <w:fldChar w:fldCharType="end"/>
            </w:r>
          </w:hyperlink>
        </w:p>
        <w:p w14:paraId="3206B6A9" w14:textId="4473CACD"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6" w:history="1">
            <w:r w:rsidR="00417678" w:rsidRPr="00B70969">
              <w:rPr>
                <w:rStyle w:val="Hyperlink"/>
                <w:rFonts w:ascii="Arial" w:hAnsi="Arial" w:cs="Arial"/>
                <w:noProof/>
                <w:sz w:val="24"/>
                <w:szCs w:val="24"/>
              </w:rPr>
              <w:t>The strategic priorities that should be considered</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_Toc80101956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9</w:t>
            </w:r>
            <w:r w:rsidR="00417678" w:rsidRPr="00B70969">
              <w:rPr>
                <w:rFonts w:ascii="Arial" w:hAnsi="Arial" w:cs="Arial"/>
                <w:noProof/>
                <w:webHidden/>
                <w:sz w:val="24"/>
                <w:szCs w:val="24"/>
              </w:rPr>
              <w:fldChar w:fldCharType="end"/>
            </w:r>
          </w:hyperlink>
        </w:p>
        <w:p w14:paraId="469A5161" w14:textId="150F23E2"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57" w:history="1">
            <w:r w:rsidR="00417678" w:rsidRPr="00B70969">
              <w:rPr>
                <w:rStyle w:val="Hyperlink"/>
                <w:rFonts w:ascii="Arial" w:hAnsi="Arial" w:cs="Arial"/>
                <w:noProof/>
                <w:sz w:val="24"/>
                <w:szCs w:val="24"/>
              </w:rPr>
              <w:t>SWOT Analysis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_Toc80101957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10</w:t>
            </w:r>
            <w:r w:rsidR="00417678" w:rsidRPr="00B70969">
              <w:rPr>
                <w:rFonts w:ascii="Arial" w:hAnsi="Arial" w:cs="Arial"/>
                <w:noProof/>
                <w:webHidden/>
                <w:sz w:val="24"/>
                <w:szCs w:val="24"/>
              </w:rPr>
              <w:fldChar w:fldCharType="end"/>
            </w:r>
          </w:hyperlink>
        </w:p>
        <w:p w14:paraId="2930C3DE" w14:textId="24E5CF8F" w:rsidR="00417678" w:rsidRPr="00B70969" w:rsidRDefault="000F0DEF">
          <w:pPr>
            <w:pStyle w:val="TOC2"/>
            <w:tabs>
              <w:tab w:val="right" w:leader="dot" w:pos="9016"/>
            </w:tabs>
            <w:rPr>
              <w:rFonts w:ascii="Arial" w:eastAsiaTheme="minorEastAsia" w:hAnsi="Arial" w:cs="Arial"/>
              <w:noProof/>
              <w:sz w:val="24"/>
              <w:szCs w:val="24"/>
              <w:lang w:val="en-US" w:eastAsia="zh-CN"/>
            </w:rPr>
          </w:pPr>
          <w:hyperlink w:anchor="_Toc80101958" w:history="1">
            <w:r w:rsidR="00417678" w:rsidRPr="00B70969">
              <w:rPr>
                <w:rStyle w:val="Hyperlink"/>
                <w:rFonts w:ascii="Arial" w:hAnsi="Arial" w:cs="Arial"/>
                <w:noProof/>
                <w:sz w:val="24"/>
                <w:szCs w:val="24"/>
              </w:rPr>
              <w:t>The strengths of TAG Heuer</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_Toc80101958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11</w:t>
            </w:r>
            <w:r w:rsidR="00417678" w:rsidRPr="00B70969">
              <w:rPr>
                <w:rFonts w:ascii="Arial" w:hAnsi="Arial" w:cs="Arial"/>
                <w:noProof/>
                <w:webHidden/>
                <w:sz w:val="24"/>
                <w:szCs w:val="24"/>
              </w:rPr>
              <w:fldChar w:fldCharType="end"/>
            </w:r>
          </w:hyperlink>
        </w:p>
        <w:p w14:paraId="4ED6D604" w14:textId="02E71031" w:rsidR="00417678" w:rsidRPr="00B70969" w:rsidRDefault="000F0DEF">
          <w:pPr>
            <w:pStyle w:val="TOC2"/>
            <w:tabs>
              <w:tab w:val="right" w:leader="dot" w:pos="9016"/>
            </w:tabs>
            <w:rPr>
              <w:rFonts w:ascii="Arial" w:eastAsiaTheme="minorEastAsia" w:hAnsi="Arial" w:cs="Arial"/>
              <w:noProof/>
              <w:sz w:val="24"/>
              <w:szCs w:val="24"/>
              <w:lang w:val="en-US" w:eastAsia="zh-CN"/>
            </w:rPr>
          </w:pPr>
          <w:hyperlink w:anchor="_Toc80101959" w:history="1">
            <w:r w:rsidR="00417678" w:rsidRPr="00B70969">
              <w:rPr>
                <w:rStyle w:val="Hyperlink"/>
                <w:rFonts w:ascii="Arial" w:hAnsi="Arial" w:cs="Arial"/>
                <w:noProof/>
                <w:sz w:val="24"/>
                <w:szCs w:val="24"/>
              </w:rPr>
              <w:t>The weaknesses of TAG Heuer</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_Toc80101959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11</w:t>
            </w:r>
            <w:r w:rsidR="00417678" w:rsidRPr="00B70969">
              <w:rPr>
                <w:rFonts w:ascii="Arial" w:hAnsi="Arial" w:cs="Arial"/>
                <w:noProof/>
                <w:webHidden/>
                <w:sz w:val="24"/>
                <w:szCs w:val="24"/>
              </w:rPr>
              <w:fldChar w:fldCharType="end"/>
            </w:r>
          </w:hyperlink>
        </w:p>
        <w:p w14:paraId="22DD4467" w14:textId="3F2A94D5" w:rsidR="00417678" w:rsidRPr="00B70969" w:rsidRDefault="000F0DEF">
          <w:pPr>
            <w:pStyle w:val="TOC2"/>
            <w:tabs>
              <w:tab w:val="right" w:leader="dot" w:pos="9016"/>
            </w:tabs>
            <w:rPr>
              <w:rFonts w:ascii="Arial" w:eastAsiaTheme="minorEastAsia" w:hAnsi="Arial" w:cs="Arial"/>
              <w:noProof/>
              <w:sz w:val="24"/>
              <w:szCs w:val="24"/>
              <w:lang w:val="en-US" w:eastAsia="zh-CN"/>
            </w:rPr>
          </w:pPr>
          <w:hyperlink w:anchor="_Toc80101960" w:history="1">
            <w:r w:rsidR="00417678" w:rsidRPr="00B70969">
              <w:rPr>
                <w:rStyle w:val="Hyperlink"/>
                <w:rFonts w:ascii="Arial" w:hAnsi="Arial" w:cs="Arial"/>
                <w:noProof/>
                <w:sz w:val="24"/>
                <w:szCs w:val="24"/>
              </w:rPr>
              <w:t>TAG Heuer Opportunities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_Toc80101960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12</w:t>
            </w:r>
            <w:r w:rsidR="00417678" w:rsidRPr="00B70969">
              <w:rPr>
                <w:rFonts w:ascii="Arial" w:hAnsi="Arial" w:cs="Arial"/>
                <w:noProof/>
                <w:webHidden/>
                <w:sz w:val="24"/>
                <w:szCs w:val="24"/>
              </w:rPr>
              <w:fldChar w:fldCharType="end"/>
            </w:r>
          </w:hyperlink>
        </w:p>
        <w:p w14:paraId="1D95DAF1" w14:textId="5F5C5494" w:rsidR="00417678" w:rsidRPr="00B70969" w:rsidRDefault="000F0DEF">
          <w:pPr>
            <w:pStyle w:val="TOC2"/>
            <w:tabs>
              <w:tab w:val="right" w:leader="dot" w:pos="9016"/>
            </w:tabs>
            <w:rPr>
              <w:rFonts w:ascii="Arial" w:eastAsiaTheme="minorEastAsia" w:hAnsi="Arial" w:cs="Arial"/>
              <w:noProof/>
              <w:sz w:val="24"/>
              <w:szCs w:val="24"/>
              <w:lang w:val="en-US" w:eastAsia="zh-CN"/>
            </w:rPr>
          </w:pPr>
          <w:hyperlink w:anchor="_Toc80101961" w:history="1">
            <w:r w:rsidR="00417678" w:rsidRPr="00B70969">
              <w:rPr>
                <w:rStyle w:val="Hyperlink"/>
                <w:rFonts w:ascii="Arial" w:hAnsi="Arial" w:cs="Arial"/>
                <w:noProof/>
                <w:sz w:val="24"/>
                <w:szCs w:val="24"/>
              </w:rPr>
              <w:t>TAG Heuer Threats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_Toc80101961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13</w:t>
            </w:r>
            <w:r w:rsidR="00417678" w:rsidRPr="00B70969">
              <w:rPr>
                <w:rFonts w:ascii="Arial" w:hAnsi="Arial" w:cs="Arial"/>
                <w:noProof/>
                <w:webHidden/>
                <w:sz w:val="24"/>
                <w:szCs w:val="24"/>
              </w:rPr>
              <w:fldChar w:fldCharType="end"/>
            </w:r>
          </w:hyperlink>
        </w:p>
        <w:p w14:paraId="18FD19E2" w14:textId="6EFA4786"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62" w:history="1">
            <w:r w:rsidR="00417678" w:rsidRPr="00B70969">
              <w:rPr>
                <w:rStyle w:val="Hyperlink"/>
                <w:rFonts w:ascii="Arial" w:hAnsi="Arial" w:cs="Arial"/>
                <w:noProof/>
                <w:sz w:val="24"/>
                <w:szCs w:val="24"/>
              </w:rPr>
              <w:t>Conclusion</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_Toc80101962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13</w:t>
            </w:r>
            <w:r w:rsidR="00417678" w:rsidRPr="00B70969">
              <w:rPr>
                <w:rFonts w:ascii="Arial" w:hAnsi="Arial" w:cs="Arial"/>
                <w:noProof/>
                <w:webHidden/>
                <w:sz w:val="24"/>
                <w:szCs w:val="24"/>
              </w:rPr>
              <w:fldChar w:fldCharType="end"/>
            </w:r>
          </w:hyperlink>
        </w:p>
        <w:p w14:paraId="40D6ADC5" w14:textId="2C7F4762"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63" w:history="1">
            <w:r w:rsidR="00417678" w:rsidRPr="00B70969">
              <w:rPr>
                <w:rStyle w:val="Hyperlink"/>
                <w:rFonts w:ascii="Arial" w:hAnsi="Arial" w:cs="Arial"/>
                <w:noProof/>
                <w:sz w:val="24"/>
                <w:szCs w:val="24"/>
              </w:rPr>
              <w:t>Recommendations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_Toc80101963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14</w:t>
            </w:r>
            <w:r w:rsidR="00417678" w:rsidRPr="00B70969">
              <w:rPr>
                <w:rFonts w:ascii="Arial" w:hAnsi="Arial" w:cs="Arial"/>
                <w:noProof/>
                <w:webHidden/>
                <w:sz w:val="24"/>
                <w:szCs w:val="24"/>
              </w:rPr>
              <w:fldChar w:fldCharType="end"/>
            </w:r>
          </w:hyperlink>
        </w:p>
        <w:p w14:paraId="06D54107" w14:textId="254FC1AD" w:rsidR="00417678" w:rsidRPr="00B70969" w:rsidRDefault="000F0DEF">
          <w:pPr>
            <w:pStyle w:val="TOC1"/>
            <w:tabs>
              <w:tab w:val="right" w:leader="dot" w:pos="9016"/>
            </w:tabs>
            <w:rPr>
              <w:rFonts w:ascii="Arial" w:eastAsiaTheme="minorEastAsia" w:hAnsi="Arial" w:cs="Arial"/>
              <w:noProof/>
              <w:sz w:val="24"/>
              <w:szCs w:val="24"/>
              <w:lang w:val="en-US" w:eastAsia="zh-CN"/>
            </w:rPr>
          </w:pPr>
          <w:hyperlink w:anchor="_Toc80101964" w:history="1">
            <w:r w:rsidR="00417678" w:rsidRPr="00B70969">
              <w:rPr>
                <w:rStyle w:val="Hyperlink"/>
                <w:rFonts w:ascii="Arial" w:hAnsi="Arial" w:cs="Arial"/>
                <w:noProof/>
                <w:sz w:val="24"/>
                <w:szCs w:val="24"/>
              </w:rPr>
              <w:t>References</w:t>
            </w:r>
            <w:r w:rsidR="00417678" w:rsidRPr="00B70969">
              <w:rPr>
                <w:rFonts w:ascii="Arial" w:hAnsi="Arial" w:cs="Arial"/>
                <w:noProof/>
                <w:webHidden/>
                <w:sz w:val="24"/>
                <w:szCs w:val="24"/>
              </w:rPr>
              <w:tab/>
            </w:r>
            <w:r w:rsidR="00417678" w:rsidRPr="00B70969">
              <w:rPr>
                <w:rFonts w:ascii="Arial" w:hAnsi="Arial" w:cs="Arial"/>
                <w:noProof/>
                <w:webHidden/>
                <w:sz w:val="24"/>
                <w:szCs w:val="24"/>
              </w:rPr>
              <w:fldChar w:fldCharType="begin"/>
            </w:r>
            <w:r w:rsidR="00417678" w:rsidRPr="00B70969">
              <w:rPr>
                <w:rFonts w:ascii="Arial" w:hAnsi="Arial" w:cs="Arial"/>
                <w:noProof/>
                <w:webHidden/>
                <w:sz w:val="24"/>
                <w:szCs w:val="24"/>
              </w:rPr>
              <w:instrText xml:space="preserve"> PAGEREF _Toc80101964 \h </w:instrText>
            </w:r>
            <w:r w:rsidR="00417678" w:rsidRPr="00B70969">
              <w:rPr>
                <w:rFonts w:ascii="Arial" w:hAnsi="Arial" w:cs="Arial"/>
                <w:noProof/>
                <w:webHidden/>
                <w:sz w:val="24"/>
                <w:szCs w:val="24"/>
              </w:rPr>
            </w:r>
            <w:r w:rsidR="00417678" w:rsidRPr="00B70969">
              <w:rPr>
                <w:rFonts w:ascii="Arial" w:hAnsi="Arial" w:cs="Arial"/>
                <w:noProof/>
                <w:webHidden/>
                <w:sz w:val="24"/>
                <w:szCs w:val="24"/>
              </w:rPr>
              <w:fldChar w:fldCharType="separate"/>
            </w:r>
            <w:r w:rsidR="00417678" w:rsidRPr="00B70969">
              <w:rPr>
                <w:rFonts w:ascii="Arial" w:hAnsi="Arial" w:cs="Arial"/>
                <w:noProof/>
                <w:webHidden/>
                <w:sz w:val="24"/>
                <w:szCs w:val="24"/>
              </w:rPr>
              <w:t>15</w:t>
            </w:r>
            <w:r w:rsidR="00417678" w:rsidRPr="00B70969">
              <w:rPr>
                <w:rFonts w:ascii="Arial" w:hAnsi="Arial" w:cs="Arial"/>
                <w:noProof/>
                <w:webHidden/>
                <w:sz w:val="24"/>
                <w:szCs w:val="24"/>
              </w:rPr>
              <w:fldChar w:fldCharType="end"/>
            </w:r>
          </w:hyperlink>
        </w:p>
        <w:p w14:paraId="0B895F2D" w14:textId="3E2C5095" w:rsidR="002B4B49" w:rsidRDefault="002B4B49">
          <w:r w:rsidRPr="002B4B49">
            <w:rPr>
              <w:rFonts w:ascii="Arial" w:hAnsi="Arial" w:cs="Arial"/>
              <w:noProof/>
              <w:sz w:val="24"/>
              <w:szCs w:val="24"/>
            </w:rPr>
            <w:fldChar w:fldCharType="end"/>
          </w:r>
        </w:p>
      </w:sdtContent>
    </w:sdt>
    <w:p w14:paraId="175EE76B" w14:textId="77777777" w:rsidR="002B4B49" w:rsidRDefault="002B4B49" w:rsidP="00EA183C">
      <w:pPr>
        <w:pStyle w:val="Heading1"/>
        <w:rPr>
          <w:b/>
          <w:bCs/>
          <w:color w:val="auto"/>
        </w:rPr>
      </w:pPr>
    </w:p>
    <w:p w14:paraId="7B1957A8" w14:textId="20748EF4" w:rsidR="002B4B49" w:rsidRDefault="002B4B49" w:rsidP="00EA183C">
      <w:pPr>
        <w:pStyle w:val="Heading1"/>
        <w:rPr>
          <w:b/>
          <w:bCs/>
          <w:color w:val="auto"/>
        </w:rPr>
      </w:pPr>
    </w:p>
    <w:p w14:paraId="329CE8CE" w14:textId="489BE939" w:rsidR="002B4B49" w:rsidRDefault="002B4B49" w:rsidP="002B4B49"/>
    <w:p w14:paraId="204F0700" w14:textId="356F2471" w:rsidR="002B4B49" w:rsidRDefault="002B4B49" w:rsidP="002B4B49"/>
    <w:p w14:paraId="03D5D374" w14:textId="1E493282" w:rsidR="002B4B49" w:rsidRDefault="002B4B49" w:rsidP="002B4B49"/>
    <w:p w14:paraId="79236058" w14:textId="2DEE8BCD" w:rsidR="002B4B49" w:rsidRDefault="002B4B49" w:rsidP="002B4B49"/>
    <w:p w14:paraId="3375F54A" w14:textId="4874E654" w:rsidR="002B4B49" w:rsidRDefault="002B4B49" w:rsidP="002B4B49"/>
    <w:p w14:paraId="47B4FD01" w14:textId="5110A7BA" w:rsidR="002B4B49" w:rsidRDefault="002B4B49" w:rsidP="002B4B49"/>
    <w:p w14:paraId="06FF6F5A" w14:textId="0FACF742" w:rsidR="002B4B49" w:rsidRDefault="002B4B49" w:rsidP="002B4B49"/>
    <w:p w14:paraId="79965B4A" w14:textId="11506FCC" w:rsidR="002B4B49" w:rsidRDefault="002B4B49" w:rsidP="002B4B49"/>
    <w:p w14:paraId="55DD90F1" w14:textId="77777777" w:rsidR="002B4B49" w:rsidRPr="002B4B49" w:rsidRDefault="002B4B49" w:rsidP="002B4B49"/>
    <w:p w14:paraId="51A70E4A" w14:textId="2EE0A4A7" w:rsidR="00EA183C" w:rsidRDefault="00EA183C" w:rsidP="00EA183C">
      <w:pPr>
        <w:pStyle w:val="Heading1"/>
      </w:pPr>
      <w:bookmarkStart w:id="2" w:name="_Toc80101948"/>
      <w:r w:rsidRPr="001904A7">
        <w:rPr>
          <w:b/>
          <w:bCs/>
          <w:color w:val="auto"/>
        </w:rPr>
        <w:lastRenderedPageBreak/>
        <w:t>Introduction</w:t>
      </w:r>
      <w:bookmarkEnd w:id="2"/>
    </w:p>
    <w:p w14:paraId="10DC2033" w14:textId="77777777" w:rsidR="00EA183C" w:rsidRDefault="00EA183C" w:rsidP="00EA183C"/>
    <w:p w14:paraId="67CC0CE8"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world is witnessing permanent changes in all aspects of life. Both existing national &amp; international business situations are also becoming more complicated and disturbed by the Covid-19 global pandemic. This crisis has had a massive impact on the whole world's economy and business management.</w:t>
      </w:r>
    </w:p>
    <w:p w14:paraId="1A180BF5" w14:textId="39D18E0D"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Some of these changes can be foreseen, and the organisations can work to prepare appropriate strategic plans to address their repercussions on societies and individuals. However, some of these variables may happen suddenly and without forewarning. </w:t>
      </w:r>
    </w:p>
    <w:p w14:paraId="278F6A28" w14:textId="49AA8E9D"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The best example of these variables is Covid-19 which caused many repercussions on health, jobs, financial situation, and business management. The above changes led to the increased need for quick strategic actions </w:t>
      </w:r>
      <w:r w:rsidR="00BC2238">
        <w:rPr>
          <w:rFonts w:ascii="Arial" w:eastAsia="Calibri" w:hAnsi="Arial" w:cs="Arial"/>
          <w:sz w:val="24"/>
          <w:szCs w:val="24"/>
        </w:rPr>
        <w:t xml:space="preserve">including flexibility and audibility </w:t>
      </w:r>
      <w:r w:rsidRPr="00EA183C">
        <w:rPr>
          <w:rFonts w:ascii="Arial" w:eastAsia="Calibri" w:hAnsi="Arial" w:cs="Arial"/>
          <w:sz w:val="24"/>
          <w:szCs w:val="24"/>
        </w:rPr>
        <w:t xml:space="preserve">to support the corporate, authorities and business sectors to achieve and maintain their goals. This dynamic change requires dynamic management to react strategically and effectively towards the challenges. According to an article in the </w:t>
      </w:r>
      <w:r w:rsidRPr="00DA32E4">
        <w:rPr>
          <w:rFonts w:ascii="Arial" w:eastAsia="Calibri" w:hAnsi="Arial" w:cs="Arial"/>
          <w:sz w:val="24"/>
          <w:szCs w:val="24"/>
        </w:rPr>
        <w:t>Economist (2010)</w:t>
      </w:r>
      <w:r w:rsidRPr="00EA183C">
        <w:rPr>
          <w:rFonts w:ascii="Arial" w:eastAsia="Calibri" w:hAnsi="Arial" w:cs="Arial"/>
          <w:sz w:val="24"/>
          <w:szCs w:val="24"/>
        </w:rPr>
        <w:t>, 9 out of 10 company change initiatives are partially reacting to current economic conditions.</w:t>
      </w:r>
    </w:p>
    <w:p w14:paraId="43E84431"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This business report will critically discuss the evaluation of the strategic management activities in one of the leading luxury timepieces companies, known as TAG Heuer, focusing on creatively reshaping the strategic direction of the organisation to help TAG Heuer keep delivering innovative customer care, ensuring future resilience and sustainable competitive advantage against a pandemic's backdrop.</w:t>
      </w:r>
    </w:p>
    <w:p w14:paraId="408CE677"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The report will allow the company to answer several essential questions that have been raised recently regarding the effects of the Covid-19 crisis like: </w:t>
      </w:r>
    </w:p>
    <w:p w14:paraId="66D55B92" w14:textId="77777777" w:rsidR="00BE75B7"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How can the company identify the new changes it needs to deal with quickly? </w:t>
      </w:r>
    </w:p>
    <w:p w14:paraId="787234D3" w14:textId="4D8E4AB8"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What are the needs of the consumers during this challenging time?</w:t>
      </w:r>
    </w:p>
    <w:p w14:paraId="50617B70"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What can potentially change in the industry? </w:t>
      </w:r>
    </w:p>
    <w:p w14:paraId="46C94A09"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How can technology assist CRM to increase customer data during the restrictions of the pandemic? </w:t>
      </w:r>
    </w:p>
    <w:p w14:paraId="332A06A6"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What is the leadership role during this ambiguous &amp; uncertain time? </w:t>
      </w:r>
    </w:p>
    <w:p w14:paraId="6E4DDDCD" w14:textId="4F0AA7F0"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lastRenderedPageBreak/>
        <w:t>In the case of TAG Heuer, this report will use the following elements from the PESTEL tool: Political, Economic, Technological and Legal. Moreover, the SWOT analysis tool will cover the social and environmental elements, in addition to the analysis of strength</w:t>
      </w:r>
      <w:r w:rsidR="00BE75B7">
        <w:rPr>
          <w:rFonts w:ascii="Arial" w:eastAsia="Calibri" w:hAnsi="Arial" w:cs="Arial"/>
          <w:sz w:val="24"/>
          <w:szCs w:val="24"/>
        </w:rPr>
        <w:t>s</w:t>
      </w:r>
      <w:r w:rsidRPr="00EA183C">
        <w:rPr>
          <w:rFonts w:ascii="Arial" w:eastAsia="Calibri" w:hAnsi="Arial" w:cs="Arial"/>
          <w:sz w:val="24"/>
          <w:szCs w:val="24"/>
        </w:rPr>
        <w:t>, weaknesses</w:t>
      </w:r>
      <w:r w:rsidR="00BE75B7">
        <w:rPr>
          <w:rFonts w:ascii="Arial" w:eastAsia="Calibri" w:hAnsi="Arial" w:cs="Arial"/>
          <w:sz w:val="24"/>
          <w:szCs w:val="24"/>
        </w:rPr>
        <w:t>,</w:t>
      </w:r>
      <w:r w:rsidRPr="00EA183C">
        <w:rPr>
          <w:rFonts w:ascii="Arial" w:eastAsia="Calibri" w:hAnsi="Arial" w:cs="Arial"/>
          <w:sz w:val="24"/>
          <w:szCs w:val="24"/>
        </w:rPr>
        <w:t xml:space="preserve"> opportuni</w:t>
      </w:r>
      <w:r w:rsidR="00BE75B7">
        <w:rPr>
          <w:rFonts w:ascii="Arial" w:eastAsia="Calibri" w:hAnsi="Arial" w:cs="Arial"/>
          <w:sz w:val="24"/>
          <w:szCs w:val="24"/>
        </w:rPr>
        <w:t>ties</w:t>
      </w:r>
      <w:r w:rsidRPr="00EA183C">
        <w:rPr>
          <w:rFonts w:ascii="Arial" w:eastAsia="Calibri" w:hAnsi="Arial" w:cs="Arial"/>
          <w:sz w:val="24"/>
          <w:szCs w:val="24"/>
        </w:rPr>
        <w:t xml:space="preserve"> and threats.</w:t>
      </w:r>
    </w:p>
    <w:p w14:paraId="0D10946E" w14:textId="545F25E6" w:rsidR="00DD328A" w:rsidRPr="00BE75B7" w:rsidRDefault="00EA183C" w:rsidP="00EA183C">
      <w:pPr>
        <w:suppressAutoHyphens/>
        <w:autoSpaceDN w:val="0"/>
        <w:spacing w:line="360" w:lineRule="auto"/>
        <w:jc w:val="both"/>
        <w:textAlignment w:val="baseline"/>
        <w:rPr>
          <w:b/>
          <w:bCs/>
        </w:rPr>
      </w:pPr>
      <w:bookmarkStart w:id="3" w:name="_Toc80101949"/>
      <w:r w:rsidRPr="00BE75B7">
        <w:rPr>
          <w:rStyle w:val="Heading1Char"/>
          <w:b/>
          <w:bCs/>
          <w:color w:val="auto"/>
        </w:rPr>
        <w:t>Company profile</w:t>
      </w:r>
      <w:bookmarkEnd w:id="3"/>
      <w:r w:rsidRPr="00BE75B7">
        <w:rPr>
          <w:b/>
          <w:bCs/>
        </w:rPr>
        <w:t xml:space="preserve"> </w:t>
      </w:r>
    </w:p>
    <w:p w14:paraId="3C42F6F6" w14:textId="416C3F39"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TAG Heuer is headquartered in La Chaux-de-Fonds, Switzerland. It is mastering the whole watch watch-making process and operates three additional production sites: Research and Development, watch assembly, and manufacturing of cases, dials, and movements. It is a worldwide company that operates subsidiaries </w:t>
      </w:r>
      <w:r w:rsidR="00BE75B7">
        <w:rPr>
          <w:rFonts w:ascii="Arial" w:eastAsia="Calibri" w:hAnsi="Arial" w:cs="Arial"/>
          <w:sz w:val="24"/>
          <w:szCs w:val="24"/>
        </w:rPr>
        <w:t>i</w:t>
      </w:r>
      <w:r w:rsidRPr="00EA183C">
        <w:rPr>
          <w:rFonts w:ascii="Arial" w:eastAsia="Calibri" w:hAnsi="Arial" w:cs="Arial"/>
          <w:sz w:val="24"/>
          <w:szCs w:val="24"/>
        </w:rPr>
        <w:t>n all continents and over 120 countries. (MarketLine, 2020).</w:t>
      </w:r>
    </w:p>
    <w:p w14:paraId="70090E03" w14:textId="6BCC9560"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leadership in the company pursue</w:t>
      </w:r>
      <w:r w:rsidR="00AC265D">
        <w:rPr>
          <w:rFonts w:ascii="Arial" w:eastAsia="Calibri" w:hAnsi="Arial" w:cs="Arial"/>
          <w:sz w:val="24"/>
          <w:szCs w:val="24"/>
        </w:rPr>
        <w:t>s</w:t>
      </w:r>
      <w:r w:rsidRPr="00EA183C">
        <w:rPr>
          <w:rFonts w:ascii="Arial" w:eastAsia="Calibri" w:hAnsi="Arial" w:cs="Arial"/>
          <w:sz w:val="24"/>
          <w:szCs w:val="24"/>
        </w:rPr>
        <w:t xml:space="preserve"> a dual head of marketing department approach in managing its affairs. Megan Taylor, the head of marketing at TAG Heuer, said</w:t>
      </w:r>
      <w:r w:rsidR="00BE75B7">
        <w:rPr>
          <w:rFonts w:ascii="Arial" w:eastAsia="Calibri" w:hAnsi="Arial" w:cs="Arial"/>
          <w:sz w:val="24"/>
          <w:szCs w:val="24"/>
        </w:rPr>
        <w:t xml:space="preserve"> that</w:t>
      </w:r>
      <w:r w:rsidRPr="00EA183C">
        <w:rPr>
          <w:rFonts w:ascii="Arial" w:eastAsia="Calibri" w:hAnsi="Arial" w:cs="Arial"/>
          <w:sz w:val="24"/>
          <w:szCs w:val="24"/>
        </w:rPr>
        <w:t xml:space="preserve"> "</w:t>
      </w:r>
      <w:r w:rsidRPr="00BE75B7">
        <w:rPr>
          <w:rFonts w:ascii="Arial" w:eastAsia="Calibri" w:hAnsi="Arial" w:cs="Arial"/>
          <w:i/>
          <w:iCs/>
          <w:sz w:val="24"/>
          <w:szCs w:val="24"/>
        </w:rPr>
        <w:t>the brand's trend-setter heritage and culture will be key to continuing its bold marketing approach in 2019</w:t>
      </w:r>
      <w:r w:rsidRPr="00EA183C">
        <w:rPr>
          <w:rFonts w:ascii="Arial" w:eastAsia="Calibri" w:hAnsi="Arial" w:cs="Arial"/>
          <w:sz w:val="24"/>
          <w:szCs w:val="24"/>
        </w:rPr>
        <w:t>" (Cameron, 2019). Besides its historical reputation as a partnership with Ferrari and Red bull as official timekeeper, TAG Heuer initiated a partnership strategy with Signet Jewellers, which has more than 3500 stores in the US</w:t>
      </w:r>
      <w:r w:rsidR="00BE75B7">
        <w:rPr>
          <w:rFonts w:ascii="Arial" w:eastAsia="Calibri" w:hAnsi="Arial" w:cs="Arial"/>
          <w:sz w:val="24"/>
          <w:szCs w:val="24"/>
        </w:rPr>
        <w:t>A</w:t>
      </w:r>
      <w:r w:rsidRPr="00EA183C">
        <w:rPr>
          <w:rFonts w:ascii="Arial" w:eastAsia="Calibri" w:hAnsi="Arial" w:cs="Arial"/>
          <w:sz w:val="24"/>
          <w:szCs w:val="24"/>
        </w:rPr>
        <w:t xml:space="preserve">, Canada, </w:t>
      </w:r>
      <w:r w:rsidR="00570706" w:rsidRPr="00EA183C">
        <w:rPr>
          <w:rFonts w:ascii="Arial" w:eastAsia="Calibri" w:hAnsi="Arial" w:cs="Arial"/>
          <w:sz w:val="24"/>
          <w:szCs w:val="24"/>
        </w:rPr>
        <w:t>Australia,</w:t>
      </w:r>
      <w:r w:rsidRPr="00EA183C">
        <w:rPr>
          <w:rFonts w:ascii="Arial" w:eastAsia="Calibri" w:hAnsi="Arial" w:cs="Arial"/>
          <w:sz w:val="24"/>
          <w:szCs w:val="24"/>
        </w:rPr>
        <w:t xml:space="preserve"> and UK, to further increase the company's revenue and capital growth.</w:t>
      </w:r>
    </w:p>
    <w:p w14:paraId="266B7058" w14:textId="7A20BF9E" w:rsidR="00EA183C" w:rsidRPr="00DA32E4" w:rsidRDefault="00EA183C" w:rsidP="00DA32E4">
      <w:pPr>
        <w:pStyle w:val="Heading1"/>
        <w:rPr>
          <w:b/>
          <w:bCs/>
          <w:color w:val="auto"/>
        </w:rPr>
      </w:pPr>
      <w:bookmarkStart w:id="4" w:name="_Toc80101950"/>
      <w:r w:rsidRPr="00DA32E4">
        <w:rPr>
          <w:b/>
          <w:bCs/>
          <w:color w:val="auto"/>
        </w:rPr>
        <w:t>Why TAG Heuer needs to apply some new strategic changes?</w:t>
      </w:r>
      <w:bookmarkEnd w:id="4"/>
    </w:p>
    <w:p w14:paraId="556402AA" w14:textId="77777777" w:rsidR="00BE75B7" w:rsidRPr="00BE75B7" w:rsidRDefault="00BE75B7" w:rsidP="00BE75B7"/>
    <w:p w14:paraId="02C19F23" w14:textId="78C70DBE"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corporate-level strategy defines as "the strategic decisions that lead companies to diversify from one business into other business areas, either related or unrelated" (Lynch, 2015, p.302). Additionally, the corporate-level strategy means the corporate headquarters' role is to direct and influence strategy across a multi-product group of companies. Therefore, it is vital for an organisation, like TAG Heuer, that has multiple business areas</w:t>
      </w:r>
      <w:r w:rsidR="00BE75B7">
        <w:rPr>
          <w:rFonts w:ascii="Arial" w:eastAsia="Calibri" w:hAnsi="Arial" w:cs="Arial"/>
          <w:sz w:val="24"/>
          <w:szCs w:val="24"/>
        </w:rPr>
        <w:t>,</w:t>
      </w:r>
      <w:r w:rsidRPr="00EA183C">
        <w:rPr>
          <w:rFonts w:ascii="Arial" w:eastAsia="Calibri" w:hAnsi="Arial" w:cs="Arial"/>
          <w:sz w:val="24"/>
          <w:szCs w:val="24"/>
        </w:rPr>
        <w:t xml:space="preserve"> to have its own strategic vision (Mazzei, 2017).</w:t>
      </w:r>
    </w:p>
    <w:p w14:paraId="5902B9E9"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Feldman (2020) argues that the steadily increasing number of publications on why it is vital to the corporation to have strategic goals in the organisation (meanwhile accounting for about 40% of all strategic management related articles) indicates the importance of corporate strategy—delving more in-depth shows that only the development of a corporate strategy provides the opportunity to create more value as a company than the sum of the individual Strategic Business Units (SBUs) (Birshan et </w:t>
      </w:r>
      <w:r w:rsidRPr="00EA183C">
        <w:rPr>
          <w:rFonts w:ascii="Arial" w:eastAsia="Calibri" w:hAnsi="Arial" w:cs="Arial"/>
          <w:sz w:val="24"/>
          <w:szCs w:val="24"/>
        </w:rPr>
        <w:lastRenderedPageBreak/>
        <w:t>al., 2011). Therefore, the corporate strategy must be the basis for the entire business and, hence, the basis for each Strategic Business Unit (SBU).</w:t>
      </w:r>
    </w:p>
    <w:p w14:paraId="58A30254"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Interestingly, there is a large gap between the formulation and the implementation of corporate strategy (Hornibrook and Lynch, 2008). The result is then the same (or even worse) as it would be without having any corporate strategy: If the SBUs do not act in concert, the company will either prosper only by chance or utterly fail – probably because no one observed the changes and the risks evolving in the market (Raynor, 2007).</w:t>
      </w:r>
    </w:p>
    <w:p w14:paraId="3FA77245" w14:textId="041C7FCA" w:rsidR="00DD328A" w:rsidRDefault="00EA183C" w:rsidP="00DA32E4">
      <w:pPr>
        <w:pStyle w:val="Heading1"/>
        <w:rPr>
          <w:b/>
          <w:bCs/>
          <w:color w:val="auto"/>
        </w:rPr>
      </w:pPr>
      <w:bookmarkStart w:id="5" w:name="_Toc80101951"/>
      <w:r w:rsidRPr="00DA32E4">
        <w:rPr>
          <w:rStyle w:val="Heading2Char"/>
          <w:b/>
          <w:bCs/>
          <w:color w:val="auto"/>
          <w:sz w:val="32"/>
          <w:szCs w:val="32"/>
        </w:rPr>
        <w:t>Main Findings of strategic analysis</w:t>
      </w:r>
      <w:bookmarkEnd w:id="5"/>
    </w:p>
    <w:p w14:paraId="30CC9BF8" w14:textId="77777777" w:rsidR="00DA32E4" w:rsidRPr="00DA32E4" w:rsidRDefault="00DA32E4" w:rsidP="00DA32E4"/>
    <w:p w14:paraId="009D2377" w14:textId="56D189FC"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social implications on the company during the pandemic as well as the economic situation and the new laws are a huge challenge that the company needs to be aware of to apply some quick changes in its current strategy, which is reflected on the following departments: Customer service Management (CRM), Research and Development department (R&amp;D) and Human Resources (HR) (Mckinsey, 2021).</w:t>
      </w:r>
    </w:p>
    <w:p w14:paraId="276642A1" w14:textId="3A8FEB08"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The PESTEL analysis tool is a mnemonic which in its developed form signifies P for Political, E for Economic, S for Social, T for Technological, L for Legal, and E for Environmental. It provides the organisation's view of the whole business environment from various perspectives to keep track of while contemplating a particular idea or strategic plan. Additionally, the PESTEL tool will assist TAG Heuer in finding out the essential goals the company has put </w:t>
      </w:r>
      <w:r w:rsidR="00690427" w:rsidRPr="00EA183C">
        <w:rPr>
          <w:rFonts w:ascii="Arial" w:eastAsia="Calibri" w:hAnsi="Arial" w:cs="Arial"/>
          <w:sz w:val="24"/>
          <w:szCs w:val="24"/>
        </w:rPr>
        <w:t>for</w:t>
      </w:r>
      <w:r w:rsidR="00690427">
        <w:rPr>
          <w:rFonts w:ascii="Arial" w:eastAsia="Calibri" w:hAnsi="Arial" w:cs="Arial"/>
          <w:sz w:val="24"/>
          <w:szCs w:val="24"/>
        </w:rPr>
        <w:t xml:space="preserve">ward </w:t>
      </w:r>
      <w:r w:rsidRPr="00EA183C">
        <w:rPr>
          <w:rFonts w:ascii="Arial" w:eastAsia="Calibri" w:hAnsi="Arial" w:cs="Arial"/>
          <w:sz w:val="24"/>
          <w:szCs w:val="24"/>
        </w:rPr>
        <w:t xml:space="preserve"> in its developing plans. (Shatskaya, 2016). </w:t>
      </w:r>
    </w:p>
    <w:p w14:paraId="6668A011" w14:textId="06FD4E9C" w:rsidR="00DD328A" w:rsidRDefault="00EA183C" w:rsidP="00DA32E4">
      <w:pPr>
        <w:pStyle w:val="Heading1"/>
        <w:rPr>
          <w:b/>
          <w:bCs/>
          <w:color w:val="auto"/>
        </w:rPr>
      </w:pPr>
      <w:bookmarkStart w:id="6" w:name="_Toc80101952"/>
      <w:r w:rsidRPr="00DA32E4">
        <w:rPr>
          <w:rStyle w:val="Heading2Char"/>
          <w:b/>
          <w:bCs/>
          <w:color w:val="auto"/>
          <w:sz w:val="32"/>
          <w:szCs w:val="32"/>
        </w:rPr>
        <w:t>TAG Heuer</w:t>
      </w:r>
      <w:r w:rsidR="00DA32E4">
        <w:rPr>
          <w:rStyle w:val="Heading2Char"/>
          <w:b/>
          <w:bCs/>
          <w:color w:val="auto"/>
          <w:sz w:val="32"/>
          <w:szCs w:val="32"/>
        </w:rPr>
        <w:t>’s</w:t>
      </w:r>
      <w:r w:rsidRPr="00DA32E4">
        <w:rPr>
          <w:rStyle w:val="Heading2Char"/>
          <w:b/>
          <w:bCs/>
          <w:color w:val="auto"/>
          <w:sz w:val="32"/>
          <w:szCs w:val="32"/>
        </w:rPr>
        <w:t xml:space="preserve"> current business environment</w:t>
      </w:r>
      <w:bookmarkEnd w:id="6"/>
    </w:p>
    <w:p w14:paraId="36DEFB36" w14:textId="77777777" w:rsidR="00DA32E4" w:rsidRPr="00DA32E4" w:rsidRDefault="00DA32E4" w:rsidP="00DA32E4"/>
    <w:p w14:paraId="1916EF63" w14:textId="3E6D6ECA"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According to Pereira (2017), interpretation of the business environment is challenging for organisations, as it </w:t>
      </w:r>
      <w:r w:rsidR="00FA4D6A">
        <w:rPr>
          <w:rFonts w:ascii="Arial" w:eastAsia="Calibri" w:hAnsi="Arial" w:cs="Arial"/>
          <w:sz w:val="24"/>
          <w:szCs w:val="24"/>
        </w:rPr>
        <w:t xml:space="preserve">is </w:t>
      </w:r>
      <w:r w:rsidRPr="00EA183C">
        <w:rPr>
          <w:rFonts w:ascii="Arial" w:eastAsia="Calibri" w:hAnsi="Arial" w:cs="Arial"/>
          <w:sz w:val="24"/>
          <w:szCs w:val="24"/>
        </w:rPr>
        <w:t>require</w:t>
      </w:r>
      <w:r w:rsidR="00FA4D6A">
        <w:rPr>
          <w:rFonts w:ascii="Arial" w:eastAsia="Calibri" w:hAnsi="Arial" w:cs="Arial"/>
          <w:sz w:val="24"/>
          <w:szCs w:val="24"/>
        </w:rPr>
        <w:t>d</w:t>
      </w:r>
      <w:r w:rsidRPr="00EA183C">
        <w:rPr>
          <w:rFonts w:ascii="Arial" w:eastAsia="Calibri" w:hAnsi="Arial" w:cs="Arial"/>
          <w:sz w:val="24"/>
          <w:szCs w:val="24"/>
        </w:rPr>
        <w:t xml:space="preserve"> to be agile, interpret data, shares information, and make</w:t>
      </w:r>
      <w:r w:rsidR="00DA1F95">
        <w:rPr>
          <w:rFonts w:ascii="Arial" w:eastAsia="Calibri" w:hAnsi="Arial" w:cs="Arial"/>
          <w:sz w:val="24"/>
          <w:szCs w:val="24"/>
        </w:rPr>
        <w:t xml:space="preserve">s </w:t>
      </w:r>
      <w:r w:rsidRPr="00EA183C">
        <w:rPr>
          <w:rFonts w:ascii="Arial" w:eastAsia="Calibri" w:hAnsi="Arial" w:cs="Arial"/>
          <w:sz w:val="24"/>
          <w:szCs w:val="24"/>
        </w:rPr>
        <w:t>decision</w:t>
      </w:r>
      <w:r w:rsidR="00DA1F95">
        <w:rPr>
          <w:rFonts w:ascii="Arial" w:eastAsia="Calibri" w:hAnsi="Arial" w:cs="Arial"/>
          <w:sz w:val="24"/>
          <w:szCs w:val="24"/>
        </w:rPr>
        <w:t>s</w:t>
      </w:r>
      <w:r w:rsidRPr="00EA183C">
        <w:rPr>
          <w:rFonts w:ascii="Arial" w:eastAsia="Calibri" w:hAnsi="Arial" w:cs="Arial"/>
          <w:sz w:val="24"/>
          <w:szCs w:val="24"/>
        </w:rPr>
        <w:t xml:space="preserve"> accordingly to achieve greater competitiveness in the market. Companies tend to be designed as open systems that are interacting with the environment, and how this interaction occurs defines the effectiveness and success of the company (Griffin, 2010).</w:t>
      </w:r>
      <w:r w:rsidR="00DA32E4">
        <w:rPr>
          <w:rFonts w:ascii="Arial" w:eastAsia="Calibri" w:hAnsi="Arial" w:cs="Arial"/>
          <w:sz w:val="24"/>
          <w:szCs w:val="24"/>
        </w:rPr>
        <w:t xml:space="preserve"> </w:t>
      </w:r>
      <w:r w:rsidRPr="00EA183C">
        <w:rPr>
          <w:rFonts w:ascii="Arial" w:eastAsia="Calibri" w:hAnsi="Arial" w:cs="Arial"/>
          <w:sz w:val="24"/>
          <w:szCs w:val="24"/>
        </w:rPr>
        <w:t>In the case of TAG Heuer, the nature of the business environment depends on the company's sector, which is luxury retail.</w:t>
      </w:r>
    </w:p>
    <w:p w14:paraId="1FEA603A" w14:textId="088D4D5D"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lastRenderedPageBreak/>
        <w:t>The general environment of this sector is more dynamic than static. However, every sector has its level of dynamics (Naidoo and Gasparatos, 2018). The dynamics of the market might be suddenly changed due to a disruptor, such as a competitor or lately Covid-19 pandemic or a change in the regulations. From the strategic perspective, the main objectives should be to transform to automation online not only to maintain large sales of their key products and explore the new markets with the new entries but also to use big data and AI to create an innovative customer approach. The best example of this transformation automation is</w:t>
      </w:r>
      <w:r w:rsidR="00563110">
        <w:rPr>
          <w:rFonts w:ascii="Arial" w:eastAsia="Calibri" w:hAnsi="Arial" w:cs="Arial"/>
          <w:sz w:val="24"/>
          <w:szCs w:val="24"/>
        </w:rPr>
        <w:t xml:space="preserve"> the </w:t>
      </w:r>
      <w:r w:rsidRPr="00EA183C">
        <w:rPr>
          <w:rFonts w:ascii="Arial" w:eastAsia="Calibri" w:hAnsi="Arial" w:cs="Arial"/>
          <w:sz w:val="24"/>
          <w:szCs w:val="24"/>
        </w:rPr>
        <w:t xml:space="preserve"> Debenhams company which decided to close its stores and become an online retailer (Bourke, 2021).</w:t>
      </w:r>
    </w:p>
    <w:p w14:paraId="7D7A5630" w14:textId="6F857CF7" w:rsidR="00EA183C" w:rsidRPr="00DA32E4" w:rsidRDefault="00EA183C" w:rsidP="00DA32E4">
      <w:pPr>
        <w:pStyle w:val="Heading1"/>
        <w:rPr>
          <w:b/>
          <w:bCs/>
          <w:color w:val="auto"/>
        </w:rPr>
      </w:pPr>
      <w:bookmarkStart w:id="7" w:name="_Toc80101953"/>
      <w:r w:rsidRPr="00DA32E4">
        <w:rPr>
          <w:b/>
          <w:bCs/>
          <w:color w:val="auto"/>
        </w:rPr>
        <w:t>TAG Heuer and the current economic situation</w:t>
      </w:r>
      <w:bookmarkEnd w:id="7"/>
    </w:p>
    <w:p w14:paraId="1DDC02C9" w14:textId="77777777" w:rsidR="00BE75B7" w:rsidRPr="00BE75B7" w:rsidRDefault="00BE75B7" w:rsidP="00BE75B7"/>
    <w:p w14:paraId="59497213" w14:textId="78B76D6D"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extent of recession caused by the coronavirus outbreak is unprecedented in modern times. The gross domestic product (GDP)</w:t>
      </w:r>
      <w:r w:rsidR="00BB6E75">
        <w:rPr>
          <w:rFonts w:ascii="Arial" w:eastAsia="Calibri" w:hAnsi="Arial" w:cs="Arial"/>
          <w:sz w:val="24"/>
          <w:szCs w:val="24"/>
        </w:rPr>
        <w:t xml:space="preserve"> was </w:t>
      </w:r>
      <w:r w:rsidR="00BB6E75" w:rsidRPr="00EA183C">
        <w:rPr>
          <w:rFonts w:ascii="Arial" w:eastAsia="Calibri" w:hAnsi="Arial" w:cs="Arial"/>
          <w:sz w:val="24"/>
          <w:szCs w:val="24"/>
        </w:rPr>
        <w:t>decreased</w:t>
      </w:r>
      <w:r w:rsidR="000058D9">
        <w:rPr>
          <w:rFonts w:ascii="Arial" w:eastAsia="Calibri" w:hAnsi="Arial" w:cs="Arial"/>
          <w:sz w:val="24"/>
          <w:szCs w:val="24"/>
        </w:rPr>
        <w:t xml:space="preserve"> by </w:t>
      </w:r>
      <w:r w:rsidR="000058D9" w:rsidRPr="000058D9">
        <w:rPr>
          <w:rFonts w:ascii="Arial" w:eastAsia="Calibri" w:hAnsi="Arial" w:cs="Arial"/>
          <w:sz w:val="24"/>
          <w:szCs w:val="24"/>
        </w:rPr>
        <w:t xml:space="preserve">25% </w:t>
      </w:r>
      <w:r w:rsidRPr="00EA183C">
        <w:rPr>
          <w:rFonts w:ascii="Arial" w:eastAsia="Calibri" w:hAnsi="Arial" w:cs="Arial"/>
          <w:sz w:val="24"/>
          <w:szCs w:val="24"/>
        </w:rPr>
        <w:t xml:space="preserve"> f</w:t>
      </w:r>
      <w:r w:rsidR="00BB6E75">
        <w:rPr>
          <w:rFonts w:ascii="Arial" w:eastAsia="Calibri" w:hAnsi="Arial" w:cs="Arial"/>
          <w:sz w:val="24"/>
          <w:szCs w:val="24"/>
        </w:rPr>
        <w:t>rom early February 2020 to April 2021(</w:t>
      </w:r>
      <w:r w:rsidRPr="00EA183C">
        <w:rPr>
          <w:rFonts w:ascii="Arial" w:eastAsia="Calibri" w:hAnsi="Arial" w:cs="Arial"/>
          <w:sz w:val="24"/>
          <w:szCs w:val="24"/>
        </w:rPr>
        <w:t xml:space="preserve"> the pandemic duration</w:t>
      </w:r>
      <w:r w:rsidR="00BB6E75">
        <w:rPr>
          <w:rFonts w:ascii="Arial" w:eastAsia="Calibri" w:hAnsi="Arial" w:cs="Arial"/>
          <w:sz w:val="24"/>
          <w:szCs w:val="24"/>
        </w:rPr>
        <w:t>)</w:t>
      </w:r>
      <w:r w:rsidRPr="00EA183C">
        <w:rPr>
          <w:rFonts w:ascii="Arial" w:eastAsia="Calibri" w:hAnsi="Arial" w:cs="Arial"/>
          <w:sz w:val="24"/>
          <w:szCs w:val="24"/>
        </w:rPr>
        <w:t xml:space="preserve"> in April</w:t>
      </w:r>
      <w:r w:rsidR="00BB6E75">
        <w:rPr>
          <w:rFonts w:ascii="Arial" w:eastAsia="Calibri" w:hAnsi="Arial" w:cs="Arial"/>
          <w:sz w:val="24"/>
          <w:szCs w:val="24"/>
        </w:rPr>
        <w:t xml:space="preserve"> 2020</w:t>
      </w:r>
      <w:r w:rsidRPr="00EA183C">
        <w:rPr>
          <w:rFonts w:ascii="Arial" w:eastAsia="Calibri" w:hAnsi="Arial" w:cs="Arial"/>
          <w:sz w:val="24"/>
          <w:szCs w:val="24"/>
        </w:rPr>
        <w:t xml:space="preserve"> than two months earlier in February. However, the economic activity increased over spring and summer, reflecting the economy's opening and pent-up demand from the lockdown period. </w:t>
      </w:r>
      <w:r w:rsidR="00BB6E75">
        <w:rPr>
          <w:rFonts w:ascii="Arial" w:eastAsia="Calibri" w:hAnsi="Arial" w:cs="Arial"/>
          <w:sz w:val="24"/>
          <w:szCs w:val="24"/>
        </w:rPr>
        <w:t xml:space="preserve">Despite this </w:t>
      </w:r>
      <w:r w:rsidRPr="00EA183C">
        <w:rPr>
          <w:rFonts w:ascii="Arial" w:eastAsia="Calibri" w:hAnsi="Arial" w:cs="Arial"/>
          <w:sz w:val="24"/>
          <w:szCs w:val="24"/>
        </w:rPr>
        <w:t xml:space="preserve">GDP </w:t>
      </w:r>
      <w:r w:rsidR="00BB6E75" w:rsidRPr="00BB6E75">
        <w:rPr>
          <w:rFonts w:ascii="Arial" w:eastAsia="Calibri" w:hAnsi="Arial" w:cs="Arial"/>
          <w:sz w:val="24"/>
          <w:szCs w:val="24"/>
        </w:rPr>
        <w:t xml:space="preserve">Overall, </w:t>
      </w:r>
      <w:r w:rsidRPr="00EA183C">
        <w:rPr>
          <w:rFonts w:ascii="Arial" w:eastAsia="Calibri" w:hAnsi="Arial" w:cs="Arial"/>
          <w:sz w:val="24"/>
          <w:szCs w:val="24"/>
        </w:rPr>
        <w:t xml:space="preserve">was 8% lower in October than before the pandemic. </w:t>
      </w:r>
    </w:p>
    <w:p w14:paraId="71AA2415" w14:textId="24297D32"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Since its inception to the market, the TAG Heuer range of products ha</w:t>
      </w:r>
      <w:r w:rsidR="00DA32E4">
        <w:rPr>
          <w:rFonts w:ascii="Arial" w:eastAsia="Calibri" w:hAnsi="Arial" w:cs="Arial"/>
          <w:sz w:val="24"/>
          <w:szCs w:val="24"/>
        </w:rPr>
        <w:t>ve</w:t>
      </w:r>
      <w:r w:rsidRPr="00EA183C">
        <w:rPr>
          <w:rFonts w:ascii="Arial" w:eastAsia="Calibri" w:hAnsi="Arial" w:cs="Arial"/>
          <w:sz w:val="24"/>
          <w:szCs w:val="24"/>
        </w:rPr>
        <w:t xml:space="preserve"> received a major boom in sales. Over 110.00 billion euros Total Revenue has been accrued from the sale of Tag Heuer watches and Profit Ratio of 11.97 </w:t>
      </w:r>
      <w:r w:rsidR="00DA32E4" w:rsidRPr="00EA183C">
        <w:rPr>
          <w:rFonts w:ascii="Arial" w:eastAsia="Calibri" w:hAnsi="Arial" w:cs="Arial"/>
          <w:sz w:val="24"/>
          <w:szCs w:val="24"/>
        </w:rPr>
        <w:t>billion</w:t>
      </w:r>
      <w:r w:rsidRPr="00EA183C">
        <w:rPr>
          <w:rFonts w:ascii="Arial" w:eastAsia="Calibri" w:hAnsi="Arial" w:cs="Arial"/>
          <w:sz w:val="24"/>
          <w:szCs w:val="24"/>
        </w:rPr>
        <w:t xml:space="preserve">. This figure is a key measure of success. The profit ratio measures the amount of profit generated by each single currency unit of sales. This figure is last </w:t>
      </w:r>
      <w:r w:rsidR="003115A8" w:rsidRPr="00EA183C">
        <w:rPr>
          <w:rFonts w:ascii="Arial" w:eastAsia="Calibri" w:hAnsi="Arial" w:cs="Arial"/>
          <w:sz w:val="24"/>
          <w:szCs w:val="24"/>
        </w:rPr>
        <w:t>year</w:t>
      </w:r>
      <w:r w:rsidR="003115A8">
        <w:rPr>
          <w:rFonts w:ascii="Arial" w:eastAsia="Calibri" w:hAnsi="Arial" w:cs="Arial"/>
          <w:sz w:val="24"/>
          <w:szCs w:val="24"/>
        </w:rPr>
        <w:t>’s</w:t>
      </w:r>
      <w:r w:rsidRPr="00EA183C">
        <w:rPr>
          <w:rFonts w:ascii="Arial" w:eastAsia="Calibri" w:hAnsi="Arial" w:cs="Arial"/>
          <w:sz w:val="24"/>
          <w:szCs w:val="24"/>
        </w:rPr>
        <w:t xml:space="preserve"> figure fiscal available.</w:t>
      </w:r>
    </w:p>
    <w:p w14:paraId="27372A06"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The Net Profitability is 8.36 billion. This is a measure of a company's overall profitability, i.e., how much its sales are converting to profit. The value given is the number of sales needed to generate one currency unit of post-tax profit. Negative values mean that the company has a negative level of post-tax profit. The figure is about the latest fiscal year available (Fashion Bi, n.d.; Solca, 2011).</w:t>
      </w:r>
    </w:p>
    <w:p w14:paraId="0A53ED58" w14:textId="05858D2C" w:rsidR="00EA183C" w:rsidRPr="00DA32E4" w:rsidRDefault="00DA32E4" w:rsidP="00DA32E4">
      <w:pPr>
        <w:pStyle w:val="Heading1"/>
        <w:rPr>
          <w:b/>
          <w:bCs/>
          <w:color w:val="auto"/>
        </w:rPr>
      </w:pPr>
      <w:bookmarkStart w:id="8" w:name="_Toc80101954"/>
      <w:r>
        <w:rPr>
          <w:b/>
          <w:bCs/>
          <w:color w:val="auto"/>
        </w:rPr>
        <w:t>O</w:t>
      </w:r>
      <w:r w:rsidR="00EA183C" w:rsidRPr="00DA32E4">
        <w:rPr>
          <w:b/>
          <w:bCs/>
          <w:color w:val="auto"/>
        </w:rPr>
        <w:t>nline business in TAG Heuer and the current technological situation</w:t>
      </w:r>
      <w:bookmarkEnd w:id="8"/>
    </w:p>
    <w:p w14:paraId="3630A659" w14:textId="77777777" w:rsidR="00BE75B7" w:rsidRPr="00BE75B7" w:rsidRDefault="00BE75B7" w:rsidP="00BE75B7"/>
    <w:p w14:paraId="50C4EF2E"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The company claims that it has the fourth rank in the world in terms of presence and spread (TAG Heuer, n.d.). However, if the demands and needs of consumers in 2020 are considered, and that their shopping behaviour has changed to a large extent due </w:t>
      </w:r>
      <w:r w:rsidRPr="00EA183C">
        <w:rPr>
          <w:rFonts w:ascii="Arial" w:eastAsia="Calibri" w:hAnsi="Arial" w:cs="Arial"/>
          <w:sz w:val="24"/>
          <w:szCs w:val="24"/>
        </w:rPr>
        <w:lastRenderedPageBreak/>
        <w:t>to the advances in technology plus the pandemic situation, this should force TAG Heuer to build a new strategy to enhance the customer journey. Moreover, comparing, what the competing companies offer with what Tag Heuer offers through its website, the company has a very basic website and is not suitable for the huge leap in the world of online shopping. (Elle, 2020).</w:t>
      </w:r>
    </w:p>
    <w:p w14:paraId="2E18A9FA" w14:textId="77777777"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In the past ten years or so, many high-end brands such as Volvo and Microsoft have established closer links with customers regarding innovation and value creation through forums based on technology for virtual work environments. These companies benefit from customer participation in product development and support for the company's activities (Morgan, 2019). However, specialists in the world of online shopping attribute the weakness of the TAG Heuer website to the following reasons:</w:t>
      </w:r>
    </w:p>
    <w:p w14:paraId="033DB5BD" w14:textId="02ED5525"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The company enjoys a strong business partnership with one of the largest global companies that monopolise many luxury brands (LVMH Moët Hennessy - Louis Vuitton), which of course enjoys a shopping platform with a high level of artificial intelligence, and therefore provides the opportunity for TAG Heuer to be present online through this platform without the need to spend money on developing its own website. (fashionbi, 2021). However, the huge competition among global manufacturers of </w:t>
      </w:r>
      <w:r w:rsidR="00DA32E4">
        <w:rPr>
          <w:rFonts w:ascii="Arial" w:eastAsia="Calibri" w:hAnsi="Arial" w:cs="Arial"/>
          <w:sz w:val="24"/>
          <w:szCs w:val="24"/>
        </w:rPr>
        <w:t>S</w:t>
      </w:r>
      <w:r w:rsidRPr="00EA183C">
        <w:rPr>
          <w:rFonts w:ascii="Arial" w:eastAsia="Calibri" w:hAnsi="Arial" w:cs="Arial"/>
          <w:sz w:val="24"/>
          <w:szCs w:val="24"/>
        </w:rPr>
        <w:t>wiss watches products is just overwhelming for TAG Heuer, and as a result, the company has a relatively unremarkable global presence in comparison to other market rivals (Raiford, 2020).</w:t>
      </w:r>
    </w:p>
    <w:p w14:paraId="7171C5EF" w14:textId="3ADE3BDD" w:rsidR="00EA183C" w:rsidRPr="00EA183C" w:rsidRDefault="00EA183C" w:rsidP="00EA183C">
      <w:pPr>
        <w:suppressAutoHyphens/>
        <w:autoSpaceDN w:val="0"/>
        <w:spacing w:line="360" w:lineRule="auto"/>
        <w:jc w:val="both"/>
        <w:textAlignment w:val="baseline"/>
        <w:rPr>
          <w:rFonts w:ascii="Arial" w:eastAsia="Calibri" w:hAnsi="Arial" w:cs="Arial"/>
          <w:sz w:val="24"/>
          <w:szCs w:val="24"/>
        </w:rPr>
      </w:pPr>
      <w:r w:rsidRPr="00EA183C">
        <w:rPr>
          <w:rFonts w:ascii="Arial" w:eastAsia="Calibri" w:hAnsi="Arial" w:cs="Arial"/>
          <w:sz w:val="24"/>
          <w:szCs w:val="24"/>
        </w:rPr>
        <w:t xml:space="preserve">Although marketing activities of TAG Heuer company associate with the mother company (LVMH Moët Hennessy - Louis Vuitton) and gives TAG Heuer an opportunity to use the platform as a subordinate to the mother company, however, this </w:t>
      </w:r>
      <w:r w:rsidR="00B639E0">
        <w:rPr>
          <w:rFonts w:ascii="Arial" w:eastAsia="Calibri" w:hAnsi="Arial" w:cs="Arial"/>
          <w:sz w:val="24"/>
          <w:szCs w:val="24"/>
        </w:rPr>
        <w:t xml:space="preserve">puts </w:t>
      </w:r>
      <w:r w:rsidR="00B639E0" w:rsidRPr="00EA183C">
        <w:rPr>
          <w:rFonts w:ascii="Arial" w:eastAsia="Calibri" w:hAnsi="Arial" w:cs="Arial"/>
          <w:sz w:val="24"/>
          <w:szCs w:val="24"/>
        </w:rPr>
        <w:t>TAG</w:t>
      </w:r>
      <w:r w:rsidRPr="00EA183C">
        <w:rPr>
          <w:rFonts w:ascii="Arial" w:eastAsia="Calibri" w:hAnsi="Arial" w:cs="Arial"/>
          <w:sz w:val="24"/>
          <w:szCs w:val="24"/>
        </w:rPr>
        <w:t xml:space="preserve"> Heuer in a</w:t>
      </w:r>
      <w:r w:rsidR="00B639E0">
        <w:rPr>
          <w:rFonts w:ascii="Arial" w:eastAsia="Calibri" w:hAnsi="Arial" w:cs="Arial"/>
          <w:sz w:val="24"/>
          <w:szCs w:val="24"/>
        </w:rPr>
        <w:t xml:space="preserve"> very </w:t>
      </w:r>
      <w:r w:rsidRPr="00EA183C">
        <w:rPr>
          <w:rFonts w:ascii="Arial" w:eastAsia="Calibri" w:hAnsi="Arial" w:cs="Arial"/>
          <w:sz w:val="24"/>
          <w:szCs w:val="24"/>
        </w:rPr>
        <w:t>weak situation in terms of widening of strategic digital marketing and online competition. It was so evident when TAG Heuer underwent a significant loss during the first financial year after the partnership strategy was enacted (LVMH, 2020).</w:t>
      </w:r>
    </w:p>
    <w:p w14:paraId="34C35D76" w14:textId="1DF071DA" w:rsidR="00EA183C" w:rsidRPr="00DA32E4" w:rsidRDefault="00EA183C" w:rsidP="00DA32E4">
      <w:pPr>
        <w:pStyle w:val="Heading1"/>
        <w:rPr>
          <w:b/>
          <w:bCs/>
          <w:color w:val="auto"/>
        </w:rPr>
      </w:pPr>
      <w:bookmarkStart w:id="9" w:name="_Toc80101955"/>
      <w:r w:rsidRPr="00DA32E4">
        <w:rPr>
          <w:b/>
          <w:bCs/>
          <w:color w:val="auto"/>
        </w:rPr>
        <w:t>Strategic priorities</w:t>
      </w:r>
      <w:bookmarkEnd w:id="9"/>
    </w:p>
    <w:p w14:paraId="786D6955" w14:textId="77777777" w:rsidR="00BE75B7" w:rsidRPr="00BE75B7" w:rsidRDefault="00BE75B7" w:rsidP="00BE75B7"/>
    <w:p w14:paraId="45E5372E" w14:textId="65E8156D" w:rsidR="00EA183C" w:rsidRPr="00FB7928" w:rsidRDefault="00EA183C" w:rsidP="00FB7928">
      <w:pPr>
        <w:suppressAutoHyphens/>
        <w:autoSpaceDN w:val="0"/>
        <w:spacing w:line="360" w:lineRule="auto"/>
        <w:jc w:val="both"/>
        <w:textAlignment w:val="baseline"/>
        <w:rPr>
          <w:rFonts w:ascii="Arial" w:eastAsia="Calibri" w:hAnsi="Arial" w:cs="Arial"/>
          <w:sz w:val="24"/>
          <w:szCs w:val="24"/>
        </w:rPr>
      </w:pPr>
      <w:r w:rsidRPr="00FB7928">
        <w:rPr>
          <w:rFonts w:ascii="Arial" w:eastAsia="Calibri" w:hAnsi="Arial" w:cs="Arial"/>
          <w:sz w:val="24"/>
          <w:szCs w:val="24"/>
        </w:rPr>
        <w:t xml:space="preserve">There are specific methodology and resources that are needed to attain the broader marketing program of any organisation within a given market territory. An organised plan of these requirements is all under the umbrella of strategic market planning, in the case of TAG Heuer launching the new virtual platform, price competition, as it is evident in this case that the company requires a strategic digital plan to be able to </w:t>
      </w:r>
      <w:r w:rsidRPr="00FB7928">
        <w:rPr>
          <w:rFonts w:ascii="Arial" w:eastAsia="Calibri" w:hAnsi="Arial" w:cs="Arial"/>
          <w:sz w:val="24"/>
          <w:szCs w:val="24"/>
        </w:rPr>
        <w:lastRenderedPageBreak/>
        <w:t>compete in the global market under the current market situation and challenges of the pandemic  (De Chernatony et al., 2010).</w:t>
      </w:r>
    </w:p>
    <w:p w14:paraId="0582CC36" w14:textId="77777777" w:rsidR="00EA183C" w:rsidRPr="00FB7928" w:rsidRDefault="00EA183C" w:rsidP="00FB7928">
      <w:pPr>
        <w:suppressAutoHyphens/>
        <w:autoSpaceDN w:val="0"/>
        <w:spacing w:line="360" w:lineRule="auto"/>
        <w:jc w:val="both"/>
        <w:textAlignment w:val="baseline"/>
        <w:rPr>
          <w:rFonts w:ascii="Arial" w:eastAsia="Calibri" w:hAnsi="Arial" w:cs="Arial"/>
          <w:sz w:val="24"/>
          <w:szCs w:val="24"/>
        </w:rPr>
      </w:pPr>
      <w:r w:rsidRPr="00FB7928">
        <w:rPr>
          <w:rFonts w:ascii="Arial" w:eastAsia="Calibri" w:hAnsi="Arial" w:cs="Arial"/>
          <w:sz w:val="24"/>
          <w:szCs w:val="24"/>
        </w:rPr>
        <w:t xml:space="preserve">Seker (2020) states that corporate-level strategies help firms understand new strategic positions that increase their value. In the case of TAG Heuer, the organisation started to act towards the pandemic by developing its online platform to be more dynamic, and this development requires the company to have a better understanding of the new market changes, For instance, changes in HR laws in regard to the fact that it became necessary for most people to work from home, so this will require changes in the work environment, as well as requires employees that have the capabilities and technology skills to face the challenges that arise because of the pandemic (Cameron, &amp; Green, 2015). </w:t>
      </w:r>
    </w:p>
    <w:p w14:paraId="05E0E7B2" w14:textId="77777777" w:rsidR="00EA183C" w:rsidRPr="00FB7928" w:rsidRDefault="00EA183C" w:rsidP="00FB7928">
      <w:pPr>
        <w:suppressAutoHyphens/>
        <w:autoSpaceDN w:val="0"/>
        <w:spacing w:line="360" w:lineRule="auto"/>
        <w:jc w:val="both"/>
        <w:textAlignment w:val="baseline"/>
        <w:rPr>
          <w:rFonts w:ascii="Arial" w:eastAsia="Calibri" w:hAnsi="Arial" w:cs="Arial"/>
          <w:sz w:val="24"/>
          <w:szCs w:val="24"/>
        </w:rPr>
      </w:pPr>
      <w:r w:rsidRPr="00FB7928">
        <w:rPr>
          <w:rFonts w:ascii="Arial" w:eastAsia="Calibri" w:hAnsi="Arial" w:cs="Arial"/>
          <w:sz w:val="24"/>
          <w:szCs w:val="24"/>
        </w:rPr>
        <w:t>TAG Heuer should take a complete view on how to improve customer experience, particularly in their contact centres, to improve calling agent performance and, on that basis, select the best technology that can deliver these capabilities. This can be achieved by routing calls to the agents best equipped to handle specific inquiries or problems. For instance, a virtual agent-assistant, a behind-the-scenes bot that actively supports the conversation, should be considered (Kalkum et al.,2020)</w:t>
      </w:r>
    </w:p>
    <w:p w14:paraId="2025545C" w14:textId="551F7B38" w:rsidR="00EA183C" w:rsidRPr="00FB7928" w:rsidRDefault="00EA183C" w:rsidP="00FB7928">
      <w:pPr>
        <w:suppressAutoHyphens/>
        <w:autoSpaceDN w:val="0"/>
        <w:spacing w:line="360" w:lineRule="auto"/>
        <w:jc w:val="both"/>
        <w:textAlignment w:val="baseline"/>
        <w:rPr>
          <w:rFonts w:ascii="Arial" w:eastAsia="Calibri" w:hAnsi="Arial" w:cs="Arial"/>
          <w:sz w:val="24"/>
          <w:szCs w:val="24"/>
        </w:rPr>
      </w:pPr>
      <w:r w:rsidRPr="00FB7928">
        <w:rPr>
          <w:rFonts w:ascii="Arial" w:eastAsia="Calibri" w:hAnsi="Arial" w:cs="Arial"/>
          <w:sz w:val="24"/>
          <w:szCs w:val="24"/>
        </w:rPr>
        <w:t>Quite often, the problem with shoppers is their hesitation in making a decisive decision when purchasing items online. Therefore, some shoppers prefer to go to a store and feel and see an item, particularly if it is expensive. However, this may not be feasible if shoppers live in a small town or in an area where a particular store is not in the city's shopping area. Augmented reality (AR) can help with the need to see/touch/try any product. It allows the superimposition of digital information directly on real objects, hence processing physical and digital at the same time. This will assist customers to make decisions swiftly (Porter &amp; Heppelmann, 2017; Jaekel, 2019)</w:t>
      </w:r>
      <w:r w:rsidR="00BE75B7">
        <w:rPr>
          <w:rFonts w:ascii="Arial" w:eastAsia="Calibri" w:hAnsi="Arial" w:cs="Arial"/>
          <w:sz w:val="24"/>
          <w:szCs w:val="24"/>
        </w:rPr>
        <w:t>.</w:t>
      </w:r>
    </w:p>
    <w:p w14:paraId="532205D8" w14:textId="6603ACE9" w:rsidR="00EA183C" w:rsidRPr="00DA32E4" w:rsidRDefault="00EA183C" w:rsidP="00DA32E4">
      <w:pPr>
        <w:pStyle w:val="Heading1"/>
        <w:rPr>
          <w:b/>
          <w:bCs/>
          <w:color w:val="auto"/>
        </w:rPr>
      </w:pPr>
      <w:bookmarkStart w:id="10" w:name="_Toc80101956"/>
      <w:r w:rsidRPr="00DA32E4">
        <w:rPr>
          <w:b/>
          <w:bCs/>
          <w:color w:val="auto"/>
        </w:rPr>
        <w:t>The strategic priorities that should be considered</w:t>
      </w:r>
      <w:bookmarkEnd w:id="10"/>
      <w:r w:rsidRPr="00DA32E4">
        <w:rPr>
          <w:b/>
          <w:bCs/>
          <w:color w:val="auto"/>
        </w:rPr>
        <w:t xml:space="preserve"> </w:t>
      </w:r>
    </w:p>
    <w:p w14:paraId="6D85B82C" w14:textId="77777777" w:rsidR="00BE75B7" w:rsidRPr="00BE75B7" w:rsidRDefault="00BE75B7" w:rsidP="00BE75B7"/>
    <w:p w14:paraId="02AB1AD4" w14:textId="78DA0DDC" w:rsidR="00EA183C" w:rsidRPr="00DA32E4" w:rsidRDefault="00EA183C" w:rsidP="00DA32E4">
      <w:pPr>
        <w:suppressAutoHyphens/>
        <w:autoSpaceDN w:val="0"/>
        <w:spacing w:line="360" w:lineRule="auto"/>
        <w:jc w:val="both"/>
        <w:textAlignment w:val="baseline"/>
        <w:rPr>
          <w:rFonts w:ascii="Arial" w:eastAsia="Calibri" w:hAnsi="Arial" w:cs="Arial"/>
          <w:sz w:val="24"/>
          <w:szCs w:val="24"/>
        </w:rPr>
      </w:pPr>
      <w:r w:rsidRPr="00FB7928">
        <w:rPr>
          <w:rFonts w:ascii="Arial" w:eastAsia="Calibri" w:hAnsi="Arial" w:cs="Arial"/>
          <w:sz w:val="24"/>
          <w:szCs w:val="24"/>
        </w:rPr>
        <w:t>Customer prioritisation</w:t>
      </w:r>
      <w:r w:rsidR="00DA32E4">
        <w:rPr>
          <w:rFonts w:ascii="Arial" w:eastAsia="Calibri" w:hAnsi="Arial" w:cs="Arial"/>
          <w:sz w:val="24"/>
          <w:szCs w:val="24"/>
        </w:rPr>
        <w:t xml:space="preserve"> is necessary to h</w:t>
      </w:r>
      <w:r w:rsidRPr="00FB7928">
        <w:rPr>
          <w:rFonts w:ascii="Arial" w:eastAsia="Calibri" w:hAnsi="Arial" w:cs="Arial"/>
          <w:sz w:val="24"/>
          <w:szCs w:val="24"/>
        </w:rPr>
        <w:t>ave a better understanding of consumers and analyse data to be able to find actionable perceptions.</w:t>
      </w:r>
      <w:r w:rsidR="00B96A7E">
        <w:rPr>
          <w:rFonts w:ascii="Arial" w:eastAsia="Calibri" w:hAnsi="Arial" w:cs="Arial"/>
          <w:sz w:val="24"/>
          <w:szCs w:val="24"/>
        </w:rPr>
        <w:t xml:space="preserve"> </w:t>
      </w:r>
      <w:r w:rsidR="00B96A7E" w:rsidRPr="00B96A7E">
        <w:rPr>
          <w:rFonts w:ascii="Arial" w:eastAsia="Calibri" w:hAnsi="Arial" w:cs="Arial"/>
          <w:sz w:val="24"/>
          <w:szCs w:val="24"/>
        </w:rPr>
        <w:t>Leading consumer-inspired innovation across engagement, communication, assortments, and products</w:t>
      </w:r>
      <w:r w:rsidR="00B96A7E">
        <w:rPr>
          <w:rFonts w:ascii="Arial" w:eastAsia="Calibri" w:hAnsi="Arial" w:cs="Arial"/>
          <w:sz w:val="24"/>
          <w:szCs w:val="24"/>
        </w:rPr>
        <w:t xml:space="preserve"> </w:t>
      </w:r>
      <w:r w:rsidR="00DA32E4">
        <w:rPr>
          <w:rFonts w:ascii="Arial" w:eastAsia="Calibri" w:hAnsi="Arial" w:cs="Arial"/>
          <w:sz w:val="24"/>
          <w:szCs w:val="24"/>
        </w:rPr>
        <w:t>should also be considered.</w:t>
      </w:r>
    </w:p>
    <w:p w14:paraId="64CB2014" w14:textId="77777777" w:rsidR="006D34E8" w:rsidRDefault="006D34E8" w:rsidP="00EA183C">
      <w:pPr>
        <w:pStyle w:val="Heading1"/>
        <w:rPr>
          <w:b/>
          <w:bCs/>
          <w:color w:val="auto"/>
        </w:rPr>
      </w:pPr>
      <w:bookmarkStart w:id="11" w:name="_Toc80101957"/>
    </w:p>
    <w:p w14:paraId="46A8B583" w14:textId="77777777" w:rsidR="006D34E8" w:rsidRDefault="006D34E8" w:rsidP="00EA183C">
      <w:pPr>
        <w:pStyle w:val="Heading1"/>
        <w:rPr>
          <w:b/>
          <w:bCs/>
          <w:color w:val="auto"/>
        </w:rPr>
      </w:pPr>
    </w:p>
    <w:p w14:paraId="7930F1C2" w14:textId="5F9A89E3" w:rsidR="00EA183C" w:rsidRDefault="00EA183C" w:rsidP="00EA183C">
      <w:pPr>
        <w:pStyle w:val="Heading1"/>
        <w:rPr>
          <w:b/>
          <w:bCs/>
          <w:color w:val="auto"/>
        </w:rPr>
      </w:pPr>
      <w:r w:rsidRPr="00BE75B7">
        <w:rPr>
          <w:b/>
          <w:bCs/>
          <w:color w:val="auto"/>
        </w:rPr>
        <w:t>SWOT Analysis</w:t>
      </w:r>
      <w:bookmarkEnd w:id="11"/>
    </w:p>
    <w:p w14:paraId="74A7F1A9" w14:textId="77777777" w:rsidR="00BE75B7" w:rsidRPr="00BE75B7" w:rsidRDefault="00BE75B7" w:rsidP="00BE75B7"/>
    <w:p w14:paraId="65B788E7"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SWOT tool is strategically used to plan and start the valuation and assessment of a company's Strengths, Weaknesses, Opportunities, and Threats essential in operating the day-to-day affairs of a business venture (Young et al., 2006).</w:t>
      </w:r>
    </w:p>
    <w:p w14:paraId="4D0BE633"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During SWOT analysis, both extensive and specific goals and internal and external factors influential in achieving a company's set goals should be stipulated.  One of the most important reasons to use SWOT tools over any other tools is that SWOT specifically aims to detect intrinsic and extrinsic elements that help the firm determine factors needed for growth internally or externally. </w:t>
      </w:r>
    </w:p>
    <w:p w14:paraId="5C8B1C06"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From the Strengths, Weaknesses, Opportunities, and Threats (SWOT) analysis tool, it is evident that TAG Heuer can rely on innovation to meet the changing demands of clients and their shopping behaviour which has changed due to the pandemic situation, despite weaknesses in organisational structure as well as threats posed by the challenging economic situation and the implications of Covid-19 on exchange rates, plus the massive change of the market after Brexit (Bhasin, 2018).</w:t>
      </w:r>
    </w:p>
    <w:p w14:paraId="5FBF08CA" w14:textId="1967DF94"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To give the company a competitive edge in selling its product, the company needs to take </w:t>
      </w:r>
      <w:r w:rsidR="00134013">
        <w:rPr>
          <w:rFonts w:ascii="Arial" w:eastAsia="Calibri" w:hAnsi="Arial" w:cs="Arial"/>
          <w:sz w:val="24"/>
          <w:szCs w:val="24"/>
        </w:rPr>
        <w:t xml:space="preserve">account </w:t>
      </w:r>
      <w:r w:rsidRPr="00DD328A">
        <w:rPr>
          <w:rFonts w:ascii="Arial" w:eastAsia="Calibri" w:hAnsi="Arial" w:cs="Arial"/>
          <w:sz w:val="24"/>
          <w:szCs w:val="24"/>
        </w:rPr>
        <w:t xml:space="preserve"> of its ability to compete favourably with equal players in the market (Ghodeswar, 2008).</w:t>
      </w:r>
    </w:p>
    <w:p w14:paraId="3EC11BD4"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TAG Heuer will effectively compete if the marketing department concentrates on the new strategies of introducing high-quality products at lower prices. As a matter of fact, the company cannot at any time bow out of entrepreneurship due to price wars with the competitors (Rafael, 2019).</w:t>
      </w:r>
    </w:p>
    <w:p w14:paraId="115563D1"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However, TAG Heuer can extend the market survey further to have a clear path that will be established by the management team. For instance, the advertising of the product's competence must be combined in one way or another with the quality of after-sales service. That is why it is important for the company to consider the overall market dynamics (Harolds et al., 2020). This will be more visual to the company after analysis of the market research survey on the new collection by the marketing team </w:t>
      </w:r>
      <w:r w:rsidRPr="00DD328A">
        <w:rPr>
          <w:rFonts w:ascii="Arial" w:eastAsia="Calibri" w:hAnsi="Arial" w:cs="Arial"/>
          <w:sz w:val="24"/>
          <w:szCs w:val="24"/>
        </w:rPr>
        <w:lastRenderedPageBreak/>
        <w:t>and other departments like finance and human resources. At the right time, the strategic market program will help in evaluating the SWOT analysis. Moreover, other optional lines of action can be explored through this program (Helgesen, 2007).</w:t>
      </w:r>
    </w:p>
    <w:p w14:paraId="13E30D90"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To maintain and sustain the business, TAG Heuer has a dual chairperson approach in its management leadership structure. There are two business entities owned by the group, namely LVHM as a mother company and TAG Heuer Plc. Further, the board of directors are shared, although the company stocks are listed separately. As a result, the two different managements at TAG Heuer conflict with the responsibilities held by the board and the business. This dual management situation was one of the main reasons for the company's localisation, thereby stopping any potential growth.</w:t>
      </w:r>
    </w:p>
    <w:p w14:paraId="088C0F7A" w14:textId="4D925EFD"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In terms of TAG </w:t>
      </w:r>
      <w:r w:rsidR="00A66863" w:rsidRPr="00DD328A">
        <w:rPr>
          <w:rFonts w:ascii="Arial" w:eastAsia="Calibri" w:hAnsi="Arial" w:cs="Arial"/>
          <w:sz w:val="24"/>
          <w:szCs w:val="24"/>
        </w:rPr>
        <w:t>Heuer,</w:t>
      </w:r>
      <w:r w:rsidR="00A66863">
        <w:rPr>
          <w:rFonts w:ascii="Arial" w:eastAsia="Calibri" w:hAnsi="Arial" w:cs="Arial"/>
          <w:sz w:val="24"/>
          <w:szCs w:val="24"/>
        </w:rPr>
        <w:t xml:space="preserve"> is </w:t>
      </w:r>
      <w:r w:rsidRPr="00DD328A">
        <w:rPr>
          <w:rFonts w:ascii="Arial" w:eastAsia="Calibri" w:hAnsi="Arial" w:cs="Arial"/>
          <w:sz w:val="24"/>
          <w:szCs w:val="24"/>
        </w:rPr>
        <w:t xml:space="preserve">to achieve more success, the company must face lots of challenges like the implications of Brexit or the pandemic. However, on a positive note, these challenges also create other opportunities for this international company; this will be analysed as both internal (Strengths, Weaknesses) and external (Opportunities, Threats) factors affecting the company as a whole and the new product (Figus, 2018).  </w:t>
      </w:r>
    </w:p>
    <w:p w14:paraId="003A7DB6" w14:textId="0AC5B76B" w:rsidR="00EA183C" w:rsidRPr="00BE75B7" w:rsidRDefault="00EA183C" w:rsidP="00EA183C">
      <w:pPr>
        <w:pStyle w:val="Heading2"/>
        <w:rPr>
          <w:b/>
          <w:bCs/>
          <w:color w:val="auto"/>
        </w:rPr>
      </w:pPr>
      <w:bookmarkStart w:id="12" w:name="_Toc80101958"/>
      <w:r w:rsidRPr="00BE75B7">
        <w:rPr>
          <w:b/>
          <w:bCs/>
          <w:color w:val="auto"/>
        </w:rPr>
        <w:t>The strengths of TAG Heuer</w:t>
      </w:r>
      <w:bookmarkEnd w:id="12"/>
    </w:p>
    <w:p w14:paraId="0C44FE18" w14:textId="77777777" w:rsidR="00BE75B7" w:rsidRPr="00BE75B7" w:rsidRDefault="00BE75B7" w:rsidP="00BE75B7"/>
    <w:p w14:paraId="5EF5600B"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1.Global established brand.</w:t>
      </w:r>
    </w:p>
    <w:p w14:paraId="0672774B"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2. Well known luxury brand as the official timekeeper of World-class sporting events.</w:t>
      </w:r>
    </w:p>
    <w:p w14:paraId="70572C52"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3.One of the members of the FHH Swiss watch-making Industry club.</w:t>
      </w:r>
    </w:p>
    <w:p w14:paraId="5B4C28D8"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4. The brand has high equity.</w:t>
      </w:r>
    </w:p>
    <w:p w14:paraId="13C7C568" w14:textId="7577DB5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5. The legacy of the brand since</w:t>
      </w:r>
      <w:r w:rsidR="00DA32E4">
        <w:rPr>
          <w:rFonts w:ascii="Arial" w:eastAsia="Calibri" w:hAnsi="Arial" w:cs="Arial"/>
          <w:sz w:val="24"/>
          <w:szCs w:val="24"/>
        </w:rPr>
        <w:t xml:space="preserve"> </w:t>
      </w:r>
      <w:r w:rsidRPr="00DD328A">
        <w:rPr>
          <w:rFonts w:ascii="Arial" w:eastAsia="Calibri" w:hAnsi="Arial" w:cs="Arial"/>
          <w:sz w:val="24"/>
          <w:szCs w:val="24"/>
        </w:rPr>
        <w:t>1860</w:t>
      </w:r>
      <w:r w:rsidR="00DA32E4">
        <w:rPr>
          <w:rFonts w:ascii="Arial" w:eastAsia="Calibri" w:hAnsi="Arial" w:cs="Arial"/>
          <w:sz w:val="24"/>
          <w:szCs w:val="24"/>
        </w:rPr>
        <w:t>.</w:t>
      </w:r>
    </w:p>
    <w:p w14:paraId="71ECDF93"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6. TAG Heuer has luxury showrooms at premium watch stores.</w:t>
      </w:r>
    </w:p>
    <w:p w14:paraId="2749FE78" w14:textId="6D9E907F"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7. Large Human resources</w:t>
      </w:r>
      <w:r w:rsidR="00DA32E4">
        <w:rPr>
          <w:rFonts w:ascii="Arial" w:eastAsia="Calibri" w:hAnsi="Arial" w:cs="Arial"/>
          <w:sz w:val="24"/>
          <w:szCs w:val="24"/>
        </w:rPr>
        <w:t>;</w:t>
      </w:r>
      <w:r w:rsidRPr="00DD328A">
        <w:rPr>
          <w:rFonts w:ascii="Arial" w:eastAsia="Calibri" w:hAnsi="Arial" w:cs="Arial"/>
          <w:sz w:val="24"/>
          <w:szCs w:val="24"/>
        </w:rPr>
        <w:t xml:space="preserve"> more than 1500 people</w:t>
      </w:r>
      <w:r>
        <w:t xml:space="preserve">, </w:t>
      </w:r>
      <w:r w:rsidRPr="00DD328A">
        <w:rPr>
          <w:rFonts w:ascii="Arial" w:eastAsia="Calibri" w:hAnsi="Arial" w:cs="Arial"/>
          <w:sz w:val="24"/>
          <w:szCs w:val="24"/>
        </w:rPr>
        <w:t>work at TAG Heuer.</w:t>
      </w:r>
    </w:p>
    <w:p w14:paraId="5CB40301" w14:textId="5E1A3F23" w:rsidR="00EA183C" w:rsidRPr="00BE75B7" w:rsidRDefault="00EA183C" w:rsidP="00EA183C">
      <w:pPr>
        <w:pStyle w:val="Heading2"/>
        <w:rPr>
          <w:b/>
          <w:bCs/>
          <w:color w:val="auto"/>
        </w:rPr>
      </w:pPr>
      <w:bookmarkStart w:id="13" w:name="_Toc80101959"/>
      <w:r w:rsidRPr="00BE75B7">
        <w:rPr>
          <w:b/>
          <w:bCs/>
          <w:color w:val="auto"/>
        </w:rPr>
        <w:t>The weaknesses of TAG Heuer</w:t>
      </w:r>
      <w:bookmarkEnd w:id="13"/>
    </w:p>
    <w:p w14:paraId="6F18F869" w14:textId="77777777" w:rsidR="00BE75B7" w:rsidRPr="00BE75B7" w:rsidRDefault="00BE75B7" w:rsidP="00BE75B7"/>
    <w:p w14:paraId="00E42D29" w14:textId="167A504A"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1.Fa</w:t>
      </w:r>
      <w:r w:rsidR="00DA32E4">
        <w:rPr>
          <w:rFonts w:ascii="Arial" w:eastAsia="Calibri" w:hAnsi="Arial" w:cs="Arial"/>
          <w:sz w:val="24"/>
          <w:szCs w:val="24"/>
        </w:rPr>
        <w:t>ke</w:t>
      </w:r>
      <w:r w:rsidRPr="00DD328A">
        <w:rPr>
          <w:rFonts w:ascii="Arial" w:eastAsia="Calibri" w:hAnsi="Arial" w:cs="Arial"/>
          <w:sz w:val="24"/>
          <w:szCs w:val="24"/>
        </w:rPr>
        <w:t xml:space="preserve"> watches destroy the brand name and create a grey market that affects the business.</w:t>
      </w:r>
    </w:p>
    <w:p w14:paraId="4CA531AB" w14:textId="1D976FD0"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2. High competition with luxury brands limit market share growth for TAG Heuer.  </w:t>
      </w:r>
    </w:p>
    <w:p w14:paraId="786F5AAA"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lastRenderedPageBreak/>
        <w:t xml:space="preserve">3.The brand is available through a more extensive brand with a monopoly over several luxury brands, which weakens TAG Heuer's opportunity to establish itself as a brand with an independent personality. </w:t>
      </w:r>
    </w:p>
    <w:p w14:paraId="62F6267D"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4.The company's website is low compared to the websites of competing companies.</w:t>
      </w:r>
    </w:p>
    <w:p w14:paraId="182F77A2"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5. The dual management is harming the company. It is not beneficial to TAG Heuer, as it is causing a lack of communication between the company and the retailers.</w:t>
      </w:r>
    </w:p>
    <w:p w14:paraId="700D3CBE" w14:textId="2FF5158E" w:rsidR="00EA183C" w:rsidRPr="00BE75B7" w:rsidRDefault="00EA183C" w:rsidP="00EA183C">
      <w:pPr>
        <w:pStyle w:val="Heading2"/>
        <w:rPr>
          <w:b/>
          <w:bCs/>
          <w:color w:val="auto"/>
        </w:rPr>
      </w:pPr>
      <w:bookmarkStart w:id="14" w:name="_Toc80101960"/>
      <w:r w:rsidRPr="00BE75B7">
        <w:rPr>
          <w:b/>
          <w:bCs/>
          <w:color w:val="auto"/>
        </w:rPr>
        <w:t>TAG Heuer Opportunities</w:t>
      </w:r>
      <w:bookmarkEnd w:id="14"/>
    </w:p>
    <w:p w14:paraId="46E03C62" w14:textId="77777777" w:rsidR="00EA183C" w:rsidRDefault="00EA183C" w:rsidP="00EA183C"/>
    <w:p w14:paraId="23796314"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positive consequences of engaging customers in product development and supporting related activities are increasingly evident in our world today.</w:t>
      </w:r>
    </w:p>
    <w:p w14:paraId="62B033B6" w14:textId="3D075DF2"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establishment's possession of an advanced technology system will give customers a better experience, and it will also help the company improve its innovation capacity and customer relationship management</w:t>
      </w:r>
      <w:r w:rsidR="00DA32E4">
        <w:rPr>
          <w:rFonts w:ascii="Arial" w:eastAsia="Calibri" w:hAnsi="Arial" w:cs="Arial"/>
          <w:sz w:val="24"/>
          <w:szCs w:val="24"/>
        </w:rPr>
        <w:t xml:space="preserve"> </w:t>
      </w:r>
      <w:r w:rsidRPr="00DD328A">
        <w:rPr>
          <w:rFonts w:ascii="Arial" w:eastAsia="Calibri" w:hAnsi="Arial" w:cs="Arial"/>
          <w:sz w:val="24"/>
          <w:szCs w:val="24"/>
        </w:rPr>
        <w:t>(Helgeson,20</w:t>
      </w:r>
      <w:r w:rsidR="00DA32E4">
        <w:rPr>
          <w:rFonts w:ascii="Arial" w:eastAsia="Calibri" w:hAnsi="Arial" w:cs="Arial"/>
          <w:sz w:val="24"/>
          <w:szCs w:val="24"/>
        </w:rPr>
        <w:t>1</w:t>
      </w:r>
      <w:r w:rsidRPr="00DD328A">
        <w:rPr>
          <w:rFonts w:ascii="Arial" w:eastAsia="Calibri" w:hAnsi="Arial" w:cs="Arial"/>
          <w:sz w:val="24"/>
          <w:szCs w:val="24"/>
        </w:rPr>
        <w:t xml:space="preserve">7). Therefore, the new strategy of </w:t>
      </w:r>
      <w:r w:rsidR="00DA32E4">
        <w:rPr>
          <w:rFonts w:ascii="Arial" w:eastAsia="Calibri" w:hAnsi="Arial" w:cs="Arial"/>
          <w:sz w:val="24"/>
          <w:szCs w:val="24"/>
        </w:rPr>
        <w:t>TAG</w:t>
      </w:r>
      <w:r w:rsidRPr="00DD328A">
        <w:rPr>
          <w:rFonts w:ascii="Arial" w:eastAsia="Calibri" w:hAnsi="Arial" w:cs="Arial"/>
          <w:sz w:val="24"/>
          <w:szCs w:val="24"/>
        </w:rPr>
        <w:t xml:space="preserve"> Heuer will be dependent on activating the default dimension of the product, which is a very sophisticated feature that allows the customer to enjoy looking at the smallest details of the product, just as if the customer is in the store, </w:t>
      </w:r>
      <w:r w:rsidR="00DA32E4">
        <w:rPr>
          <w:rFonts w:ascii="Arial" w:eastAsia="Calibri" w:hAnsi="Arial" w:cs="Arial"/>
          <w:sz w:val="24"/>
          <w:szCs w:val="24"/>
        </w:rPr>
        <w:t xml:space="preserve">but </w:t>
      </w:r>
      <w:r w:rsidRPr="00DD328A">
        <w:rPr>
          <w:rFonts w:ascii="Arial" w:eastAsia="Calibri" w:hAnsi="Arial" w:cs="Arial"/>
          <w:sz w:val="24"/>
          <w:szCs w:val="24"/>
        </w:rPr>
        <w:t>the only difference here is that the customer can do so without risking his life under the circumstance</w:t>
      </w:r>
      <w:r w:rsidR="00DA32E4">
        <w:rPr>
          <w:rFonts w:ascii="Arial" w:eastAsia="Calibri" w:hAnsi="Arial" w:cs="Arial"/>
          <w:sz w:val="24"/>
          <w:szCs w:val="24"/>
        </w:rPr>
        <w:t>s</w:t>
      </w:r>
      <w:r w:rsidRPr="00DD328A">
        <w:rPr>
          <w:rFonts w:ascii="Arial" w:eastAsia="Calibri" w:hAnsi="Arial" w:cs="Arial"/>
          <w:sz w:val="24"/>
          <w:szCs w:val="24"/>
        </w:rPr>
        <w:t xml:space="preserve"> of the pandemic. It is an integrated customer experience via a multi-channel sales approach. This visualisation of watches must be involved to digitise the shopping experience and enhance customer engagement (Wang,</w:t>
      </w:r>
      <w:r w:rsidR="00DA32E4">
        <w:rPr>
          <w:rFonts w:ascii="Arial" w:eastAsia="Calibri" w:hAnsi="Arial" w:cs="Arial"/>
          <w:sz w:val="24"/>
          <w:szCs w:val="24"/>
        </w:rPr>
        <w:t xml:space="preserve"> </w:t>
      </w:r>
      <w:r w:rsidRPr="00DD328A">
        <w:rPr>
          <w:rFonts w:ascii="Arial" w:eastAsia="Calibri" w:hAnsi="Arial" w:cs="Arial"/>
          <w:sz w:val="24"/>
          <w:szCs w:val="24"/>
        </w:rPr>
        <w:t>2020).</w:t>
      </w:r>
    </w:p>
    <w:p w14:paraId="1CBCBB1D"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priority of industry-leading digital marketing and prioritising digital customer service could be achieved via different technology channels. However, this will require the following:</w:t>
      </w:r>
    </w:p>
    <w:p w14:paraId="13CFE74A" w14:textId="3DBB2085" w:rsidR="002B4B49"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The continuous training and development of employees to cope with innovative sales techniques are essential. </w:t>
      </w:r>
    </w:p>
    <w:p w14:paraId="74C9277F" w14:textId="1673542D" w:rsidR="00570706" w:rsidRPr="00B70969" w:rsidRDefault="00EA183C" w:rsidP="00DD328A">
      <w:pPr>
        <w:suppressAutoHyphens/>
        <w:autoSpaceDN w:val="0"/>
        <w:spacing w:line="360" w:lineRule="auto"/>
        <w:jc w:val="both"/>
        <w:textAlignment w:val="baseline"/>
        <w:rPr>
          <w:rFonts w:ascii="Arial" w:eastAsia="Calibri" w:hAnsi="Arial" w:cs="Arial"/>
          <w:sz w:val="24"/>
          <w:szCs w:val="24"/>
        </w:rPr>
      </w:pPr>
      <w:r w:rsidRPr="00B70969">
        <w:rPr>
          <w:rFonts w:ascii="Arial" w:eastAsia="Calibri" w:hAnsi="Arial" w:cs="Arial"/>
          <w:sz w:val="24"/>
          <w:szCs w:val="24"/>
        </w:rPr>
        <w:t>Support of Culture of Agility and Efficiency</w:t>
      </w:r>
      <w:r w:rsidR="00570706" w:rsidRPr="00B70969">
        <w:rPr>
          <w:rFonts w:ascii="Arial" w:eastAsia="Calibri" w:hAnsi="Arial" w:cs="Arial"/>
          <w:sz w:val="24"/>
          <w:szCs w:val="24"/>
        </w:rPr>
        <w:t>.</w:t>
      </w:r>
    </w:p>
    <w:p w14:paraId="0F6313E4" w14:textId="79FCDD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B70969">
        <w:rPr>
          <w:rFonts w:ascii="Arial" w:eastAsia="Calibri" w:hAnsi="Arial" w:cs="Arial"/>
          <w:sz w:val="24"/>
          <w:szCs w:val="24"/>
        </w:rPr>
        <w:t>Encourage entrepreneurial mindsets: sharing of ideas, suggestions, and improvements.</w:t>
      </w:r>
    </w:p>
    <w:p w14:paraId="66FEC8D3"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Make prompt data-driven decisions and ways to implement them.</w:t>
      </w:r>
    </w:p>
    <w:p w14:paraId="576B2CEE"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Promote talent pursuit through the diversity of employees.</w:t>
      </w:r>
    </w:p>
    <w:p w14:paraId="45A77DFA" w14:textId="317C17C3" w:rsidR="00EA183C"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lastRenderedPageBreak/>
        <w:t>Increase the budget of the R&amp;D department to enhance productivity.</w:t>
      </w:r>
    </w:p>
    <w:p w14:paraId="00A85FE5" w14:textId="77777777" w:rsidR="00417678" w:rsidRDefault="00417678" w:rsidP="00DD328A">
      <w:pPr>
        <w:suppressAutoHyphens/>
        <w:autoSpaceDN w:val="0"/>
        <w:spacing w:line="360" w:lineRule="auto"/>
        <w:jc w:val="both"/>
        <w:textAlignment w:val="baseline"/>
        <w:rPr>
          <w:rFonts w:ascii="Arial" w:eastAsia="Calibri" w:hAnsi="Arial" w:cs="Arial"/>
          <w:sz w:val="24"/>
          <w:szCs w:val="24"/>
        </w:rPr>
      </w:pPr>
    </w:p>
    <w:p w14:paraId="6C76DAB1" w14:textId="7425AE38" w:rsidR="00417678" w:rsidRDefault="00417678" w:rsidP="00417678">
      <w:pPr>
        <w:pStyle w:val="Heading2"/>
        <w:rPr>
          <w:b/>
          <w:bCs/>
          <w:color w:val="auto"/>
        </w:rPr>
      </w:pPr>
      <w:bookmarkStart w:id="15" w:name="_Toc80101961"/>
      <w:r w:rsidRPr="00417678">
        <w:rPr>
          <w:b/>
          <w:bCs/>
          <w:color w:val="auto"/>
        </w:rPr>
        <w:t>TAG Heuer Threats</w:t>
      </w:r>
      <w:bookmarkEnd w:id="15"/>
    </w:p>
    <w:p w14:paraId="0775DB16" w14:textId="77777777" w:rsidR="00417678" w:rsidRPr="00417678" w:rsidRDefault="00417678" w:rsidP="00417678"/>
    <w:p w14:paraId="64A5DE67" w14:textId="5EABE7F3" w:rsidR="00417678" w:rsidRPr="00417678" w:rsidRDefault="00417678" w:rsidP="00417678">
      <w:pPr>
        <w:suppressAutoHyphens/>
        <w:autoSpaceDN w:val="0"/>
        <w:spacing w:line="360" w:lineRule="auto"/>
        <w:jc w:val="both"/>
        <w:textAlignment w:val="baseline"/>
        <w:rPr>
          <w:rFonts w:ascii="Arial" w:eastAsia="Calibri" w:hAnsi="Arial" w:cs="Arial"/>
          <w:sz w:val="24"/>
          <w:szCs w:val="24"/>
        </w:rPr>
      </w:pPr>
      <w:r w:rsidRPr="00417678">
        <w:rPr>
          <w:rFonts w:ascii="Arial" w:eastAsia="Calibri" w:hAnsi="Arial" w:cs="Arial"/>
          <w:sz w:val="24"/>
          <w:szCs w:val="24"/>
        </w:rPr>
        <w:t>1.</w:t>
      </w:r>
      <w:r>
        <w:rPr>
          <w:rFonts w:ascii="Arial" w:eastAsia="Calibri" w:hAnsi="Arial" w:cs="Arial"/>
          <w:sz w:val="24"/>
          <w:szCs w:val="24"/>
        </w:rPr>
        <w:t xml:space="preserve"> </w:t>
      </w:r>
      <w:r w:rsidRPr="00417678">
        <w:rPr>
          <w:rFonts w:ascii="Arial" w:eastAsia="Calibri" w:hAnsi="Arial" w:cs="Arial"/>
          <w:sz w:val="24"/>
          <w:szCs w:val="24"/>
        </w:rPr>
        <w:t>Failu</w:t>
      </w:r>
      <w:r>
        <w:rPr>
          <w:rFonts w:ascii="Arial" w:eastAsia="Calibri" w:hAnsi="Arial" w:cs="Arial"/>
          <w:sz w:val="24"/>
          <w:szCs w:val="24"/>
        </w:rPr>
        <w:t>re</w:t>
      </w:r>
      <w:r w:rsidRPr="00417678">
        <w:rPr>
          <w:rFonts w:ascii="Arial" w:eastAsia="Calibri" w:hAnsi="Arial" w:cs="Arial"/>
          <w:sz w:val="24"/>
          <w:szCs w:val="24"/>
        </w:rPr>
        <w:t xml:space="preserve"> to move quickly to digital transformation direction to allow the customer to shop safely in the time of the pandemic will lead to a significant loss in the number of wealthy customers interested in the luxury watches market.</w:t>
      </w:r>
    </w:p>
    <w:p w14:paraId="4964EE52" w14:textId="2ABCFA46" w:rsidR="00417678" w:rsidRPr="00417678" w:rsidRDefault="00417678" w:rsidP="00417678">
      <w:pPr>
        <w:suppressAutoHyphens/>
        <w:autoSpaceDN w:val="0"/>
        <w:spacing w:line="360" w:lineRule="auto"/>
        <w:jc w:val="both"/>
        <w:textAlignment w:val="baseline"/>
        <w:rPr>
          <w:rFonts w:ascii="Arial" w:eastAsia="Calibri" w:hAnsi="Arial" w:cs="Arial"/>
          <w:sz w:val="24"/>
          <w:szCs w:val="24"/>
        </w:rPr>
      </w:pPr>
      <w:r w:rsidRPr="00417678">
        <w:rPr>
          <w:rFonts w:ascii="Arial" w:eastAsia="Calibri" w:hAnsi="Arial" w:cs="Arial"/>
          <w:sz w:val="24"/>
          <w:szCs w:val="24"/>
        </w:rPr>
        <w:t>2. Threat from inferior and fa</w:t>
      </w:r>
      <w:r>
        <w:rPr>
          <w:rFonts w:ascii="Arial" w:eastAsia="Calibri" w:hAnsi="Arial" w:cs="Arial"/>
          <w:sz w:val="24"/>
          <w:szCs w:val="24"/>
        </w:rPr>
        <w:t>ke</w:t>
      </w:r>
      <w:r w:rsidRPr="00417678">
        <w:rPr>
          <w:rFonts w:ascii="Arial" w:eastAsia="Calibri" w:hAnsi="Arial" w:cs="Arial"/>
          <w:sz w:val="24"/>
          <w:szCs w:val="24"/>
        </w:rPr>
        <w:t xml:space="preserve"> copies which can hurt sales </w:t>
      </w:r>
      <w:r>
        <w:rPr>
          <w:rFonts w:ascii="Arial" w:eastAsia="Calibri" w:hAnsi="Arial" w:cs="Arial"/>
          <w:sz w:val="24"/>
          <w:szCs w:val="24"/>
        </w:rPr>
        <w:t>and</w:t>
      </w:r>
      <w:r w:rsidRPr="00417678">
        <w:rPr>
          <w:rFonts w:ascii="Arial" w:eastAsia="Calibri" w:hAnsi="Arial" w:cs="Arial"/>
          <w:sz w:val="24"/>
          <w:szCs w:val="24"/>
        </w:rPr>
        <w:t xml:space="preserve"> brand reputation.</w:t>
      </w:r>
    </w:p>
    <w:p w14:paraId="0FFD4FB9" w14:textId="2414E77D" w:rsidR="00EA183C" w:rsidRPr="00417678" w:rsidRDefault="00417678" w:rsidP="00417678">
      <w:pPr>
        <w:suppressAutoHyphens/>
        <w:autoSpaceDN w:val="0"/>
        <w:spacing w:line="360" w:lineRule="auto"/>
        <w:jc w:val="both"/>
        <w:textAlignment w:val="baseline"/>
        <w:rPr>
          <w:rFonts w:ascii="Arial" w:eastAsia="Calibri" w:hAnsi="Arial" w:cs="Arial"/>
          <w:sz w:val="24"/>
          <w:szCs w:val="24"/>
        </w:rPr>
      </w:pPr>
      <w:r w:rsidRPr="00417678">
        <w:rPr>
          <w:rFonts w:ascii="Arial" w:eastAsia="Calibri" w:hAnsi="Arial" w:cs="Arial"/>
          <w:sz w:val="24"/>
          <w:szCs w:val="24"/>
        </w:rPr>
        <w:t>3. High competition from other Swiss brand</w:t>
      </w:r>
      <w:r>
        <w:rPr>
          <w:rFonts w:ascii="Arial" w:eastAsia="Calibri" w:hAnsi="Arial" w:cs="Arial"/>
          <w:sz w:val="24"/>
          <w:szCs w:val="24"/>
        </w:rPr>
        <w:t>s</w:t>
      </w:r>
      <w:r w:rsidRPr="00417678">
        <w:rPr>
          <w:rFonts w:ascii="Arial" w:eastAsia="Calibri" w:hAnsi="Arial" w:cs="Arial"/>
          <w:sz w:val="24"/>
          <w:szCs w:val="24"/>
        </w:rPr>
        <w:t xml:space="preserve"> held by the same mother company </w:t>
      </w:r>
      <w:r>
        <w:rPr>
          <w:rFonts w:ascii="Arial" w:eastAsia="Calibri" w:hAnsi="Arial" w:cs="Arial"/>
          <w:sz w:val="24"/>
          <w:szCs w:val="24"/>
        </w:rPr>
        <w:t xml:space="preserve">can </w:t>
      </w:r>
      <w:r w:rsidRPr="00417678">
        <w:rPr>
          <w:rFonts w:ascii="Arial" w:eastAsia="Calibri" w:hAnsi="Arial" w:cs="Arial"/>
          <w:sz w:val="24"/>
          <w:szCs w:val="24"/>
        </w:rPr>
        <w:t>put too much pressure on the brand in competing under the current market conditions.</w:t>
      </w:r>
    </w:p>
    <w:p w14:paraId="03E82ED3" w14:textId="49496D6D" w:rsidR="00EA183C" w:rsidRDefault="00EA183C" w:rsidP="00EA183C">
      <w:pPr>
        <w:pStyle w:val="Heading1"/>
        <w:rPr>
          <w:b/>
          <w:bCs/>
          <w:color w:val="auto"/>
        </w:rPr>
      </w:pPr>
      <w:bookmarkStart w:id="16" w:name="_Toc80101962"/>
      <w:r w:rsidRPr="00DA32E4">
        <w:rPr>
          <w:b/>
          <w:bCs/>
          <w:color w:val="auto"/>
        </w:rPr>
        <w:t>Conclusion</w:t>
      </w:r>
      <w:bookmarkEnd w:id="16"/>
    </w:p>
    <w:p w14:paraId="2A2A07AA" w14:textId="77777777" w:rsidR="00DA32E4" w:rsidRPr="00DA32E4" w:rsidRDefault="00DA32E4" w:rsidP="00DA32E4"/>
    <w:p w14:paraId="7D58F41E"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It is evident that TAG Heuer can rely on innovation to meet the changing demands of clients and their shopping behaviour which has changed due to the pandemic situation, despite weaknesses in organisational structure as well as threats posed by the challenging economic situation and the implications of Covid-19 on exchange rates, plus the massive change of the market after Brexit.</w:t>
      </w:r>
    </w:p>
    <w:p w14:paraId="25E265FB" w14:textId="22912831"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customer care and the customer relationship will continue to improve soon due to the innovative vision of using virtual customer care technology, which will positively impact the market share of the company and the company portfolio.</w:t>
      </w:r>
      <w:r w:rsidR="00DA32E4">
        <w:rPr>
          <w:rFonts w:ascii="Arial" w:eastAsia="Calibri" w:hAnsi="Arial" w:cs="Arial"/>
          <w:sz w:val="24"/>
          <w:szCs w:val="24"/>
        </w:rPr>
        <w:t xml:space="preserve"> </w:t>
      </w:r>
      <w:r w:rsidRPr="00DD328A">
        <w:rPr>
          <w:rFonts w:ascii="Arial" w:eastAsia="Calibri" w:hAnsi="Arial" w:cs="Arial"/>
          <w:sz w:val="24"/>
          <w:szCs w:val="24"/>
        </w:rPr>
        <w:t>T</w:t>
      </w:r>
      <w:r w:rsidR="00DA32E4">
        <w:rPr>
          <w:rFonts w:ascii="Arial" w:eastAsia="Calibri" w:hAnsi="Arial" w:cs="Arial"/>
          <w:sz w:val="24"/>
          <w:szCs w:val="24"/>
        </w:rPr>
        <w:t xml:space="preserve">AG </w:t>
      </w:r>
      <w:r w:rsidRPr="00DD328A">
        <w:rPr>
          <w:rFonts w:ascii="Arial" w:eastAsia="Calibri" w:hAnsi="Arial" w:cs="Arial"/>
          <w:sz w:val="24"/>
          <w:szCs w:val="24"/>
        </w:rPr>
        <w:t xml:space="preserve">Heuer can increase its market share and attract new customers through the development of customer care by giving the customers an opportunity towards an advanced, easy and safe buying experience that can meet the dynamic and developing market plus the customers' needs in the future. </w:t>
      </w:r>
    </w:p>
    <w:p w14:paraId="32D33FBD" w14:textId="4CEA4DE0"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One of the main points that must be scrutinised when formulating a corporate strategy is understanding the stakeholders. This understanding will help the managers in charge of setting the new strategy in dealing flexibly with the company's external and internal policy priorities.</w:t>
      </w:r>
      <w:r w:rsidR="00DA32E4">
        <w:rPr>
          <w:rFonts w:ascii="Arial" w:eastAsia="Calibri" w:hAnsi="Arial" w:cs="Arial"/>
          <w:sz w:val="24"/>
          <w:szCs w:val="24"/>
        </w:rPr>
        <w:t xml:space="preserve"> </w:t>
      </w:r>
      <w:r w:rsidRPr="00DD328A">
        <w:rPr>
          <w:rFonts w:ascii="Arial" w:eastAsia="Calibri" w:hAnsi="Arial" w:cs="Arial"/>
          <w:sz w:val="24"/>
          <w:szCs w:val="24"/>
        </w:rPr>
        <w:t>In the case of TAG Heuer, the main stakeholders are future customers who have powerful technology knowledge. They also have requirements that the company must meet, and the company must expect more of these requirements in the future.</w:t>
      </w:r>
    </w:p>
    <w:p w14:paraId="4DC00DB7" w14:textId="374A0F36"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lastRenderedPageBreak/>
        <w:t xml:space="preserve">The main target behind developing the existing website to be a virtual customer service platform in TAG Heuer is to attract new customers and provide them with the latest technology website to satisfy their new buying behaviour and to make sure that the existing customer relationships </w:t>
      </w:r>
      <w:r w:rsidR="000F0DEF">
        <w:rPr>
          <w:rFonts w:ascii="Arial" w:eastAsia="Calibri" w:hAnsi="Arial" w:cs="Arial"/>
          <w:sz w:val="24"/>
          <w:szCs w:val="24"/>
        </w:rPr>
        <w:t>are</w:t>
      </w:r>
      <w:r w:rsidRPr="00DD328A">
        <w:rPr>
          <w:rFonts w:ascii="Arial" w:eastAsia="Calibri" w:hAnsi="Arial" w:cs="Arial"/>
          <w:sz w:val="24"/>
          <w:szCs w:val="24"/>
        </w:rPr>
        <w:t xml:space="preserve"> still activated and will continue to be developed in the future.</w:t>
      </w:r>
    </w:p>
    <w:p w14:paraId="5BDB09E2" w14:textId="20F7CBBC" w:rsidR="00EA183C" w:rsidRDefault="00EA183C" w:rsidP="00EA183C">
      <w:pPr>
        <w:pStyle w:val="Heading1"/>
        <w:rPr>
          <w:b/>
          <w:bCs/>
          <w:color w:val="auto"/>
        </w:rPr>
      </w:pPr>
      <w:bookmarkStart w:id="17" w:name="_Toc80101963"/>
      <w:r w:rsidRPr="00DA32E4">
        <w:rPr>
          <w:b/>
          <w:bCs/>
          <w:color w:val="auto"/>
        </w:rPr>
        <w:t>Recommendations</w:t>
      </w:r>
      <w:bookmarkEnd w:id="17"/>
    </w:p>
    <w:p w14:paraId="7FCF3051" w14:textId="77777777" w:rsidR="00DA32E4" w:rsidRPr="00DA32E4" w:rsidRDefault="00DA32E4" w:rsidP="00DA32E4"/>
    <w:p w14:paraId="7D170C39"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It is imperative for the new digital strategy's goals and objectives to be implemented with speed, and the market should be evaluated regularly (Muganyi et al., 2019).</w:t>
      </w:r>
    </w:p>
    <w:p w14:paraId="783CE0D6"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Tag Heuer should introduce an AR try-on app that offers a high-end experience for customers to be able to get a clear picture of what it would be like to wear the product on his/her wrist.</w:t>
      </w:r>
    </w:p>
    <w:p w14:paraId="528A74F1"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 xml:space="preserve"> The introduction of customised watches where customers can make their own customised unique timepiece will allow Tag Heuer to make a deeper connection with customers and boost sales.</w:t>
      </w:r>
    </w:p>
    <w:p w14:paraId="24B51D7D"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A big part of the real opportunities for TAG Heuer regarding the macro environment is the variation of its activities. The company may opt to produce a more comprehensive selection of watches. This concept of variety may be approached from different angles like design and suitability.</w:t>
      </w:r>
    </w:p>
    <w:p w14:paraId="53391961" w14:textId="77777777" w:rsidR="00EA183C" w:rsidRPr="00DD328A"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marketing department must examine the company's organisational structure and give detailed findings and possible conclusions on the same as it is evident in this case that the company requires a strategic digital plan to be able to compete in the global market under the current market situation and challenges of the pandemic.</w:t>
      </w:r>
    </w:p>
    <w:p w14:paraId="508F7754" w14:textId="65468351" w:rsidR="00EA183C" w:rsidRDefault="00EA183C" w:rsidP="00DD328A">
      <w:pPr>
        <w:suppressAutoHyphens/>
        <w:autoSpaceDN w:val="0"/>
        <w:spacing w:line="360" w:lineRule="auto"/>
        <w:jc w:val="both"/>
        <w:textAlignment w:val="baseline"/>
        <w:rPr>
          <w:rFonts w:ascii="Arial" w:eastAsia="Calibri" w:hAnsi="Arial" w:cs="Arial"/>
          <w:sz w:val="24"/>
          <w:szCs w:val="24"/>
        </w:rPr>
      </w:pPr>
      <w:r w:rsidRPr="00DD328A">
        <w:rPr>
          <w:rFonts w:ascii="Arial" w:eastAsia="Calibri" w:hAnsi="Arial" w:cs="Arial"/>
          <w:sz w:val="24"/>
          <w:szCs w:val="24"/>
        </w:rPr>
        <w:t>The strategic program in the case of TAG Heuer will help the company to re-allocate resources considering the competition will assist in finding alternatives like the geographic expansion of the business project.</w:t>
      </w:r>
    </w:p>
    <w:p w14:paraId="5D28B2D6" w14:textId="56B572BB" w:rsidR="00565D99" w:rsidRDefault="00565D99" w:rsidP="00DD328A">
      <w:pPr>
        <w:suppressAutoHyphens/>
        <w:autoSpaceDN w:val="0"/>
        <w:spacing w:line="360" w:lineRule="auto"/>
        <w:jc w:val="both"/>
        <w:textAlignment w:val="baseline"/>
        <w:rPr>
          <w:rFonts w:ascii="Arial" w:eastAsia="Calibri" w:hAnsi="Arial" w:cs="Arial"/>
          <w:sz w:val="24"/>
          <w:szCs w:val="24"/>
        </w:rPr>
      </w:pPr>
    </w:p>
    <w:p w14:paraId="09FF5CCF" w14:textId="249821C1" w:rsidR="00DA32E4" w:rsidRDefault="00DA32E4" w:rsidP="00DD328A">
      <w:pPr>
        <w:suppressAutoHyphens/>
        <w:autoSpaceDN w:val="0"/>
        <w:spacing w:line="360" w:lineRule="auto"/>
        <w:jc w:val="both"/>
        <w:textAlignment w:val="baseline"/>
        <w:rPr>
          <w:rFonts w:ascii="Arial" w:eastAsia="Calibri" w:hAnsi="Arial" w:cs="Arial"/>
          <w:sz w:val="24"/>
          <w:szCs w:val="24"/>
        </w:rPr>
      </w:pPr>
    </w:p>
    <w:p w14:paraId="7B53B78F" w14:textId="55B5EFF8" w:rsidR="00DA32E4" w:rsidRDefault="00DA32E4" w:rsidP="00DD328A">
      <w:pPr>
        <w:suppressAutoHyphens/>
        <w:autoSpaceDN w:val="0"/>
        <w:spacing w:line="360" w:lineRule="auto"/>
        <w:jc w:val="both"/>
        <w:textAlignment w:val="baseline"/>
        <w:rPr>
          <w:rFonts w:ascii="Arial" w:eastAsia="Calibri" w:hAnsi="Arial" w:cs="Arial"/>
          <w:sz w:val="24"/>
          <w:szCs w:val="24"/>
        </w:rPr>
      </w:pPr>
    </w:p>
    <w:p w14:paraId="3FC3E339" w14:textId="58F0CB49" w:rsidR="00DA32E4" w:rsidRDefault="00DA32E4" w:rsidP="00DD328A">
      <w:pPr>
        <w:suppressAutoHyphens/>
        <w:autoSpaceDN w:val="0"/>
        <w:spacing w:line="360" w:lineRule="auto"/>
        <w:jc w:val="both"/>
        <w:textAlignment w:val="baseline"/>
        <w:rPr>
          <w:rFonts w:ascii="Arial" w:eastAsia="Calibri" w:hAnsi="Arial" w:cs="Arial"/>
          <w:sz w:val="24"/>
          <w:szCs w:val="24"/>
        </w:rPr>
      </w:pPr>
    </w:p>
    <w:p w14:paraId="28B39799" w14:textId="0CCB8786" w:rsidR="00DA32E4" w:rsidRDefault="00DA32E4" w:rsidP="00DD328A">
      <w:pPr>
        <w:suppressAutoHyphens/>
        <w:autoSpaceDN w:val="0"/>
        <w:spacing w:line="360" w:lineRule="auto"/>
        <w:jc w:val="both"/>
        <w:textAlignment w:val="baseline"/>
        <w:rPr>
          <w:rFonts w:ascii="Arial" w:eastAsia="Calibri" w:hAnsi="Arial" w:cs="Arial"/>
          <w:sz w:val="24"/>
          <w:szCs w:val="24"/>
        </w:rPr>
      </w:pPr>
    </w:p>
    <w:p w14:paraId="17C9DCBB" w14:textId="77777777" w:rsidR="00DA32E4" w:rsidRDefault="00DA32E4" w:rsidP="00DD328A">
      <w:pPr>
        <w:suppressAutoHyphens/>
        <w:autoSpaceDN w:val="0"/>
        <w:spacing w:line="360" w:lineRule="auto"/>
        <w:jc w:val="both"/>
        <w:textAlignment w:val="baseline"/>
        <w:rPr>
          <w:rFonts w:ascii="Arial" w:eastAsia="Calibri" w:hAnsi="Arial" w:cs="Arial"/>
          <w:sz w:val="24"/>
          <w:szCs w:val="24"/>
        </w:rPr>
      </w:pPr>
    </w:p>
    <w:p w14:paraId="7CCBE2DD" w14:textId="4A7D8A69" w:rsidR="00EA183C" w:rsidRDefault="00565D99" w:rsidP="00565D99">
      <w:pPr>
        <w:pStyle w:val="Heading1"/>
        <w:rPr>
          <w:b/>
          <w:bCs/>
          <w:color w:val="auto"/>
        </w:rPr>
      </w:pPr>
      <w:bookmarkStart w:id="18" w:name="_Toc80101964"/>
      <w:r w:rsidRPr="00DA32E4">
        <w:rPr>
          <w:b/>
          <w:bCs/>
          <w:color w:val="auto"/>
        </w:rPr>
        <w:t>References</w:t>
      </w:r>
      <w:bookmarkEnd w:id="18"/>
      <w:r w:rsidRPr="00DA32E4">
        <w:rPr>
          <w:b/>
          <w:bCs/>
          <w:color w:val="auto"/>
        </w:rPr>
        <w:t xml:space="preserve"> </w:t>
      </w:r>
    </w:p>
    <w:p w14:paraId="4D33C911" w14:textId="77777777" w:rsidR="00DA32E4" w:rsidRPr="00DA32E4" w:rsidRDefault="00DA32E4" w:rsidP="00DA32E4"/>
    <w:p w14:paraId="2ACF39C7"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Bhasin H., 2018. ‘SWOT analysis of Tag Heuer’, Marketing 91.</w:t>
      </w:r>
    </w:p>
    <w:p w14:paraId="6AE846C1"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online at https://www.marketing91.com/swot-analysis-tag-heuer/</w:t>
      </w:r>
    </w:p>
    <w:p w14:paraId="6BEF548B"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[Accessed 20 January 2021]  </w:t>
      </w:r>
    </w:p>
    <w:p w14:paraId="578B5134"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16B729B6" w14:textId="3E4E8D7D"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Birshan, M., Dye, R. and Hall, S., 2011. ‘Creating more value with corporate strategy’, McKinsey &amp; Company</w:t>
      </w:r>
      <w:r w:rsidRPr="00565D99">
        <w:rPr>
          <w:rFonts w:ascii="Arial" w:eastAsia="Calibri" w:hAnsi="Arial" w:cs="Arial"/>
          <w:color w:val="FF0000"/>
          <w:sz w:val="24"/>
          <w:szCs w:val="24"/>
        </w:rPr>
        <w:t xml:space="preserve"> </w:t>
      </w:r>
    </w:p>
    <w:p w14:paraId="0BC7DB3A"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Available at https://www.mckinsey.com/business-functions/strategy-and-corporate-finance/our-insights/creating-more-value-with-corporate-strategy-mckinsey-global-survey-results </w:t>
      </w:r>
    </w:p>
    <w:p w14:paraId="0D31E4B7"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9 November 2020]</w:t>
      </w:r>
    </w:p>
    <w:p w14:paraId="4E1FED23"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39D93B72"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Bourke J., 2021. ‘Debenhams store closures: Landlords impacted by the department store chain leaving the high street’, Evening Standard.</w:t>
      </w:r>
    </w:p>
    <w:p w14:paraId="5DCA552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https://www.standard.co.uk/business/leisure-retail/debenhams-store-closures-landlords-b901076.html</w:t>
      </w:r>
    </w:p>
    <w:p w14:paraId="3632E4E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 [Accessed 12 December 2020]</w:t>
      </w:r>
    </w:p>
    <w:p w14:paraId="59857E23"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7144F25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Cameron, N., 2019. ‘TAG Heuer's new head of marketing looks to continue bold brand approach’, CMO.</w:t>
      </w:r>
    </w:p>
    <w:p w14:paraId="7D119D1D"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Available online at https://www.cmo.com.au/article/656117/tag-heuer-new-head-marketing-looks-continue-bold-brand-approach/ </w:t>
      </w:r>
    </w:p>
    <w:p w14:paraId="27C553A7"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5 November 2020]</w:t>
      </w:r>
    </w:p>
    <w:p w14:paraId="5826F9B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6A46EFB1"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Cameron, E. and Green, M., 2015. ‘Making Sense of Change Management: A Complete Guide to the Models, Tools and Techniques of Organisational Change’, 4th  edition, London: Kogan Page</w:t>
      </w:r>
    </w:p>
    <w:p w14:paraId="3E665010"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De Chernatony L., McDonald M. and Wallace E., Creating powerful brands, 4th ed., Oxford: Butterworth-Heinemann.</w:t>
      </w:r>
    </w:p>
    <w:p w14:paraId="761A4BD4" w14:textId="77777777" w:rsidR="00565D99" w:rsidRPr="00565D99" w:rsidRDefault="00565D99" w:rsidP="00565D99">
      <w:pPr>
        <w:suppressAutoHyphens/>
        <w:autoSpaceDN w:val="0"/>
        <w:spacing w:before="120"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Elle J., 2020. ‘Here's the current TAG Heuer situation’, YouTube.</w:t>
      </w:r>
    </w:p>
    <w:p w14:paraId="69DBF1E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https://www.youtube.com/watch?v=X-Ossi42dm0&amp;ab_channel=JenniElle 2020.</w:t>
      </w:r>
    </w:p>
    <w:p w14:paraId="35DD49A6"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18 December 2020]</w:t>
      </w:r>
    </w:p>
    <w:p w14:paraId="055F276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2E77091C" w14:textId="51C8F5C8"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Fashion Bi, n.d. </w:t>
      </w:r>
      <w:r w:rsidR="00DA32E4">
        <w:rPr>
          <w:rFonts w:ascii="Arial" w:eastAsia="Calibri" w:hAnsi="Arial" w:cs="Arial"/>
          <w:sz w:val="24"/>
          <w:szCs w:val="24"/>
        </w:rPr>
        <w:t>‘</w:t>
      </w:r>
      <w:r w:rsidRPr="00565D99">
        <w:rPr>
          <w:rFonts w:ascii="Arial" w:eastAsia="Calibri" w:hAnsi="Arial" w:cs="Arial"/>
          <w:sz w:val="24"/>
          <w:szCs w:val="24"/>
        </w:rPr>
        <w:t>TAG Heuer Financial report 2018</w:t>
      </w:r>
      <w:r w:rsidR="00DA32E4">
        <w:rPr>
          <w:rFonts w:ascii="Arial" w:eastAsia="Calibri" w:hAnsi="Arial" w:cs="Arial"/>
          <w:sz w:val="24"/>
          <w:szCs w:val="24"/>
        </w:rPr>
        <w:t>’</w:t>
      </w:r>
      <w:r w:rsidRPr="00565D99">
        <w:rPr>
          <w:rFonts w:ascii="Arial" w:eastAsia="Calibri" w:hAnsi="Arial" w:cs="Arial"/>
          <w:sz w:val="24"/>
          <w:szCs w:val="24"/>
        </w:rPr>
        <w:t>, Fashion Bi.</w:t>
      </w:r>
    </w:p>
    <w:p w14:paraId="27A55296"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Available at https://fashionbi.com/brands/tag-heuer/financials  </w:t>
      </w:r>
    </w:p>
    <w:p w14:paraId="0C5E0F0D"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28 December 2020]</w:t>
      </w:r>
    </w:p>
    <w:p w14:paraId="0F740EF0"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726DBCEA"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Feldman, E., 2020. ‘Corporate strategy: past, present, and future’, Strategic Management Review, 2020/1, pp.179–206.</w:t>
      </w:r>
    </w:p>
    <w:p w14:paraId="76F551E5"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lastRenderedPageBreak/>
        <w:t>Figus, G., 2018. ‘The long</w:t>
      </w:r>
      <w:r w:rsidRPr="00565D99">
        <w:rPr>
          <w:rFonts w:ascii="Cambria Math" w:eastAsia="Calibri" w:hAnsi="Cambria Math" w:cs="Cambria Math"/>
          <w:sz w:val="24"/>
          <w:szCs w:val="24"/>
        </w:rPr>
        <w:t>‐</w:t>
      </w:r>
      <w:r w:rsidRPr="00565D99">
        <w:rPr>
          <w:rFonts w:ascii="Arial" w:eastAsia="Calibri" w:hAnsi="Arial" w:cs="Arial"/>
          <w:sz w:val="24"/>
          <w:szCs w:val="24"/>
        </w:rPr>
        <w:t>term economic implications of Brexit for Scotland: An interregional analysis’, Papers in Regional Science, 97(1), pp.91–116.</w:t>
      </w:r>
    </w:p>
    <w:p w14:paraId="3C53A5D1"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Ghodeswar, B.M., 2008. ‘Building brand identity in competitive markets: a conceptual model’, Journal of product &amp; brand management, 17(1), pp.4-12.</w:t>
      </w:r>
    </w:p>
    <w:p w14:paraId="700D24DB" w14:textId="230EF088"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bookmarkStart w:id="19" w:name="_Hlk63513349"/>
      <w:r w:rsidRPr="00565D99">
        <w:rPr>
          <w:rFonts w:ascii="Arial" w:eastAsia="Calibri" w:hAnsi="Arial" w:cs="Arial"/>
          <w:sz w:val="24"/>
          <w:szCs w:val="24"/>
        </w:rPr>
        <w:t>Griffin</w:t>
      </w:r>
      <w:bookmarkEnd w:id="19"/>
      <w:r w:rsidRPr="00565D99">
        <w:rPr>
          <w:rFonts w:ascii="Arial" w:eastAsia="Calibri" w:hAnsi="Arial" w:cs="Arial"/>
          <w:sz w:val="24"/>
          <w:szCs w:val="24"/>
        </w:rPr>
        <w:t xml:space="preserve">, M.A., Parker, S.K. and Mason, C.M., 2010. </w:t>
      </w:r>
      <w:r w:rsidR="00DA32E4">
        <w:rPr>
          <w:rFonts w:ascii="Arial" w:eastAsia="Calibri" w:hAnsi="Arial" w:cs="Arial"/>
          <w:sz w:val="24"/>
          <w:szCs w:val="24"/>
        </w:rPr>
        <w:t>‘</w:t>
      </w:r>
      <w:r w:rsidRPr="00565D99">
        <w:rPr>
          <w:rFonts w:ascii="Arial" w:eastAsia="Calibri" w:hAnsi="Arial" w:cs="Arial"/>
          <w:sz w:val="24"/>
          <w:szCs w:val="24"/>
        </w:rPr>
        <w:t>Leader vision and the development of adaptive and proactive performance: a longitudinal study</w:t>
      </w:r>
      <w:r w:rsidR="00DA32E4">
        <w:rPr>
          <w:rFonts w:ascii="Arial" w:eastAsia="Calibri" w:hAnsi="Arial" w:cs="Arial"/>
          <w:sz w:val="24"/>
          <w:szCs w:val="24"/>
        </w:rPr>
        <w:t>’</w:t>
      </w:r>
      <w:r w:rsidRPr="00565D99">
        <w:rPr>
          <w:rFonts w:ascii="Arial" w:eastAsia="Calibri" w:hAnsi="Arial" w:cs="Arial"/>
          <w:sz w:val="24"/>
          <w:szCs w:val="24"/>
        </w:rPr>
        <w:t>. Journal of applied psychology, 95(1), p.174.</w:t>
      </w:r>
    </w:p>
    <w:p w14:paraId="434BCEE8"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Hornibrook, S. and Lynch, S., 2008. ‘Corporate strategy and operational reality: Why managers do what they do’, ICFAI Journal of Business Strategy, 111(4), pp.51-69.</w:t>
      </w:r>
    </w:p>
    <w:p w14:paraId="4E4D831B" w14:textId="49248523"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Harold, J., Cullinan, J. and Lyons, S., 2020. </w:t>
      </w:r>
      <w:r w:rsidR="00DA32E4">
        <w:rPr>
          <w:rFonts w:ascii="Arial" w:eastAsia="Calibri" w:hAnsi="Arial" w:cs="Arial"/>
          <w:sz w:val="24"/>
          <w:szCs w:val="24"/>
        </w:rPr>
        <w:t>‘</w:t>
      </w:r>
      <w:r w:rsidRPr="00565D99">
        <w:rPr>
          <w:rFonts w:ascii="Arial" w:eastAsia="Calibri" w:hAnsi="Arial" w:cs="Arial"/>
          <w:sz w:val="24"/>
          <w:szCs w:val="24"/>
        </w:rPr>
        <w:t>Consumer switching in European retail markets</w:t>
      </w:r>
      <w:r w:rsidR="00DA32E4">
        <w:rPr>
          <w:rFonts w:ascii="Arial" w:eastAsia="Calibri" w:hAnsi="Arial" w:cs="Arial"/>
          <w:sz w:val="24"/>
          <w:szCs w:val="24"/>
        </w:rPr>
        <w:t>’</w:t>
      </w:r>
      <w:r w:rsidRPr="00565D99">
        <w:rPr>
          <w:rFonts w:ascii="Arial" w:eastAsia="Calibri" w:hAnsi="Arial" w:cs="Arial"/>
          <w:sz w:val="24"/>
          <w:szCs w:val="24"/>
        </w:rPr>
        <w:t>. Oxford Economic Papers, 72(2), pp.453-471.</w:t>
      </w:r>
    </w:p>
    <w:p w14:paraId="0EAB8112" w14:textId="0EF41AB4"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bookmarkStart w:id="20" w:name="_Hlk66630147"/>
      <w:r w:rsidRPr="00565D99">
        <w:rPr>
          <w:rFonts w:ascii="Arial" w:eastAsia="Calibri" w:hAnsi="Arial" w:cs="Arial"/>
          <w:sz w:val="24"/>
          <w:szCs w:val="24"/>
        </w:rPr>
        <w:t>Helgeson</w:t>
      </w:r>
      <w:bookmarkEnd w:id="20"/>
      <w:r w:rsidRPr="00565D99">
        <w:rPr>
          <w:rFonts w:ascii="Arial" w:eastAsia="Calibri" w:hAnsi="Arial" w:cs="Arial"/>
          <w:sz w:val="24"/>
          <w:szCs w:val="24"/>
        </w:rPr>
        <w:t xml:space="preserve">, O, 2007. </w:t>
      </w:r>
      <w:r w:rsidR="00DA32E4">
        <w:rPr>
          <w:rFonts w:ascii="Arial" w:eastAsia="Calibri" w:hAnsi="Arial" w:cs="Arial"/>
          <w:sz w:val="24"/>
          <w:szCs w:val="24"/>
        </w:rPr>
        <w:t>‘</w:t>
      </w:r>
      <w:r w:rsidRPr="00565D99">
        <w:rPr>
          <w:rFonts w:ascii="Arial" w:eastAsia="Calibri" w:hAnsi="Arial" w:cs="Arial"/>
          <w:sz w:val="24"/>
          <w:szCs w:val="24"/>
        </w:rPr>
        <w:t>Practitioners' perceptions of marketing: Field evidence from a Nordic country</w:t>
      </w:r>
      <w:r w:rsidR="00DA32E4">
        <w:rPr>
          <w:rFonts w:ascii="Arial" w:eastAsia="Calibri" w:hAnsi="Arial" w:cs="Arial"/>
          <w:sz w:val="24"/>
          <w:szCs w:val="24"/>
        </w:rPr>
        <w:t>’</w:t>
      </w:r>
      <w:r w:rsidRPr="00565D99">
        <w:rPr>
          <w:rFonts w:ascii="Arial" w:eastAsia="Calibri" w:hAnsi="Arial" w:cs="Arial"/>
          <w:sz w:val="24"/>
          <w:szCs w:val="24"/>
        </w:rPr>
        <w:t>. Journal of Targeting, Measurement &amp; Analysis for Marketing, 15(3), pp.181–195</w:t>
      </w:r>
    </w:p>
    <w:p w14:paraId="64835658" w14:textId="1B2A6049"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Hidayanti, I., Herman, L.E. and Farida, N., 2018. </w:t>
      </w:r>
      <w:r w:rsidR="00DA32E4">
        <w:rPr>
          <w:rFonts w:ascii="Arial" w:eastAsia="Calibri" w:hAnsi="Arial" w:cs="Arial"/>
          <w:sz w:val="24"/>
          <w:szCs w:val="24"/>
        </w:rPr>
        <w:t>‘</w:t>
      </w:r>
      <w:r w:rsidRPr="00565D99">
        <w:rPr>
          <w:rFonts w:ascii="Arial" w:eastAsia="Calibri" w:hAnsi="Arial" w:cs="Arial"/>
          <w:sz w:val="24"/>
          <w:szCs w:val="24"/>
        </w:rPr>
        <w:t>Engaging customers through social media to improve industrial product development: the role of customer co-creation value</w:t>
      </w:r>
      <w:r w:rsidR="00DA32E4">
        <w:rPr>
          <w:rFonts w:ascii="Arial" w:eastAsia="Calibri" w:hAnsi="Arial" w:cs="Arial"/>
          <w:sz w:val="24"/>
          <w:szCs w:val="24"/>
        </w:rPr>
        <w:t>’</w:t>
      </w:r>
      <w:r w:rsidRPr="00565D99">
        <w:rPr>
          <w:rFonts w:ascii="Arial" w:eastAsia="Calibri" w:hAnsi="Arial" w:cs="Arial"/>
          <w:sz w:val="24"/>
          <w:szCs w:val="24"/>
        </w:rPr>
        <w:t>. Journal of Relationship Marketing, 17(1), pp.17-28.</w:t>
      </w:r>
    </w:p>
    <w:p w14:paraId="1D9460C3" w14:textId="56E8F736"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Jaekel, B., 2019. </w:t>
      </w:r>
      <w:r w:rsidR="00DA32E4">
        <w:rPr>
          <w:rFonts w:ascii="Arial" w:eastAsia="Calibri" w:hAnsi="Arial" w:cs="Arial"/>
          <w:sz w:val="24"/>
          <w:szCs w:val="24"/>
        </w:rPr>
        <w:t>‘</w:t>
      </w:r>
      <w:r w:rsidRPr="00565D99">
        <w:rPr>
          <w:rFonts w:ascii="Arial" w:eastAsia="Calibri" w:hAnsi="Arial" w:cs="Arial"/>
          <w:sz w:val="24"/>
          <w:szCs w:val="24"/>
        </w:rPr>
        <w:t>Is Watch Design the Next Frontier for Augmented Reality?</w:t>
      </w:r>
      <w:r w:rsidR="00DA32E4">
        <w:rPr>
          <w:rFonts w:ascii="Arial" w:eastAsia="Calibri" w:hAnsi="Arial" w:cs="Arial"/>
          <w:sz w:val="24"/>
          <w:szCs w:val="24"/>
        </w:rPr>
        <w:t>’</w:t>
      </w:r>
      <w:r w:rsidRPr="00565D99">
        <w:rPr>
          <w:rFonts w:ascii="Arial" w:eastAsia="Calibri" w:hAnsi="Arial" w:cs="Arial"/>
          <w:sz w:val="24"/>
          <w:szCs w:val="24"/>
        </w:rPr>
        <w:t>, Luxury society.</w:t>
      </w:r>
    </w:p>
    <w:p w14:paraId="6050D6CE"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https://www.luxurysociety.com/en/articles/2019/07/watch-design-next-frontier-augmented-reality/</w:t>
      </w:r>
    </w:p>
    <w:p w14:paraId="184D7EF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[Accessed 6 January 2021]  </w:t>
      </w:r>
    </w:p>
    <w:p w14:paraId="700DAE29"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57DF5D91" w14:textId="12B5450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Kalkum, F., Kleinstein, B., Lewandowski, D. and Raabe, J., 2020. </w:t>
      </w:r>
      <w:r w:rsidR="00DA32E4">
        <w:rPr>
          <w:rFonts w:ascii="Arial" w:eastAsia="Calibri" w:hAnsi="Arial" w:cs="Arial"/>
          <w:sz w:val="24"/>
          <w:szCs w:val="24"/>
        </w:rPr>
        <w:t>‘</w:t>
      </w:r>
      <w:r w:rsidRPr="00565D99">
        <w:rPr>
          <w:rFonts w:ascii="Arial" w:eastAsia="Calibri" w:hAnsi="Arial" w:cs="Arial"/>
          <w:sz w:val="24"/>
          <w:szCs w:val="24"/>
        </w:rPr>
        <w:t>Technology and innovation: Building the superhuman agent</w:t>
      </w:r>
      <w:r w:rsidR="00DA32E4">
        <w:rPr>
          <w:rFonts w:ascii="Arial" w:eastAsia="Calibri" w:hAnsi="Arial" w:cs="Arial"/>
          <w:sz w:val="24"/>
          <w:szCs w:val="24"/>
        </w:rPr>
        <w:t>’</w:t>
      </w:r>
      <w:r w:rsidRPr="00565D99">
        <w:rPr>
          <w:rFonts w:ascii="Arial" w:eastAsia="Calibri" w:hAnsi="Arial" w:cs="Arial"/>
          <w:sz w:val="24"/>
          <w:szCs w:val="24"/>
        </w:rPr>
        <w:t>, McKinsey &amp; company.</w:t>
      </w:r>
    </w:p>
    <w:p w14:paraId="2F157B7D"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https://www.mckinsey.com/business-functions/operations/our-insights/technology-and-innovation-building-the-superhuman-agent</w:t>
      </w:r>
    </w:p>
    <w:p w14:paraId="662F2EE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6 January 2021]</w:t>
      </w:r>
    </w:p>
    <w:p w14:paraId="3B26E1C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5DB08049"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LVMH, 2020. LVMH annual results 2019, LVMH.</w:t>
      </w:r>
    </w:p>
    <w:p w14:paraId="57364710"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online at https://r.lvmh-static.com/uploads/2020/01/lvmh-fy-2019-va.pdf</w:t>
      </w:r>
    </w:p>
    <w:p w14:paraId="585102C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6 January  2020]</w:t>
      </w:r>
    </w:p>
    <w:p w14:paraId="36E4A7EB"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7D0AC679"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Lynch, R., 2015. Strategic Management. Seventh ed. Harlow, Pearson.</w:t>
      </w:r>
    </w:p>
    <w:p w14:paraId="216D0393"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MarketLine, 2020. TAG Heuer profile, MarketLine. </w:t>
      </w:r>
    </w:p>
    <w:p w14:paraId="6E2EDC5E" w14:textId="77777777" w:rsidR="00565D99" w:rsidRPr="00565D99" w:rsidRDefault="00565D99" w:rsidP="00565D99">
      <w:pPr>
        <w:suppressAutoHyphens/>
        <w:autoSpaceDN w:val="0"/>
        <w:spacing w:after="0" w:line="257" w:lineRule="auto"/>
        <w:textAlignment w:val="baseline"/>
        <w:rPr>
          <w:rFonts w:ascii="Arial" w:eastAsia="Calibri" w:hAnsi="Arial" w:cs="Arial"/>
          <w:sz w:val="24"/>
          <w:szCs w:val="24"/>
        </w:rPr>
      </w:pPr>
      <w:r w:rsidRPr="00565D99">
        <w:rPr>
          <w:rFonts w:ascii="Arial" w:eastAsia="Calibri" w:hAnsi="Arial" w:cs="Arial"/>
          <w:sz w:val="24"/>
          <w:szCs w:val="24"/>
        </w:rPr>
        <w:t>Available online at https://advantage-marketline-com.ezproxy.uwtsd.ac.uk/Company/Profile/tag-heuer-sa?companyprofile</w:t>
      </w:r>
    </w:p>
    <w:p w14:paraId="16C8E44F" w14:textId="77777777" w:rsidR="00565D99" w:rsidRPr="00565D99" w:rsidRDefault="00565D99" w:rsidP="00565D99">
      <w:pPr>
        <w:suppressAutoHyphens/>
        <w:autoSpaceDN w:val="0"/>
        <w:spacing w:after="0" w:line="257" w:lineRule="auto"/>
        <w:textAlignment w:val="baseline"/>
        <w:rPr>
          <w:rFonts w:ascii="Arial" w:eastAsia="Calibri" w:hAnsi="Arial" w:cs="Arial"/>
          <w:sz w:val="24"/>
          <w:szCs w:val="24"/>
        </w:rPr>
      </w:pPr>
      <w:r w:rsidRPr="00565D99">
        <w:rPr>
          <w:rFonts w:ascii="Arial" w:eastAsia="Calibri" w:hAnsi="Arial" w:cs="Arial"/>
          <w:sz w:val="24"/>
          <w:szCs w:val="24"/>
        </w:rPr>
        <w:t>[Accessed 10 November 2020]</w:t>
      </w:r>
    </w:p>
    <w:p w14:paraId="33EB5C61" w14:textId="77777777" w:rsidR="00565D99" w:rsidRPr="00565D99" w:rsidRDefault="00565D99" w:rsidP="00565D99">
      <w:pPr>
        <w:suppressAutoHyphens/>
        <w:autoSpaceDN w:val="0"/>
        <w:spacing w:after="0" w:line="257" w:lineRule="auto"/>
        <w:textAlignment w:val="baseline"/>
        <w:rPr>
          <w:rFonts w:ascii="Arial" w:eastAsia="Calibri" w:hAnsi="Arial" w:cs="Arial"/>
          <w:sz w:val="24"/>
          <w:szCs w:val="24"/>
        </w:rPr>
      </w:pPr>
    </w:p>
    <w:p w14:paraId="6743B91F"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Mazzei, M.J. and Noble, D., 2017. ‘Big data dreams: A framework for corporate strategy’, Business Horizons, 60(3), pp.405-414.</w:t>
      </w:r>
    </w:p>
    <w:p w14:paraId="2C21C9D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2748B59D" w14:textId="65C34421"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lastRenderedPageBreak/>
        <w:t>McKinsey &amp; company, 2021.</w:t>
      </w:r>
      <w:r w:rsidRPr="00565D99">
        <w:rPr>
          <w:rFonts w:ascii="Arial" w:eastAsia="Calibri" w:hAnsi="Arial" w:cs="Arial"/>
          <w:color w:val="FF0000"/>
          <w:sz w:val="24"/>
          <w:szCs w:val="24"/>
        </w:rPr>
        <w:t xml:space="preserve"> </w:t>
      </w:r>
      <w:r w:rsidR="00DA32E4">
        <w:rPr>
          <w:rFonts w:ascii="Arial" w:eastAsia="Calibri" w:hAnsi="Arial" w:cs="Arial"/>
          <w:color w:val="FF0000"/>
          <w:sz w:val="24"/>
          <w:szCs w:val="24"/>
        </w:rPr>
        <w:t>‘</w:t>
      </w:r>
      <w:r w:rsidRPr="00565D99">
        <w:rPr>
          <w:rFonts w:ascii="Arial" w:eastAsia="Calibri" w:hAnsi="Arial" w:cs="Arial"/>
          <w:sz w:val="24"/>
          <w:szCs w:val="24"/>
        </w:rPr>
        <w:t>COVID-19: Implications for business</w:t>
      </w:r>
      <w:r w:rsidR="00DA32E4">
        <w:rPr>
          <w:rFonts w:ascii="Arial" w:eastAsia="Calibri" w:hAnsi="Arial" w:cs="Arial"/>
          <w:sz w:val="24"/>
          <w:szCs w:val="24"/>
        </w:rPr>
        <w:t>’</w:t>
      </w:r>
      <w:r w:rsidRPr="00565D99">
        <w:rPr>
          <w:rFonts w:ascii="Arial" w:eastAsia="Calibri" w:hAnsi="Arial" w:cs="Arial"/>
          <w:sz w:val="24"/>
          <w:szCs w:val="24"/>
        </w:rPr>
        <w:t>, McKinsey &amp; company.</w:t>
      </w:r>
    </w:p>
    <w:p w14:paraId="2B6C1B9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Available at https://www.mckinsey.com/business-functions/risk/our-insights/covid-19-implications-for-business </w:t>
      </w:r>
    </w:p>
    <w:p w14:paraId="6D6AEAE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[Accessed 15 January 2021]</w:t>
      </w:r>
    </w:p>
    <w:p w14:paraId="39C2C6E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00569406"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Muganyi, P., Madanhire, I. and Mbohwa, C., 2019. ‘Business survival and market performance through Lean Six Sigma in the chemical manufacturing industry’, International Journal of Lean Six Sigma, 10(2), pp.566-600.</w:t>
      </w:r>
    </w:p>
    <w:p w14:paraId="14794B73" w14:textId="0276B67F"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Murthy, B.K., 2012. </w:t>
      </w:r>
      <w:r w:rsidR="00DA32E4">
        <w:rPr>
          <w:rFonts w:ascii="Arial" w:eastAsia="Calibri" w:hAnsi="Arial" w:cs="Arial"/>
          <w:sz w:val="24"/>
          <w:szCs w:val="24"/>
        </w:rPr>
        <w:t>‘</w:t>
      </w:r>
      <w:r w:rsidRPr="00565D99">
        <w:rPr>
          <w:rFonts w:ascii="Arial" w:eastAsia="Calibri" w:hAnsi="Arial" w:cs="Arial"/>
          <w:sz w:val="24"/>
          <w:szCs w:val="24"/>
        </w:rPr>
        <w:t>Business Transformation Strategies: The Strategic Leader as Innovation Manager</w:t>
      </w:r>
      <w:r w:rsidR="00DA32E4">
        <w:rPr>
          <w:rFonts w:ascii="Arial" w:eastAsia="Calibri" w:hAnsi="Arial" w:cs="Arial"/>
          <w:sz w:val="24"/>
          <w:szCs w:val="24"/>
        </w:rPr>
        <w:t>’</w:t>
      </w:r>
      <w:r w:rsidRPr="00565D99">
        <w:rPr>
          <w:rFonts w:ascii="Arial" w:eastAsia="Calibri" w:hAnsi="Arial" w:cs="Arial"/>
          <w:sz w:val="24"/>
          <w:szCs w:val="24"/>
        </w:rPr>
        <w:t>. ASCI Journal of Management, 41(2), pp.165–167.</w:t>
      </w:r>
    </w:p>
    <w:p w14:paraId="7EC5A8B7" w14:textId="10A184C5"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bookmarkStart w:id="21" w:name="_Hlk66746782"/>
      <w:r w:rsidRPr="00565D99">
        <w:rPr>
          <w:rFonts w:ascii="Arial" w:eastAsia="Calibri" w:hAnsi="Arial" w:cs="Arial"/>
          <w:sz w:val="24"/>
          <w:szCs w:val="24"/>
        </w:rPr>
        <w:t>Morgan</w:t>
      </w:r>
      <w:bookmarkEnd w:id="21"/>
      <w:r w:rsidRPr="00565D99">
        <w:rPr>
          <w:rFonts w:ascii="Arial" w:eastAsia="Calibri" w:hAnsi="Arial" w:cs="Arial"/>
          <w:sz w:val="24"/>
          <w:szCs w:val="24"/>
        </w:rPr>
        <w:t xml:space="preserve">, T., Anokhin, S.A., Song, C. and Chistyakova, N., 2019. </w:t>
      </w:r>
      <w:r w:rsidR="00DA32E4">
        <w:rPr>
          <w:rFonts w:ascii="Arial" w:eastAsia="Calibri" w:hAnsi="Arial" w:cs="Arial"/>
          <w:sz w:val="24"/>
          <w:szCs w:val="24"/>
        </w:rPr>
        <w:t>‘</w:t>
      </w:r>
      <w:r w:rsidRPr="00565D99">
        <w:rPr>
          <w:rFonts w:ascii="Arial" w:eastAsia="Calibri" w:hAnsi="Arial" w:cs="Arial"/>
          <w:sz w:val="24"/>
          <w:szCs w:val="24"/>
        </w:rPr>
        <w:t>The role of customer participation in building new product development speed capabilities in turbulent environments</w:t>
      </w:r>
      <w:r w:rsidR="00DA32E4">
        <w:rPr>
          <w:rFonts w:ascii="Arial" w:eastAsia="Calibri" w:hAnsi="Arial" w:cs="Arial"/>
          <w:sz w:val="24"/>
          <w:szCs w:val="24"/>
        </w:rPr>
        <w:t>’</w:t>
      </w:r>
      <w:r w:rsidRPr="00565D99">
        <w:rPr>
          <w:rFonts w:ascii="Arial" w:eastAsia="Calibri" w:hAnsi="Arial" w:cs="Arial"/>
          <w:sz w:val="24"/>
          <w:szCs w:val="24"/>
        </w:rPr>
        <w:t>. International Entrepreneurship and Management Journal, 15(1), pp.119-133.</w:t>
      </w:r>
    </w:p>
    <w:p w14:paraId="7FE65DCF"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Naidoo, M. and Gasparatos, A., 2018. ‘Corporate environmental sustainability in the retail sector: Drivers, strategies and performance measurement’, Journal of Cleaner Production, 203, pp.125-142.</w:t>
      </w:r>
    </w:p>
    <w:p w14:paraId="43A9BED1" w14:textId="50871625"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Nicholls, A., 2010. </w:t>
      </w:r>
      <w:r w:rsidR="00DA32E4">
        <w:rPr>
          <w:rFonts w:ascii="Arial" w:eastAsia="Calibri" w:hAnsi="Arial" w:cs="Arial"/>
          <w:sz w:val="24"/>
          <w:szCs w:val="24"/>
        </w:rPr>
        <w:t>‘</w:t>
      </w:r>
      <w:r w:rsidRPr="00565D99">
        <w:rPr>
          <w:rFonts w:ascii="Arial" w:eastAsia="Calibri" w:hAnsi="Arial" w:cs="Arial"/>
          <w:sz w:val="24"/>
          <w:szCs w:val="24"/>
        </w:rPr>
        <w:t>Fair trade: Towards an economics of virtue. Journal of business ethics</w:t>
      </w:r>
      <w:r w:rsidR="00DA32E4">
        <w:rPr>
          <w:rFonts w:ascii="Arial" w:eastAsia="Calibri" w:hAnsi="Arial" w:cs="Arial"/>
          <w:sz w:val="24"/>
          <w:szCs w:val="24"/>
        </w:rPr>
        <w:t>’</w:t>
      </w:r>
      <w:r w:rsidRPr="00565D99">
        <w:rPr>
          <w:rFonts w:ascii="Arial" w:eastAsia="Calibri" w:hAnsi="Arial" w:cs="Arial"/>
          <w:sz w:val="24"/>
          <w:szCs w:val="24"/>
        </w:rPr>
        <w:t>, 92(2), pp.241-255.</w:t>
      </w:r>
    </w:p>
    <w:p w14:paraId="620A3210" w14:textId="08A33DB6"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Pereira, M.A., Nvidia Corp, 2010. </w:t>
      </w:r>
      <w:r w:rsidR="00DA32E4">
        <w:rPr>
          <w:rFonts w:ascii="Arial" w:eastAsia="Calibri" w:hAnsi="Arial" w:cs="Arial"/>
          <w:sz w:val="24"/>
          <w:szCs w:val="24"/>
        </w:rPr>
        <w:t>‘</w:t>
      </w:r>
      <w:r w:rsidRPr="00565D99">
        <w:rPr>
          <w:rFonts w:ascii="Arial" w:eastAsia="Calibri" w:hAnsi="Arial" w:cs="Arial"/>
          <w:sz w:val="24"/>
          <w:szCs w:val="24"/>
        </w:rPr>
        <w:t>Method and system for broadcasting live data over a network</w:t>
      </w:r>
      <w:r w:rsidR="00DA32E4">
        <w:rPr>
          <w:rFonts w:ascii="Arial" w:eastAsia="Calibri" w:hAnsi="Arial" w:cs="Arial"/>
          <w:sz w:val="24"/>
          <w:szCs w:val="24"/>
        </w:rPr>
        <w:t>’</w:t>
      </w:r>
      <w:r w:rsidRPr="00565D99">
        <w:rPr>
          <w:rFonts w:ascii="Arial" w:eastAsia="Calibri" w:hAnsi="Arial" w:cs="Arial"/>
          <w:sz w:val="24"/>
          <w:szCs w:val="24"/>
        </w:rPr>
        <w:t>. U.S. Patent 7,</w:t>
      </w:r>
      <w:r w:rsidR="00DA32E4">
        <w:rPr>
          <w:rFonts w:ascii="Arial" w:eastAsia="Calibri" w:hAnsi="Arial" w:cs="Arial"/>
          <w:sz w:val="24"/>
          <w:szCs w:val="24"/>
        </w:rPr>
        <w:t xml:space="preserve"> </w:t>
      </w:r>
      <w:r w:rsidRPr="00565D99">
        <w:rPr>
          <w:rFonts w:ascii="Arial" w:eastAsia="Calibri" w:hAnsi="Arial" w:cs="Arial"/>
          <w:sz w:val="24"/>
          <w:szCs w:val="24"/>
        </w:rPr>
        <w:t>676,596.</w:t>
      </w:r>
    </w:p>
    <w:p w14:paraId="3C2F7D5C" w14:textId="20EE1B7E"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Porter M.E. and Heppelmann, J.E., 2017. </w:t>
      </w:r>
      <w:r w:rsidR="00DA32E4">
        <w:rPr>
          <w:rFonts w:ascii="Arial" w:eastAsia="Calibri" w:hAnsi="Arial" w:cs="Arial"/>
          <w:sz w:val="24"/>
          <w:szCs w:val="24"/>
        </w:rPr>
        <w:t>‘</w:t>
      </w:r>
      <w:r w:rsidRPr="00565D99">
        <w:rPr>
          <w:rFonts w:ascii="Arial" w:eastAsia="Calibri" w:hAnsi="Arial" w:cs="Arial"/>
          <w:sz w:val="24"/>
          <w:szCs w:val="24"/>
        </w:rPr>
        <w:t>Why Every Organization Needs an Augmented Reality Strategy</w:t>
      </w:r>
      <w:r w:rsidR="00DA32E4">
        <w:rPr>
          <w:rFonts w:ascii="Arial" w:eastAsia="Calibri" w:hAnsi="Arial" w:cs="Arial"/>
          <w:sz w:val="24"/>
          <w:szCs w:val="24"/>
        </w:rPr>
        <w:t>’</w:t>
      </w:r>
      <w:r w:rsidRPr="00565D99">
        <w:rPr>
          <w:rFonts w:ascii="Arial" w:eastAsia="Calibri" w:hAnsi="Arial" w:cs="Arial"/>
          <w:sz w:val="24"/>
          <w:szCs w:val="24"/>
        </w:rPr>
        <w:t>, Harvard Business Review.</w:t>
      </w:r>
    </w:p>
    <w:p w14:paraId="04E8FB55" w14:textId="77777777"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https://hbr.org/2017/11/why-every-organization-needs-an-augmented-reality-strategy</w:t>
      </w:r>
    </w:p>
    <w:p w14:paraId="78FE953C" w14:textId="77777777"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r w:rsidRPr="00565D99">
        <w:rPr>
          <w:rFonts w:ascii="Arial" w:eastAsia="Calibri" w:hAnsi="Arial" w:cs="Arial"/>
          <w:sz w:val="24"/>
          <w:szCs w:val="24"/>
        </w:rPr>
        <w:t>[Accessed 6 January 2021]</w:t>
      </w:r>
    </w:p>
    <w:p w14:paraId="59B02930"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5629032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Raiford T., 2020. ‘The Top Five Tag Heuer Competitors Today’, Money Inc.   </w:t>
      </w:r>
    </w:p>
    <w:p w14:paraId="7E6B04DF"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Available at https://moneyinc.com/tag-heuer-competitors/ </w:t>
      </w:r>
    </w:p>
    <w:p w14:paraId="6AA6DC11"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[Access 30 January 2021] </w:t>
      </w:r>
    </w:p>
    <w:p w14:paraId="1E555829"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4B23EA85"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Raynor, M., 2007. ‘The strategy paradox’, Deloitte.</w:t>
      </w:r>
    </w:p>
    <w:p w14:paraId="3BE8D10D"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https://www2.deloitte.com/us/en/insights/deloitte-review/issue-1/the-strategy-paradox.html</w:t>
      </w:r>
    </w:p>
    <w:p w14:paraId="6DA8A64D"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 [Accessed 9 November 2020]</w:t>
      </w:r>
    </w:p>
    <w:p w14:paraId="7A00DC38"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0E0D411D" w14:textId="574DE16B"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Rafael B.P</w:t>
      </w:r>
      <w:r w:rsidR="00DA32E4">
        <w:rPr>
          <w:rFonts w:ascii="Arial" w:eastAsia="Calibri" w:hAnsi="Arial" w:cs="Arial"/>
          <w:sz w:val="24"/>
          <w:szCs w:val="24"/>
        </w:rPr>
        <w:t>.</w:t>
      </w:r>
      <w:r w:rsidRPr="00565D99">
        <w:rPr>
          <w:rFonts w:ascii="Arial" w:eastAsia="Calibri" w:hAnsi="Arial" w:cs="Arial"/>
          <w:sz w:val="24"/>
          <w:szCs w:val="24"/>
        </w:rPr>
        <w:t xml:space="preserve">, 2019. </w:t>
      </w:r>
      <w:r w:rsidR="00DA32E4">
        <w:rPr>
          <w:rFonts w:ascii="Arial" w:eastAsia="Calibri" w:hAnsi="Arial" w:cs="Arial"/>
          <w:sz w:val="24"/>
          <w:szCs w:val="24"/>
        </w:rPr>
        <w:t>‘</w:t>
      </w:r>
      <w:r w:rsidRPr="00565D99">
        <w:rPr>
          <w:rFonts w:ascii="Arial" w:eastAsia="Calibri" w:hAnsi="Arial" w:cs="Arial"/>
          <w:sz w:val="24"/>
          <w:szCs w:val="24"/>
        </w:rPr>
        <w:t>Consumer-based brand equity: benchmarking the perceived performance of brands</w:t>
      </w:r>
      <w:r w:rsidR="00DA32E4">
        <w:rPr>
          <w:rFonts w:ascii="Arial" w:eastAsia="Calibri" w:hAnsi="Arial" w:cs="Arial"/>
          <w:sz w:val="24"/>
          <w:szCs w:val="24"/>
        </w:rPr>
        <w:t>’,</w:t>
      </w:r>
      <w:r w:rsidRPr="00565D99">
        <w:rPr>
          <w:rFonts w:ascii="Arial" w:eastAsia="Calibri" w:hAnsi="Arial" w:cs="Arial"/>
          <w:sz w:val="24"/>
          <w:szCs w:val="24"/>
        </w:rPr>
        <w:t xml:space="preserve"> REMark, 18(4), pp.51–74.</w:t>
      </w:r>
    </w:p>
    <w:p w14:paraId="2D87B740"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4A8DD130" w14:textId="77777777"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Seker, B., 2020. ‘Corporate-Level Strategy’, Medium. </w:t>
      </w:r>
    </w:p>
    <w:p w14:paraId="3D9F0E75" w14:textId="77777777"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r w:rsidRPr="00565D99">
        <w:rPr>
          <w:rFonts w:ascii="Arial" w:eastAsia="Calibri" w:hAnsi="Arial" w:cs="Arial"/>
          <w:sz w:val="24"/>
          <w:szCs w:val="24"/>
        </w:rPr>
        <w:t>Available at https://baturseker.medium.com/corporate-level-strategy-753028fed2ff [Accessed: 15th November 2020]</w:t>
      </w:r>
    </w:p>
    <w:p w14:paraId="19FA6730" w14:textId="77777777" w:rsidR="00565D99" w:rsidRPr="00565D99" w:rsidRDefault="00565D99" w:rsidP="00565D99">
      <w:pPr>
        <w:suppressAutoHyphens/>
        <w:autoSpaceDN w:val="0"/>
        <w:spacing w:after="0" w:line="240" w:lineRule="auto"/>
        <w:jc w:val="both"/>
        <w:textAlignment w:val="baseline"/>
        <w:rPr>
          <w:rFonts w:ascii="Arial" w:eastAsia="Calibri" w:hAnsi="Arial" w:cs="Arial"/>
          <w:sz w:val="24"/>
          <w:szCs w:val="24"/>
        </w:rPr>
      </w:pPr>
    </w:p>
    <w:p w14:paraId="36555742"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lastRenderedPageBreak/>
        <w:t xml:space="preserve">Shatskaya, E., Samarina, M. and Nekhorosheva, K., 2016. </w:t>
      </w:r>
      <w:r w:rsidRPr="00565D99">
        <w:rPr>
          <w:rFonts w:ascii="Arial" w:eastAsia="Calibri" w:hAnsi="Arial" w:cs="Arial"/>
          <w:color w:val="FF0000"/>
          <w:sz w:val="24"/>
          <w:szCs w:val="24"/>
        </w:rPr>
        <w:t>‘</w:t>
      </w:r>
      <w:r w:rsidRPr="00565D99">
        <w:rPr>
          <w:rFonts w:ascii="Arial" w:eastAsia="Calibri" w:hAnsi="Arial" w:cs="Arial"/>
          <w:sz w:val="24"/>
          <w:szCs w:val="24"/>
        </w:rPr>
        <w:t>PESTEL analysis as a tool of strategic analysis in international markets</w:t>
      </w:r>
      <w:r w:rsidRPr="00565D99">
        <w:rPr>
          <w:rFonts w:ascii="Arial" w:eastAsia="Calibri" w:hAnsi="Arial" w:cs="Arial"/>
          <w:color w:val="FF0000"/>
          <w:sz w:val="24"/>
          <w:szCs w:val="24"/>
        </w:rPr>
        <w:t>’,</w:t>
      </w:r>
      <w:r w:rsidRPr="00565D99">
        <w:rPr>
          <w:rFonts w:ascii="Arial" w:eastAsia="Calibri" w:hAnsi="Arial" w:cs="Arial"/>
          <w:sz w:val="24"/>
          <w:szCs w:val="24"/>
        </w:rPr>
        <w:t xml:space="preserve"> Scope academic house B&amp;M publishing, p.47.</w:t>
      </w:r>
    </w:p>
    <w:p w14:paraId="03014902" w14:textId="77777777"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Solca, L., 2011. ‘European Luxury Goods: Hard Luxury - Markets, Players and Opportunities’. Black Book - European Luxury Goods: Hard Luxury - Markets, Players &amp; Opportunities, pp.1–183.</w:t>
      </w:r>
    </w:p>
    <w:p w14:paraId="67D033C8" w14:textId="77777777" w:rsidR="00DA32E4" w:rsidRDefault="00DA32E4" w:rsidP="00565D99">
      <w:pPr>
        <w:suppressAutoHyphens/>
        <w:autoSpaceDN w:val="0"/>
        <w:spacing w:after="0" w:line="257" w:lineRule="auto"/>
        <w:jc w:val="both"/>
        <w:textAlignment w:val="baseline"/>
        <w:rPr>
          <w:rFonts w:ascii="Arial" w:eastAsia="Calibri" w:hAnsi="Arial" w:cs="Arial"/>
          <w:sz w:val="24"/>
          <w:szCs w:val="24"/>
        </w:rPr>
      </w:pPr>
    </w:p>
    <w:p w14:paraId="635A96E2" w14:textId="4F1E5FB0"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Tag Heuer, n.d.  Tag Heuer’s history, Our story -</w:t>
      </w:r>
      <w:r w:rsidR="00DA32E4">
        <w:rPr>
          <w:rFonts w:ascii="Arial" w:eastAsia="Calibri" w:hAnsi="Arial" w:cs="Arial"/>
          <w:sz w:val="24"/>
          <w:szCs w:val="24"/>
        </w:rPr>
        <w:t xml:space="preserve"> </w:t>
      </w:r>
      <w:r w:rsidRPr="00565D99">
        <w:rPr>
          <w:rFonts w:ascii="Arial" w:eastAsia="Calibri" w:hAnsi="Arial" w:cs="Arial"/>
          <w:sz w:val="24"/>
          <w:szCs w:val="24"/>
        </w:rPr>
        <w:t>Tag Heuer.</w:t>
      </w:r>
    </w:p>
    <w:p w14:paraId="255B4F0C"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highlight w:val="yellow"/>
        </w:rPr>
      </w:pPr>
      <w:r w:rsidRPr="00565D99">
        <w:rPr>
          <w:rFonts w:ascii="Arial" w:eastAsia="Calibri" w:hAnsi="Arial" w:cs="Arial"/>
          <w:sz w:val="24"/>
          <w:szCs w:val="24"/>
        </w:rPr>
        <w:t>Available at https://www.tagheuer.com/gb/en/our-story/history.html</w:t>
      </w:r>
      <w:r w:rsidRPr="00565D99">
        <w:rPr>
          <w:rFonts w:ascii="Arial" w:eastAsia="Calibri" w:hAnsi="Arial" w:cs="Arial"/>
          <w:sz w:val="24"/>
          <w:szCs w:val="24"/>
          <w:highlight w:val="yellow"/>
        </w:rPr>
        <w:t xml:space="preserve"> </w:t>
      </w:r>
    </w:p>
    <w:p w14:paraId="3AF43BE7"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[Accessed 10 November 2020] </w:t>
      </w:r>
    </w:p>
    <w:p w14:paraId="46AADDC4" w14:textId="77777777"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p>
    <w:p w14:paraId="240A81AB" w14:textId="68603D59" w:rsidR="00565D99" w:rsidRPr="00565D99" w:rsidRDefault="00565D99" w:rsidP="00565D99">
      <w:pPr>
        <w:suppressAutoHyphens/>
        <w:autoSpaceDN w:val="0"/>
        <w:spacing w:after="0" w:line="257" w:lineRule="auto"/>
        <w:jc w:val="both"/>
        <w:textAlignment w:val="baseline"/>
        <w:rPr>
          <w:rFonts w:ascii="Arial" w:eastAsia="Calibri" w:hAnsi="Arial" w:cs="Arial"/>
          <w:sz w:val="24"/>
          <w:szCs w:val="24"/>
        </w:rPr>
      </w:pPr>
      <w:bookmarkStart w:id="22" w:name="_Hlk66644997"/>
      <w:r w:rsidRPr="00565D99">
        <w:rPr>
          <w:rFonts w:ascii="Arial" w:eastAsia="Calibri" w:hAnsi="Arial" w:cs="Arial"/>
          <w:sz w:val="24"/>
          <w:szCs w:val="24"/>
        </w:rPr>
        <w:t>Wang,</w:t>
      </w:r>
      <w:bookmarkEnd w:id="22"/>
      <w:r w:rsidRPr="00565D99">
        <w:rPr>
          <w:rFonts w:ascii="Arial" w:eastAsia="Calibri" w:hAnsi="Arial" w:cs="Arial"/>
          <w:sz w:val="24"/>
          <w:szCs w:val="24"/>
        </w:rPr>
        <w:t xml:space="preserve"> L., Jin, J.L., Zhou, K.Z., Li, C.B. and Yin, E., 2020. </w:t>
      </w:r>
      <w:r w:rsidR="00DA32E4">
        <w:rPr>
          <w:rFonts w:ascii="Arial" w:eastAsia="Calibri" w:hAnsi="Arial" w:cs="Arial"/>
          <w:sz w:val="24"/>
          <w:szCs w:val="24"/>
        </w:rPr>
        <w:t>‘</w:t>
      </w:r>
      <w:r w:rsidRPr="00565D99">
        <w:rPr>
          <w:rFonts w:ascii="Arial" w:eastAsia="Calibri" w:hAnsi="Arial" w:cs="Arial"/>
          <w:sz w:val="24"/>
          <w:szCs w:val="24"/>
        </w:rPr>
        <w:t>Does customer participation hurt new product development performance? Customer role, product newness, and conflict. Journal of Business Research</w:t>
      </w:r>
      <w:r w:rsidR="00DA32E4">
        <w:rPr>
          <w:rFonts w:ascii="Arial" w:eastAsia="Calibri" w:hAnsi="Arial" w:cs="Arial"/>
          <w:sz w:val="24"/>
          <w:szCs w:val="24"/>
        </w:rPr>
        <w:t>’</w:t>
      </w:r>
      <w:r w:rsidRPr="00565D99">
        <w:rPr>
          <w:rFonts w:ascii="Arial" w:eastAsia="Calibri" w:hAnsi="Arial" w:cs="Arial"/>
          <w:sz w:val="24"/>
          <w:szCs w:val="24"/>
        </w:rPr>
        <w:t>, 109, pp.246-259.</w:t>
      </w:r>
    </w:p>
    <w:p w14:paraId="421D5251" w14:textId="77777777" w:rsidR="00565D99" w:rsidRPr="00565D99" w:rsidRDefault="00565D99" w:rsidP="00565D99">
      <w:pPr>
        <w:suppressAutoHyphens/>
        <w:autoSpaceDN w:val="0"/>
        <w:spacing w:after="0" w:line="257" w:lineRule="auto"/>
        <w:jc w:val="both"/>
        <w:textAlignment w:val="baseline"/>
        <w:rPr>
          <w:rFonts w:ascii="Arial" w:eastAsia="Calibri" w:hAnsi="Arial" w:cs="Arial"/>
          <w:color w:val="FF0000"/>
          <w:sz w:val="24"/>
          <w:szCs w:val="24"/>
        </w:rPr>
      </w:pPr>
    </w:p>
    <w:p w14:paraId="79EBB50E" w14:textId="493595EA" w:rsidR="00565D99" w:rsidRPr="00565D99" w:rsidRDefault="00565D99" w:rsidP="00565D99">
      <w:pPr>
        <w:suppressAutoHyphens/>
        <w:autoSpaceDN w:val="0"/>
        <w:spacing w:line="256" w:lineRule="auto"/>
        <w:jc w:val="both"/>
        <w:textAlignment w:val="baseline"/>
        <w:rPr>
          <w:rFonts w:ascii="Arial" w:eastAsia="Calibri" w:hAnsi="Arial" w:cs="Arial"/>
          <w:sz w:val="24"/>
          <w:szCs w:val="24"/>
        </w:rPr>
      </w:pPr>
      <w:r w:rsidRPr="00565D99">
        <w:rPr>
          <w:rFonts w:ascii="Arial" w:eastAsia="Calibri" w:hAnsi="Arial" w:cs="Arial"/>
          <w:sz w:val="24"/>
          <w:szCs w:val="24"/>
        </w:rPr>
        <w:t xml:space="preserve">Young, R.A., Weiss, A.M. and Stewart, D.W., 2006. </w:t>
      </w:r>
      <w:r w:rsidR="00DA32E4">
        <w:rPr>
          <w:rFonts w:ascii="Arial" w:eastAsia="Calibri" w:hAnsi="Arial" w:cs="Arial"/>
          <w:sz w:val="24"/>
          <w:szCs w:val="24"/>
        </w:rPr>
        <w:t>‘</w:t>
      </w:r>
      <w:r w:rsidRPr="00565D99">
        <w:rPr>
          <w:rFonts w:ascii="Arial" w:eastAsia="Calibri" w:hAnsi="Arial" w:cs="Arial"/>
          <w:sz w:val="24"/>
          <w:szCs w:val="24"/>
        </w:rPr>
        <w:t>Marketing champions: practical strategies for improving marketing's power, influence, and business impact</w:t>
      </w:r>
      <w:r w:rsidR="00DA32E4">
        <w:rPr>
          <w:rFonts w:ascii="Arial" w:eastAsia="Calibri" w:hAnsi="Arial" w:cs="Arial"/>
          <w:sz w:val="24"/>
          <w:szCs w:val="24"/>
        </w:rPr>
        <w:t>’</w:t>
      </w:r>
      <w:r w:rsidRPr="00565D99">
        <w:rPr>
          <w:rFonts w:ascii="Arial" w:eastAsia="Calibri" w:hAnsi="Arial" w:cs="Arial"/>
          <w:sz w:val="24"/>
          <w:szCs w:val="24"/>
        </w:rPr>
        <w:t>. John Wiley &amp; Sons.</w:t>
      </w:r>
    </w:p>
    <w:p w14:paraId="595C1AC6" w14:textId="77777777" w:rsidR="00565D99" w:rsidRPr="00565D99" w:rsidRDefault="00565D99" w:rsidP="00565D99"/>
    <w:sectPr w:rsidR="00565D99" w:rsidRPr="00565D99" w:rsidSect="001904A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3C"/>
    <w:rsid w:val="000058D9"/>
    <w:rsid w:val="000F0DEF"/>
    <w:rsid w:val="00131518"/>
    <w:rsid w:val="00134013"/>
    <w:rsid w:val="00167AE0"/>
    <w:rsid w:val="001904A7"/>
    <w:rsid w:val="002B4B49"/>
    <w:rsid w:val="003115A8"/>
    <w:rsid w:val="00417678"/>
    <w:rsid w:val="004C6E92"/>
    <w:rsid w:val="00563110"/>
    <w:rsid w:val="00565D99"/>
    <w:rsid w:val="00570706"/>
    <w:rsid w:val="005C3DBC"/>
    <w:rsid w:val="005F000E"/>
    <w:rsid w:val="00644981"/>
    <w:rsid w:val="0065277A"/>
    <w:rsid w:val="00690427"/>
    <w:rsid w:val="006D34E8"/>
    <w:rsid w:val="00734D4A"/>
    <w:rsid w:val="008B51B9"/>
    <w:rsid w:val="009C37C0"/>
    <w:rsid w:val="00A44310"/>
    <w:rsid w:val="00A66863"/>
    <w:rsid w:val="00AC265D"/>
    <w:rsid w:val="00B15BAE"/>
    <w:rsid w:val="00B639E0"/>
    <w:rsid w:val="00B70969"/>
    <w:rsid w:val="00B96A7E"/>
    <w:rsid w:val="00BB6E75"/>
    <w:rsid w:val="00BC2238"/>
    <w:rsid w:val="00BE75B7"/>
    <w:rsid w:val="00C12E6D"/>
    <w:rsid w:val="00D502C3"/>
    <w:rsid w:val="00D93651"/>
    <w:rsid w:val="00DA1F95"/>
    <w:rsid w:val="00DA32E4"/>
    <w:rsid w:val="00DD328A"/>
    <w:rsid w:val="00EA183C"/>
    <w:rsid w:val="00EA76A8"/>
    <w:rsid w:val="00FA4D6A"/>
    <w:rsid w:val="00FB3EFE"/>
    <w:rsid w:val="00FB79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F934F"/>
  <w15:docId w15:val="{B384A91E-77E3-4FEC-8248-F1CA48C1A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8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18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8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A183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B4B49"/>
    <w:pPr>
      <w:outlineLvl w:val="9"/>
    </w:pPr>
    <w:rPr>
      <w:lang w:val="en-US"/>
    </w:rPr>
  </w:style>
  <w:style w:type="paragraph" w:styleId="TOC1">
    <w:name w:val="toc 1"/>
    <w:basedOn w:val="Normal"/>
    <w:next w:val="Normal"/>
    <w:autoRedefine/>
    <w:uiPriority w:val="39"/>
    <w:unhideWhenUsed/>
    <w:rsid w:val="002B4B49"/>
    <w:pPr>
      <w:spacing w:after="100"/>
    </w:pPr>
  </w:style>
  <w:style w:type="paragraph" w:styleId="TOC2">
    <w:name w:val="toc 2"/>
    <w:basedOn w:val="Normal"/>
    <w:next w:val="Normal"/>
    <w:autoRedefine/>
    <w:uiPriority w:val="39"/>
    <w:unhideWhenUsed/>
    <w:rsid w:val="002B4B49"/>
    <w:pPr>
      <w:spacing w:after="100"/>
      <w:ind w:left="220"/>
    </w:pPr>
  </w:style>
  <w:style w:type="character" w:styleId="Hyperlink">
    <w:name w:val="Hyperlink"/>
    <w:basedOn w:val="DefaultParagraphFont"/>
    <w:uiPriority w:val="99"/>
    <w:unhideWhenUsed/>
    <w:rsid w:val="002B4B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B0536-6057-4043-8264-07D9C0DD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18</Pages>
  <Words>5211</Words>
  <Characters>29709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Roushdi Mabrouk</dc:creator>
  <cp:keywords/>
  <dc:description/>
  <cp:lastModifiedBy>Omar Roushdi Mabrouk</cp:lastModifiedBy>
  <cp:revision>22</cp:revision>
  <dcterms:created xsi:type="dcterms:W3CDTF">2021-08-17T13:52:00Z</dcterms:created>
  <dcterms:modified xsi:type="dcterms:W3CDTF">2021-08-26T14:58:00Z</dcterms:modified>
</cp:coreProperties>
</file>