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FEF41" w14:textId="77777777" w:rsidR="00861A17" w:rsidRDefault="00861A17" w:rsidP="00861A17">
      <w:pPr>
        <w:spacing w:after="160" w:line="278" w:lineRule="auto"/>
        <w:ind w:firstLine="0"/>
        <w:jc w:val="center"/>
      </w:pPr>
    </w:p>
    <w:p w14:paraId="68066407" w14:textId="77777777" w:rsidR="00861A17" w:rsidRDefault="00861A17" w:rsidP="00861A17">
      <w:pPr>
        <w:spacing w:after="160" w:line="278" w:lineRule="auto"/>
        <w:ind w:firstLine="0"/>
        <w:jc w:val="center"/>
      </w:pPr>
    </w:p>
    <w:p w14:paraId="0861F7A1" w14:textId="77777777" w:rsidR="00861A17" w:rsidRDefault="00861A17" w:rsidP="00B72BE5">
      <w:pPr>
        <w:spacing w:after="160" w:line="278" w:lineRule="auto"/>
        <w:ind w:firstLine="0"/>
      </w:pPr>
    </w:p>
    <w:p w14:paraId="5B30D9F1" w14:textId="77777777" w:rsidR="00B72BE5" w:rsidRDefault="00B72BE5" w:rsidP="00B72BE5">
      <w:pPr>
        <w:spacing w:after="160" w:line="278" w:lineRule="auto"/>
        <w:ind w:firstLine="0"/>
      </w:pPr>
    </w:p>
    <w:p w14:paraId="5180A59A" w14:textId="77777777" w:rsidR="00B72BE5" w:rsidRDefault="00B72BE5" w:rsidP="00B72BE5">
      <w:pPr>
        <w:spacing w:after="160" w:line="278" w:lineRule="auto"/>
        <w:ind w:firstLine="0"/>
      </w:pPr>
    </w:p>
    <w:p w14:paraId="64C884DE" w14:textId="6E994110" w:rsidR="00861A17" w:rsidRPr="00B578F0" w:rsidRDefault="00861A17" w:rsidP="00861A17">
      <w:pPr>
        <w:spacing w:after="160" w:line="278" w:lineRule="auto"/>
        <w:ind w:firstLine="0"/>
        <w:jc w:val="center"/>
      </w:pPr>
      <w:r w:rsidRPr="00861A17">
        <w:rPr>
          <w:b/>
          <w:bCs/>
        </w:rPr>
        <w:t xml:space="preserve">Module: </w:t>
      </w:r>
      <w:r w:rsidRPr="00B578F0">
        <w:t>Introduction to Health and Social Care</w:t>
      </w:r>
    </w:p>
    <w:p w14:paraId="763C3644" w14:textId="77777777" w:rsidR="00861A17" w:rsidRDefault="00861A17" w:rsidP="00861A17">
      <w:pPr>
        <w:spacing w:after="160" w:line="278" w:lineRule="auto"/>
        <w:ind w:firstLine="0"/>
        <w:jc w:val="center"/>
        <w:rPr>
          <w:b/>
          <w:bCs/>
        </w:rPr>
      </w:pPr>
    </w:p>
    <w:p w14:paraId="0F498B1F" w14:textId="6AD13070" w:rsidR="00861A17" w:rsidRPr="00B578F0" w:rsidRDefault="00861A17" w:rsidP="00861A17">
      <w:pPr>
        <w:spacing w:after="160" w:line="278" w:lineRule="auto"/>
        <w:ind w:firstLine="0"/>
        <w:jc w:val="center"/>
      </w:pPr>
      <w:r w:rsidRPr="00861A17">
        <w:rPr>
          <w:b/>
          <w:bCs/>
        </w:rPr>
        <w:t xml:space="preserve">Module Code: </w:t>
      </w:r>
      <w:r w:rsidRPr="00B578F0">
        <w:t>LCHS4003</w:t>
      </w:r>
    </w:p>
    <w:p w14:paraId="739911CA" w14:textId="77777777" w:rsidR="00861A17" w:rsidRDefault="00861A17" w:rsidP="00861A17">
      <w:pPr>
        <w:spacing w:after="160" w:line="278" w:lineRule="auto"/>
        <w:ind w:firstLine="0"/>
        <w:jc w:val="center"/>
        <w:rPr>
          <w:b/>
          <w:bCs/>
        </w:rPr>
      </w:pPr>
    </w:p>
    <w:p w14:paraId="43BC34E5" w14:textId="7EFAB906" w:rsidR="00861A17" w:rsidRPr="00861A17" w:rsidRDefault="00861A17" w:rsidP="00861A17">
      <w:pPr>
        <w:spacing w:after="160" w:line="278" w:lineRule="auto"/>
        <w:ind w:firstLine="0"/>
        <w:jc w:val="center"/>
        <w:rPr>
          <w:b/>
          <w:bCs/>
        </w:rPr>
      </w:pPr>
      <w:r w:rsidRPr="00861A17">
        <w:rPr>
          <w:b/>
          <w:bCs/>
        </w:rPr>
        <w:t xml:space="preserve">Assignment Title: </w:t>
      </w:r>
      <w:r w:rsidRPr="00861A17">
        <w:t>Effective Communication, Administration and Collaborative Working in Health and Social Care</w:t>
      </w:r>
      <w:r>
        <w:t xml:space="preserve"> – A </w:t>
      </w:r>
      <w:r w:rsidRPr="00861A17">
        <w:t>Case Study of Mr Ahmed</w:t>
      </w:r>
      <w:r w:rsidRPr="00861A17">
        <w:tab/>
      </w:r>
      <w:r w:rsidRPr="00861A17">
        <w:rPr>
          <w:b/>
          <w:bCs/>
        </w:rPr>
        <w:t xml:space="preserve"> </w:t>
      </w:r>
    </w:p>
    <w:p w14:paraId="0B237877" w14:textId="77777777" w:rsidR="00861A17" w:rsidRDefault="00861A17" w:rsidP="00861A17">
      <w:pPr>
        <w:spacing w:after="160" w:line="278" w:lineRule="auto"/>
        <w:ind w:firstLine="0"/>
        <w:jc w:val="center"/>
        <w:rPr>
          <w:b/>
          <w:bCs/>
        </w:rPr>
      </w:pPr>
    </w:p>
    <w:p w14:paraId="572E54C2" w14:textId="31A8C4AE" w:rsidR="00861A17" w:rsidRDefault="00861A17" w:rsidP="00F56B01">
      <w:pPr>
        <w:spacing w:after="160" w:line="278" w:lineRule="auto"/>
        <w:ind w:firstLine="0"/>
        <w:jc w:val="center"/>
        <w:rPr>
          <w:b/>
          <w:bCs/>
        </w:rPr>
      </w:pPr>
      <w:r w:rsidRPr="00861A17">
        <w:rPr>
          <w:b/>
          <w:bCs/>
        </w:rPr>
        <w:t>Student Name:</w:t>
      </w:r>
      <w:r w:rsidR="00F56B01">
        <w:rPr>
          <w:b/>
          <w:bCs/>
        </w:rPr>
        <w:t xml:space="preserve"> SALMA SHAHZAD</w:t>
      </w:r>
    </w:p>
    <w:p w14:paraId="507DC38C" w14:textId="3A4BE6C3" w:rsidR="00861A17" w:rsidRDefault="00861A17" w:rsidP="00861A17">
      <w:pPr>
        <w:spacing w:after="160" w:line="278" w:lineRule="auto"/>
        <w:ind w:firstLine="0"/>
        <w:jc w:val="center"/>
        <w:rPr>
          <w:b/>
          <w:bCs/>
        </w:rPr>
      </w:pPr>
      <w:r w:rsidRPr="00861A17">
        <w:rPr>
          <w:b/>
          <w:bCs/>
        </w:rPr>
        <w:t>Student ID Number:</w:t>
      </w:r>
      <w:r w:rsidR="00F56B01">
        <w:rPr>
          <w:b/>
          <w:bCs/>
        </w:rPr>
        <w:t xml:space="preserve"> 2332701</w:t>
      </w:r>
    </w:p>
    <w:p w14:paraId="0E24491A" w14:textId="209468BD" w:rsidR="00F56B01" w:rsidRPr="00861A17" w:rsidRDefault="00F56B01" w:rsidP="00861A17">
      <w:pPr>
        <w:spacing w:after="160" w:line="278" w:lineRule="auto"/>
        <w:ind w:firstLine="0"/>
        <w:jc w:val="center"/>
        <w:rPr>
          <w:b/>
          <w:bCs/>
        </w:rPr>
      </w:pPr>
      <w:r>
        <w:rPr>
          <w:b/>
          <w:bCs/>
        </w:rPr>
        <w:t>LECTURER: MUMTAZ GOOLAM</w:t>
      </w:r>
    </w:p>
    <w:p w14:paraId="677F40ED" w14:textId="267A01EE" w:rsidR="00861A17" w:rsidRDefault="00861A17">
      <w:pPr>
        <w:spacing w:after="160" w:line="278" w:lineRule="auto"/>
        <w:ind w:firstLine="0"/>
        <w:jc w:val="left"/>
        <w:rPr>
          <w:rFonts w:eastAsiaTheme="majorEastAsia" w:cstheme="majorBidi"/>
          <w:b/>
          <w:szCs w:val="40"/>
        </w:rPr>
      </w:pPr>
    </w:p>
    <w:p w14:paraId="4D3C9734" w14:textId="77777777" w:rsidR="00464464" w:rsidRDefault="00291E87" w:rsidP="00291E87">
      <w:pPr>
        <w:spacing w:after="160" w:line="278" w:lineRule="auto"/>
        <w:ind w:firstLine="0"/>
        <w:jc w:val="center"/>
        <w:rPr>
          <w:b/>
          <w:bCs/>
        </w:rPr>
      </w:pPr>
      <w:r w:rsidRPr="00291E87">
        <w:rPr>
          <w:b/>
          <w:bCs/>
        </w:rPr>
        <w:t>Table of Contents</w:t>
      </w:r>
    </w:p>
    <w:p w14:paraId="60FAC0DD" w14:textId="6226845E" w:rsidR="00464464" w:rsidRDefault="00464464" w:rsidP="00464464">
      <w:pPr>
        <w:pStyle w:val="TOC1"/>
        <w:tabs>
          <w:tab w:val="right" w:leader="dot" w:pos="9016"/>
        </w:tabs>
        <w:ind w:firstLine="0"/>
        <w:rPr>
          <w:noProof/>
        </w:rPr>
      </w:pPr>
      <w:r>
        <w:rPr>
          <w:b/>
          <w:bCs/>
        </w:rPr>
        <w:fldChar w:fldCharType="begin"/>
      </w:r>
      <w:r>
        <w:rPr>
          <w:b/>
          <w:bCs/>
        </w:rPr>
        <w:instrText xml:space="preserve"> TOC \o "1-3" \h \z \u </w:instrText>
      </w:r>
      <w:r>
        <w:rPr>
          <w:b/>
          <w:bCs/>
        </w:rPr>
        <w:fldChar w:fldCharType="separate"/>
      </w:r>
      <w:hyperlink w:anchor="_Toc223992075" w:history="1">
        <w:r w:rsidRPr="00CE307A">
          <w:rPr>
            <w:rStyle w:val="Hyperlink"/>
            <w:noProof/>
          </w:rPr>
          <w:t>Introduction</w:t>
        </w:r>
        <w:r>
          <w:rPr>
            <w:noProof/>
            <w:webHidden/>
          </w:rPr>
          <w:tab/>
        </w:r>
        <w:r>
          <w:rPr>
            <w:noProof/>
            <w:webHidden/>
          </w:rPr>
          <w:fldChar w:fldCharType="begin"/>
        </w:r>
        <w:r>
          <w:rPr>
            <w:noProof/>
            <w:webHidden/>
          </w:rPr>
          <w:instrText xml:space="preserve"> PAGEREF _Toc223992075 \h </w:instrText>
        </w:r>
        <w:r>
          <w:rPr>
            <w:noProof/>
            <w:webHidden/>
          </w:rPr>
        </w:r>
        <w:r>
          <w:rPr>
            <w:noProof/>
            <w:webHidden/>
          </w:rPr>
          <w:fldChar w:fldCharType="separate"/>
        </w:r>
        <w:r>
          <w:rPr>
            <w:noProof/>
            <w:webHidden/>
          </w:rPr>
          <w:t>3</w:t>
        </w:r>
        <w:r>
          <w:rPr>
            <w:noProof/>
            <w:webHidden/>
          </w:rPr>
          <w:fldChar w:fldCharType="end"/>
        </w:r>
      </w:hyperlink>
    </w:p>
    <w:p w14:paraId="0EC5C89D" w14:textId="7126DB8F" w:rsidR="00464464" w:rsidRDefault="00464464" w:rsidP="00464464">
      <w:pPr>
        <w:pStyle w:val="TOC1"/>
        <w:tabs>
          <w:tab w:val="right" w:leader="dot" w:pos="9016"/>
        </w:tabs>
        <w:ind w:firstLine="0"/>
        <w:rPr>
          <w:noProof/>
        </w:rPr>
      </w:pPr>
      <w:hyperlink w:anchor="_Toc223992076" w:history="1">
        <w:r w:rsidRPr="00CE307A">
          <w:rPr>
            <w:rStyle w:val="Hyperlink"/>
            <w:noProof/>
          </w:rPr>
          <w:t>Discussion</w:t>
        </w:r>
        <w:r>
          <w:rPr>
            <w:noProof/>
            <w:webHidden/>
          </w:rPr>
          <w:tab/>
        </w:r>
        <w:r>
          <w:rPr>
            <w:noProof/>
            <w:webHidden/>
          </w:rPr>
          <w:fldChar w:fldCharType="begin"/>
        </w:r>
        <w:r>
          <w:rPr>
            <w:noProof/>
            <w:webHidden/>
          </w:rPr>
          <w:instrText xml:space="preserve"> PAGEREF _Toc223992076 \h </w:instrText>
        </w:r>
        <w:r>
          <w:rPr>
            <w:noProof/>
            <w:webHidden/>
          </w:rPr>
        </w:r>
        <w:r>
          <w:rPr>
            <w:noProof/>
            <w:webHidden/>
          </w:rPr>
          <w:fldChar w:fldCharType="separate"/>
        </w:r>
        <w:r>
          <w:rPr>
            <w:noProof/>
            <w:webHidden/>
          </w:rPr>
          <w:t>3</w:t>
        </w:r>
        <w:r>
          <w:rPr>
            <w:noProof/>
            <w:webHidden/>
          </w:rPr>
          <w:fldChar w:fldCharType="end"/>
        </w:r>
      </w:hyperlink>
    </w:p>
    <w:p w14:paraId="54ADD8D8" w14:textId="7E561BB5" w:rsidR="00464464" w:rsidRDefault="00464464" w:rsidP="00464464">
      <w:pPr>
        <w:pStyle w:val="TOC2"/>
        <w:tabs>
          <w:tab w:val="right" w:leader="dot" w:pos="9016"/>
        </w:tabs>
        <w:ind w:firstLine="0"/>
        <w:rPr>
          <w:noProof/>
        </w:rPr>
      </w:pPr>
      <w:hyperlink w:anchor="_Toc223992077" w:history="1">
        <w:r w:rsidRPr="00CE307A">
          <w:rPr>
            <w:rStyle w:val="Hyperlink"/>
            <w:noProof/>
          </w:rPr>
          <w:t>Importance of Effective Communication in Mr. Ahmed’s Care</w:t>
        </w:r>
        <w:r>
          <w:rPr>
            <w:noProof/>
            <w:webHidden/>
          </w:rPr>
          <w:tab/>
        </w:r>
        <w:r>
          <w:rPr>
            <w:noProof/>
            <w:webHidden/>
          </w:rPr>
          <w:fldChar w:fldCharType="begin"/>
        </w:r>
        <w:r>
          <w:rPr>
            <w:noProof/>
            <w:webHidden/>
          </w:rPr>
          <w:instrText xml:space="preserve"> PAGEREF _Toc223992077 \h </w:instrText>
        </w:r>
        <w:r>
          <w:rPr>
            <w:noProof/>
            <w:webHidden/>
          </w:rPr>
        </w:r>
        <w:r>
          <w:rPr>
            <w:noProof/>
            <w:webHidden/>
          </w:rPr>
          <w:fldChar w:fldCharType="separate"/>
        </w:r>
        <w:r>
          <w:rPr>
            <w:noProof/>
            <w:webHidden/>
          </w:rPr>
          <w:t>3</w:t>
        </w:r>
        <w:r>
          <w:rPr>
            <w:noProof/>
            <w:webHidden/>
          </w:rPr>
          <w:fldChar w:fldCharType="end"/>
        </w:r>
      </w:hyperlink>
    </w:p>
    <w:p w14:paraId="2C64BDF2" w14:textId="52E6A169" w:rsidR="00464464" w:rsidRDefault="00464464" w:rsidP="00464464">
      <w:pPr>
        <w:pStyle w:val="TOC2"/>
        <w:tabs>
          <w:tab w:val="right" w:leader="dot" w:pos="9016"/>
        </w:tabs>
        <w:ind w:firstLine="0"/>
        <w:rPr>
          <w:noProof/>
        </w:rPr>
      </w:pPr>
      <w:hyperlink w:anchor="_Toc223992078" w:history="1">
        <w:r w:rsidRPr="00CE307A">
          <w:rPr>
            <w:rStyle w:val="Hyperlink"/>
            <w:noProof/>
          </w:rPr>
          <w:t>Importance of Administrative Skills and Record Keeping</w:t>
        </w:r>
        <w:r>
          <w:rPr>
            <w:noProof/>
            <w:webHidden/>
          </w:rPr>
          <w:tab/>
        </w:r>
        <w:r>
          <w:rPr>
            <w:noProof/>
            <w:webHidden/>
          </w:rPr>
          <w:fldChar w:fldCharType="begin"/>
        </w:r>
        <w:r>
          <w:rPr>
            <w:noProof/>
            <w:webHidden/>
          </w:rPr>
          <w:instrText xml:space="preserve"> PAGEREF _Toc223992078 \h </w:instrText>
        </w:r>
        <w:r>
          <w:rPr>
            <w:noProof/>
            <w:webHidden/>
          </w:rPr>
        </w:r>
        <w:r>
          <w:rPr>
            <w:noProof/>
            <w:webHidden/>
          </w:rPr>
          <w:fldChar w:fldCharType="separate"/>
        </w:r>
        <w:r>
          <w:rPr>
            <w:noProof/>
            <w:webHidden/>
          </w:rPr>
          <w:t>4</w:t>
        </w:r>
        <w:r>
          <w:rPr>
            <w:noProof/>
            <w:webHidden/>
          </w:rPr>
          <w:fldChar w:fldCharType="end"/>
        </w:r>
      </w:hyperlink>
    </w:p>
    <w:p w14:paraId="2FD7C0D6" w14:textId="2D67C1F0" w:rsidR="00464464" w:rsidRDefault="00464464" w:rsidP="00464464">
      <w:pPr>
        <w:pStyle w:val="TOC2"/>
        <w:tabs>
          <w:tab w:val="right" w:leader="dot" w:pos="9016"/>
        </w:tabs>
        <w:ind w:firstLine="0"/>
        <w:rPr>
          <w:noProof/>
        </w:rPr>
      </w:pPr>
      <w:hyperlink w:anchor="_Toc223992079" w:history="1">
        <w:r w:rsidRPr="00CE307A">
          <w:rPr>
            <w:rStyle w:val="Hyperlink"/>
            <w:noProof/>
          </w:rPr>
          <w:t>Collaborative Working in Mr. Ahmed’s Care</w:t>
        </w:r>
        <w:r>
          <w:rPr>
            <w:noProof/>
            <w:webHidden/>
          </w:rPr>
          <w:tab/>
        </w:r>
        <w:r>
          <w:rPr>
            <w:noProof/>
            <w:webHidden/>
          </w:rPr>
          <w:fldChar w:fldCharType="begin"/>
        </w:r>
        <w:r>
          <w:rPr>
            <w:noProof/>
            <w:webHidden/>
          </w:rPr>
          <w:instrText xml:space="preserve"> PAGEREF _Toc223992079 \h </w:instrText>
        </w:r>
        <w:r>
          <w:rPr>
            <w:noProof/>
            <w:webHidden/>
          </w:rPr>
        </w:r>
        <w:r>
          <w:rPr>
            <w:noProof/>
            <w:webHidden/>
          </w:rPr>
          <w:fldChar w:fldCharType="separate"/>
        </w:r>
        <w:r>
          <w:rPr>
            <w:noProof/>
            <w:webHidden/>
          </w:rPr>
          <w:t>5</w:t>
        </w:r>
        <w:r>
          <w:rPr>
            <w:noProof/>
            <w:webHidden/>
          </w:rPr>
          <w:fldChar w:fldCharType="end"/>
        </w:r>
      </w:hyperlink>
    </w:p>
    <w:p w14:paraId="030D9602" w14:textId="756DC622" w:rsidR="00464464" w:rsidRDefault="00464464" w:rsidP="00464464">
      <w:pPr>
        <w:pStyle w:val="TOC1"/>
        <w:tabs>
          <w:tab w:val="right" w:leader="dot" w:pos="9016"/>
        </w:tabs>
        <w:ind w:firstLine="0"/>
        <w:rPr>
          <w:noProof/>
        </w:rPr>
      </w:pPr>
      <w:hyperlink w:anchor="_Toc223992080" w:history="1">
        <w:r w:rsidRPr="00CE307A">
          <w:rPr>
            <w:rStyle w:val="Hyperlink"/>
            <w:noProof/>
          </w:rPr>
          <w:t>Conclusion</w:t>
        </w:r>
        <w:r>
          <w:rPr>
            <w:noProof/>
            <w:webHidden/>
          </w:rPr>
          <w:tab/>
        </w:r>
        <w:r>
          <w:rPr>
            <w:noProof/>
            <w:webHidden/>
          </w:rPr>
          <w:fldChar w:fldCharType="begin"/>
        </w:r>
        <w:r>
          <w:rPr>
            <w:noProof/>
            <w:webHidden/>
          </w:rPr>
          <w:instrText xml:space="preserve"> PAGEREF _Toc223992080 \h </w:instrText>
        </w:r>
        <w:r>
          <w:rPr>
            <w:noProof/>
            <w:webHidden/>
          </w:rPr>
        </w:r>
        <w:r>
          <w:rPr>
            <w:noProof/>
            <w:webHidden/>
          </w:rPr>
          <w:fldChar w:fldCharType="separate"/>
        </w:r>
        <w:r>
          <w:rPr>
            <w:noProof/>
            <w:webHidden/>
          </w:rPr>
          <w:t>6</w:t>
        </w:r>
        <w:r>
          <w:rPr>
            <w:noProof/>
            <w:webHidden/>
          </w:rPr>
          <w:fldChar w:fldCharType="end"/>
        </w:r>
      </w:hyperlink>
    </w:p>
    <w:p w14:paraId="3B406A0C" w14:textId="157E7716" w:rsidR="00464464" w:rsidRDefault="00464464" w:rsidP="00464464">
      <w:pPr>
        <w:pStyle w:val="TOC1"/>
        <w:tabs>
          <w:tab w:val="right" w:leader="dot" w:pos="9016"/>
        </w:tabs>
        <w:ind w:firstLine="0"/>
        <w:rPr>
          <w:noProof/>
        </w:rPr>
      </w:pPr>
      <w:hyperlink w:anchor="_Toc223992081" w:history="1">
        <w:r w:rsidRPr="00CE307A">
          <w:rPr>
            <w:rStyle w:val="Hyperlink"/>
            <w:noProof/>
          </w:rPr>
          <w:t>References</w:t>
        </w:r>
        <w:r>
          <w:rPr>
            <w:noProof/>
            <w:webHidden/>
          </w:rPr>
          <w:tab/>
        </w:r>
        <w:r>
          <w:rPr>
            <w:noProof/>
            <w:webHidden/>
          </w:rPr>
          <w:fldChar w:fldCharType="begin"/>
        </w:r>
        <w:r>
          <w:rPr>
            <w:noProof/>
            <w:webHidden/>
          </w:rPr>
          <w:instrText xml:space="preserve"> PAGEREF _Toc223992081 \h </w:instrText>
        </w:r>
        <w:r>
          <w:rPr>
            <w:noProof/>
            <w:webHidden/>
          </w:rPr>
        </w:r>
        <w:r>
          <w:rPr>
            <w:noProof/>
            <w:webHidden/>
          </w:rPr>
          <w:fldChar w:fldCharType="separate"/>
        </w:r>
        <w:r>
          <w:rPr>
            <w:noProof/>
            <w:webHidden/>
          </w:rPr>
          <w:t>8</w:t>
        </w:r>
        <w:r>
          <w:rPr>
            <w:noProof/>
            <w:webHidden/>
          </w:rPr>
          <w:fldChar w:fldCharType="end"/>
        </w:r>
      </w:hyperlink>
    </w:p>
    <w:p w14:paraId="75D75F22" w14:textId="3131255B" w:rsidR="00291E87" w:rsidRPr="00291E87" w:rsidRDefault="00464464" w:rsidP="00464464">
      <w:pPr>
        <w:spacing w:after="160" w:line="278" w:lineRule="auto"/>
        <w:ind w:firstLine="0"/>
        <w:rPr>
          <w:rFonts w:eastAsiaTheme="majorEastAsia" w:cstheme="majorBidi"/>
          <w:b/>
          <w:bCs/>
          <w:szCs w:val="40"/>
        </w:rPr>
      </w:pPr>
      <w:r>
        <w:rPr>
          <w:b/>
          <w:bCs/>
        </w:rPr>
        <w:fldChar w:fldCharType="end"/>
      </w:r>
      <w:r w:rsidR="00291E87" w:rsidRPr="00291E87">
        <w:rPr>
          <w:b/>
          <w:bCs/>
        </w:rPr>
        <w:br w:type="page"/>
      </w:r>
    </w:p>
    <w:p w14:paraId="6D91BA38" w14:textId="4DE8C4EC" w:rsidR="00A11735" w:rsidRPr="00662969" w:rsidRDefault="00E770DF" w:rsidP="00E770DF">
      <w:pPr>
        <w:pStyle w:val="Heading1"/>
      </w:pPr>
      <w:bookmarkStart w:id="0" w:name="_Toc223992075"/>
      <w:r w:rsidRPr="00662969">
        <w:lastRenderedPageBreak/>
        <w:t>Introduction</w:t>
      </w:r>
      <w:bookmarkEnd w:id="0"/>
    </w:p>
    <w:p w14:paraId="1D3257F7" w14:textId="46559E96" w:rsidR="00E770DF" w:rsidRDefault="00E770DF" w:rsidP="00662969">
      <w:r w:rsidRPr="00662969">
        <w:t xml:space="preserve">Good communication, proper administration and cooperative working are </w:t>
      </w:r>
      <w:r w:rsidR="00662969" w:rsidRPr="00662969">
        <w:t>muster heads</w:t>
      </w:r>
      <w:r w:rsidRPr="00662969">
        <w:t xml:space="preserve"> of quality health and social care </w:t>
      </w:r>
      <w:r w:rsidR="00662969" w:rsidRPr="00662969">
        <w:t>practice</w:t>
      </w:r>
      <w:r w:rsidR="003F5347">
        <w:t xml:space="preserve"> (Porter and Rees, 2025)</w:t>
      </w:r>
      <w:r w:rsidRPr="00662969">
        <w:t>. These factors guarantee the safety and person-</w:t>
      </w:r>
      <w:r w:rsidR="003F5347" w:rsidRPr="00662969">
        <w:t>centred</w:t>
      </w:r>
      <w:r w:rsidRPr="00662969">
        <w:t xml:space="preserve"> care to service users and promote dignity, equality and professional accountability. This report considers these areas in the context of the case study of </w:t>
      </w:r>
      <w:r w:rsidR="00662969" w:rsidRPr="00662969">
        <w:t>Mr.</w:t>
      </w:r>
      <w:r w:rsidRPr="00662969">
        <w:t xml:space="preserve"> Ahmed, a </w:t>
      </w:r>
      <w:r w:rsidR="00662969" w:rsidRPr="00662969">
        <w:t>68-year-old</w:t>
      </w:r>
      <w:r w:rsidRPr="00662969">
        <w:t xml:space="preserve"> stroke patient receiving the support of a multidisciplinary team of domiciliary carers, a GP, a district nurse and a speech and language therapist.</w:t>
      </w:r>
      <w:r w:rsidR="00662969" w:rsidRPr="00662969">
        <w:t xml:space="preserve"> </w:t>
      </w:r>
      <w:r w:rsidRPr="00662969">
        <w:t>After a stroke, patients tend to have problems with communication, physical restrictions and reliance on health and social care services. Thus, effective communication with service users and their families, record keeping, and effective inter-professional collaboration emerge as keys to continuity and quality of care</w:t>
      </w:r>
      <w:r w:rsidR="003F2F59">
        <w:t xml:space="preserve"> (Mertens et al., 2021)</w:t>
      </w:r>
      <w:r w:rsidRPr="00662969">
        <w:t>.</w:t>
      </w:r>
      <w:r w:rsidR="00662969" w:rsidRPr="00662969">
        <w:t xml:space="preserve"> </w:t>
      </w:r>
      <w:r w:rsidRPr="00662969">
        <w:t xml:space="preserve">In this report, it will first address the significance of good communication </w:t>
      </w:r>
      <w:proofErr w:type="gramStart"/>
      <w:r w:rsidRPr="00662969">
        <w:t>in light of</w:t>
      </w:r>
      <w:proofErr w:type="gramEnd"/>
      <w:r w:rsidRPr="00662969">
        <w:t xml:space="preserve"> Equality act 2010 and </w:t>
      </w:r>
      <w:r w:rsidR="00662969" w:rsidRPr="00662969">
        <w:t>well-known</w:t>
      </w:r>
      <w:r w:rsidRPr="00662969">
        <w:t xml:space="preserve"> model of communication. It will then scrutinise administrative duties such as record keeping and Data Protection Act 2018. Lastly, it will evaluate collaboration among the professionals that worked on the care of </w:t>
      </w:r>
      <w:r w:rsidR="00662969" w:rsidRPr="00662969">
        <w:t>Mr.</w:t>
      </w:r>
      <w:r w:rsidRPr="00662969">
        <w:t xml:space="preserve"> Ahmed.</w:t>
      </w:r>
    </w:p>
    <w:p w14:paraId="6C36698B" w14:textId="77777777" w:rsidR="00D67BA3" w:rsidRDefault="00D67BA3" w:rsidP="00662969"/>
    <w:p w14:paraId="763446FC" w14:textId="26AD51BF" w:rsidR="00662969" w:rsidRDefault="00455EA5" w:rsidP="00455EA5">
      <w:pPr>
        <w:pStyle w:val="Heading1"/>
      </w:pPr>
      <w:bookmarkStart w:id="1" w:name="_Toc223992076"/>
      <w:r>
        <w:t>Discussion</w:t>
      </w:r>
      <w:bookmarkEnd w:id="1"/>
    </w:p>
    <w:p w14:paraId="23CD00F3" w14:textId="57E3AB07" w:rsidR="00662969" w:rsidRDefault="00662969" w:rsidP="00455EA5">
      <w:pPr>
        <w:pStyle w:val="Heading2"/>
      </w:pPr>
      <w:bookmarkStart w:id="2" w:name="_Toc223992077"/>
      <w:r>
        <w:t>Importance of Effective Communication in Mr. Ahmed’s Care</w:t>
      </w:r>
      <w:bookmarkEnd w:id="2"/>
    </w:p>
    <w:p w14:paraId="03A58184" w14:textId="3773D068" w:rsidR="00662969" w:rsidRDefault="00662969" w:rsidP="00F03140">
      <w:r>
        <w:t xml:space="preserve">One of the key aspects of safe and person-centred healthcare </w:t>
      </w:r>
      <w:r w:rsidR="003F5347">
        <w:t>practice</w:t>
      </w:r>
      <w:r>
        <w:t xml:space="preserve"> is effective communication</w:t>
      </w:r>
      <w:r w:rsidR="00096AC2">
        <w:t xml:space="preserve"> (McCormack et al., 2021)</w:t>
      </w:r>
      <w:r>
        <w:t>. It helps the professionals to comprehend the needs, preferences, and concerns of the service users and/or to make sure that the care is provided in the right way and respectful. Communication is especially significant in the case of Mr</w:t>
      </w:r>
      <w:r w:rsidR="00026712">
        <w:t>.</w:t>
      </w:r>
      <w:r>
        <w:t xml:space="preserve"> Ahmed because of his recent stroke and low competency in English, potentially causing barriers to the information about healthcare.</w:t>
      </w:r>
    </w:p>
    <w:p w14:paraId="137DEF98" w14:textId="39060829" w:rsidR="00662969" w:rsidRDefault="00662969" w:rsidP="00F03140">
      <w:r>
        <w:t>Among the post-stroke communication problems, stroke survivors often have aphasia (reduced ability to understand or express something), less comprehension and/or impaired ability to express (</w:t>
      </w:r>
      <w:r w:rsidR="00CE4991">
        <w:t>Sheppard and Sebastian, 2021</w:t>
      </w:r>
      <w:r>
        <w:t>). Consequently, medical practitioners need to embrace communication methods that are accommodative, supportive and responsive to the needs of the person. When handling the case of Mr</w:t>
      </w:r>
      <w:r w:rsidR="00026712">
        <w:t>.</w:t>
      </w:r>
      <w:r>
        <w:t xml:space="preserve"> Ahmed, professionals are supposed to talk slowly and use easy words, give room to answer and use visuals where conditions are unfavourable. It is also critical that a speech and language therapist may help in enhancing communication skills and swallowing ability of Mr</w:t>
      </w:r>
      <w:r w:rsidR="00026712">
        <w:t>.</w:t>
      </w:r>
      <w:r>
        <w:t xml:space="preserve"> Ahmed.</w:t>
      </w:r>
    </w:p>
    <w:p w14:paraId="54FBA601" w14:textId="24D88C76" w:rsidR="00662969" w:rsidRDefault="00662969" w:rsidP="00F03140">
      <w:r>
        <w:t>The family participation is also significant in promoting the effective communication. The wife of Mr</w:t>
      </w:r>
      <w:r w:rsidR="00026712">
        <w:t>.</w:t>
      </w:r>
      <w:r>
        <w:t xml:space="preserve"> Ahmed is well-versed in English and frequently interacts with medical workers </w:t>
      </w:r>
      <w:r>
        <w:lastRenderedPageBreak/>
        <w:t xml:space="preserve">on his behalf. Although family members can be helpful in matters of interpretation and emotional support, professionals </w:t>
      </w:r>
      <w:proofErr w:type="gramStart"/>
      <w:r>
        <w:t>have to</w:t>
      </w:r>
      <w:proofErr w:type="gramEnd"/>
      <w:r>
        <w:t xml:space="preserve"> make sure that Mr</w:t>
      </w:r>
      <w:r w:rsidR="00026712">
        <w:t>.</w:t>
      </w:r>
      <w:r>
        <w:t xml:space="preserve"> Ahmed is actively involved in decision-making regarding his care to preserve his autonomy and his dignity.</w:t>
      </w:r>
    </w:p>
    <w:p w14:paraId="3D5ACB3F" w14:textId="69A68028" w:rsidR="00662969" w:rsidRDefault="00662969" w:rsidP="00F03140">
      <w:r>
        <w:t>The Equality act 2010 places a requirement on health and social care providers to ensure that individuals do not face any form of discrimination because of their characteristics, which include race, age, disability, or language barriers (</w:t>
      </w:r>
      <w:r w:rsidR="008F027A">
        <w:t>GOV.UK, 2015</w:t>
      </w:r>
      <w:r>
        <w:t>). Since Mr</w:t>
      </w:r>
      <w:r w:rsidR="00026712">
        <w:t>.</w:t>
      </w:r>
      <w:r>
        <w:t xml:space="preserve"> Ahmed speaks Bengali as his first language, the care providers should consider making reasonable accommodations so that he can comprehend the information about his treatment and medication. This can involve the utilisation of interpreters, written materials translated, or using the culturally sensitive </w:t>
      </w:r>
      <w:r w:rsidR="003F5347">
        <w:t>practice</w:t>
      </w:r>
      <w:r>
        <w:t>s of communication</w:t>
      </w:r>
      <w:r w:rsidR="00026712">
        <w:t xml:space="preserve"> (Harrison et al., 2020)</w:t>
      </w:r>
      <w:r>
        <w:t>. Inability to offer such adjustments may bring about a lack of comprehension and a decrease in the quality of care.</w:t>
      </w:r>
    </w:p>
    <w:p w14:paraId="6C4EA041" w14:textId="4A50C686" w:rsidR="00662969" w:rsidRDefault="00662969" w:rsidP="00F03140">
      <w:r w:rsidRPr="000077DD">
        <w:rPr>
          <w:b/>
          <w:bCs/>
        </w:rPr>
        <w:t xml:space="preserve">The Shannon and Weaver Communication Model </w:t>
      </w:r>
      <w:r w:rsidR="00202F54" w:rsidRPr="000077DD">
        <w:rPr>
          <w:b/>
          <w:bCs/>
        </w:rPr>
        <w:t xml:space="preserve">in </w:t>
      </w:r>
      <w:r w:rsidRPr="000077DD">
        <w:rPr>
          <w:b/>
          <w:bCs/>
        </w:rPr>
        <w:t>1949</w:t>
      </w:r>
      <w:r>
        <w:t xml:space="preserve"> is one of the models that can be used to frame communication in a medical setting</w:t>
      </w:r>
      <w:r w:rsidR="00202F54">
        <w:t xml:space="preserve"> (Doedens and </w:t>
      </w:r>
      <w:proofErr w:type="spellStart"/>
      <w:r w:rsidR="00202F54">
        <w:t>Meteyard</w:t>
      </w:r>
      <w:proofErr w:type="spellEnd"/>
      <w:r w:rsidR="00202F54">
        <w:t>, 2022)</w:t>
      </w:r>
      <w:r>
        <w:t>. According to this model, the process of communication is seen as one of a sender and message, channel and receiver, and possible barriers or noise. The language differences and stroke-related impairments may serve as barriers to communication in the case of Mr</w:t>
      </w:r>
      <w:r w:rsidR="001F5F28">
        <w:t>.</w:t>
      </w:r>
      <w:r>
        <w:t xml:space="preserve"> Ahmed. Medical practitioners need to reduce such obstacles hence should involve correct communication methods like oral communication, written directive or graphical means</w:t>
      </w:r>
      <w:r w:rsidR="001F5F28">
        <w:t xml:space="preserve"> (Desselle et al., 2020)</w:t>
      </w:r>
      <w:r>
        <w:t>.</w:t>
      </w:r>
    </w:p>
    <w:p w14:paraId="2A85FB33" w14:textId="7EBCE7A1" w:rsidR="00662969" w:rsidRDefault="00662969" w:rsidP="00F03140">
      <w:r>
        <w:t>Communication between the teams is also required to manage medication and safety. The recent lost home visit by the care agency brings to light the possible dangers of a failed communication within the care systems. Effective communication among healthcare providers, the care agency and the family of Mr</w:t>
      </w:r>
      <w:r w:rsidR="004E22A3">
        <w:t>.</w:t>
      </w:r>
      <w:r>
        <w:t xml:space="preserve"> Ahmed is required to avoid the occurrence of medication errors and continuity of care.</w:t>
      </w:r>
      <w:r w:rsidR="00F03140">
        <w:t xml:space="preserve"> </w:t>
      </w:r>
      <w:r>
        <w:t>In general, clear, culturally sensitive and inclusive communication can contribute to improved patient outcomes, enhance trust between service users and professionals, and foster the safety of healthcare delivery.</w:t>
      </w:r>
    </w:p>
    <w:p w14:paraId="4FCD1DB7" w14:textId="77777777" w:rsidR="00F03140" w:rsidRDefault="00F03140" w:rsidP="00F03140">
      <w:pPr>
        <w:ind w:firstLine="0"/>
      </w:pPr>
    </w:p>
    <w:p w14:paraId="2C37529A" w14:textId="583EC306" w:rsidR="00F03140" w:rsidRDefault="00F03140" w:rsidP="00455EA5">
      <w:pPr>
        <w:pStyle w:val="Heading2"/>
      </w:pPr>
      <w:bookmarkStart w:id="3" w:name="_Toc223992078"/>
      <w:r>
        <w:t>Importance of Administrative Skills and Record Keeping</w:t>
      </w:r>
      <w:bookmarkEnd w:id="3"/>
    </w:p>
    <w:p w14:paraId="5BF7C653" w14:textId="358A0F63" w:rsidR="00201B2F" w:rsidRDefault="00201B2F" w:rsidP="00201B2F">
      <w:r>
        <w:t xml:space="preserve">Administrative competence is another key factor to effective professional </w:t>
      </w:r>
      <w:r w:rsidR="003F5347">
        <w:t>practice</w:t>
      </w:r>
      <w:r>
        <w:t xml:space="preserve"> in health and social care because it leads to safe, coordinated and accountable service delivery</w:t>
      </w:r>
      <w:r w:rsidR="004E22A3">
        <w:t xml:space="preserve"> (</w:t>
      </w:r>
      <w:proofErr w:type="spellStart"/>
      <w:r w:rsidR="004E22A3">
        <w:t>Chankong</w:t>
      </w:r>
      <w:proofErr w:type="spellEnd"/>
      <w:r w:rsidR="004E22A3">
        <w:t xml:space="preserve"> et al., 2024)</w:t>
      </w:r>
      <w:r>
        <w:t>. Effective administration skills entail proper documentation, record keeping, information management and reporting processes. These are processes that promote continuity of care, patient safety and adherence to the legal and organisational requirements (NHS England, 2023).</w:t>
      </w:r>
    </w:p>
    <w:p w14:paraId="1343E22E" w14:textId="7833E878" w:rsidR="00201B2F" w:rsidRDefault="00201B2F" w:rsidP="00201B2F">
      <w:r>
        <w:lastRenderedPageBreak/>
        <w:t>Administrative duties within the context of care of Mr. Ahmed encompass documenting on medication administration, recording domiciliary visits, revising of the care plans and communicating the appropriate information to other healthcare professionals involved in his treatment. Proper documentation can help the health practitioners to track the progress of Mr. Ahmed after the stroke, measure blood pressure and wound management, and make sure that medication is taken properly. Effective documentation also guarantees that other professionals engaged with his care such as GP, district nurse and speech and language therapist all can get access to a uniform and updated information.</w:t>
      </w:r>
    </w:p>
    <w:p w14:paraId="347B9D89" w14:textId="4425FEF4" w:rsidR="00201B2F" w:rsidRDefault="00201B2F" w:rsidP="00201B2F">
      <w:r>
        <w:t xml:space="preserve">The lack of home visit mentioned in the case study indicates the role of efficient documentation and reporting systems. Missing or incomplete records can lead to either a lack in care provision or can put patients at a higher risk of medication errors or postponed treatment. Proper administrative </w:t>
      </w:r>
      <w:r w:rsidR="003F5347">
        <w:t>practice</w:t>
      </w:r>
      <w:r>
        <w:t>s can enable the investigation of incidents so that organisations can learn on what to manage better and apply techniques that can stop future occurrences of the same problem (</w:t>
      </w:r>
      <w:r w:rsidR="00FE54DF">
        <w:t>Ahmad et al., 2020</w:t>
      </w:r>
      <w:r>
        <w:t>).</w:t>
      </w:r>
    </w:p>
    <w:p w14:paraId="03826CCA" w14:textId="22CFDEF6" w:rsidR="00201B2F" w:rsidRDefault="00201B2F" w:rsidP="00201B2F">
      <w:r>
        <w:t xml:space="preserve">Record keeping also </w:t>
      </w:r>
      <w:proofErr w:type="gramStart"/>
      <w:r>
        <w:t>has to</w:t>
      </w:r>
      <w:proofErr w:type="gramEnd"/>
      <w:r>
        <w:t xml:space="preserve"> adhere to Data Protection Act 2018, which governs the collection, storage and sharing of personal information within health and social care organisations</w:t>
      </w:r>
      <w:r w:rsidR="0026135B">
        <w:t xml:space="preserve"> (GOV.UK, 2026)</w:t>
      </w:r>
      <w:r>
        <w:t>. The act, which is consistent with the UK General Data Protection Regulation (UK GDPR), makes the processing of personal data a lawful, safe and transparent process. Practically, it implies that the medical records of Mr</w:t>
      </w:r>
      <w:r w:rsidR="004E3CFE">
        <w:t>.</w:t>
      </w:r>
      <w:r>
        <w:t xml:space="preserve"> Ahmed should not leave the confines of an authorised professional directly engaged in his treatment.</w:t>
      </w:r>
    </w:p>
    <w:p w14:paraId="4DAE3D52" w14:textId="7312D65D" w:rsidR="00201B2F" w:rsidRDefault="00201B2F" w:rsidP="00201B2F">
      <w:r>
        <w:t>Moreover, the Care Act 2014 focuses on the protection and accountability and person-centred care, making it evident to document the assessments and the care plan (</w:t>
      </w:r>
      <w:r w:rsidR="004E3CFE">
        <w:t>Barnes et al., 2017</w:t>
      </w:r>
      <w:r>
        <w:t>). The Health and Care Act 2022 further endorse integrated care systems, which promote better transfer of information amongst services</w:t>
      </w:r>
      <w:r w:rsidR="00A51475">
        <w:t xml:space="preserve"> (Department of Health </w:t>
      </w:r>
      <w:r w:rsidR="005B5BAB">
        <w:t xml:space="preserve">and </w:t>
      </w:r>
      <w:r w:rsidR="00A51475">
        <w:t>Social Care, 2022)</w:t>
      </w:r>
      <w:r>
        <w:t>. These frameworks collectively underscore the significance of administrative talents in the provision of safe, coordinated and law-abiding healthcare.</w:t>
      </w:r>
    </w:p>
    <w:p w14:paraId="5A3BF4E8" w14:textId="77777777" w:rsidR="00201B2F" w:rsidRDefault="00201B2F" w:rsidP="00201B2F">
      <w:pPr>
        <w:ind w:firstLine="0"/>
      </w:pPr>
    </w:p>
    <w:p w14:paraId="365BA1AD" w14:textId="077F9DA9" w:rsidR="00201B2F" w:rsidRDefault="00201B2F" w:rsidP="00455EA5">
      <w:pPr>
        <w:pStyle w:val="Heading2"/>
      </w:pPr>
      <w:bookmarkStart w:id="4" w:name="_Toc223992079"/>
      <w:r>
        <w:t>Collaborative Working in Mr. Ahmed’s Care</w:t>
      </w:r>
      <w:bookmarkEnd w:id="4"/>
    </w:p>
    <w:p w14:paraId="69234D0A" w14:textId="5B11D5A9" w:rsidR="00201B2F" w:rsidRDefault="00201B2F" w:rsidP="006B246C">
      <w:proofErr w:type="gramStart"/>
      <w:r>
        <w:t>In order to</w:t>
      </w:r>
      <w:proofErr w:type="gramEnd"/>
      <w:r>
        <w:t xml:space="preserve"> provide care in a coordinated, safe and person-centred manner, collaboration of working between healthcare professionals is required. Patients who have recently overcome the complicated illness like stroke are likely to need the help of various professionals such as medical professionals, nurses, therapists and social care agents (</w:t>
      </w:r>
      <w:r w:rsidR="004E6C55">
        <w:t>Jarva et al., 2021</w:t>
      </w:r>
      <w:r>
        <w:t>). Interprofessional collaboration is important as it allows professionals to exchange skills, plan interventions and maintain continuity of care of service users.</w:t>
      </w:r>
    </w:p>
    <w:p w14:paraId="21944CB0" w14:textId="343A1573" w:rsidR="00201B2F" w:rsidRDefault="00201B2F" w:rsidP="006B246C">
      <w:r>
        <w:lastRenderedPageBreak/>
        <w:t>Mr</w:t>
      </w:r>
      <w:r w:rsidR="00BE30E7">
        <w:t>.</w:t>
      </w:r>
      <w:r>
        <w:t xml:space="preserve"> Ahmed has a multidisciplinary team that allows him to recover and enjoy his normal life. This team consists of a GP, a district nurse, domiciliary care workers and a speech and language therapist. The professional population is divided into tasks that each member carries out towards the satisfaction of Mr</w:t>
      </w:r>
      <w:r w:rsidR="00BE30E7">
        <w:t>.</w:t>
      </w:r>
      <w:r>
        <w:t xml:space="preserve"> Ahmed. The GP deals with medicinal supervision in general and prescription of medicine, and the district nurse </w:t>
      </w:r>
      <w:proofErr w:type="gramStart"/>
      <w:r>
        <w:t>is in charge of</w:t>
      </w:r>
      <w:proofErr w:type="gramEnd"/>
      <w:r>
        <w:t xml:space="preserve"> monitoring blood pressure and wound treatment. The domiciliary care staff works on his personal care, medication intake, and food preparation, and the speech and language therapist assists Mr</w:t>
      </w:r>
      <w:r w:rsidR="00BE30E7">
        <w:t>.</w:t>
      </w:r>
      <w:r>
        <w:t xml:space="preserve"> Ahmed with his communication and swallowing challenges after his stroke.</w:t>
      </w:r>
    </w:p>
    <w:p w14:paraId="57F06A86" w14:textId="3355ADA0" w:rsidR="00201B2F" w:rsidRDefault="00201B2F" w:rsidP="006B246C">
      <w:r>
        <w:t>Multidisciplinary teamwork, shared care plans and effective communication channels are commonly known to generate effective collaboration. Frequent communication facilitates the exchange of information and leads to a faster exchange of information as professionals share details about the needs and treatment outcomes of the service user (NHS England, 2023). In the case of Mr</w:t>
      </w:r>
      <w:r w:rsidR="00BE30E7">
        <w:t>.</w:t>
      </w:r>
      <w:r>
        <w:t xml:space="preserve"> Ahmed, the communication between the care agency and the healthcare professionals should be coordinated to prevent problems like the absent visit to the home mentioned in the case study.</w:t>
      </w:r>
    </w:p>
    <w:p w14:paraId="5C67B3E1" w14:textId="32B6B614" w:rsidR="00201B2F" w:rsidRDefault="00201B2F" w:rsidP="00201B2F">
      <w:r>
        <w:t>Nevertheless, the multi-agency working model may pose some challenges, such as the failure of communication, confusion and organisational contrast. Some of the strategies that can be used to overcome these barriers are having well-defined professional roles, conducting team meetings and availability of common digital records which will help in the sharing of information. The person-centred approach, including Mr</w:t>
      </w:r>
      <w:r w:rsidR="007E1BB2">
        <w:t>.</w:t>
      </w:r>
      <w:r>
        <w:t xml:space="preserve"> Ahmed and his wife in the decisions related to care, is another relevant strategy that enables collaborative </w:t>
      </w:r>
      <w:r w:rsidR="003F5347">
        <w:t>practice</w:t>
      </w:r>
      <w:r>
        <w:t>s and enhances the health outcomes.</w:t>
      </w:r>
    </w:p>
    <w:p w14:paraId="241BCD0A" w14:textId="77777777" w:rsidR="00455EA5" w:rsidRDefault="00455EA5" w:rsidP="00455EA5">
      <w:pPr>
        <w:ind w:firstLine="0"/>
      </w:pPr>
    </w:p>
    <w:p w14:paraId="61373A78" w14:textId="5CBA143D" w:rsidR="00455EA5" w:rsidRDefault="00455EA5" w:rsidP="00455EA5">
      <w:pPr>
        <w:pStyle w:val="Heading1"/>
      </w:pPr>
      <w:bookmarkStart w:id="5" w:name="_Toc223992080"/>
      <w:r>
        <w:t>Conclusion</w:t>
      </w:r>
      <w:bookmarkEnd w:id="5"/>
    </w:p>
    <w:p w14:paraId="48951924" w14:textId="4863096C" w:rsidR="00492875" w:rsidRDefault="00492875" w:rsidP="0076034C">
      <w:r>
        <w:t>To conclude, efficient communication, appropriate administration and teamwork are essential to the provision of safe quality health and social care. The communication strategies to be adopted in the case of Mr</w:t>
      </w:r>
      <w:r w:rsidR="007E1BB2">
        <w:t>.</w:t>
      </w:r>
      <w:r>
        <w:t xml:space="preserve"> Ahmed should deal with language barriers and communication challenges associated with stroke and make sure that the rights of an individual stated in the Equality Act 2010 are not ignored. Communication with Mr</w:t>
      </w:r>
      <w:r w:rsidR="007E1BB2">
        <w:t>.</w:t>
      </w:r>
      <w:r>
        <w:t xml:space="preserve"> Ahmed and his wife should be inclusive </w:t>
      </w:r>
      <w:proofErr w:type="gramStart"/>
      <w:r>
        <w:t>so as to</w:t>
      </w:r>
      <w:proofErr w:type="gramEnd"/>
      <w:r>
        <w:t xml:space="preserve"> facilitate a better understanding, autonomy and involvement of patients.</w:t>
      </w:r>
    </w:p>
    <w:p w14:paraId="5025F0F9" w14:textId="25B1DF79" w:rsidR="00455EA5" w:rsidRDefault="00492875" w:rsidP="0076034C">
      <w:r>
        <w:t>Other administrative functions like proper record keeping and safe storage of data are also vital. Accountability, confidentiality, and coordinated service delivery are guaranteed by compliance with legislation such as the Data Protection Act 2018, Care Act 2014 and Health and Care Act 2022.</w:t>
      </w:r>
      <w:r w:rsidR="0076034C">
        <w:t xml:space="preserve"> </w:t>
      </w:r>
      <w:r>
        <w:t xml:space="preserve">Lastly, it is imperative to involve other professionals e.g. the GP, district </w:t>
      </w:r>
      <w:r>
        <w:lastRenderedPageBreak/>
        <w:t>nurse, domiciliary carers and speech and language therapist in the provision of holistic and integrated care. Effective communication and distribution of responsibilities between teams in the healthcare facility helps them to be more efficient in meeting the needs of patients and less susceptible to issues like missed medicine or service delays.</w:t>
      </w:r>
    </w:p>
    <w:p w14:paraId="185223FA" w14:textId="223AE857" w:rsidR="00BB3505" w:rsidRDefault="00BB3505">
      <w:pPr>
        <w:spacing w:after="160" w:line="278" w:lineRule="auto"/>
        <w:ind w:firstLine="0"/>
        <w:jc w:val="left"/>
      </w:pPr>
      <w:r>
        <w:br w:type="page"/>
      </w:r>
    </w:p>
    <w:p w14:paraId="48F02620" w14:textId="082647F4" w:rsidR="00BB3505" w:rsidRDefault="00BB3505" w:rsidP="00516B64">
      <w:pPr>
        <w:pStyle w:val="Heading1"/>
        <w:jc w:val="center"/>
      </w:pPr>
      <w:bookmarkStart w:id="6" w:name="_Toc223992081"/>
      <w:r>
        <w:lastRenderedPageBreak/>
        <w:t>References</w:t>
      </w:r>
      <w:bookmarkEnd w:id="6"/>
    </w:p>
    <w:p w14:paraId="778F645A" w14:textId="77777777" w:rsidR="00516B64" w:rsidRDefault="00516B64" w:rsidP="00516B64">
      <w:pPr>
        <w:ind w:left="720" w:hanging="720"/>
      </w:pPr>
      <w:r w:rsidRPr="0026135B">
        <w:t>Ahmad, A., Desouza, K.C., Maynard, S.B., Naseer, H. and Baskerville, R.L., 2020. How integration of cyber security management and incident response enables organizational learning. </w:t>
      </w:r>
      <w:r w:rsidRPr="0026135B">
        <w:rPr>
          <w:i/>
          <w:iCs/>
        </w:rPr>
        <w:t>Journal of the Association for Information Science and Technology</w:t>
      </w:r>
      <w:r w:rsidRPr="0026135B">
        <w:t>, </w:t>
      </w:r>
      <w:r w:rsidRPr="0026135B">
        <w:rPr>
          <w:i/>
          <w:iCs/>
        </w:rPr>
        <w:t>71</w:t>
      </w:r>
      <w:r w:rsidRPr="0026135B">
        <w:t>(8), pp.939-953.</w:t>
      </w:r>
    </w:p>
    <w:p w14:paraId="5309C2A9" w14:textId="77777777" w:rsidR="00516B64" w:rsidRDefault="00516B64" w:rsidP="00516B64">
      <w:pPr>
        <w:ind w:left="720" w:hanging="720"/>
      </w:pPr>
      <w:r w:rsidRPr="00A51475">
        <w:t>Barnes, D., Boland, B., Linhart, K. and Wilson, K., 2017. Personalisation and social care assessment–the Care Act 2014. </w:t>
      </w:r>
      <w:proofErr w:type="spellStart"/>
      <w:r w:rsidRPr="00A51475">
        <w:rPr>
          <w:i/>
          <w:iCs/>
        </w:rPr>
        <w:t>BJPsych</w:t>
      </w:r>
      <w:proofErr w:type="spellEnd"/>
      <w:r w:rsidRPr="00A51475">
        <w:rPr>
          <w:i/>
          <w:iCs/>
        </w:rPr>
        <w:t xml:space="preserve"> Bulletin</w:t>
      </w:r>
      <w:r w:rsidRPr="00A51475">
        <w:t>, </w:t>
      </w:r>
      <w:r w:rsidRPr="00A51475">
        <w:rPr>
          <w:i/>
          <w:iCs/>
        </w:rPr>
        <w:t>41</w:t>
      </w:r>
      <w:r w:rsidRPr="00A51475">
        <w:t>(3), pp.176-180.</w:t>
      </w:r>
    </w:p>
    <w:p w14:paraId="387DB1E0" w14:textId="77777777" w:rsidR="00516B64" w:rsidRDefault="00516B64" w:rsidP="00516B64">
      <w:pPr>
        <w:ind w:left="720" w:hanging="720"/>
      </w:pPr>
      <w:proofErr w:type="spellStart"/>
      <w:r w:rsidRPr="00F92E71">
        <w:t>Chankong</w:t>
      </w:r>
      <w:proofErr w:type="spellEnd"/>
      <w:r w:rsidRPr="00F92E71">
        <w:t xml:space="preserve">, W., </w:t>
      </w:r>
      <w:proofErr w:type="spellStart"/>
      <w:r w:rsidRPr="00F92E71">
        <w:t>Noiwat</w:t>
      </w:r>
      <w:proofErr w:type="spellEnd"/>
      <w:r w:rsidRPr="00F92E71">
        <w:t xml:space="preserve">, O., </w:t>
      </w:r>
      <w:proofErr w:type="spellStart"/>
      <w:r w:rsidRPr="00F92E71">
        <w:t>Kaladee</w:t>
      </w:r>
      <w:proofErr w:type="spellEnd"/>
      <w:r w:rsidRPr="00F92E71">
        <w:t xml:space="preserve">, K., </w:t>
      </w:r>
      <w:proofErr w:type="spellStart"/>
      <w:r w:rsidRPr="00F92E71">
        <w:t>Jitaram</w:t>
      </w:r>
      <w:proofErr w:type="spellEnd"/>
      <w:r w:rsidRPr="00F92E71">
        <w:t xml:space="preserve">, P. and </w:t>
      </w:r>
      <w:proofErr w:type="spellStart"/>
      <w:r w:rsidRPr="00F92E71">
        <w:t>Wongpituk</w:t>
      </w:r>
      <w:proofErr w:type="spellEnd"/>
      <w:r w:rsidRPr="00F92E71">
        <w:t>, K., 2024. Core Competencies in Administration for Meeting Standard Position Requirements in Public Health Professionals. </w:t>
      </w:r>
      <w:r w:rsidRPr="00F92E71">
        <w:rPr>
          <w:i/>
          <w:iCs/>
        </w:rPr>
        <w:t>International Journal of Geoinformatics</w:t>
      </w:r>
      <w:r w:rsidRPr="00F92E71">
        <w:t>, </w:t>
      </w:r>
      <w:r w:rsidRPr="00F92E71">
        <w:rPr>
          <w:i/>
          <w:iCs/>
        </w:rPr>
        <w:t>20</w:t>
      </w:r>
      <w:r w:rsidRPr="00F92E71">
        <w:t>(10), pp.58-64.</w:t>
      </w:r>
    </w:p>
    <w:p w14:paraId="491DA81B" w14:textId="4CCA4E2F" w:rsidR="00516B64" w:rsidRDefault="00516B64" w:rsidP="00516B64">
      <w:pPr>
        <w:ind w:left="720" w:hanging="720"/>
      </w:pPr>
      <w:r>
        <w:t xml:space="preserve">Department of Health and Social Care, 2022. </w:t>
      </w:r>
      <w:r w:rsidRPr="00A51475">
        <w:t>Health and Care Act 2022</w:t>
      </w:r>
      <w:r>
        <w:t xml:space="preserve">. Retrieved from: &lt; </w:t>
      </w:r>
      <w:r w:rsidRPr="00516B64">
        <w:t>https://assets.publishing.service.gov.uk/media/6363d911e90e0705a8c35457/health-and-care-act-2022-summary-and-additional-measures-impact-assessment.pdf</w:t>
      </w:r>
      <w:r>
        <w:t>&gt; [Accessed on March 09, 2026]</w:t>
      </w:r>
    </w:p>
    <w:p w14:paraId="11C6E376" w14:textId="77777777" w:rsidR="00516B64" w:rsidRDefault="00516B64" w:rsidP="00516B64">
      <w:pPr>
        <w:ind w:left="720" w:hanging="720"/>
      </w:pPr>
      <w:r w:rsidRPr="009F06C8">
        <w:t>Desselle, S.P., Shane, P., Berhane, H., Samuel, Y. and Tran, T., 2020. The effectiveness of written communication for decision support in clinical practice. </w:t>
      </w:r>
      <w:r w:rsidRPr="009F06C8">
        <w:rPr>
          <w:i/>
          <w:iCs/>
        </w:rPr>
        <w:t>Research in Social and Administrative Pharmacy</w:t>
      </w:r>
      <w:r w:rsidRPr="009F06C8">
        <w:t>, </w:t>
      </w:r>
      <w:r w:rsidRPr="009F06C8">
        <w:rPr>
          <w:i/>
          <w:iCs/>
        </w:rPr>
        <w:t>16</w:t>
      </w:r>
      <w:r w:rsidRPr="009F06C8">
        <w:t>(3), pp.383-389.</w:t>
      </w:r>
    </w:p>
    <w:p w14:paraId="1610DC91" w14:textId="77777777" w:rsidR="00516B64" w:rsidRDefault="00516B64" w:rsidP="00516B64">
      <w:pPr>
        <w:ind w:left="720" w:hanging="720"/>
      </w:pPr>
      <w:r w:rsidRPr="001F5F28">
        <w:t xml:space="preserve">Doedens, W.J. and </w:t>
      </w:r>
      <w:proofErr w:type="spellStart"/>
      <w:r w:rsidRPr="001F5F28">
        <w:t>Meteyard</w:t>
      </w:r>
      <w:proofErr w:type="spellEnd"/>
      <w:r w:rsidRPr="001F5F28">
        <w:t>, L., 2022. What is functional communication? A theoretical framework for real-world communication applied to aphasia rehabilitation. </w:t>
      </w:r>
      <w:r w:rsidRPr="001F5F28">
        <w:rPr>
          <w:i/>
          <w:iCs/>
        </w:rPr>
        <w:t>Neuropsychology review</w:t>
      </w:r>
      <w:r w:rsidRPr="001F5F28">
        <w:t>, </w:t>
      </w:r>
      <w:r w:rsidRPr="001F5F28">
        <w:rPr>
          <w:i/>
          <w:iCs/>
        </w:rPr>
        <w:t>32</w:t>
      </w:r>
      <w:r w:rsidRPr="001F5F28">
        <w:t>(4), pp.937-973.</w:t>
      </w:r>
    </w:p>
    <w:p w14:paraId="1FEA7115" w14:textId="2B53FF4B" w:rsidR="00516B64" w:rsidRPr="003F5347" w:rsidRDefault="00516B64" w:rsidP="00516B64">
      <w:pPr>
        <w:ind w:left="720" w:hanging="720"/>
      </w:pPr>
      <w:r>
        <w:t xml:space="preserve">GOV.UK, 2015. </w:t>
      </w:r>
      <w:r w:rsidRPr="003E4C7F">
        <w:t>Equality Act 2010: guidance</w:t>
      </w:r>
      <w:r>
        <w:t xml:space="preserve">. Retrieved from: &lt; </w:t>
      </w:r>
      <w:r w:rsidRPr="00516B64">
        <w:t>https://www.gov.uk/guidance/equality-act-2010-guidance</w:t>
      </w:r>
      <w:r>
        <w:t>&gt; [Accessed on March 09, 2026]</w:t>
      </w:r>
    </w:p>
    <w:p w14:paraId="0000F445" w14:textId="62B268B3" w:rsidR="00516B64" w:rsidRDefault="00516B64" w:rsidP="00516B64">
      <w:pPr>
        <w:ind w:left="720" w:hanging="720"/>
      </w:pPr>
      <w:r>
        <w:t xml:space="preserve">GOV.UK, 2026. Data Protection. Retrieved from: &lt; </w:t>
      </w:r>
      <w:r w:rsidRPr="00516B64">
        <w:t>https://www.gov.uk/data-protection</w:t>
      </w:r>
      <w:r>
        <w:t>&gt; [Accessed on March 09, 2026]</w:t>
      </w:r>
    </w:p>
    <w:p w14:paraId="3FA7B30A" w14:textId="77777777" w:rsidR="00516B64" w:rsidRDefault="00516B64" w:rsidP="00516B64">
      <w:pPr>
        <w:ind w:left="720" w:hanging="720"/>
      </w:pPr>
      <w:r w:rsidRPr="00202F54">
        <w:t xml:space="preserve">Harrison, R., Walton, M., Chitkara, U., Manias, E., Chauhan, A., </w:t>
      </w:r>
      <w:proofErr w:type="spellStart"/>
      <w:r w:rsidRPr="00202F54">
        <w:t>Latanik</w:t>
      </w:r>
      <w:proofErr w:type="spellEnd"/>
      <w:r w:rsidRPr="00202F54">
        <w:t>, M. and Leone, D., 2020. Beyond translation: engaging with culturally and linguistically diverse consumers. </w:t>
      </w:r>
      <w:r w:rsidRPr="00202F54">
        <w:rPr>
          <w:i/>
          <w:iCs/>
        </w:rPr>
        <w:t>Health Expectations</w:t>
      </w:r>
      <w:r w:rsidRPr="00202F54">
        <w:t>, </w:t>
      </w:r>
      <w:r w:rsidRPr="00202F54">
        <w:rPr>
          <w:i/>
          <w:iCs/>
        </w:rPr>
        <w:t>23</w:t>
      </w:r>
      <w:r w:rsidRPr="00202F54">
        <w:t>(1), pp.159-168.</w:t>
      </w:r>
    </w:p>
    <w:p w14:paraId="1F8C5469" w14:textId="77777777" w:rsidR="00516B64" w:rsidRDefault="00516B64" w:rsidP="00516B64">
      <w:pPr>
        <w:ind w:left="720" w:hanging="720"/>
      </w:pPr>
      <w:r w:rsidRPr="00BE30E7">
        <w:t xml:space="preserve">Jarva, E., Mikkonen, K., </w:t>
      </w:r>
      <w:proofErr w:type="spellStart"/>
      <w:r w:rsidRPr="00BE30E7">
        <w:t>Tuomikoski</w:t>
      </w:r>
      <w:proofErr w:type="spellEnd"/>
      <w:r w:rsidRPr="00BE30E7">
        <w:t xml:space="preserve">, A.M., Kääriäinen, M., Meriläinen, M., </w:t>
      </w:r>
      <w:proofErr w:type="spellStart"/>
      <w:r w:rsidRPr="00BE30E7">
        <w:t>Karsikas</w:t>
      </w:r>
      <w:proofErr w:type="spellEnd"/>
      <w:r w:rsidRPr="00BE30E7">
        <w:t xml:space="preserve">, E., Koivunen, K., </w:t>
      </w:r>
      <w:proofErr w:type="spellStart"/>
      <w:r w:rsidRPr="00BE30E7">
        <w:t>Jounila</w:t>
      </w:r>
      <w:proofErr w:type="spellEnd"/>
      <w:r w:rsidRPr="00BE30E7">
        <w:t>‐Ilola, P. and Oikarinen, A., 2021. Healthcare professionals' competence in stroke care pathways: A mixed‐methods systematic review. </w:t>
      </w:r>
      <w:r w:rsidRPr="00BE30E7">
        <w:rPr>
          <w:i/>
          <w:iCs/>
        </w:rPr>
        <w:t>Journal of Clinical Nursing</w:t>
      </w:r>
      <w:r w:rsidRPr="00BE30E7">
        <w:t>, </w:t>
      </w:r>
      <w:r w:rsidRPr="00BE30E7">
        <w:rPr>
          <w:i/>
          <w:iCs/>
        </w:rPr>
        <w:t>30</w:t>
      </w:r>
      <w:r w:rsidRPr="00BE30E7">
        <w:t>(9-10), pp.1206-1235.</w:t>
      </w:r>
    </w:p>
    <w:p w14:paraId="658F163C" w14:textId="77777777" w:rsidR="00516B64" w:rsidRDefault="00516B64" w:rsidP="00516B64">
      <w:pPr>
        <w:ind w:left="720" w:hanging="720"/>
      </w:pPr>
      <w:r w:rsidRPr="00893317">
        <w:t>McCormack, B., McCance, T., Bulley, C., Brown, D., McMillan, A. and Martin, S. eds., 2021. </w:t>
      </w:r>
      <w:r w:rsidRPr="00893317">
        <w:rPr>
          <w:i/>
          <w:iCs/>
        </w:rPr>
        <w:t>Fundamentals of person-centred healthcare practice</w:t>
      </w:r>
      <w:r w:rsidRPr="00893317">
        <w:t>. John Wiley &amp; Sons.</w:t>
      </w:r>
    </w:p>
    <w:p w14:paraId="3D54F0AF" w14:textId="77777777" w:rsidR="00516B64" w:rsidRDefault="00516B64" w:rsidP="00516B64">
      <w:pPr>
        <w:ind w:left="720" w:hanging="720"/>
      </w:pPr>
      <w:r w:rsidRPr="00D67BA3">
        <w:lastRenderedPageBreak/>
        <w:t xml:space="preserve">Mertens, F., </w:t>
      </w:r>
      <w:proofErr w:type="spellStart"/>
      <w:r w:rsidRPr="00D67BA3">
        <w:t>Debrulle</w:t>
      </w:r>
      <w:proofErr w:type="spellEnd"/>
      <w:r w:rsidRPr="00D67BA3">
        <w:t xml:space="preserve">, Z., Lindskog, E., </w:t>
      </w:r>
      <w:proofErr w:type="spellStart"/>
      <w:r w:rsidRPr="00D67BA3">
        <w:t>Deliens</w:t>
      </w:r>
      <w:proofErr w:type="spellEnd"/>
      <w:r w:rsidRPr="00D67BA3">
        <w:t xml:space="preserve">, L., </w:t>
      </w:r>
      <w:proofErr w:type="spellStart"/>
      <w:r w:rsidRPr="00D67BA3">
        <w:t>Deveugele</w:t>
      </w:r>
      <w:proofErr w:type="spellEnd"/>
      <w:r w:rsidRPr="00D67BA3">
        <w:t xml:space="preserve">, M. and </w:t>
      </w:r>
      <w:proofErr w:type="spellStart"/>
      <w:r w:rsidRPr="00D67BA3">
        <w:t>Pype</w:t>
      </w:r>
      <w:proofErr w:type="spellEnd"/>
      <w:r w:rsidRPr="00D67BA3">
        <w:t>, P., 2021. Healthcare professionals’ experiences of inter-professional collaboration during patient’s transfers between care settings in palliative care: A focus group study. </w:t>
      </w:r>
      <w:r w:rsidRPr="00D67BA3">
        <w:rPr>
          <w:i/>
          <w:iCs/>
        </w:rPr>
        <w:t>Palliative medicine</w:t>
      </w:r>
      <w:r w:rsidRPr="00D67BA3">
        <w:t>, </w:t>
      </w:r>
      <w:r w:rsidRPr="00D67BA3">
        <w:rPr>
          <w:i/>
          <w:iCs/>
        </w:rPr>
        <w:t>35</w:t>
      </w:r>
      <w:r w:rsidRPr="00D67BA3">
        <w:t>(2), pp.355-366.</w:t>
      </w:r>
    </w:p>
    <w:p w14:paraId="7EA25132" w14:textId="7E549DE9" w:rsidR="00516B64" w:rsidRDefault="00516B64" w:rsidP="00516B64">
      <w:pPr>
        <w:ind w:left="720" w:hanging="720"/>
      </w:pPr>
      <w:r w:rsidRPr="00E93F88">
        <w:t>NHS England</w:t>
      </w:r>
      <w:r>
        <w:t xml:space="preserve">, </w:t>
      </w:r>
      <w:r w:rsidRPr="00E93F88">
        <w:t>2023</w:t>
      </w:r>
      <w:r>
        <w:t>.</w:t>
      </w:r>
      <w:r w:rsidRPr="00E93F88">
        <w:t xml:space="preserve"> </w:t>
      </w:r>
      <w:r w:rsidRPr="00E93F88">
        <w:rPr>
          <w:i/>
          <w:iCs/>
        </w:rPr>
        <w:t>Records Management Code of Practice for Health and Social Care</w:t>
      </w:r>
      <w:r w:rsidRPr="00E93F88">
        <w:t>. London: NHS England.</w:t>
      </w:r>
      <w:r>
        <w:t xml:space="preserve"> Retrieved from: &lt; </w:t>
      </w:r>
      <w:r w:rsidRPr="00516B64">
        <w:t>https://transform.england.nhs.uk/media/documents/NHSE_Records_Management_CoP_2023.pdf</w:t>
      </w:r>
      <w:r>
        <w:t>&gt; [Accessed on March 09, 2026]</w:t>
      </w:r>
    </w:p>
    <w:p w14:paraId="3411F362" w14:textId="77777777" w:rsidR="00516B64" w:rsidRDefault="00516B64" w:rsidP="00516B64">
      <w:pPr>
        <w:ind w:left="720" w:hanging="720"/>
      </w:pPr>
      <w:r w:rsidRPr="003F2F59">
        <w:t>Porter, L. and Rees, C., 2025. health and social care practice. </w:t>
      </w:r>
      <w:r w:rsidRPr="003F2F59">
        <w:rPr>
          <w:i/>
          <w:iCs/>
        </w:rPr>
        <w:t>The Students’ Handbook for Studying Health and Social Care: Essential Context, Knowledge and Practice Skills for Doing a Successful Degree</w:t>
      </w:r>
      <w:r w:rsidRPr="003F2F59">
        <w:t>.</w:t>
      </w:r>
    </w:p>
    <w:p w14:paraId="2FB2D922" w14:textId="77777777" w:rsidR="00516B64" w:rsidRDefault="00516B64" w:rsidP="00516B64">
      <w:pPr>
        <w:ind w:left="720" w:hanging="720"/>
      </w:pPr>
      <w:r w:rsidRPr="008F027A">
        <w:t>Sheppard, S.M. and Sebastian, R., 2021. Diagnosing and managing post-stroke aphasia. </w:t>
      </w:r>
      <w:r w:rsidRPr="008F027A">
        <w:rPr>
          <w:i/>
          <w:iCs/>
        </w:rPr>
        <w:t>Expert review of neurotherapeutics</w:t>
      </w:r>
      <w:r w:rsidRPr="008F027A">
        <w:t>, </w:t>
      </w:r>
      <w:r w:rsidRPr="008F027A">
        <w:rPr>
          <w:i/>
          <w:iCs/>
        </w:rPr>
        <w:t>21</w:t>
      </w:r>
      <w:r w:rsidRPr="008F027A">
        <w:t>(2), pp.221-234.</w:t>
      </w:r>
    </w:p>
    <w:sectPr w:rsidR="00516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0DF"/>
    <w:rsid w:val="000077DD"/>
    <w:rsid w:val="00026712"/>
    <w:rsid w:val="000721DA"/>
    <w:rsid w:val="00096AC2"/>
    <w:rsid w:val="001C776A"/>
    <w:rsid w:val="001F5F28"/>
    <w:rsid w:val="00201B2F"/>
    <w:rsid w:val="00202F54"/>
    <w:rsid w:val="00203FC6"/>
    <w:rsid w:val="0026135B"/>
    <w:rsid w:val="00291E87"/>
    <w:rsid w:val="00385907"/>
    <w:rsid w:val="003A05B9"/>
    <w:rsid w:val="003E4C7F"/>
    <w:rsid w:val="003F2F59"/>
    <w:rsid w:val="003F5347"/>
    <w:rsid w:val="00455EA5"/>
    <w:rsid w:val="00464464"/>
    <w:rsid w:val="00492875"/>
    <w:rsid w:val="004C1FD2"/>
    <w:rsid w:val="004E22A3"/>
    <w:rsid w:val="004E3CFE"/>
    <w:rsid w:val="004E6C55"/>
    <w:rsid w:val="00516B64"/>
    <w:rsid w:val="005363A8"/>
    <w:rsid w:val="0055141A"/>
    <w:rsid w:val="005529FA"/>
    <w:rsid w:val="005949CC"/>
    <w:rsid w:val="005A69A1"/>
    <w:rsid w:val="005B5BAB"/>
    <w:rsid w:val="00621285"/>
    <w:rsid w:val="00662969"/>
    <w:rsid w:val="006A25A8"/>
    <w:rsid w:val="006B246C"/>
    <w:rsid w:val="00724137"/>
    <w:rsid w:val="0073156F"/>
    <w:rsid w:val="0076034C"/>
    <w:rsid w:val="007E1BB2"/>
    <w:rsid w:val="00861A17"/>
    <w:rsid w:val="0086451F"/>
    <w:rsid w:val="00893317"/>
    <w:rsid w:val="008F027A"/>
    <w:rsid w:val="00964BC9"/>
    <w:rsid w:val="009A47BE"/>
    <w:rsid w:val="009F06C8"/>
    <w:rsid w:val="00A11735"/>
    <w:rsid w:val="00A37B6D"/>
    <w:rsid w:val="00A51475"/>
    <w:rsid w:val="00B578F0"/>
    <w:rsid w:val="00B72578"/>
    <w:rsid w:val="00B72BE5"/>
    <w:rsid w:val="00BB3505"/>
    <w:rsid w:val="00BE30E7"/>
    <w:rsid w:val="00BF5451"/>
    <w:rsid w:val="00CA0AED"/>
    <w:rsid w:val="00CE4991"/>
    <w:rsid w:val="00D44746"/>
    <w:rsid w:val="00D66018"/>
    <w:rsid w:val="00D67BA3"/>
    <w:rsid w:val="00DD3B19"/>
    <w:rsid w:val="00E770DF"/>
    <w:rsid w:val="00E93F88"/>
    <w:rsid w:val="00F03140"/>
    <w:rsid w:val="00F510A7"/>
    <w:rsid w:val="00F56B01"/>
    <w:rsid w:val="00F92E71"/>
    <w:rsid w:val="00FE54D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48532"/>
  <w15:chartTrackingRefBased/>
  <w15:docId w15:val="{B7DE7535-D857-4FB7-951A-3D4E12331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0A7"/>
    <w:pPr>
      <w:spacing w:after="0" w:line="360" w:lineRule="auto"/>
      <w:ind w:firstLine="595"/>
      <w:jc w:val="both"/>
    </w:pPr>
    <w:rPr>
      <w:rFonts w:ascii="Times New Roman" w:hAnsi="Times New Roman"/>
      <w:lang w:val="en-GB"/>
    </w:rPr>
  </w:style>
  <w:style w:type="paragraph" w:styleId="Heading1">
    <w:name w:val="heading 1"/>
    <w:basedOn w:val="Normal"/>
    <w:next w:val="Normal"/>
    <w:link w:val="Heading1Char"/>
    <w:uiPriority w:val="9"/>
    <w:qFormat/>
    <w:rsid w:val="00F510A7"/>
    <w:pPr>
      <w:keepNext/>
      <w:keepLines/>
      <w:ind w:firstLine="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D66018"/>
    <w:pPr>
      <w:keepNext/>
      <w:keepLines/>
      <w:ind w:firstLine="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F510A7"/>
    <w:pPr>
      <w:keepNext/>
      <w:keepLines/>
      <w:ind w:firstLine="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E770D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70D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70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70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70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70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A7"/>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D66018"/>
    <w:rPr>
      <w:rFonts w:ascii="Times New Roman" w:eastAsiaTheme="majorEastAsia" w:hAnsi="Times New Roman" w:cstheme="majorBidi"/>
      <w:b/>
      <w:i/>
      <w:szCs w:val="32"/>
      <w:lang w:val="en-GB"/>
    </w:rPr>
  </w:style>
  <w:style w:type="character" w:customStyle="1" w:styleId="Heading3Char">
    <w:name w:val="Heading 3 Char"/>
    <w:basedOn w:val="DefaultParagraphFont"/>
    <w:link w:val="Heading3"/>
    <w:uiPriority w:val="9"/>
    <w:rsid w:val="00F510A7"/>
    <w:rPr>
      <w:rFonts w:ascii="Times New Roman" w:eastAsiaTheme="majorEastAsia" w:hAnsi="Times New Roman" w:cstheme="majorBidi"/>
      <w:szCs w:val="28"/>
      <w:lang w:val="en-GB"/>
    </w:rPr>
  </w:style>
  <w:style w:type="character" w:customStyle="1" w:styleId="Heading4Char">
    <w:name w:val="Heading 4 Char"/>
    <w:basedOn w:val="DefaultParagraphFont"/>
    <w:link w:val="Heading4"/>
    <w:uiPriority w:val="9"/>
    <w:semiHidden/>
    <w:rsid w:val="00E770D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770D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770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770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770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770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770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0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770DF"/>
    <w:pPr>
      <w:numPr>
        <w:ilvl w:val="1"/>
      </w:numPr>
      <w:spacing w:after="160"/>
      <w:ind w:firstLine="595"/>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0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70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70DF"/>
    <w:rPr>
      <w:rFonts w:ascii="Times New Roman" w:hAnsi="Times New Roman"/>
      <w:i/>
      <w:iCs/>
      <w:color w:val="404040" w:themeColor="text1" w:themeTint="BF"/>
      <w:lang w:val="en-GB"/>
    </w:rPr>
  </w:style>
  <w:style w:type="paragraph" w:styleId="ListParagraph">
    <w:name w:val="List Paragraph"/>
    <w:basedOn w:val="Normal"/>
    <w:uiPriority w:val="34"/>
    <w:qFormat/>
    <w:rsid w:val="00E770DF"/>
    <w:pPr>
      <w:ind w:left="720"/>
      <w:contextualSpacing/>
    </w:pPr>
  </w:style>
  <w:style w:type="character" w:styleId="IntenseEmphasis">
    <w:name w:val="Intense Emphasis"/>
    <w:basedOn w:val="DefaultParagraphFont"/>
    <w:uiPriority w:val="21"/>
    <w:qFormat/>
    <w:rsid w:val="00E770DF"/>
    <w:rPr>
      <w:i/>
      <w:iCs/>
      <w:color w:val="2F5496" w:themeColor="accent1" w:themeShade="BF"/>
    </w:rPr>
  </w:style>
  <w:style w:type="paragraph" w:styleId="IntenseQuote">
    <w:name w:val="Intense Quote"/>
    <w:basedOn w:val="Normal"/>
    <w:next w:val="Normal"/>
    <w:link w:val="IntenseQuoteChar"/>
    <w:uiPriority w:val="30"/>
    <w:qFormat/>
    <w:rsid w:val="00E770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0DF"/>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E770DF"/>
    <w:rPr>
      <w:b/>
      <w:bCs/>
      <w:smallCaps/>
      <w:color w:val="2F5496" w:themeColor="accent1" w:themeShade="BF"/>
      <w:spacing w:val="5"/>
    </w:rPr>
  </w:style>
  <w:style w:type="character" w:styleId="Hyperlink">
    <w:name w:val="Hyperlink"/>
    <w:basedOn w:val="DefaultParagraphFont"/>
    <w:uiPriority w:val="99"/>
    <w:unhideWhenUsed/>
    <w:rsid w:val="003E4C7F"/>
    <w:rPr>
      <w:color w:val="0563C1" w:themeColor="hyperlink"/>
      <w:u w:val="single"/>
    </w:rPr>
  </w:style>
  <w:style w:type="character" w:styleId="UnresolvedMention">
    <w:name w:val="Unresolved Mention"/>
    <w:basedOn w:val="DefaultParagraphFont"/>
    <w:uiPriority w:val="99"/>
    <w:semiHidden/>
    <w:unhideWhenUsed/>
    <w:rsid w:val="003E4C7F"/>
    <w:rPr>
      <w:color w:val="605E5C"/>
      <w:shd w:val="clear" w:color="auto" w:fill="E1DFDD"/>
    </w:rPr>
  </w:style>
  <w:style w:type="paragraph" w:styleId="TOC1">
    <w:name w:val="toc 1"/>
    <w:basedOn w:val="Normal"/>
    <w:next w:val="Normal"/>
    <w:autoRedefine/>
    <w:uiPriority w:val="39"/>
    <w:unhideWhenUsed/>
    <w:rsid w:val="00464464"/>
    <w:pPr>
      <w:spacing w:after="100"/>
    </w:pPr>
  </w:style>
  <w:style w:type="paragraph" w:styleId="TOC2">
    <w:name w:val="toc 2"/>
    <w:basedOn w:val="Normal"/>
    <w:next w:val="Normal"/>
    <w:autoRedefine/>
    <w:uiPriority w:val="39"/>
    <w:unhideWhenUsed/>
    <w:rsid w:val="004644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1A0DD-98FF-4F79-B142-59E6ED3BC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Salma Shahzad (2332701)</cp:lastModifiedBy>
  <cp:revision>5</cp:revision>
  <dcterms:created xsi:type="dcterms:W3CDTF">2026-03-19T11:26:00Z</dcterms:created>
  <dcterms:modified xsi:type="dcterms:W3CDTF">2026-03-24T14:37:00Z</dcterms:modified>
</cp:coreProperties>
</file>