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1EB2ED0E" w14:textId="77777777" w:rsidR="00B945EA" w:rsidRDefault="00B945EA" w:rsidP="00B945EA">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6CB163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6354E">
              <w:rPr>
                <w:rFonts w:ascii="Tahoma" w:hAnsi="Tahoma" w:cs="Tahoma"/>
                <w:b/>
                <w:sz w:val="20"/>
                <w:szCs w:val="20"/>
              </w:rPr>
              <w:t>COSMIN BADACA</w:t>
            </w:r>
          </w:p>
          <w:p w14:paraId="498F0B10" w14:textId="77777777" w:rsidR="001B69C8" w:rsidRPr="003C3341" w:rsidRDefault="001B69C8">
            <w:pPr>
              <w:rPr>
                <w:rFonts w:ascii="Tahoma" w:hAnsi="Tahoma" w:cs="Tahoma"/>
                <w:b/>
                <w:sz w:val="20"/>
                <w:szCs w:val="20"/>
              </w:rPr>
            </w:pPr>
          </w:p>
          <w:p w14:paraId="69E1F0CF" w14:textId="5A30425F"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C6354E" w:rsidRPr="00C6354E">
              <w:rPr>
                <w:rFonts w:ascii="Tahoma" w:hAnsi="Tahoma" w:cs="Tahoma"/>
                <w:b/>
                <w:sz w:val="20"/>
                <w:szCs w:val="20"/>
              </w:rPr>
              <w:t>2118577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691E05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A734B3" w:rsidRPr="00A734B3">
              <w:rPr>
                <w:rFonts w:ascii="Tahoma" w:hAnsi="Tahoma" w:cs="Tahoma"/>
                <w:b/>
                <w:sz w:val="20"/>
                <w:szCs w:val="20"/>
              </w:rPr>
              <w:t>Hotel Placement - Food &amp; Beverage Operations (BMIH4002)</w:t>
            </w:r>
          </w:p>
          <w:p w14:paraId="2019D1B6" w14:textId="77777777" w:rsidR="00B21F2E" w:rsidRDefault="00B21F2E" w:rsidP="00B21F2E">
            <w:pPr>
              <w:rPr>
                <w:rFonts w:ascii="Tahoma" w:hAnsi="Tahoma" w:cs="Tahoma"/>
                <w:b/>
                <w:sz w:val="20"/>
                <w:szCs w:val="20"/>
              </w:rPr>
            </w:pPr>
          </w:p>
          <w:p w14:paraId="450FE136" w14:textId="6D58EBBF"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E350EE" w:rsidRPr="00E350EE">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09BC9BAC" w:rsidR="00B21F2E" w:rsidRDefault="00DA0E9C" w:rsidP="00B21F2E">
            <w:pPr>
              <w:jc w:val="center"/>
              <w:rPr>
                <w:rFonts w:ascii="Tahoma" w:hAnsi="Tahoma" w:cs="Tahoma"/>
                <w:b/>
                <w:sz w:val="20"/>
                <w:szCs w:val="20"/>
              </w:rPr>
            </w:pPr>
            <w:r w:rsidRPr="00DA0E9C">
              <w:rPr>
                <w:rFonts w:ascii="Tahoma" w:hAnsi="Tahoma" w:cs="Tahoma"/>
                <w:b/>
                <w:sz w:val="20"/>
                <w:szCs w:val="20"/>
              </w:rPr>
              <w:t>•</w:t>
            </w:r>
            <w:r w:rsidRPr="00DA0E9C">
              <w:rPr>
                <w:rFonts w:ascii="Tahoma" w:hAnsi="Tahoma" w:cs="Tahoma"/>
                <w:b/>
                <w:sz w:val="20"/>
                <w:szCs w:val="20"/>
              </w:rPr>
              <w:tab/>
              <w:t>Ratings, Inspections and Reporting Procedures</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51578C">
        <w:trPr>
          <w:trHeight w:val="975"/>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30CFB8C0" w14:textId="77777777" w:rsidR="0051578C" w:rsidRDefault="0051578C" w:rsidP="0051578C">
            <w:pPr>
              <w:pStyle w:val="Heading1"/>
            </w:pPr>
            <w:r>
              <w:t>Topic and learning</w:t>
            </w:r>
          </w:p>
          <w:p w14:paraId="2BEF7CB0" w14:textId="77777777" w:rsidR="0051578C" w:rsidRDefault="0051578C" w:rsidP="0051578C">
            <w:pPr>
              <w:spacing w:line="360" w:lineRule="auto"/>
              <w:jc w:val="both"/>
            </w:pPr>
            <w:r>
              <w:t xml:space="preserve">The topic of the project is associated with rating, inspections, and reporting procedures. According to </w:t>
            </w:r>
            <w:proofErr w:type="spellStart"/>
            <w:r>
              <w:rPr>
                <w:color w:val="222222"/>
                <w:highlight w:val="white"/>
              </w:rPr>
              <w:t>Borraz</w:t>
            </w:r>
            <w:proofErr w:type="spellEnd"/>
            <w:r>
              <w:rPr>
                <w:color w:val="222222"/>
                <w:highlight w:val="white"/>
              </w:rPr>
              <w:t xml:space="preserve"> </w:t>
            </w:r>
            <w:r>
              <w:rPr>
                <w:i/>
                <w:color w:val="222222"/>
                <w:highlight w:val="white"/>
              </w:rPr>
              <w:t>et al.</w:t>
            </w:r>
            <w:r>
              <w:rPr>
                <w:color w:val="222222"/>
                <w:highlight w:val="white"/>
              </w:rPr>
              <w:t xml:space="preserve">, (2022), the concept of inspection procedure in business management is associated with monitoring if the product or service of the company meets or does not meet a prefixed standard. An effective inspection procedure of an organization plays a very crucial role to comply with all the legal requirements and meet the satisfaction of the consumers which is very essential to maintaining the brand value in the community. The result of the inspection process is involved rejection or acceptance of the production of the company. Hence inspection is a formal process that identifies as well as corrects errors in a business process. It has been derived from the study that without maintaining proper inspection procedures, a business organization approximately spent forty-five percent of its developmental effort on the correction of the errors and defects of the products (Barron </w:t>
            </w:r>
            <w:r>
              <w:rPr>
                <w:i/>
                <w:color w:val="222222"/>
                <w:highlight w:val="white"/>
              </w:rPr>
              <w:t>et al.</w:t>
            </w:r>
            <w:r>
              <w:rPr>
                <w:color w:val="222222"/>
                <w:highlight w:val="white"/>
              </w:rPr>
              <w:t xml:space="preserve">, 2020). </w:t>
            </w:r>
            <w:r>
              <w:t>The concept of performance rating is associated with indicating the level of achievement of an individual employee about their outcome in the workplace.</w:t>
            </w:r>
            <w:r>
              <w:rPr>
                <w:color w:val="222222"/>
                <w:highlight w:val="white"/>
              </w:rPr>
              <w:t xml:space="preserve"> It also provides a comprehensive idea regarding how the products or services are capable to meet customer satisfaction to what extent (</w:t>
            </w:r>
            <w:proofErr w:type="spellStart"/>
            <w:r>
              <w:rPr>
                <w:color w:val="222222"/>
                <w:highlight w:val="white"/>
              </w:rPr>
              <w:t>Gantchev</w:t>
            </w:r>
            <w:proofErr w:type="spellEnd"/>
            <w:r>
              <w:rPr>
                <w:color w:val="222222"/>
                <w:highlight w:val="white"/>
              </w:rPr>
              <w:t xml:space="preserve">, </w:t>
            </w:r>
            <w:proofErr w:type="spellStart"/>
            <w:r>
              <w:rPr>
                <w:color w:val="222222"/>
                <w:highlight w:val="white"/>
              </w:rPr>
              <w:t>Giannetti</w:t>
            </w:r>
            <w:proofErr w:type="spellEnd"/>
            <w:r>
              <w:rPr>
                <w:color w:val="222222"/>
                <w:highlight w:val="white"/>
              </w:rPr>
              <w:t xml:space="preserve"> and Li, 2021). It also ensures the </w:t>
            </w:r>
            <w:proofErr w:type="gramStart"/>
            <w:r>
              <w:rPr>
                <w:color w:val="222222"/>
                <w:highlight w:val="white"/>
              </w:rPr>
              <w:t>employees</w:t>
            </w:r>
            <w:proofErr w:type="gramEnd"/>
            <w:r>
              <w:rPr>
                <w:color w:val="222222"/>
                <w:highlight w:val="white"/>
              </w:rPr>
              <w:t xml:space="preserve"> or the company can effectively deliver their respective maximum productivity efficiently. Reporting procedure deals with monitoring the conduction of a certain project or development of a project to compare the achieved result with the predetermined criteria (</w:t>
            </w:r>
            <w:proofErr w:type="spellStart"/>
            <w:r>
              <w:rPr>
                <w:color w:val="222222"/>
                <w:highlight w:val="white"/>
              </w:rPr>
              <w:t>Prodanova</w:t>
            </w:r>
            <w:proofErr w:type="spellEnd"/>
            <w:r>
              <w:rPr>
                <w:color w:val="222222"/>
                <w:highlight w:val="white"/>
              </w:rPr>
              <w:t xml:space="preserve"> </w:t>
            </w:r>
            <w:r>
              <w:rPr>
                <w:i/>
                <w:color w:val="222222"/>
                <w:highlight w:val="white"/>
              </w:rPr>
              <w:t>et al.</w:t>
            </w:r>
            <w:r>
              <w:rPr>
                <w:color w:val="222222"/>
                <w:highlight w:val="white"/>
              </w:rPr>
              <w:t>, 2019). Appropriate reporting procedure plays a crucial role to gain vital information about the issues that are associated with the safety of the workplace, identification of the problem, and developing the strategy accordingly to mitigate those identified problems (</w:t>
            </w:r>
            <w:proofErr w:type="spellStart"/>
            <w:r>
              <w:rPr>
                <w:color w:val="222222"/>
                <w:highlight w:val="white"/>
              </w:rPr>
              <w:t>Nden</w:t>
            </w:r>
            <w:proofErr w:type="spellEnd"/>
            <w:r>
              <w:rPr>
                <w:color w:val="222222"/>
                <w:highlight w:val="white"/>
              </w:rPr>
              <w:t>, 2019).</w:t>
            </w:r>
          </w:p>
          <w:p w14:paraId="1D8F24BC" w14:textId="77777777" w:rsidR="0051578C" w:rsidRDefault="0051578C" w:rsidP="0051578C">
            <w:pPr>
              <w:pStyle w:val="Heading1"/>
            </w:pPr>
            <w:bookmarkStart w:id="0" w:name="_z2gzfcjrzwic" w:colFirst="0" w:colLast="0"/>
            <w:bookmarkEnd w:id="0"/>
            <w:r>
              <w:t>Skills learned</w:t>
            </w:r>
          </w:p>
          <w:p w14:paraId="17810E00" w14:textId="77777777" w:rsidR="0051578C" w:rsidRDefault="0051578C" w:rsidP="0051578C">
            <w:pPr>
              <w:spacing w:line="360" w:lineRule="auto"/>
              <w:jc w:val="both"/>
            </w:pPr>
            <w:r>
              <w:t xml:space="preserve">From this above project, I gained a comprehensive knowledge regarding the performance rating, inspections, and reporting procedures in an organization. I have learned how the leaders of a business organization apply their respective skills in the workplace to align the quality of the product with the needs of the customers. I also learned about the steps to maintain the reporting procedure of the company. With the help of the above module, I effectively developed my writing skills and searched for essential data from secondary sources and the skills to organize those collected data to present them accordingly. </w:t>
            </w:r>
          </w:p>
          <w:p w14:paraId="4D02D756" w14:textId="77777777" w:rsidR="0051578C" w:rsidRDefault="0051578C" w:rsidP="0051578C">
            <w:pPr>
              <w:spacing w:line="360" w:lineRule="auto"/>
              <w:jc w:val="both"/>
              <w:rPr>
                <w:b/>
              </w:rPr>
            </w:pPr>
            <w:r>
              <w:rPr>
                <w:b/>
              </w:rPr>
              <w:lastRenderedPageBreak/>
              <w:t>Application of the knowledge in the future</w:t>
            </w:r>
          </w:p>
          <w:p w14:paraId="010BE712" w14:textId="77777777" w:rsidR="0051578C" w:rsidRDefault="0051578C" w:rsidP="0051578C">
            <w:pPr>
              <w:spacing w:line="360" w:lineRule="auto"/>
              <w:jc w:val="both"/>
            </w:pPr>
            <w:r>
              <w:t xml:space="preserve">The knowledge that I have gained from this module will help me to use them practically in the workplace. This knowledge will effectively help to become able to understand the level of achievement of an individual employee about their outcome in the workplace. I will also use my knowledge regarding inspection in the workplace to identify the errors in the operating process of the organization so that those problems can be mitigated as soon as possible. I will also use my knowledge regarding reporting procedures to monitor </w:t>
            </w:r>
            <w:r>
              <w:rPr>
                <w:color w:val="222222"/>
                <w:highlight w:val="white"/>
              </w:rPr>
              <w:t>the implementation of a certain project to compare the achieved result with the stated norms. The knowledge that I have gained through this project will help me to effectively contribute to the overall development of the organization.</w:t>
            </w:r>
          </w:p>
          <w:p w14:paraId="40AC5570" w14:textId="77777777" w:rsidR="0051578C" w:rsidRDefault="0051578C" w:rsidP="0051578C">
            <w:pPr>
              <w:pStyle w:val="Heading1"/>
            </w:pPr>
            <w:bookmarkStart w:id="1" w:name="_q8891iq4bfcx" w:colFirst="0" w:colLast="0"/>
            <w:bookmarkEnd w:id="1"/>
            <w:r>
              <w:t>Personal reflection</w:t>
            </w:r>
          </w:p>
          <w:p w14:paraId="2E56707F" w14:textId="77777777" w:rsidR="0051578C" w:rsidRDefault="0051578C" w:rsidP="0051578C">
            <w:pPr>
              <w:spacing w:line="360" w:lineRule="auto"/>
              <w:jc w:val="both"/>
            </w:pPr>
            <w:r>
              <w:t xml:space="preserve">I enjoyed the development of the whole project module. During the development of the project, I came to know that I have difficulties with vocabulary, which will effectively mitigate in the future. During the development of this project, I came to know how the leaders of the business organization rate the performance of the individual employees in the workplace and </w:t>
            </w:r>
            <w:r>
              <w:rPr>
                <w:color w:val="222222"/>
                <w:highlight w:val="white"/>
              </w:rPr>
              <w:t xml:space="preserve">ensure the employees or the company can effectively deliver their respective maximum productivity efficiently. I also came to know how the leaders of the </w:t>
            </w:r>
            <w:proofErr w:type="spellStart"/>
            <w:r>
              <w:rPr>
                <w:color w:val="222222"/>
                <w:highlight w:val="white"/>
              </w:rPr>
              <w:t>organizaiton</w:t>
            </w:r>
            <w:proofErr w:type="spellEnd"/>
            <w:r>
              <w:rPr>
                <w:color w:val="222222"/>
                <w:highlight w:val="white"/>
              </w:rPr>
              <w:t xml:space="preserve"> identify the issues that are associated with the safety of the workplace and develop the strategy accordingly to mitigate those identified problems.</w:t>
            </w:r>
          </w:p>
          <w:p w14:paraId="45269007" w14:textId="77777777" w:rsidR="0051578C" w:rsidRDefault="0051578C" w:rsidP="0051578C">
            <w:pPr>
              <w:pStyle w:val="Heading1"/>
            </w:pPr>
            <w:bookmarkStart w:id="2" w:name="_9hs74ce1zjjk" w:colFirst="0" w:colLast="0"/>
            <w:bookmarkEnd w:id="2"/>
            <w:r>
              <w:t>Importance of the topic within the industry</w:t>
            </w:r>
          </w:p>
          <w:p w14:paraId="3B344F1E" w14:textId="7EE8E55B" w:rsidR="00375882" w:rsidRPr="0051578C" w:rsidRDefault="0051578C" w:rsidP="0051578C">
            <w:pPr>
              <w:spacing w:line="360" w:lineRule="auto"/>
              <w:jc w:val="both"/>
              <w:rPr>
                <w:rFonts w:ascii="Arial" w:hAnsi="Arial" w:cs="Arial"/>
              </w:rPr>
            </w:pPr>
            <w:r>
              <w:rPr>
                <w:color w:val="222222"/>
                <w:highlight w:val="white"/>
              </w:rPr>
              <w:t xml:space="preserve">According to Barron </w:t>
            </w:r>
            <w:r>
              <w:rPr>
                <w:i/>
                <w:color w:val="222222"/>
                <w:highlight w:val="white"/>
              </w:rPr>
              <w:t>et al.</w:t>
            </w:r>
            <w:r>
              <w:rPr>
                <w:color w:val="222222"/>
                <w:highlight w:val="white"/>
              </w:rPr>
              <w:t xml:space="preserve">, (2020), the transparency in the business operation heightens significantly when the management of the company maintains appropriate rating and inspection procedures which makes them more attractive to the stakeholders. The rating procedure plays a vital role to provide an idea about the workplace setting that is capable to ensure the safety of the worker where they can deliver maximum productivity without any external hindrance (Jackson </w:t>
            </w:r>
            <w:r>
              <w:rPr>
                <w:i/>
                <w:color w:val="222222"/>
                <w:highlight w:val="white"/>
              </w:rPr>
              <w:t>et al.</w:t>
            </w:r>
            <w:r>
              <w:rPr>
                <w:color w:val="222222"/>
                <w:highlight w:val="white"/>
              </w:rPr>
              <w:t>, 2020). The rating procedure determines how the products or services of the organization are capable to meet the stated standard. Maintaining appropriate reporting procedures effectively helps business organizations to avoid any kind of external hindrance and legal complications. In the context of the food and beverage industry, workplace inspection plays a crucial role to maintain the safety of the other individual workers in the workplace.</w:t>
            </w:r>
          </w:p>
        </w:tc>
      </w:tr>
    </w:tbl>
    <w:p w14:paraId="7D9A52CF" w14:textId="1145FBB7" w:rsidR="00B00678" w:rsidRDefault="00B00678" w:rsidP="00B945EA">
      <w:pPr>
        <w:rPr>
          <w:rFonts w:ascii="Tahoma" w:hAnsi="Tahoma" w:cs="Tahoma"/>
          <w:b/>
        </w:rPr>
      </w:pPr>
    </w:p>
    <w:p w14:paraId="44D656AD" w14:textId="6DC7F15A" w:rsidR="003B6124" w:rsidRDefault="003B6124" w:rsidP="00B945EA">
      <w:pPr>
        <w:rPr>
          <w:rFonts w:ascii="Tahoma" w:hAnsi="Tahoma" w:cs="Tahoma"/>
          <w:b/>
        </w:rPr>
      </w:pPr>
    </w:p>
    <w:p w14:paraId="2A8306FA" w14:textId="7FAF7344" w:rsidR="003B6124" w:rsidRDefault="003B6124" w:rsidP="00B945EA">
      <w:pPr>
        <w:rPr>
          <w:rFonts w:ascii="Tahoma" w:hAnsi="Tahoma" w:cs="Tahoma"/>
          <w:b/>
        </w:rPr>
      </w:pPr>
    </w:p>
    <w:p w14:paraId="08E5FEBA" w14:textId="7A69E555" w:rsidR="003B6124" w:rsidRDefault="003B6124" w:rsidP="00B945EA">
      <w:pPr>
        <w:rPr>
          <w:rFonts w:ascii="Tahoma" w:hAnsi="Tahoma" w:cs="Tahoma"/>
          <w:b/>
        </w:rPr>
      </w:pPr>
    </w:p>
    <w:p w14:paraId="4B8FDDD2" w14:textId="693DA983" w:rsidR="003B6124" w:rsidRDefault="003B6124" w:rsidP="00B945EA">
      <w:pPr>
        <w:rPr>
          <w:rFonts w:ascii="Tahoma" w:hAnsi="Tahoma" w:cs="Tahoma"/>
          <w:b/>
        </w:rPr>
      </w:pPr>
    </w:p>
    <w:p w14:paraId="7D9CF9D3" w14:textId="0A2921CC" w:rsidR="003B6124" w:rsidRDefault="003B6124" w:rsidP="00B945EA">
      <w:pPr>
        <w:rPr>
          <w:rFonts w:ascii="Tahoma" w:hAnsi="Tahoma" w:cs="Tahoma"/>
          <w:b/>
        </w:rPr>
      </w:pPr>
    </w:p>
    <w:p w14:paraId="67023240" w14:textId="5A4EA25B" w:rsidR="003B6124" w:rsidRDefault="003B6124" w:rsidP="00B945EA">
      <w:pPr>
        <w:rPr>
          <w:rFonts w:ascii="Tahoma" w:hAnsi="Tahoma" w:cs="Tahoma"/>
          <w:b/>
        </w:rPr>
      </w:pPr>
    </w:p>
    <w:p w14:paraId="15B7667C" w14:textId="37E36C54" w:rsidR="003B6124" w:rsidRDefault="003B6124" w:rsidP="00B945EA">
      <w:pPr>
        <w:rPr>
          <w:rFonts w:ascii="Tahoma" w:hAnsi="Tahoma" w:cs="Tahoma"/>
          <w:b/>
        </w:rPr>
      </w:pPr>
    </w:p>
    <w:p w14:paraId="2ABF9EB8" w14:textId="1438C845" w:rsidR="003B6124" w:rsidRDefault="003B6124" w:rsidP="00B945EA">
      <w:pPr>
        <w:rPr>
          <w:rFonts w:ascii="Tahoma" w:hAnsi="Tahoma" w:cs="Tahoma"/>
          <w:b/>
        </w:rPr>
      </w:pPr>
    </w:p>
    <w:p w14:paraId="6167C738" w14:textId="6552AC79" w:rsidR="003B6124" w:rsidRDefault="003B6124" w:rsidP="00B945EA">
      <w:pPr>
        <w:rPr>
          <w:rFonts w:ascii="Tahoma" w:hAnsi="Tahoma" w:cs="Tahoma"/>
          <w:b/>
        </w:rPr>
      </w:pPr>
    </w:p>
    <w:p w14:paraId="2FAF84D6" w14:textId="7B87C846" w:rsidR="003B6124" w:rsidRDefault="003B6124" w:rsidP="00B945EA">
      <w:pPr>
        <w:rPr>
          <w:rFonts w:ascii="Tahoma" w:hAnsi="Tahoma" w:cs="Tahoma"/>
          <w:b/>
        </w:rPr>
      </w:pPr>
    </w:p>
    <w:p w14:paraId="231B3106" w14:textId="653475F0" w:rsidR="003B6124" w:rsidRDefault="003B6124" w:rsidP="00B945EA">
      <w:pPr>
        <w:rPr>
          <w:rFonts w:ascii="Tahoma" w:hAnsi="Tahoma" w:cs="Tahoma"/>
          <w:b/>
        </w:rPr>
      </w:pPr>
    </w:p>
    <w:p w14:paraId="289D7253" w14:textId="77777777" w:rsidR="003B6124" w:rsidRDefault="003B6124"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5ADB3C4E" w:rsidR="003B6124" w:rsidRPr="00946B23" w:rsidRDefault="003B6124" w:rsidP="007F6692">
            <w:pPr>
              <w:rPr>
                <w:rFonts w:ascii="Tahoma" w:hAnsi="Tahoma" w:cs="Tahoma"/>
                <w:b/>
                <w:sz w:val="20"/>
                <w:szCs w:val="20"/>
              </w:rPr>
            </w:pPr>
          </w:p>
        </w:tc>
        <w:tc>
          <w:tcPr>
            <w:tcW w:w="272" w:type="dxa"/>
            <w:shd w:val="clear" w:color="auto" w:fill="FBD4B4" w:themeFill="accent6" w:themeFillTint="66"/>
          </w:tcPr>
          <w:p w14:paraId="52F3ACFA" w14:textId="77777777" w:rsidR="00375882" w:rsidRPr="003C3341" w:rsidRDefault="00375882" w:rsidP="007F6692">
            <w:pPr>
              <w:jc w:val="center"/>
              <w:rPr>
                <w:rFonts w:ascii="Tahoma" w:hAnsi="Tahoma" w:cs="Tahoma"/>
                <w:b/>
                <w:sz w:val="20"/>
                <w:szCs w:val="20"/>
              </w:rPr>
            </w:pPr>
          </w:p>
        </w:tc>
      </w:tr>
      <w:tr w:rsidR="003B6124" w:rsidRPr="003C3341" w14:paraId="6011DE09" w14:textId="77777777" w:rsidTr="007F6692">
        <w:trPr>
          <w:trHeight w:val="2494"/>
        </w:trPr>
        <w:tc>
          <w:tcPr>
            <w:tcW w:w="11182" w:type="dxa"/>
            <w:gridSpan w:val="2"/>
          </w:tcPr>
          <w:p w14:paraId="2C18448F" w14:textId="77777777" w:rsidR="003B6124" w:rsidRDefault="003B6124" w:rsidP="007F6692">
            <w:pPr>
              <w:spacing w:line="360" w:lineRule="auto"/>
              <w:jc w:val="both"/>
              <w:rPr>
                <w:rFonts w:ascii="Arial" w:hAnsi="Arial" w:cs="Arial"/>
                <w:b/>
              </w:rPr>
            </w:pPr>
            <w:r>
              <w:rPr>
                <w:rFonts w:ascii="Arial" w:hAnsi="Arial" w:cs="Arial"/>
                <w:b/>
              </w:rPr>
              <w:t xml:space="preserve">                                                          </w:t>
            </w:r>
          </w:p>
          <w:p w14:paraId="53362AB9" w14:textId="2B4C7E6D" w:rsidR="003B6124" w:rsidRDefault="003B6124" w:rsidP="007F6692">
            <w:pPr>
              <w:spacing w:line="360" w:lineRule="auto"/>
              <w:jc w:val="both"/>
              <w:rPr>
                <w:rFonts w:ascii="Arial" w:hAnsi="Arial" w:cs="Arial"/>
              </w:rPr>
            </w:pPr>
            <w:r>
              <w:rPr>
                <w:rFonts w:ascii="Arial" w:hAnsi="Arial" w:cs="Arial"/>
                <w:b/>
              </w:rPr>
              <w:t xml:space="preserve">                                                           </w:t>
            </w:r>
            <w:r w:rsidRPr="003B6124">
              <w:rPr>
                <w:rFonts w:ascii="Arial" w:hAnsi="Arial" w:cs="Arial"/>
                <w:b/>
              </w:rPr>
              <w:t>REFERENCE LIST</w:t>
            </w:r>
          </w:p>
        </w:tc>
      </w:tr>
      <w:tr w:rsidR="00375882" w:rsidRPr="003C3341" w14:paraId="130E5631" w14:textId="77777777" w:rsidTr="007F6692">
        <w:trPr>
          <w:trHeight w:val="2494"/>
        </w:trPr>
        <w:tc>
          <w:tcPr>
            <w:tcW w:w="11182" w:type="dxa"/>
            <w:gridSpan w:val="2"/>
          </w:tcPr>
          <w:p w14:paraId="7BE2B521" w14:textId="73ACEF86" w:rsidR="00375882" w:rsidRDefault="00375882" w:rsidP="007F6692">
            <w:pPr>
              <w:spacing w:line="360" w:lineRule="auto"/>
              <w:jc w:val="both"/>
              <w:rPr>
                <w:rFonts w:ascii="Arial" w:hAnsi="Arial" w:cs="Arial"/>
              </w:rPr>
            </w:pPr>
          </w:p>
          <w:p w14:paraId="380D574D" w14:textId="77777777" w:rsidR="0051578C" w:rsidRDefault="0051578C" w:rsidP="0051578C">
            <w:pPr>
              <w:jc w:val="both"/>
              <w:rPr>
                <w:color w:val="222222"/>
                <w:highlight w:val="white"/>
              </w:rPr>
            </w:pPr>
            <w:r>
              <w:rPr>
                <w:color w:val="222222"/>
                <w:highlight w:val="white"/>
              </w:rPr>
              <w:t xml:space="preserve">Barron, M., Bedoya, G., Garcia </w:t>
            </w:r>
            <w:proofErr w:type="spellStart"/>
            <w:r>
              <w:rPr>
                <w:color w:val="222222"/>
                <w:highlight w:val="white"/>
              </w:rPr>
              <w:t>Montufar</w:t>
            </w:r>
            <w:proofErr w:type="spellEnd"/>
            <w:r>
              <w:rPr>
                <w:color w:val="222222"/>
                <w:highlight w:val="white"/>
              </w:rPr>
              <w:t xml:space="preserve">, D. and </w:t>
            </w:r>
            <w:proofErr w:type="spellStart"/>
            <w:r>
              <w:rPr>
                <w:color w:val="222222"/>
                <w:highlight w:val="white"/>
              </w:rPr>
              <w:t>Goicoechea</w:t>
            </w:r>
            <w:proofErr w:type="spellEnd"/>
            <w:r>
              <w:rPr>
                <w:color w:val="222222"/>
                <w:highlight w:val="white"/>
              </w:rPr>
              <w:t>, A., 2020. Less Burden, More Transparency, and Higher Quality.</w:t>
            </w:r>
          </w:p>
          <w:p w14:paraId="72DAED20" w14:textId="77777777" w:rsidR="0051578C" w:rsidRDefault="0051578C" w:rsidP="0051578C">
            <w:pPr>
              <w:jc w:val="both"/>
              <w:rPr>
                <w:color w:val="222222"/>
                <w:highlight w:val="white"/>
              </w:rPr>
            </w:pPr>
            <w:proofErr w:type="spellStart"/>
            <w:r>
              <w:rPr>
                <w:color w:val="222222"/>
                <w:highlight w:val="white"/>
              </w:rPr>
              <w:t>Borraz</w:t>
            </w:r>
            <w:proofErr w:type="spellEnd"/>
            <w:r>
              <w:rPr>
                <w:color w:val="222222"/>
                <w:highlight w:val="white"/>
              </w:rPr>
              <w:t xml:space="preserve">, O., </w:t>
            </w:r>
            <w:proofErr w:type="spellStart"/>
            <w:r>
              <w:rPr>
                <w:color w:val="222222"/>
                <w:highlight w:val="white"/>
              </w:rPr>
              <w:t>Beaussier</w:t>
            </w:r>
            <w:proofErr w:type="spellEnd"/>
            <w:r>
              <w:rPr>
                <w:color w:val="222222"/>
                <w:highlight w:val="white"/>
              </w:rPr>
              <w:t xml:space="preserve">, A.L., </w:t>
            </w:r>
            <w:proofErr w:type="spellStart"/>
            <w:r>
              <w:rPr>
                <w:color w:val="222222"/>
                <w:highlight w:val="white"/>
              </w:rPr>
              <w:t>Wesseling</w:t>
            </w:r>
            <w:proofErr w:type="spellEnd"/>
            <w:r>
              <w:rPr>
                <w:color w:val="222222"/>
                <w:highlight w:val="white"/>
              </w:rPr>
              <w:t xml:space="preserve">, M., </w:t>
            </w:r>
            <w:proofErr w:type="spellStart"/>
            <w:r>
              <w:rPr>
                <w:color w:val="222222"/>
                <w:highlight w:val="white"/>
              </w:rPr>
              <w:t>Demeritt</w:t>
            </w:r>
            <w:proofErr w:type="spellEnd"/>
            <w:r>
              <w:rPr>
                <w:color w:val="222222"/>
                <w:highlight w:val="white"/>
              </w:rPr>
              <w:t xml:space="preserve">, D., Rothstein, H., </w:t>
            </w:r>
            <w:proofErr w:type="spellStart"/>
            <w:r>
              <w:rPr>
                <w:color w:val="222222"/>
                <w:highlight w:val="white"/>
              </w:rPr>
              <w:t>Hermans</w:t>
            </w:r>
            <w:proofErr w:type="spellEnd"/>
            <w:r>
              <w:rPr>
                <w:color w:val="222222"/>
                <w:highlight w:val="white"/>
              </w:rPr>
              <w:t xml:space="preserve">, M., Huber, M. and Paul, R., 2022. Why regulators assess risk differently: Regulatory style, business organization, and the varied practice of risk‐based food safety inspections across the EU. </w:t>
            </w:r>
            <w:r>
              <w:rPr>
                <w:i/>
                <w:color w:val="222222"/>
                <w:highlight w:val="white"/>
              </w:rPr>
              <w:t>Regulation &amp; Governance</w:t>
            </w:r>
            <w:r>
              <w:rPr>
                <w:color w:val="222222"/>
                <w:highlight w:val="white"/>
              </w:rPr>
              <w:t xml:space="preserve">, </w:t>
            </w:r>
            <w:r>
              <w:rPr>
                <w:i/>
                <w:color w:val="222222"/>
                <w:highlight w:val="white"/>
              </w:rPr>
              <w:t>16</w:t>
            </w:r>
            <w:r>
              <w:rPr>
                <w:color w:val="222222"/>
                <w:highlight w:val="white"/>
              </w:rPr>
              <w:t>(1), pp.274-292.</w:t>
            </w:r>
          </w:p>
          <w:p w14:paraId="53C7E1C1" w14:textId="77777777" w:rsidR="0051578C" w:rsidRDefault="0051578C" w:rsidP="0051578C">
            <w:pPr>
              <w:jc w:val="both"/>
              <w:rPr>
                <w:color w:val="222222"/>
                <w:highlight w:val="white"/>
              </w:rPr>
            </w:pPr>
            <w:proofErr w:type="spellStart"/>
            <w:r>
              <w:rPr>
                <w:color w:val="222222"/>
                <w:highlight w:val="white"/>
              </w:rPr>
              <w:t>Gantchev</w:t>
            </w:r>
            <w:proofErr w:type="spellEnd"/>
            <w:r>
              <w:rPr>
                <w:color w:val="222222"/>
                <w:highlight w:val="white"/>
              </w:rPr>
              <w:t xml:space="preserve">, N., </w:t>
            </w:r>
            <w:proofErr w:type="spellStart"/>
            <w:r>
              <w:rPr>
                <w:color w:val="222222"/>
                <w:highlight w:val="white"/>
              </w:rPr>
              <w:t>Giannetti</w:t>
            </w:r>
            <w:proofErr w:type="spellEnd"/>
            <w:r>
              <w:rPr>
                <w:color w:val="222222"/>
                <w:highlight w:val="white"/>
              </w:rPr>
              <w:t xml:space="preserve">, M. and Li, R., 2021. Sustainability or performance? Ratings and fund managers’ incentives. </w:t>
            </w:r>
            <w:r>
              <w:rPr>
                <w:i/>
                <w:color w:val="222222"/>
                <w:highlight w:val="white"/>
              </w:rPr>
              <w:t>Ratings and Fund Managers’ Incentives (November 19, 2021). Swedish House of Finance Research Paper</w:t>
            </w:r>
            <w:r>
              <w:rPr>
                <w:color w:val="222222"/>
                <w:highlight w:val="white"/>
              </w:rPr>
              <w:t>, (21-4).</w:t>
            </w:r>
          </w:p>
          <w:p w14:paraId="362C9024" w14:textId="77777777" w:rsidR="0051578C" w:rsidRDefault="0051578C" w:rsidP="0051578C">
            <w:pPr>
              <w:jc w:val="both"/>
              <w:rPr>
                <w:color w:val="222222"/>
                <w:highlight w:val="white"/>
              </w:rPr>
            </w:pPr>
            <w:r>
              <w:rPr>
                <w:color w:val="222222"/>
                <w:highlight w:val="white"/>
              </w:rPr>
              <w:t xml:space="preserve">Jackson, D.J., </w:t>
            </w:r>
            <w:proofErr w:type="spellStart"/>
            <w:r>
              <w:rPr>
                <w:color w:val="222222"/>
                <w:highlight w:val="white"/>
              </w:rPr>
              <w:t>Michaelides</w:t>
            </w:r>
            <w:proofErr w:type="spellEnd"/>
            <w:r>
              <w:rPr>
                <w:color w:val="222222"/>
                <w:highlight w:val="white"/>
              </w:rPr>
              <w:t xml:space="preserve">, G., Dewberry, C., </w:t>
            </w:r>
            <w:proofErr w:type="spellStart"/>
            <w:r>
              <w:rPr>
                <w:color w:val="222222"/>
                <w:highlight w:val="white"/>
              </w:rPr>
              <w:t>Schwencke</w:t>
            </w:r>
            <w:proofErr w:type="spellEnd"/>
            <w:r>
              <w:rPr>
                <w:color w:val="222222"/>
                <w:highlight w:val="white"/>
              </w:rPr>
              <w:t xml:space="preserve">, B. and Toms, S., 2020. The implications of unconfounding multisource performance ratings. </w:t>
            </w:r>
            <w:r>
              <w:rPr>
                <w:i/>
                <w:color w:val="222222"/>
                <w:highlight w:val="white"/>
              </w:rPr>
              <w:t>Journal of Applied Psychology</w:t>
            </w:r>
            <w:r>
              <w:rPr>
                <w:color w:val="222222"/>
                <w:highlight w:val="white"/>
              </w:rPr>
              <w:t xml:space="preserve">, </w:t>
            </w:r>
            <w:r>
              <w:rPr>
                <w:i/>
                <w:color w:val="222222"/>
                <w:highlight w:val="white"/>
              </w:rPr>
              <w:t>105</w:t>
            </w:r>
            <w:r>
              <w:rPr>
                <w:color w:val="222222"/>
                <w:highlight w:val="white"/>
              </w:rPr>
              <w:t>(3), p.312.</w:t>
            </w:r>
          </w:p>
          <w:p w14:paraId="66A2858D" w14:textId="77777777" w:rsidR="0051578C" w:rsidRDefault="0051578C" w:rsidP="0051578C">
            <w:pPr>
              <w:jc w:val="both"/>
              <w:rPr>
                <w:color w:val="222222"/>
                <w:highlight w:val="white"/>
              </w:rPr>
            </w:pPr>
            <w:proofErr w:type="spellStart"/>
            <w:r>
              <w:rPr>
                <w:color w:val="222222"/>
                <w:highlight w:val="white"/>
              </w:rPr>
              <w:t>Nden</w:t>
            </w:r>
            <w:proofErr w:type="spellEnd"/>
            <w:r>
              <w:rPr>
                <w:color w:val="222222"/>
                <w:highlight w:val="white"/>
              </w:rPr>
              <w:t xml:space="preserve">, N., 2019. </w:t>
            </w:r>
            <w:r>
              <w:rPr>
                <w:i/>
                <w:color w:val="222222"/>
                <w:highlight w:val="white"/>
              </w:rPr>
              <w:t>Strategies for Ensuring the Timeliness of Small Business Financial Reporting in Nigeria</w:t>
            </w:r>
            <w:r>
              <w:rPr>
                <w:color w:val="222222"/>
                <w:highlight w:val="white"/>
              </w:rPr>
              <w:t xml:space="preserve"> (Doctoral dissertation, Walden University).</w:t>
            </w:r>
          </w:p>
          <w:p w14:paraId="2E020AEF" w14:textId="03F5DD91" w:rsidR="00375882" w:rsidRPr="0051578C" w:rsidRDefault="0051578C" w:rsidP="0051578C">
            <w:pPr>
              <w:jc w:val="both"/>
              <w:rPr>
                <w:color w:val="222222"/>
                <w:highlight w:val="white"/>
              </w:rPr>
            </w:pPr>
            <w:proofErr w:type="spellStart"/>
            <w:r>
              <w:rPr>
                <w:color w:val="222222"/>
                <w:highlight w:val="white"/>
              </w:rPr>
              <w:t>Prodanova</w:t>
            </w:r>
            <w:proofErr w:type="spellEnd"/>
            <w:r>
              <w:rPr>
                <w:color w:val="222222"/>
                <w:highlight w:val="white"/>
              </w:rPr>
              <w:t xml:space="preserve">, N.A., </w:t>
            </w:r>
            <w:proofErr w:type="spellStart"/>
            <w:r>
              <w:rPr>
                <w:color w:val="222222"/>
                <w:highlight w:val="white"/>
              </w:rPr>
              <w:t>Savina</w:t>
            </w:r>
            <w:proofErr w:type="spellEnd"/>
            <w:r>
              <w:rPr>
                <w:color w:val="222222"/>
                <w:highlight w:val="white"/>
              </w:rPr>
              <w:t xml:space="preserve">, N.V., </w:t>
            </w:r>
            <w:proofErr w:type="spellStart"/>
            <w:r>
              <w:rPr>
                <w:color w:val="222222"/>
                <w:highlight w:val="white"/>
              </w:rPr>
              <w:t>Kevorkova</w:t>
            </w:r>
            <w:proofErr w:type="spellEnd"/>
            <w:r>
              <w:rPr>
                <w:color w:val="222222"/>
                <w:highlight w:val="white"/>
              </w:rPr>
              <w:t xml:space="preserve">, Z., </w:t>
            </w:r>
            <w:proofErr w:type="spellStart"/>
            <w:r>
              <w:rPr>
                <w:color w:val="222222"/>
                <w:highlight w:val="white"/>
              </w:rPr>
              <w:t>Korshunova</w:t>
            </w:r>
            <w:proofErr w:type="spellEnd"/>
            <w:r>
              <w:rPr>
                <w:color w:val="222222"/>
                <w:highlight w:val="white"/>
              </w:rPr>
              <w:t xml:space="preserve">, L.N. and </w:t>
            </w:r>
            <w:proofErr w:type="spellStart"/>
            <w:r>
              <w:rPr>
                <w:color w:val="222222"/>
                <w:highlight w:val="white"/>
              </w:rPr>
              <w:t>Bochkareva</w:t>
            </w:r>
            <w:proofErr w:type="spellEnd"/>
            <w:r>
              <w:rPr>
                <w:color w:val="222222"/>
                <w:highlight w:val="white"/>
              </w:rPr>
              <w:t xml:space="preserve">, N., 2019. Organizational and methodological support of corporate self-assessment procedure as a basis for sustainable business development. </w:t>
            </w:r>
            <w:r>
              <w:rPr>
                <w:i/>
                <w:color w:val="222222"/>
                <w:highlight w:val="white"/>
              </w:rPr>
              <w:t>Entrepreneurship and Sustainability Issues</w:t>
            </w:r>
            <w:r>
              <w:rPr>
                <w:color w:val="222222"/>
                <w:highlight w:val="white"/>
              </w:rPr>
              <w:t xml:space="preserve">, </w:t>
            </w:r>
            <w:r>
              <w:rPr>
                <w:i/>
                <w:color w:val="222222"/>
                <w:highlight w:val="white"/>
              </w:rPr>
              <w:t>7</w:t>
            </w:r>
            <w:r>
              <w:rPr>
                <w:color w:val="222222"/>
                <w:highlight w:val="white"/>
              </w:rPr>
              <w:t>(2), p.1136.</w:t>
            </w: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0CC97" w14:textId="77777777" w:rsidR="00FE354F" w:rsidRDefault="00FE354F">
      <w:r>
        <w:separator/>
      </w:r>
    </w:p>
  </w:endnote>
  <w:endnote w:type="continuationSeparator" w:id="0">
    <w:p w14:paraId="7E1DC986" w14:textId="77777777" w:rsidR="00FE354F" w:rsidRDefault="00FE3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EC4A4" w14:textId="77777777" w:rsidR="00FE354F" w:rsidRDefault="00FE354F">
      <w:r>
        <w:separator/>
      </w:r>
    </w:p>
  </w:footnote>
  <w:footnote w:type="continuationSeparator" w:id="0">
    <w:p w14:paraId="6A558D83" w14:textId="77777777" w:rsidR="00FE354F" w:rsidRDefault="00FE3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0EF90ECA"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50706868">
    <w:abstractNumId w:val="12"/>
  </w:num>
  <w:num w:numId="2" w16cid:durableId="1379744187">
    <w:abstractNumId w:val="4"/>
  </w:num>
  <w:num w:numId="3" w16cid:durableId="1554000882">
    <w:abstractNumId w:val="27"/>
  </w:num>
  <w:num w:numId="4" w16cid:durableId="1694762594">
    <w:abstractNumId w:val="5"/>
  </w:num>
  <w:num w:numId="5" w16cid:durableId="1006053479">
    <w:abstractNumId w:val="23"/>
  </w:num>
  <w:num w:numId="6" w16cid:durableId="1052002004">
    <w:abstractNumId w:val="6"/>
  </w:num>
  <w:num w:numId="7" w16cid:durableId="1959946874">
    <w:abstractNumId w:val="0"/>
  </w:num>
  <w:num w:numId="8" w16cid:durableId="781653515">
    <w:abstractNumId w:val="26"/>
  </w:num>
  <w:num w:numId="9" w16cid:durableId="270552555">
    <w:abstractNumId w:val="15"/>
  </w:num>
  <w:num w:numId="10" w16cid:durableId="312681882">
    <w:abstractNumId w:val="18"/>
  </w:num>
  <w:num w:numId="11" w16cid:durableId="1860579104">
    <w:abstractNumId w:val="3"/>
  </w:num>
  <w:num w:numId="12" w16cid:durableId="251279081">
    <w:abstractNumId w:val="13"/>
  </w:num>
  <w:num w:numId="13" w16cid:durableId="1678648911">
    <w:abstractNumId w:val="2"/>
  </w:num>
  <w:num w:numId="14" w16cid:durableId="45372737">
    <w:abstractNumId w:val="9"/>
  </w:num>
  <w:num w:numId="15" w16cid:durableId="52890767">
    <w:abstractNumId w:val="17"/>
  </w:num>
  <w:num w:numId="16" w16cid:durableId="50007554">
    <w:abstractNumId w:val="19"/>
  </w:num>
  <w:num w:numId="17" w16cid:durableId="484013848">
    <w:abstractNumId w:val="1"/>
  </w:num>
  <w:num w:numId="18" w16cid:durableId="30307931">
    <w:abstractNumId w:val="25"/>
  </w:num>
  <w:num w:numId="19" w16cid:durableId="967979833">
    <w:abstractNumId w:val="8"/>
  </w:num>
  <w:num w:numId="20" w16cid:durableId="1299341758">
    <w:abstractNumId w:val="20"/>
  </w:num>
  <w:num w:numId="21" w16cid:durableId="1160535998">
    <w:abstractNumId w:val="11"/>
  </w:num>
  <w:num w:numId="22" w16cid:durableId="1067535449">
    <w:abstractNumId w:val="16"/>
  </w:num>
  <w:num w:numId="23" w16cid:durableId="497431332">
    <w:abstractNumId w:val="24"/>
  </w:num>
  <w:num w:numId="24" w16cid:durableId="711341113">
    <w:abstractNumId w:val="10"/>
  </w:num>
  <w:num w:numId="25" w16cid:durableId="639380163">
    <w:abstractNumId w:val="22"/>
  </w:num>
  <w:num w:numId="26" w16cid:durableId="1332298361">
    <w:abstractNumId w:val="7"/>
  </w:num>
  <w:num w:numId="27" w16cid:durableId="606961332">
    <w:abstractNumId w:val="21"/>
  </w:num>
  <w:num w:numId="28" w16cid:durableId="20130978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C432D"/>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6124"/>
    <w:rsid w:val="003C3341"/>
    <w:rsid w:val="003C7C45"/>
    <w:rsid w:val="003E36D1"/>
    <w:rsid w:val="003E46A6"/>
    <w:rsid w:val="003F52F1"/>
    <w:rsid w:val="00414F02"/>
    <w:rsid w:val="00430F76"/>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578C"/>
    <w:rsid w:val="00517154"/>
    <w:rsid w:val="00522B05"/>
    <w:rsid w:val="00542C5B"/>
    <w:rsid w:val="00552EED"/>
    <w:rsid w:val="00566333"/>
    <w:rsid w:val="005C6352"/>
    <w:rsid w:val="005D0DDE"/>
    <w:rsid w:val="005D5D0B"/>
    <w:rsid w:val="0062012D"/>
    <w:rsid w:val="00643CB9"/>
    <w:rsid w:val="00650D13"/>
    <w:rsid w:val="0066732A"/>
    <w:rsid w:val="00677D1F"/>
    <w:rsid w:val="00697481"/>
    <w:rsid w:val="006A4F97"/>
    <w:rsid w:val="006C4640"/>
    <w:rsid w:val="006F48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34B3"/>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6354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A0E9C"/>
    <w:rsid w:val="00DD00CB"/>
    <w:rsid w:val="00DE6434"/>
    <w:rsid w:val="00E00580"/>
    <w:rsid w:val="00E26639"/>
    <w:rsid w:val="00E30C3C"/>
    <w:rsid w:val="00E33983"/>
    <w:rsid w:val="00E350EE"/>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E354F"/>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rsid w:val="0051578C"/>
    <w:pPr>
      <w:keepNext/>
      <w:keepLines/>
      <w:spacing w:line="360" w:lineRule="auto"/>
      <w:jc w:val="both"/>
      <w:outlineLvl w:val="0"/>
    </w:pPr>
    <w:rPr>
      <w:b/>
      <w:lang w:val="en-IN"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rsid w:val="0051578C"/>
    <w:rPr>
      <w:b/>
      <w:sz w:val="24"/>
      <w:szCs w:val="24"/>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1002</Words>
  <Characters>5714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Cosmin Badaca</cp:lastModifiedBy>
  <cp:revision>3</cp:revision>
  <cp:lastPrinted>2020-09-28T20:53:00Z</cp:lastPrinted>
  <dcterms:created xsi:type="dcterms:W3CDTF">2022-05-26T08:38:00Z</dcterms:created>
  <dcterms:modified xsi:type="dcterms:W3CDTF">2022-05-26T08:51:00Z</dcterms:modified>
</cp:coreProperties>
</file>