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991AB" w14:textId="132A1245" w:rsidR="00507E66" w:rsidRPr="00854CAE" w:rsidRDefault="00517ED0">
      <w:pPr>
        <w:rPr>
          <w:rFonts w:ascii="Arial" w:hAnsi="Arial" w:cs="Arial"/>
          <w:sz w:val="40"/>
          <w:szCs w:val="40"/>
        </w:rPr>
      </w:pPr>
      <w:r w:rsidRPr="00854CAE">
        <w:rPr>
          <w:rFonts w:ascii="Arial" w:hAnsi="Arial" w:cs="Arial"/>
          <w:sz w:val="40"/>
          <w:szCs w:val="40"/>
        </w:rPr>
        <w:t xml:space="preserve">Assignment Component 2 </w:t>
      </w:r>
    </w:p>
    <w:p w14:paraId="69A72F23" w14:textId="0CAFC41D" w:rsidR="00517ED0" w:rsidRPr="00854CAE" w:rsidRDefault="00517ED0">
      <w:pPr>
        <w:rPr>
          <w:rFonts w:ascii="Arial" w:hAnsi="Arial" w:cs="Arial"/>
          <w:sz w:val="40"/>
          <w:szCs w:val="40"/>
        </w:rPr>
      </w:pPr>
      <w:r w:rsidRPr="00854CAE">
        <w:rPr>
          <w:rFonts w:ascii="Arial" w:hAnsi="Arial" w:cs="Arial"/>
          <w:sz w:val="40"/>
          <w:szCs w:val="40"/>
        </w:rPr>
        <w:t>Student Name: Nosheen Akbar</w:t>
      </w:r>
    </w:p>
    <w:p w14:paraId="70DAA0CE" w14:textId="18B48D7F" w:rsidR="00517ED0" w:rsidRPr="00854CAE" w:rsidRDefault="00517ED0">
      <w:pPr>
        <w:rPr>
          <w:rFonts w:ascii="Arial" w:hAnsi="Arial" w:cs="Arial"/>
          <w:sz w:val="40"/>
          <w:szCs w:val="40"/>
        </w:rPr>
      </w:pPr>
      <w:r w:rsidRPr="00854CAE">
        <w:rPr>
          <w:rFonts w:ascii="Arial" w:hAnsi="Arial" w:cs="Arial"/>
          <w:sz w:val="40"/>
          <w:szCs w:val="40"/>
        </w:rPr>
        <w:t xml:space="preserve">Student </w:t>
      </w:r>
      <w:r w:rsidR="00EB3C5D" w:rsidRPr="00854CAE">
        <w:rPr>
          <w:rFonts w:ascii="Arial" w:hAnsi="Arial" w:cs="Arial"/>
          <w:sz w:val="40"/>
          <w:szCs w:val="40"/>
        </w:rPr>
        <w:t>Number: 2313047</w:t>
      </w:r>
    </w:p>
    <w:p w14:paraId="109F38D5" w14:textId="651FB306" w:rsidR="00EB3C5D" w:rsidRPr="00854CAE" w:rsidRDefault="00EB3C5D">
      <w:pPr>
        <w:rPr>
          <w:rFonts w:ascii="Arial" w:hAnsi="Arial" w:cs="Arial"/>
          <w:sz w:val="40"/>
          <w:szCs w:val="40"/>
        </w:rPr>
      </w:pPr>
      <w:r w:rsidRPr="00854CAE">
        <w:rPr>
          <w:rFonts w:ascii="Arial" w:hAnsi="Arial" w:cs="Arial"/>
          <w:sz w:val="40"/>
          <w:szCs w:val="40"/>
        </w:rPr>
        <w:t xml:space="preserve">Module Name: </w:t>
      </w:r>
      <w:r w:rsidR="009F5351" w:rsidRPr="00854CAE">
        <w:rPr>
          <w:rFonts w:ascii="Arial" w:hAnsi="Arial" w:cs="Arial"/>
          <w:sz w:val="40"/>
          <w:szCs w:val="40"/>
        </w:rPr>
        <w:t>Health, Wellbeing and Sustainab</w:t>
      </w:r>
      <w:r w:rsidR="008659AC" w:rsidRPr="00854CAE">
        <w:rPr>
          <w:rFonts w:ascii="Arial" w:hAnsi="Arial" w:cs="Arial"/>
          <w:sz w:val="40"/>
          <w:szCs w:val="40"/>
        </w:rPr>
        <w:t>le Development</w:t>
      </w:r>
    </w:p>
    <w:p w14:paraId="5922DC9A" w14:textId="69356F48" w:rsidR="008659AC" w:rsidRPr="00854CAE" w:rsidRDefault="008659AC">
      <w:pPr>
        <w:rPr>
          <w:rFonts w:ascii="Arial" w:hAnsi="Arial" w:cs="Arial"/>
          <w:sz w:val="40"/>
          <w:szCs w:val="40"/>
        </w:rPr>
      </w:pPr>
      <w:r w:rsidRPr="00854CAE">
        <w:rPr>
          <w:rFonts w:ascii="Arial" w:hAnsi="Arial" w:cs="Arial"/>
          <w:sz w:val="40"/>
          <w:szCs w:val="40"/>
        </w:rPr>
        <w:t>Module Code: BMHP6030</w:t>
      </w:r>
    </w:p>
    <w:p w14:paraId="57467F40" w14:textId="17B51A05" w:rsidR="008659AC" w:rsidRDefault="008659AC">
      <w:pPr>
        <w:rPr>
          <w:rFonts w:ascii="Arial" w:hAnsi="Arial" w:cs="Arial"/>
          <w:sz w:val="40"/>
          <w:szCs w:val="40"/>
        </w:rPr>
      </w:pPr>
      <w:r w:rsidRPr="00854CAE">
        <w:rPr>
          <w:rFonts w:ascii="Arial" w:hAnsi="Arial" w:cs="Arial"/>
          <w:sz w:val="40"/>
          <w:szCs w:val="40"/>
        </w:rPr>
        <w:t>Lecturer Name: Parese Ahmed</w:t>
      </w:r>
    </w:p>
    <w:p w14:paraId="4A05824F" w14:textId="77777777" w:rsidR="00854CAE" w:rsidRDefault="00854CAE">
      <w:pPr>
        <w:rPr>
          <w:rFonts w:ascii="Arial" w:hAnsi="Arial" w:cs="Arial"/>
          <w:sz w:val="40"/>
          <w:szCs w:val="40"/>
        </w:rPr>
      </w:pPr>
    </w:p>
    <w:p w14:paraId="497B2DD5" w14:textId="77777777" w:rsidR="00854CAE" w:rsidRDefault="00854CAE">
      <w:pPr>
        <w:rPr>
          <w:rFonts w:ascii="Arial" w:hAnsi="Arial" w:cs="Arial"/>
          <w:sz w:val="40"/>
          <w:szCs w:val="40"/>
        </w:rPr>
      </w:pPr>
    </w:p>
    <w:p w14:paraId="54667D70" w14:textId="77777777" w:rsidR="00854CAE" w:rsidRDefault="00854CAE">
      <w:pPr>
        <w:rPr>
          <w:rFonts w:ascii="Arial" w:hAnsi="Arial" w:cs="Arial"/>
          <w:sz w:val="40"/>
          <w:szCs w:val="40"/>
        </w:rPr>
      </w:pPr>
    </w:p>
    <w:p w14:paraId="0DAC2078" w14:textId="77777777" w:rsidR="00854CAE" w:rsidRDefault="00854CAE">
      <w:pPr>
        <w:rPr>
          <w:rFonts w:ascii="Arial" w:hAnsi="Arial" w:cs="Arial"/>
          <w:sz w:val="40"/>
          <w:szCs w:val="40"/>
        </w:rPr>
      </w:pPr>
    </w:p>
    <w:p w14:paraId="30E90EC0" w14:textId="77777777" w:rsidR="00854CAE" w:rsidRDefault="00854CAE">
      <w:pPr>
        <w:rPr>
          <w:rFonts w:ascii="Arial" w:hAnsi="Arial" w:cs="Arial"/>
          <w:sz w:val="40"/>
          <w:szCs w:val="40"/>
        </w:rPr>
      </w:pPr>
    </w:p>
    <w:p w14:paraId="0C87D20D" w14:textId="77777777" w:rsidR="00854CAE" w:rsidRDefault="00854CAE">
      <w:pPr>
        <w:rPr>
          <w:rFonts w:ascii="Arial" w:hAnsi="Arial" w:cs="Arial"/>
          <w:sz w:val="40"/>
          <w:szCs w:val="40"/>
        </w:rPr>
      </w:pPr>
    </w:p>
    <w:p w14:paraId="54DB52DB" w14:textId="77777777" w:rsidR="003E5C69" w:rsidRDefault="003E5C69">
      <w:pPr>
        <w:rPr>
          <w:rFonts w:ascii="Arial" w:hAnsi="Arial" w:cs="Arial"/>
          <w:sz w:val="40"/>
          <w:szCs w:val="40"/>
        </w:rPr>
      </w:pPr>
    </w:p>
    <w:p w14:paraId="7EF1B7C5" w14:textId="77777777" w:rsidR="003E5C69" w:rsidRDefault="003E5C69">
      <w:pPr>
        <w:rPr>
          <w:rFonts w:ascii="Arial" w:hAnsi="Arial" w:cs="Arial"/>
          <w:sz w:val="40"/>
          <w:szCs w:val="40"/>
        </w:rPr>
      </w:pPr>
    </w:p>
    <w:p w14:paraId="72F64F09" w14:textId="77777777" w:rsidR="003E5C69" w:rsidRDefault="003E5C69">
      <w:pPr>
        <w:rPr>
          <w:rFonts w:ascii="Arial" w:hAnsi="Arial" w:cs="Arial"/>
          <w:sz w:val="40"/>
          <w:szCs w:val="40"/>
        </w:rPr>
      </w:pPr>
    </w:p>
    <w:p w14:paraId="19349E78" w14:textId="77777777" w:rsidR="003E5C69" w:rsidRDefault="003E5C69">
      <w:pPr>
        <w:rPr>
          <w:rFonts w:ascii="Arial" w:hAnsi="Arial" w:cs="Arial"/>
          <w:sz w:val="40"/>
          <w:szCs w:val="40"/>
        </w:rPr>
      </w:pPr>
    </w:p>
    <w:p w14:paraId="08E89C6C" w14:textId="77777777" w:rsidR="003E5C69" w:rsidRDefault="003E5C69">
      <w:pPr>
        <w:rPr>
          <w:rFonts w:ascii="Arial" w:hAnsi="Arial" w:cs="Arial"/>
          <w:sz w:val="40"/>
          <w:szCs w:val="40"/>
        </w:rPr>
      </w:pPr>
    </w:p>
    <w:p w14:paraId="5A2F02BD" w14:textId="77777777" w:rsidR="003E5C69" w:rsidRDefault="003E5C69">
      <w:pPr>
        <w:rPr>
          <w:rFonts w:ascii="Arial" w:hAnsi="Arial" w:cs="Arial"/>
          <w:sz w:val="40"/>
          <w:szCs w:val="40"/>
        </w:rPr>
      </w:pPr>
    </w:p>
    <w:p w14:paraId="193E744F" w14:textId="77777777" w:rsidR="003E5C69" w:rsidRDefault="003E5C69">
      <w:pPr>
        <w:rPr>
          <w:rFonts w:ascii="Arial" w:hAnsi="Arial" w:cs="Arial"/>
          <w:sz w:val="40"/>
          <w:szCs w:val="40"/>
        </w:rPr>
      </w:pPr>
    </w:p>
    <w:p w14:paraId="140C64A8" w14:textId="77777777" w:rsidR="003E5C69" w:rsidRDefault="003E5C69">
      <w:pPr>
        <w:rPr>
          <w:rFonts w:ascii="Arial" w:hAnsi="Arial" w:cs="Arial"/>
          <w:sz w:val="40"/>
          <w:szCs w:val="40"/>
        </w:rPr>
      </w:pPr>
    </w:p>
    <w:p w14:paraId="18439ECC" w14:textId="77777777" w:rsidR="003E5C69" w:rsidRDefault="003E5C69">
      <w:pPr>
        <w:rPr>
          <w:rFonts w:ascii="Arial" w:hAnsi="Arial" w:cs="Arial"/>
          <w:sz w:val="40"/>
          <w:szCs w:val="40"/>
        </w:rPr>
      </w:pPr>
    </w:p>
    <w:sdt>
      <w:sdtPr>
        <w:rPr>
          <w:b/>
          <w:bCs/>
          <w:color w:val="auto"/>
        </w:rPr>
        <w:id w:val="1295798733"/>
        <w:docPartObj>
          <w:docPartGallery w:val="Table of Contents"/>
          <w:docPartUnique/>
        </w:docPartObj>
      </w:sdtPr>
      <w:sdtEndPr>
        <w:rPr>
          <w:rFonts w:asciiTheme="minorHAnsi" w:eastAsiaTheme="minorHAnsi" w:hAnsiTheme="minorHAnsi" w:cstheme="minorBidi"/>
          <w:kern w:val="2"/>
          <w:sz w:val="22"/>
          <w:szCs w:val="22"/>
          <w:lang w:eastAsia="en-US"/>
          <w14:ligatures w14:val="standardContextual"/>
        </w:rPr>
      </w:sdtEndPr>
      <w:sdtContent>
        <w:p w14:paraId="1C489AF8" w14:textId="13AB1DAF" w:rsidR="002C1EAD" w:rsidRPr="00CD3C58" w:rsidRDefault="002C1EAD" w:rsidP="00CD3C58">
          <w:pPr>
            <w:pStyle w:val="TOCHeading"/>
            <w:spacing w:line="360" w:lineRule="auto"/>
            <w:rPr>
              <w:rFonts w:ascii="Arial" w:hAnsi="Arial" w:cs="Arial"/>
              <w:b/>
              <w:bCs/>
              <w:color w:val="auto"/>
              <w:sz w:val="22"/>
              <w:szCs w:val="22"/>
            </w:rPr>
          </w:pPr>
          <w:r w:rsidRPr="00CD3C58">
            <w:rPr>
              <w:rFonts w:ascii="Arial" w:hAnsi="Arial" w:cs="Arial"/>
              <w:b/>
              <w:bCs/>
              <w:color w:val="auto"/>
              <w:sz w:val="22"/>
              <w:szCs w:val="22"/>
            </w:rPr>
            <w:t>Contents</w:t>
          </w:r>
        </w:p>
        <w:p w14:paraId="5C45FF8D" w14:textId="559EC83B" w:rsidR="00CD3C58" w:rsidRPr="00CD3C58" w:rsidRDefault="002C1EAD" w:rsidP="00CD3C58">
          <w:pPr>
            <w:pStyle w:val="TOC1"/>
            <w:tabs>
              <w:tab w:val="right" w:leader="dot" w:pos="9016"/>
            </w:tabs>
            <w:spacing w:line="360" w:lineRule="auto"/>
            <w:rPr>
              <w:rFonts w:ascii="Arial" w:eastAsiaTheme="minorEastAsia" w:hAnsi="Arial" w:cs="Arial"/>
              <w:b/>
              <w:bCs/>
              <w:noProof/>
              <w:sz w:val="24"/>
              <w:szCs w:val="24"/>
              <w:lang w:eastAsia="en-GB"/>
            </w:rPr>
          </w:pPr>
          <w:r w:rsidRPr="00CD3C58">
            <w:rPr>
              <w:rFonts w:ascii="Arial" w:hAnsi="Arial" w:cs="Arial"/>
              <w:b/>
              <w:bCs/>
            </w:rPr>
            <w:fldChar w:fldCharType="begin"/>
          </w:r>
          <w:r w:rsidRPr="00CD3C58">
            <w:rPr>
              <w:rFonts w:ascii="Arial" w:hAnsi="Arial" w:cs="Arial"/>
              <w:b/>
              <w:bCs/>
            </w:rPr>
            <w:instrText xml:space="preserve"> TOC \o "1-3" \h \z \u </w:instrText>
          </w:r>
          <w:r w:rsidRPr="00CD3C58">
            <w:rPr>
              <w:rFonts w:ascii="Arial" w:hAnsi="Arial" w:cs="Arial"/>
              <w:b/>
              <w:bCs/>
            </w:rPr>
            <w:fldChar w:fldCharType="separate"/>
          </w:r>
          <w:hyperlink w:anchor="_Toc234963233" w:history="1">
            <w:r w:rsidR="00CD3C58" w:rsidRPr="00CD3C58">
              <w:rPr>
                <w:rStyle w:val="Hyperlink"/>
                <w:rFonts w:ascii="Arial" w:hAnsi="Arial" w:cs="Arial"/>
                <w:b/>
                <w:bCs/>
                <w:noProof/>
                <w:color w:val="auto"/>
              </w:rPr>
              <w:t>SECTION 1: SDG 3 – GOOD HEALTH AND WELLBEING</w:t>
            </w:r>
            <w:r w:rsidR="00CD3C58" w:rsidRPr="00CD3C58">
              <w:rPr>
                <w:rFonts w:ascii="Arial" w:hAnsi="Arial" w:cs="Arial"/>
                <w:b/>
                <w:bCs/>
                <w:noProof/>
                <w:webHidden/>
              </w:rPr>
              <w:tab/>
            </w:r>
            <w:r w:rsidR="00CD3C58" w:rsidRPr="00CD3C58">
              <w:rPr>
                <w:rFonts w:ascii="Arial" w:hAnsi="Arial" w:cs="Arial"/>
                <w:b/>
                <w:bCs/>
                <w:noProof/>
                <w:webHidden/>
              </w:rPr>
              <w:fldChar w:fldCharType="begin"/>
            </w:r>
            <w:r w:rsidR="00CD3C58" w:rsidRPr="00CD3C58">
              <w:rPr>
                <w:rFonts w:ascii="Arial" w:hAnsi="Arial" w:cs="Arial"/>
                <w:b/>
                <w:bCs/>
                <w:noProof/>
                <w:webHidden/>
              </w:rPr>
              <w:instrText xml:space="preserve"> PAGEREF _Toc234963233 \h </w:instrText>
            </w:r>
            <w:r w:rsidR="00CD3C58" w:rsidRPr="00CD3C58">
              <w:rPr>
                <w:rFonts w:ascii="Arial" w:hAnsi="Arial" w:cs="Arial"/>
                <w:b/>
                <w:bCs/>
                <w:noProof/>
                <w:webHidden/>
              </w:rPr>
            </w:r>
            <w:r w:rsidR="00CD3C58" w:rsidRPr="00CD3C58">
              <w:rPr>
                <w:rFonts w:ascii="Arial" w:hAnsi="Arial" w:cs="Arial"/>
                <w:b/>
                <w:bCs/>
                <w:noProof/>
                <w:webHidden/>
              </w:rPr>
              <w:fldChar w:fldCharType="separate"/>
            </w:r>
            <w:r w:rsidR="00CD3C58" w:rsidRPr="00CD3C58">
              <w:rPr>
                <w:rFonts w:ascii="Arial" w:hAnsi="Arial" w:cs="Arial"/>
                <w:b/>
                <w:bCs/>
                <w:noProof/>
                <w:webHidden/>
              </w:rPr>
              <w:t>3</w:t>
            </w:r>
            <w:r w:rsidR="00CD3C58" w:rsidRPr="00CD3C58">
              <w:rPr>
                <w:rFonts w:ascii="Arial" w:hAnsi="Arial" w:cs="Arial"/>
                <w:b/>
                <w:bCs/>
                <w:noProof/>
                <w:webHidden/>
              </w:rPr>
              <w:fldChar w:fldCharType="end"/>
            </w:r>
          </w:hyperlink>
        </w:p>
        <w:p w14:paraId="0469A0B0" w14:textId="5601BF0F"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4" w:history="1">
            <w:r w:rsidRPr="00CD3C58">
              <w:rPr>
                <w:rStyle w:val="Hyperlink"/>
                <w:rFonts w:ascii="Arial" w:hAnsi="Arial" w:cs="Arial"/>
                <w:b/>
                <w:bCs/>
                <w:noProof/>
                <w:color w:val="auto"/>
              </w:rPr>
              <w:t>Global Policies and Initiatives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_Toc234963234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3</w:t>
            </w:r>
            <w:r w:rsidRPr="00CD3C58">
              <w:rPr>
                <w:rFonts w:ascii="Arial" w:hAnsi="Arial" w:cs="Arial"/>
                <w:b/>
                <w:bCs/>
                <w:noProof/>
                <w:webHidden/>
              </w:rPr>
              <w:fldChar w:fldCharType="end"/>
            </w:r>
          </w:hyperlink>
        </w:p>
        <w:p w14:paraId="634638F5" w14:textId="7E83E1DF"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5" w:history="1">
            <w:r w:rsidRPr="00CD3C58">
              <w:rPr>
                <w:rStyle w:val="Hyperlink"/>
                <w:rFonts w:ascii="Arial" w:hAnsi="Arial" w:cs="Arial"/>
                <w:b/>
                <w:bCs/>
                <w:noProof/>
                <w:color w:val="auto"/>
              </w:rPr>
              <w:t>National Policies: United Kingdom</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_Toc234963235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4</w:t>
            </w:r>
            <w:r w:rsidRPr="00CD3C58">
              <w:rPr>
                <w:rFonts w:ascii="Arial" w:hAnsi="Arial" w:cs="Arial"/>
                <w:b/>
                <w:bCs/>
                <w:noProof/>
                <w:webHidden/>
              </w:rPr>
              <w:fldChar w:fldCharType="end"/>
            </w:r>
          </w:hyperlink>
        </w:p>
        <w:p w14:paraId="1803F19D" w14:textId="70CA344F"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6" w:history="1">
            <w:r w:rsidRPr="00CD3C58">
              <w:rPr>
                <w:rStyle w:val="Hyperlink"/>
                <w:rFonts w:ascii="Arial" w:hAnsi="Arial" w:cs="Arial"/>
                <w:b/>
                <w:bCs/>
                <w:noProof/>
                <w:color w:val="auto"/>
              </w:rPr>
              <w:t>Local Policies: Solihull</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_Toc234963236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4</w:t>
            </w:r>
            <w:r w:rsidRPr="00CD3C58">
              <w:rPr>
                <w:rFonts w:ascii="Arial" w:hAnsi="Arial" w:cs="Arial"/>
                <w:b/>
                <w:bCs/>
                <w:noProof/>
                <w:webHidden/>
              </w:rPr>
              <w:fldChar w:fldCharType="end"/>
            </w:r>
          </w:hyperlink>
        </w:p>
        <w:p w14:paraId="6A58C902" w14:textId="42F84615"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7" w:history="1">
            <w:r w:rsidRPr="00CD3C58">
              <w:rPr>
                <w:rStyle w:val="Hyperlink"/>
                <w:rFonts w:ascii="Arial" w:hAnsi="Arial" w:cs="Arial"/>
                <w:b/>
                <w:bCs/>
                <w:noProof/>
                <w:color w:val="auto"/>
              </w:rPr>
              <w:t>Use of Theories and Models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_Toc234963237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5</w:t>
            </w:r>
            <w:r w:rsidRPr="00CD3C58">
              <w:rPr>
                <w:rFonts w:ascii="Arial" w:hAnsi="Arial" w:cs="Arial"/>
                <w:b/>
                <w:bCs/>
                <w:noProof/>
                <w:webHidden/>
              </w:rPr>
              <w:fldChar w:fldCharType="end"/>
            </w:r>
          </w:hyperlink>
        </w:p>
        <w:p w14:paraId="6B243BAC" w14:textId="67BC24EA"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8" w:history="1">
            <w:r w:rsidRPr="00CD3C58">
              <w:rPr>
                <w:rStyle w:val="Hyperlink"/>
                <w:rFonts w:ascii="Arial" w:hAnsi="Arial" w:cs="Arial"/>
                <w:b/>
                <w:bCs/>
                <w:noProof/>
                <w:color w:val="auto"/>
              </w:rPr>
              <w:t>Challenges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_Toc234963238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5</w:t>
            </w:r>
            <w:r w:rsidRPr="00CD3C58">
              <w:rPr>
                <w:rFonts w:ascii="Arial" w:hAnsi="Arial" w:cs="Arial"/>
                <w:b/>
                <w:bCs/>
                <w:noProof/>
                <w:webHidden/>
              </w:rPr>
              <w:fldChar w:fldCharType="end"/>
            </w:r>
          </w:hyperlink>
        </w:p>
        <w:p w14:paraId="68122F8A" w14:textId="502FDEE3"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39" w:history="1">
            <w:r w:rsidRPr="00CD3C58">
              <w:rPr>
                <w:rStyle w:val="Hyperlink"/>
                <w:rFonts w:ascii="Arial" w:hAnsi="Arial" w:cs="Arial"/>
                <w:b/>
                <w:bCs/>
                <w:noProof/>
                <w:color w:val="auto"/>
              </w:rPr>
              <w:t>SDG 3 – Recommendations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_Toc234963239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6</w:t>
            </w:r>
            <w:r w:rsidRPr="00CD3C58">
              <w:rPr>
                <w:rFonts w:ascii="Arial" w:hAnsi="Arial" w:cs="Arial"/>
                <w:b/>
                <w:bCs/>
                <w:noProof/>
                <w:webHidden/>
              </w:rPr>
              <w:fldChar w:fldCharType="end"/>
            </w:r>
          </w:hyperlink>
        </w:p>
        <w:p w14:paraId="1CB6BD4B" w14:textId="60CA7C45" w:rsidR="00CD3C58" w:rsidRPr="00CD3C58" w:rsidRDefault="00CD3C58" w:rsidP="00CD3C58">
          <w:pPr>
            <w:pStyle w:val="TOC1"/>
            <w:tabs>
              <w:tab w:val="right" w:leader="dot" w:pos="9016"/>
            </w:tabs>
            <w:spacing w:line="360" w:lineRule="auto"/>
            <w:rPr>
              <w:rFonts w:ascii="Arial" w:eastAsiaTheme="minorEastAsia" w:hAnsi="Arial" w:cs="Arial"/>
              <w:b/>
              <w:bCs/>
              <w:noProof/>
              <w:sz w:val="24"/>
              <w:szCs w:val="24"/>
              <w:lang w:eastAsia="en-GB"/>
            </w:rPr>
          </w:pPr>
          <w:hyperlink w:anchor="_Toc234963240" w:history="1">
            <w:r w:rsidRPr="00CD3C58">
              <w:rPr>
                <w:rStyle w:val="Hyperlink"/>
                <w:rFonts w:ascii="Arial" w:hAnsi="Arial" w:cs="Arial"/>
                <w:b/>
                <w:bCs/>
                <w:noProof/>
                <w:color w:val="auto"/>
              </w:rPr>
              <w:t>SECTION 2: SDG 13 – CLIMATE ACTION</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_Toc234963240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6</w:t>
            </w:r>
            <w:r w:rsidRPr="00CD3C58">
              <w:rPr>
                <w:rFonts w:ascii="Arial" w:hAnsi="Arial" w:cs="Arial"/>
                <w:b/>
                <w:bCs/>
                <w:noProof/>
                <w:webHidden/>
              </w:rPr>
              <w:fldChar w:fldCharType="end"/>
            </w:r>
          </w:hyperlink>
        </w:p>
        <w:p w14:paraId="298898E6" w14:textId="67C71979"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1" w:history="1">
            <w:r w:rsidRPr="00CD3C58">
              <w:rPr>
                <w:rStyle w:val="Hyperlink"/>
                <w:rFonts w:ascii="Arial" w:hAnsi="Arial" w:cs="Arial"/>
                <w:b/>
                <w:bCs/>
                <w:noProof/>
                <w:color w:val="auto"/>
              </w:rPr>
              <w:t>Global Policies and Initiatives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_Toc234963241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6</w:t>
            </w:r>
            <w:r w:rsidRPr="00CD3C58">
              <w:rPr>
                <w:rFonts w:ascii="Arial" w:hAnsi="Arial" w:cs="Arial"/>
                <w:b/>
                <w:bCs/>
                <w:noProof/>
                <w:webHidden/>
              </w:rPr>
              <w:fldChar w:fldCharType="end"/>
            </w:r>
          </w:hyperlink>
        </w:p>
        <w:p w14:paraId="785E814C" w14:textId="308FBB99"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2" w:history="1">
            <w:r w:rsidRPr="00CD3C58">
              <w:rPr>
                <w:rStyle w:val="Hyperlink"/>
                <w:rFonts w:ascii="Arial" w:hAnsi="Arial" w:cs="Arial"/>
                <w:b/>
                <w:bCs/>
                <w:noProof/>
                <w:color w:val="auto"/>
              </w:rPr>
              <w:t>National Policies: United Kingdom</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_Toc234963242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7</w:t>
            </w:r>
            <w:r w:rsidRPr="00CD3C58">
              <w:rPr>
                <w:rFonts w:ascii="Arial" w:hAnsi="Arial" w:cs="Arial"/>
                <w:b/>
                <w:bCs/>
                <w:noProof/>
                <w:webHidden/>
              </w:rPr>
              <w:fldChar w:fldCharType="end"/>
            </w:r>
          </w:hyperlink>
        </w:p>
        <w:p w14:paraId="5C934754" w14:textId="08FC8581"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3" w:history="1">
            <w:r w:rsidRPr="00CD3C58">
              <w:rPr>
                <w:rStyle w:val="Hyperlink"/>
                <w:rFonts w:ascii="Arial" w:hAnsi="Arial" w:cs="Arial"/>
                <w:b/>
                <w:bCs/>
                <w:noProof/>
                <w:color w:val="auto"/>
              </w:rPr>
              <w:t>Local Policies: Solihull</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_Toc234963243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7</w:t>
            </w:r>
            <w:r w:rsidRPr="00CD3C58">
              <w:rPr>
                <w:rFonts w:ascii="Arial" w:hAnsi="Arial" w:cs="Arial"/>
                <w:b/>
                <w:bCs/>
                <w:noProof/>
                <w:webHidden/>
              </w:rPr>
              <w:fldChar w:fldCharType="end"/>
            </w:r>
          </w:hyperlink>
        </w:p>
        <w:p w14:paraId="19245223" w14:textId="7111315E"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4" w:history="1">
            <w:r w:rsidRPr="00CD3C58">
              <w:rPr>
                <w:rStyle w:val="Hyperlink"/>
                <w:rFonts w:ascii="Arial" w:hAnsi="Arial" w:cs="Arial"/>
                <w:b/>
                <w:bCs/>
                <w:noProof/>
                <w:color w:val="auto"/>
              </w:rPr>
              <w:t>Use of Theories and Models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_Toc234963244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7</w:t>
            </w:r>
            <w:r w:rsidRPr="00CD3C58">
              <w:rPr>
                <w:rFonts w:ascii="Arial" w:hAnsi="Arial" w:cs="Arial"/>
                <w:b/>
                <w:bCs/>
                <w:noProof/>
                <w:webHidden/>
              </w:rPr>
              <w:fldChar w:fldCharType="end"/>
            </w:r>
          </w:hyperlink>
        </w:p>
        <w:p w14:paraId="216FBC6B" w14:textId="7BF0D2C2"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5" w:history="1">
            <w:r w:rsidRPr="00CD3C58">
              <w:rPr>
                <w:rStyle w:val="Hyperlink"/>
                <w:rFonts w:ascii="Arial" w:hAnsi="Arial" w:cs="Arial"/>
                <w:b/>
                <w:bCs/>
                <w:noProof/>
                <w:color w:val="auto"/>
              </w:rPr>
              <w:t>Evaluation of SDG13 and Recommendations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_Toc234963245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8</w:t>
            </w:r>
            <w:r w:rsidRPr="00CD3C58">
              <w:rPr>
                <w:rFonts w:ascii="Arial" w:hAnsi="Arial" w:cs="Arial"/>
                <w:b/>
                <w:bCs/>
                <w:noProof/>
                <w:webHidden/>
              </w:rPr>
              <w:fldChar w:fldCharType="end"/>
            </w:r>
          </w:hyperlink>
        </w:p>
        <w:p w14:paraId="569C1515" w14:textId="7F770555"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6" w:history="1">
            <w:r w:rsidRPr="00CD3C58">
              <w:rPr>
                <w:rStyle w:val="Hyperlink"/>
                <w:rFonts w:ascii="Arial" w:hAnsi="Arial" w:cs="Arial"/>
                <w:b/>
                <w:bCs/>
                <w:noProof/>
                <w:color w:val="auto"/>
              </w:rPr>
              <w:t>Global Evaluation</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_Toc234963246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8</w:t>
            </w:r>
            <w:r w:rsidRPr="00CD3C58">
              <w:rPr>
                <w:rFonts w:ascii="Arial" w:hAnsi="Arial" w:cs="Arial"/>
                <w:b/>
                <w:bCs/>
                <w:noProof/>
                <w:webHidden/>
              </w:rPr>
              <w:fldChar w:fldCharType="end"/>
            </w:r>
          </w:hyperlink>
        </w:p>
        <w:p w14:paraId="3CE1BA05" w14:textId="74DA9F18"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7" w:history="1">
            <w:r w:rsidRPr="00CD3C58">
              <w:rPr>
                <w:rStyle w:val="Hyperlink"/>
                <w:rFonts w:ascii="Arial" w:hAnsi="Arial" w:cs="Arial"/>
                <w:b/>
                <w:bCs/>
                <w:noProof/>
                <w:color w:val="auto"/>
              </w:rPr>
              <w:t>Use of Theories and Models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_Toc234963247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8</w:t>
            </w:r>
            <w:r w:rsidRPr="00CD3C58">
              <w:rPr>
                <w:rFonts w:ascii="Arial" w:hAnsi="Arial" w:cs="Arial"/>
                <w:b/>
                <w:bCs/>
                <w:noProof/>
                <w:webHidden/>
              </w:rPr>
              <w:fldChar w:fldCharType="end"/>
            </w:r>
          </w:hyperlink>
        </w:p>
        <w:p w14:paraId="3AAA212B" w14:textId="2B870473"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8" w:history="1">
            <w:r w:rsidRPr="00CD3C58">
              <w:rPr>
                <w:rStyle w:val="Hyperlink"/>
                <w:rFonts w:ascii="Arial" w:hAnsi="Arial" w:cs="Arial"/>
                <w:b/>
                <w:bCs/>
                <w:noProof/>
                <w:color w:val="auto"/>
              </w:rPr>
              <w:t>Local Evaluation (Solihull)</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_Toc234963248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9</w:t>
            </w:r>
            <w:r w:rsidRPr="00CD3C58">
              <w:rPr>
                <w:rFonts w:ascii="Arial" w:hAnsi="Arial" w:cs="Arial"/>
                <w:b/>
                <w:bCs/>
                <w:noProof/>
                <w:webHidden/>
              </w:rPr>
              <w:fldChar w:fldCharType="end"/>
            </w:r>
          </w:hyperlink>
        </w:p>
        <w:p w14:paraId="2BC72FCF" w14:textId="42268695" w:rsidR="00CD3C58" w:rsidRPr="00CD3C58" w:rsidRDefault="00CD3C58" w:rsidP="00CD3C58">
          <w:pPr>
            <w:pStyle w:val="TOC2"/>
            <w:tabs>
              <w:tab w:val="right" w:leader="dot" w:pos="9016"/>
            </w:tabs>
            <w:spacing w:line="360" w:lineRule="auto"/>
            <w:rPr>
              <w:rFonts w:ascii="Arial" w:eastAsiaTheme="minorEastAsia" w:hAnsi="Arial" w:cs="Arial"/>
              <w:b/>
              <w:bCs/>
              <w:noProof/>
              <w:sz w:val="24"/>
              <w:szCs w:val="24"/>
              <w:lang w:eastAsia="en-GB"/>
            </w:rPr>
          </w:pPr>
          <w:hyperlink w:anchor="_Toc234963249" w:history="1">
            <w:r w:rsidRPr="00CD3C58">
              <w:rPr>
                <w:rStyle w:val="Hyperlink"/>
                <w:rFonts w:ascii="Arial" w:hAnsi="Arial" w:cs="Arial"/>
                <w:b/>
                <w:bCs/>
                <w:noProof/>
                <w:color w:val="auto"/>
              </w:rPr>
              <w:t>Recommendations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_Toc234963249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9</w:t>
            </w:r>
            <w:r w:rsidRPr="00CD3C58">
              <w:rPr>
                <w:rFonts w:ascii="Arial" w:hAnsi="Arial" w:cs="Arial"/>
                <w:b/>
                <w:bCs/>
                <w:noProof/>
                <w:webHidden/>
              </w:rPr>
              <w:fldChar w:fldCharType="end"/>
            </w:r>
          </w:hyperlink>
        </w:p>
        <w:p w14:paraId="1381F317" w14:textId="0CA07614" w:rsidR="00CD3C58" w:rsidRPr="00CD3C58" w:rsidRDefault="00CD3C58" w:rsidP="00CD3C58">
          <w:pPr>
            <w:pStyle w:val="TOC1"/>
            <w:tabs>
              <w:tab w:val="right" w:leader="dot" w:pos="9016"/>
            </w:tabs>
            <w:spacing w:line="360" w:lineRule="auto"/>
            <w:rPr>
              <w:rFonts w:ascii="Arial" w:eastAsiaTheme="minorEastAsia" w:hAnsi="Arial" w:cs="Arial"/>
              <w:b/>
              <w:bCs/>
              <w:noProof/>
              <w:sz w:val="24"/>
              <w:szCs w:val="24"/>
              <w:lang w:eastAsia="en-GB"/>
            </w:rPr>
          </w:pPr>
          <w:hyperlink w:anchor="_Toc234963250" w:history="1">
            <w:r w:rsidRPr="00CD3C58">
              <w:rPr>
                <w:rStyle w:val="Hyperlink"/>
                <w:rFonts w:ascii="Arial" w:hAnsi="Arial" w:cs="Arial"/>
                <w:b/>
                <w:bCs/>
                <w:noProof/>
                <w:color w:val="auto"/>
              </w:rPr>
              <w:t>CONCLUSION</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_Toc234963250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10</w:t>
            </w:r>
            <w:r w:rsidRPr="00CD3C58">
              <w:rPr>
                <w:rFonts w:ascii="Arial" w:hAnsi="Arial" w:cs="Arial"/>
                <w:b/>
                <w:bCs/>
                <w:noProof/>
                <w:webHidden/>
              </w:rPr>
              <w:fldChar w:fldCharType="end"/>
            </w:r>
          </w:hyperlink>
        </w:p>
        <w:p w14:paraId="7B57797E" w14:textId="2E3E67E3" w:rsidR="00CD3C58" w:rsidRPr="00CD3C58" w:rsidRDefault="00CD3C58" w:rsidP="00CD3C58">
          <w:pPr>
            <w:pStyle w:val="TOC1"/>
            <w:tabs>
              <w:tab w:val="right" w:leader="dot" w:pos="9016"/>
            </w:tabs>
            <w:spacing w:line="360" w:lineRule="auto"/>
            <w:rPr>
              <w:rFonts w:ascii="Arial" w:eastAsiaTheme="minorEastAsia" w:hAnsi="Arial" w:cs="Arial"/>
              <w:b/>
              <w:bCs/>
              <w:noProof/>
              <w:sz w:val="24"/>
              <w:szCs w:val="24"/>
              <w:lang w:eastAsia="en-GB"/>
            </w:rPr>
          </w:pPr>
          <w:hyperlink w:anchor="_Toc234963251" w:history="1">
            <w:r w:rsidRPr="00CD3C58">
              <w:rPr>
                <w:rStyle w:val="Hyperlink"/>
                <w:rFonts w:ascii="Arial" w:hAnsi="Arial" w:cs="Arial"/>
                <w:b/>
                <w:bCs/>
                <w:noProof/>
                <w:color w:val="auto"/>
              </w:rPr>
              <w:t>REFERENCES</w:t>
            </w:r>
            <w:r w:rsidRPr="00CD3C58">
              <w:rPr>
                <w:rFonts w:ascii="Arial" w:hAnsi="Arial" w:cs="Arial"/>
                <w:b/>
                <w:bCs/>
                <w:noProof/>
                <w:webHidden/>
              </w:rPr>
              <w:tab/>
            </w:r>
            <w:r w:rsidRPr="00CD3C58">
              <w:rPr>
                <w:rFonts w:ascii="Arial" w:hAnsi="Arial" w:cs="Arial"/>
                <w:b/>
                <w:bCs/>
                <w:noProof/>
                <w:webHidden/>
              </w:rPr>
              <w:fldChar w:fldCharType="begin"/>
            </w:r>
            <w:r w:rsidRPr="00CD3C58">
              <w:rPr>
                <w:rFonts w:ascii="Arial" w:hAnsi="Arial" w:cs="Arial"/>
                <w:b/>
                <w:bCs/>
                <w:noProof/>
                <w:webHidden/>
              </w:rPr>
              <w:instrText xml:space="preserve"> PAGEREF _Toc234963251 \h </w:instrText>
            </w:r>
            <w:r w:rsidRPr="00CD3C58">
              <w:rPr>
                <w:rFonts w:ascii="Arial" w:hAnsi="Arial" w:cs="Arial"/>
                <w:b/>
                <w:bCs/>
                <w:noProof/>
                <w:webHidden/>
              </w:rPr>
            </w:r>
            <w:r w:rsidRPr="00CD3C58">
              <w:rPr>
                <w:rFonts w:ascii="Arial" w:hAnsi="Arial" w:cs="Arial"/>
                <w:b/>
                <w:bCs/>
                <w:noProof/>
                <w:webHidden/>
              </w:rPr>
              <w:fldChar w:fldCharType="separate"/>
            </w:r>
            <w:r w:rsidRPr="00CD3C58">
              <w:rPr>
                <w:rFonts w:ascii="Arial" w:hAnsi="Arial" w:cs="Arial"/>
                <w:b/>
                <w:bCs/>
                <w:noProof/>
                <w:webHidden/>
              </w:rPr>
              <w:t>11</w:t>
            </w:r>
            <w:r w:rsidRPr="00CD3C58">
              <w:rPr>
                <w:rFonts w:ascii="Arial" w:hAnsi="Arial" w:cs="Arial"/>
                <w:b/>
                <w:bCs/>
                <w:noProof/>
                <w:webHidden/>
              </w:rPr>
              <w:fldChar w:fldCharType="end"/>
            </w:r>
          </w:hyperlink>
        </w:p>
        <w:p w14:paraId="286DD989" w14:textId="65DCC331" w:rsidR="002C1EAD" w:rsidRDefault="002C1EAD" w:rsidP="00CD3C58">
          <w:pPr>
            <w:spacing w:line="360" w:lineRule="auto"/>
          </w:pPr>
          <w:r w:rsidRPr="00CD3C58">
            <w:rPr>
              <w:rFonts w:ascii="Arial" w:hAnsi="Arial" w:cs="Arial"/>
              <w:b/>
              <w:bCs/>
            </w:rPr>
            <w:fldChar w:fldCharType="end"/>
          </w:r>
        </w:p>
      </w:sdtContent>
    </w:sdt>
    <w:p w14:paraId="408BAE87" w14:textId="77777777" w:rsidR="003E5C69" w:rsidRDefault="003E5C69">
      <w:pPr>
        <w:rPr>
          <w:rFonts w:ascii="Arial" w:hAnsi="Arial" w:cs="Arial"/>
          <w:sz w:val="40"/>
          <w:szCs w:val="40"/>
        </w:rPr>
      </w:pPr>
    </w:p>
    <w:p w14:paraId="7D0AA041" w14:textId="77777777" w:rsidR="003E5C69" w:rsidRDefault="003E5C69">
      <w:pPr>
        <w:rPr>
          <w:rFonts w:ascii="Arial" w:hAnsi="Arial" w:cs="Arial"/>
          <w:sz w:val="40"/>
          <w:szCs w:val="40"/>
        </w:rPr>
      </w:pPr>
    </w:p>
    <w:p w14:paraId="38112B61" w14:textId="77777777" w:rsidR="003E5C69" w:rsidRDefault="003E5C69">
      <w:pPr>
        <w:rPr>
          <w:rFonts w:ascii="Arial" w:hAnsi="Arial" w:cs="Arial"/>
          <w:sz w:val="40"/>
          <w:szCs w:val="40"/>
        </w:rPr>
      </w:pPr>
    </w:p>
    <w:p w14:paraId="37E72DC6" w14:textId="77777777" w:rsidR="00854CAE" w:rsidRDefault="00854CAE">
      <w:pPr>
        <w:rPr>
          <w:rFonts w:ascii="Arial" w:hAnsi="Arial" w:cs="Arial"/>
          <w:sz w:val="40"/>
          <w:szCs w:val="40"/>
        </w:rPr>
      </w:pPr>
    </w:p>
    <w:p w14:paraId="2CD129AA" w14:textId="77777777" w:rsidR="00CD3C58" w:rsidRDefault="00CD3C58">
      <w:pPr>
        <w:rPr>
          <w:rFonts w:ascii="Arial" w:hAnsi="Arial" w:cs="Arial"/>
          <w:sz w:val="40"/>
          <w:szCs w:val="40"/>
        </w:rPr>
      </w:pPr>
    </w:p>
    <w:p w14:paraId="6E0D321D" w14:textId="77777777" w:rsidR="00854CAE" w:rsidRPr="00854CAE" w:rsidRDefault="00854CAE">
      <w:pPr>
        <w:rPr>
          <w:rFonts w:ascii="Arial" w:hAnsi="Arial" w:cs="Arial"/>
        </w:rPr>
      </w:pPr>
    </w:p>
    <w:p w14:paraId="765C6EF5" w14:textId="1A58B121" w:rsidR="00854CAE" w:rsidRPr="00C64750" w:rsidRDefault="00854CAE" w:rsidP="00C64750">
      <w:pPr>
        <w:spacing w:line="360" w:lineRule="auto"/>
        <w:rPr>
          <w:rFonts w:ascii="Arial" w:hAnsi="Arial" w:cs="Arial"/>
          <w:b/>
          <w:bCs/>
        </w:rPr>
      </w:pPr>
      <w:r w:rsidRPr="00C64750">
        <w:rPr>
          <w:rFonts w:ascii="Arial" w:hAnsi="Arial" w:cs="Arial"/>
          <w:b/>
          <w:bCs/>
        </w:rPr>
        <w:t>I</w:t>
      </w:r>
      <w:r w:rsidR="00C64750">
        <w:rPr>
          <w:rFonts w:ascii="Arial" w:hAnsi="Arial" w:cs="Arial"/>
          <w:b/>
          <w:bCs/>
        </w:rPr>
        <w:t>NTRODUCTION</w:t>
      </w:r>
    </w:p>
    <w:p w14:paraId="1A9D3AB9" w14:textId="195A1D44" w:rsidR="00EC74C8" w:rsidRPr="00C64750" w:rsidRDefault="00EC74C8" w:rsidP="00C64750">
      <w:pPr>
        <w:spacing w:line="360" w:lineRule="auto"/>
        <w:rPr>
          <w:rFonts w:ascii="Arial" w:hAnsi="Arial" w:cs="Arial"/>
        </w:rPr>
      </w:pPr>
      <w:r w:rsidRPr="00C64750">
        <w:rPr>
          <w:rFonts w:ascii="Arial" w:hAnsi="Arial" w:cs="Arial"/>
        </w:rPr>
        <w:t>The Sustainable Development Goals (SDGs) provide a global framework for enhancing health, wellbeing, and sustainability through coordinated efforts at international, national, and local levels (United Nations, 2015). Among these goals, SDG 3: Good Health and Wellbeing and SDG 13: Climate Action are closely interrelated, as climate change increasingly impacts health outcomes and the resilience of health systems (United Nations, 2023; Watts et al., 2023). SDG 3 aims to ensure healthy lives for all, while SDG 13 emphasizes the urgent need to mitigate climate risks and promote environmental sustainability.</w:t>
      </w:r>
    </w:p>
    <w:p w14:paraId="0B8E296B" w14:textId="59724C79" w:rsidR="00EC74C8" w:rsidRPr="00C64750" w:rsidRDefault="00EC74C8" w:rsidP="00C64750">
      <w:pPr>
        <w:spacing w:line="360" w:lineRule="auto"/>
        <w:rPr>
          <w:rFonts w:ascii="Arial" w:hAnsi="Arial" w:cs="Arial"/>
        </w:rPr>
      </w:pPr>
      <w:r w:rsidRPr="00C64750">
        <w:rPr>
          <w:rFonts w:ascii="Arial" w:hAnsi="Arial" w:cs="Arial"/>
        </w:rPr>
        <w:t xml:space="preserve">This report critically explores the implementation of SDG 3 and SDG 13 through various policies and initiatives at global, national, and local scales. It draws on recent evidence from the World Health Organization, UK government policies, and local strategies in Solihull to assess progress, challenges, and gaps. The analysis employs theoretical frameworks, including the Health Belief Model, Social Cognitive Theory, and the Ecological Model, to examine how </w:t>
      </w:r>
      <w:r w:rsidR="005072EE" w:rsidRPr="00C64750">
        <w:rPr>
          <w:rFonts w:ascii="Arial" w:hAnsi="Arial" w:cs="Arial"/>
        </w:rPr>
        <w:t>behaviour</w:t>
      </w:r>
      <w:r w:rsidRPr="00C64750">
        <w:rPr>
          <w:rFonts w:ascii="Arial" w:hAnsi="Arial" w:cs="Arial"/>
        </w:rPr>
        <w:t>, environment, and policy interact to influence health and sustainability outcomes (Carpenter, 2018; Bandura, 2019; Golden and Earp, 2012).</w:t>
      </w:r>
    </w:p>
    <w:p w14:paraId="0D13099E" w14:textId="3C36676A" w:rsidR="00EC1785" w:rsidRPr="00C64750" w:rsidRDefault="00EC74C8" w:rsidP="00C64750">
      <w:pPr>
        <w:spacing w:line="360" w:lineRule="auto"/>
        <w:rPr>
          <w:rFonts w:ascii="Arial" w:hAnsi="Arial" w:cs="Arial"/>
        </w:rPr>
      </w:pPr>
      <w:r w:rsidRPr="00C64750">
        <w:rPr>
          <w:rFonts w:ascii="Arial" w:hAnsi="Arial" w:cs="Arial"/>
        </w:rPr>
        <w:t>The report is organized into two main sections: Section 1 investigates SDG 3, focusing on global health strategies, UK national policies, and local public health initiatives, while Section 2 evaluates SDG 13 by exploring climate-related health risks, national climate policy, and local environmental actions. The conclusion reflects on the interdependence of both SDGs and offers evidence-based recommendations for enhancing future policy implementation.</w:t>
      </w:r>
    </w:p>
    <w:p w14:paraId="42781551" w14:textId="77777777" w:rsidR="006324EA" w:rsidRPr="00C64750" w:rsidRDefault="006324EA" w:rsidP="00C64750">
      <w:pPr>
        <w:spacing w:line="360" w:lineRule="auto"/>
        <w:rPr>
          <w:rFonts w:ascii="Arial" w:hAnsi="Arial" w:cs="Arial"/>
        </w:rPr>
      </w:pPr>
    </w:p>
    <w:p w14:paraId="584CCDAC" w14:textId="44B8D13E" w:rsidR="00DB16D8" w:rsidRPr="00C64750" w:rsidRDefault="00DB16D8" w:rsidP="00A95D41">
      <w:pPr>
        <w:pStyle w:val="Heading1"/>
      </w:pPr>
      <w:bookmarkStart w:id="0" w:name="_Toc234963233"/>
      <w:r w:rsidRPr="00C64750">
        <w:t>SECTION 1: SDG 3 – GOOD HEALTH AND WELLBEING</w:t>
      </w:r>
      <w:bookmarkEnd w:id="0"/>
      <w:r w:rsidRPr="00C64750">
        <w:t xml:space="preserve"> </w:t>
      </w:r>
    </w:p>
    <w:p w14:paraId="30BD9D59" w14:textId="7D66ACE6" w:rsidR="00DB16D8" w:rsidRPr="00C64750" w:rsidRDefault="00E50C0D" w:rsidP="00C64750">
      <w:pPr>
        <w:spacing w:line="360" w:lineRule="auto"/>
        <w:rPr>
          <w:rFonts w:ascii="Arial" w:hAnsi="Arial" w:cs="Arial"/>
        </w:rPr>
      </w:pPr>
      <w:r w:rsidRPr="00C64750">
        <w:rPr>
          <w:rFonts w:ascii="Arial" w:hAnsi="Arial" w:cs="Arial"/>
        </w:rPr>
        <w:t xml:space="preserve">Sustainable Development Goal 3 focuses on “ensuring healthy lives and promoting well-being for everyone at all stages of life,” tackling issues such as maternal health, infectious diseases, non-communicable diseases (NCDs), mental health, and the enhancement of health systems (United Nations, 2023). To realize SDG 3, it is essential to implement coordinated efforts at global, national, and local levels, backed by evidence-based policies and strategies for </w:t>
      </w:r>
      <w:r w:rsidR="00E571F9" w:rsidRPr="00C64750">
        <w:rPr>
          <w:rFonts w:ascii="Arial" w:hAnsi="Arial" w:cs="Arial"/>
        </w:rPr>
        <w:t>behavioural</w:t>
      </w:r>
      <w:r w:rsidRPr="00C64750">
        <w:rPr>
          <w:rFonts w:ascii="Arial" w:hAnsi="Arial" w:cs="Arial"/>
        </w:rPr>
        <w:t xml:space="preserve"> change.</w:t>
      </w:r>
    </w:p>
    <w:p w14:paraId="2ADBAFE1" w14:textId="3A804A2B" w:rsidR="006324EA" w:rsidRPr="00C64750" w:rsidRDefault="00DB16D8" w:rsidP="003E5C69">
      <w:pPr>
        <w:pStyle w:val="Heading2"/>
      </w:pPr>
      <w:bookmarkStart w:id="1" w:name="_Toc234963234"/>
      <w:r w:rsidRPr="00C64750">
        <w:t>Global Policies and Initiatives</w:t>
      </w:r>
      <w:bookmarkEnd w:id="1"/>
    </w:p>
    <w:p w14:paraId="1C96384B" w14:textId="5EC42232" w:rsidR="002112FE" w:rsidRPr="00C64750" w:rsidRDefault="002112FE" w:rsidP="00C64750">
      <w:pPr>
        <w:spacing w:line="360" w:lineRule="auto"/>
        <w:rPr>
          <w:rFonts w:ascii="Arial" w:hAnsi="Arial" w:cs="Arial"/>
        </w:rPr>
      </w:pPr>
      <w:r w:rsidRPr="00C64750">
        <w:rPr>
          <w:rFonts w:ascii="Arial" w:hAnsi="Arial" w:cs="Arial"/>
        </w:rPr>
        <w:t xml:space="preserve">At the global level, WHO plays </w:t>
      </w:r>
      <w:r w:rsidR="00803B5F" w:rsidRPr="00C64750">
        <w:rPr>
          <w:rFonts w:ascii="Arial" w:hAnsi="Arial" w:cs="Arial"/>
        </w:rPr>
        <w:t>a significant role</w:t>
      </w:r>
      <w:r w:rsidRPr="00C64750">
        <w:rPr>
          <w:rFonts w:ascii="Arial" w:hAnsi="Arial" w:cs="Arial"/>
        </w:rPr>
        <w:t xml:space="preserve"> in guiding SDG 3 implementation. The Universal Health Coverage (UHC) framework emphasises equitable access to essential health services, financial protection, and strengthened primary care systems (World Health Organization, 2019). Although UHC has improved access in many countries, progress </w:t>
      </w:r>
      <w:r w:rsidRPr="00C64750">
        <w:rPr>
          <w:rFonts w:ascii="Arial" w:hAnsi="Arial" w:cs="Arial"/>
        </w:rPr>
        <w:lastRenderedPageBreak/>
        <w:t>remains uneven, with low</w:t>
      </w:r>
      <w:r w:rsidRPr="00C64750">
        <w:rPr>
          <w:rFonts w:ascii="Cambria Math" w:hAnsi="Cambria Math" w:cs="Cambria Math"/>
        </w:rPr>
        <w:t>‑</w:t>
      </w:r>
      <w:r w:rsidRPr="00C64750">
        <w:rPr>
          <w:rFonts w:ascii="Arial" w:hAnsi="Arial" w:cs="Arial"/>
        </w:rPr>
        <w:t>income nations facing major barriers such as limited funding, workforce shortages, and weak infrastructure (World Health Organization, 2023).</w:t>
      </w:r>
    </w:p>
    <w:p w14:paraId="69831826" w14:textId="49FA5B9A" w:rsidR="002112FE" w:rsidRPr="00C64750" w:rsidRDefault="002112FE" w:rsidP="00C64750">
      <w:pPr>
        <w:spacing w:line="360" w:lineRule="auto"/>
        <w:rPr>
          <w:rFonts w:ascii="Arial" w:hAnsi="Arial" w:cs="Arial"/>
        </w:rPr>
      </w:pPr>
      <w:r w:rsidRPr="00C64750">
        <w:rPr>
          <w:rFonts w:ascii="Arial" w:hAnsi="Arial" w:cs="Arial"/>
        </w:rPr>
        <w:t>Mental health is another global priority. WHO’s Comprehensive Mental Health Action Plan 2013–2030 highlights the need for integrated mental health services, community</w:t>
      </w:r>
      <w:r w:rsidRPr="00C64750">
        <w:rPr>
          <w:rFonts w:ascii="Cambria Math" w:hAnsi="Cambria Math" w:cs="Cambria Math"/>
        </w:rPr>
        <w:t>‑</w:t>
      </w:r>
      <w:r w:rsidRPr="00C64750">
        <w:rPr>
          <w:rFonts w:ascii="Arial" w:hAnsi="Arial" w:cs="Arial"/>
        </w:rPr>
        <w:t>based care, and stigma reduction (World Health Organization, 2021). Despite this, mental health remains underfunded globally, with treatment gaps exceeding 70% in some regions (World Health Organization, 2023). The COVID</w:t>
      </w:r>
      <w:r w:rsidRPr="00C64750">
        <w:rPr>
          <w:rFonts w:ascii="Cambria Math" w:hAnsi="Cambria Math" w:cs="Cambria Math"/>
        </w:rPr>
        <w:t>‑</w:t>
      </w:r>
      <w:r w:rsidRPr="00C64750">
        <w:rPr>
          <w:rFonts w:ascii="Arial" w:hAnsi="Arial" w:cs="Arial"/>
        </w:rPr>
        <w:t>19 pandemic further exposed inequalities in global health systems, demonstrating how crises disproportionately affect vulnerable populations (World Health Organization, 2022).</w:t>
      </w:r>
    </w:p>
    <w:p w14:paraId="0DAFB945" w14:textId="77777777" w:rsidR="00B14B4E" w:rsidRPr="00C64750" w:rsidRDefault="00B14B4E" w:rsidP="003E5C69">
      <w:pPr>
        <w:pStyle w:val="Heading2"/>
      </w:pPr>
    </w:p>
    <w:p w14:paraId="5D842072" w14:textId="13C329B1" w:rsidR="00B14B4E" w:rsidRPr="00C64750" w:rsidRDefault="00826273" w:rsidP="003E5C69">
      <w:pPr>
        <w:pStyle w:val="Heading2"/>
        <w:rPr>
          <w:bCs/>
        </w:rPr>
      </w:pPr>
      <w:bookmarkStart w:id="2" w:name="_Toc234963235"/>
      <w:r w:rsidRPr="00C64750">
        <w:rPr>
          <w:bCs/>
        </w:rPr>
        <w:t>National Policies: U</w:t>
      </w:r>
      <w:r w:rsidR="00C80893" w:rsidRPr="00C64750">
        <w:rPr>
          <w:bCs/>
        </w:rPr>
        <w:t>nited K</w:t>
      </w:r>
      <w:r w:rsidR="00DE451B" w:rsidRPr="00C64750">
        <w:rPr>
          <w:bCs/>
        </w:rPr>
        <w:t>i</w:t>
      </w:r>
      <w:r w:rsidR="00C80893" w:rsidRPr="00C64750">
        <w:rPr>
          <w:bCs/>
        </w:rPr>
        <w:t>ngdom</w:t>
      </w:r>
      <w:bookmarkEnd w:id="2"/>
    </w:p>
    <w:p w14:paraId="1B003581" w14:textId="411F84DA" w:rsidR="00DE451B" w:rsidRPr="00C64750" w:rsidRDefault="00DE451B" w:rsidP="00C64750">
      <w:pPr>
        <w:spacing w:line="360" w:lineRule="auto"/>
        <w:rPr>
          <w:rFonts w:ascii="Arial" w:hAnsi="Arial" w:cs="Arial"/>
        </w:rPr>
      </w:pPr>
      <w:r w:rsidRPr="00C64750">
        <w:rPr>
          <w:rFonts w:ascii="Arial" w:hAnsi="Arial" w:cs="Arial"/>
        </w:rPr>
        <w:t>The UK has enacted several policies aligned with SDG 3. The NHS Long Term Plan focuses on prevention, mental health, and reducing health inequalities, while promoting personalised and integrated care (NHS England, 2019). However, challenges like workforce shortages and regional disparities affect implementation (Marmot et al., 2020).</w:t>
      </w:r>
    </w:p>
    <w:p w14:paraId="1F287E65" w14:textId="2080630E" w:rsidR="00DE451B" w:rsidRPr="00C64750" w:rsidRDefault="00DE451B" w:rsidP="00C64750">
      <w:pPr>
        <w:spacing w:line="360" w:lineRule="auto"/>
        <w:rPr>
          <w:rFonts w:ascii="Arial" w:hAnsi="Arial" w:cs="Arial"/>
        </w:rPr>
      </w:pPr>
      <w:r w:rsidRPr="00C64750">
        <w:rPr>
          <w:rFonts w:ascii="Arial" w:hAnsi="Arial" w:cs="Arial"/>
        </w:rPr>
        <w:t xml:space="preserve">The Health and Care Act 2022 </w:t>
      </w:r>
      <w:r w:rsidR="005072EE" w:rsidRPr="00C64750">
        <w:rPr>
          <w:rFonts w:ascii="Arial" w:hAnsi="Arial" w:cs="Arial"/>
        </w:rPr>
        <w:t>enhance</w:t>
      </w:r>
      <w:r w:rsidRPr="00C64750">
        <w:rPr>
          <w:rFonts w:ascii="Arial" w:hAnsi="Arial" w:cs="Arial"/>
        </w:rPr>
        <w:t xml:space="preserve"> efforts to address health inequalities and incorporates sustainability into NHS responsibilities (UK Parliament, 2022), linking health outcomes to environmental factors like climate change and air quality.</w:t>
      </w:r>
    </w:p>
    <w:p w14:paraId="1AA0C161" w14:textId="4E8034A8" w:rsidR="00854CAE" w:rsidRDefault="00DE451B" w:rsidP="00C64750">
      <w:pPr>
        <w:spacing w:line="360" w:lineRule="auto"/>
        <w:rPr>
          <w:rFonts w:ascii="Arial" w:hAnsi="Arial" w:cs="Arial"/>
        </w:rPr>
      </w:pPr>
      <w:r w:rsidRPr="00C64750">
        <w:rPr>
          <w:rFonts w:ascii="Arial" w:hAnsi="Arial" w:cs="Arial"/>
        </w:rPr>
        <w:t>The Greener NHS / Net Zero NHS programme commits the NHS to achieve net zero emissions by 2040 for direct emissions and 2045 for indirect emissions (NHS England, 2020), recognizing the health impacts of air pollution on respiratory and cardiovascular diseases (Department for Environment, Food &amp; Rural Affairs, 2019).</w:t>
      </w:r>
    </w:p>
    <w:p w14:paraId="31F7DE4C" w14:textId="77777777" w:rsidR="00C64750" w:rsidRPr="00C64750" w:rsidRDefault="00C64750" w:rsidP="003E5C69">
      <w:pPr>
        <w:pStyle w:val="Heading2"/>
      </w:pPr>
    </w:p>
    <w:p w14:paraId="0E5508A5" w14:textId="280190D3" w:rsidR="005A5DAB" w:rsidRPr="00C64750" w:rsidRDefault="00826273" w:rsidP="003E5C69">
      <w:pPr>
        <w:pStyle w:val="Heading2"/>
        <w:rPr>
          <w:bCs/>
        </w:rPr>
      </w:pPr>
      <w:bookmarkStart w:id="3" w:name="_Toc234963236"/>
      <w:r w:rsidRPr="00C64750">
        <w:rPr>
          <w:bCs/>
        </w:rPr>
        <w:t>Local Policies:</w:t>
      </w:r>
      <w:r w:rsidR="005A5DAB" w:rsidRPr="00C64750">
        <w:rPr>
          <w:bCs/>
        </w:rPr>
        <w:t xml:space="preserve"> Solihull</w:t>
      </w:r>
      <w:bookmarkEnd w:id="3"/>
    </w:p>
    <w:p w14:paraId="65B82E73" w14:textId="5EAD495E" w:rsidR="00BB5CE3" w:rsidRPr="00C64750" w:rsidRDefault="00BB5CE3" w:rsidP="00C64750">
      <w:pPr>
        <w:spacing w:line="360" w:lineRule="auto"/>
        <w:rPr>
          <w:rFonts w:ascii="Arial" w:hAnsi="Arial" w:cs="Arial"/>
        </w:rPr>
      </w:pPr>
      <w:r w:rsidRPr="00C64750">
        <w:rPr>
          <w:rFonts w:ascii="Arial" w:hAnsi="Arial" w:cs="Arial"/>
        </w:rPr>
        <w:t>Solihull implements SDG 3 through its Health and Wellbeing Strategy 2021–2025, focusing on mental health, prevention, healthy lifestyles, and reducing inequalities. Initiatives include smoking cessation programs, weight management services, community mental health hubs, and targeted vaccination outreach.</w:t>
      </w:r>
    </w:p>
    <w:p w14:paraId="15BA1968" w14:textId="25A2EF38" w:rsidR="00713E3C" w:rsidRPr="00C64750" w:rsidRDefault="00BB5CE3" w:rsidP="00C64750">
      <w:pPr>
        <w:spacing w:line="360" w:lineRule="auto"/>
        <w:rPr>
          <w:rFonts w:ascii="Arial" w:hAnsi="Arial" w:cs="Arial"/>
        </w:rPr>
      </w:pPr>
      <w:r w:rsidRPr="00C64750">
        <w:rPr>
          <w:rFonts w:ascii="Arial" w:hAnsi="Arial" w:cs="Arial"/>
        </w:rPr>
        <w:t xml:space="preserve">The Public Health Annual Report notes improvements in vaccination rates and reduced smoking prevalence, but highlights ongoing inequalities related to deprivation, digital exclusion, and transport barriers. These challenges align with the Ecological Model, which shows how individual </w:t>
      </w:r>
      <w:r w:rsidR="005072EE" w:rsidRPr="00C64750">
        <w:rPr>
          <w:rFonts w:ascii="Arial" w:hAnsi="Arial" w:cs="Arial"/>
        </w:rPr>
        <w:t>behaviour</w:t>
      </w:r>
      <w:r w:rsidRPr="00C64750">
        <w:rPr>
          <w:rFonts w:ascii="Arial" w:hAnsi="Arial" w:cs="Arial"/>
        </w:rPr>
        <w:t xml:space="preserve"> is influenced by social, environmental, and policy factors.</w:t>
      </w:r>
    </w:p>
    <w:p w14:paraId="1F6D61A2" w14:textId="77777777" w:rsidR="00713E3C" w:rsidRPr="00C64750" w:rsidRDefault="00713E3C" w:rsidP="00C64750">
      <w:pPr>
        <w:spacing w:line="360" w:lineRule="auto"/>
        <w:rPr>
          <w:rFonts w:ascii="Arial" w:hAnsi="Arial" w:cs="Arial"/>
        </w:rPr>
      </w:pPr>
    </w:p>
    <w:p w14:paraId="36A9E4EB" w14:textId="424735D4" w:rsidR="00BA25F4" w:rsidRPr="00C64750" w:rsidRDefault="00713E3C" w:rsidP="003E5C69">
      <w:pPr>
        <w:pStyle w:val="Heading2"/>
      </w:pPr>
      <w:bookmarkStart w:id="4" w:name="_Toc234963237"/>
      <w:r w:rsidRPr="00C64750">
        <w:lastRenderedPageBreak/>
        <w:t>Use of Theories and Models</w:t>
      </w:r>
      <w:bookmarkEnd w:id="4"/>
    </w:p>
    <w:p w14:paraId="2D1FE848" w14:textId="17578323" w:rsidR="00A55051" w:rsidRPr="00C64750" w:rsidRDefault="00A55051" w:rsidP="00C64750">
      <w:pPr>
        <w:spacing w:line="360" w:lineRule="auto"/>
        <w:rPr>
          <w:rFonts w:ascii="Arial" w:hAnsi="Arial" w:cs="Arial"/>
        </w:rPr>
      </w:pPr>
      <w:r w:rsidRPr="00C64750">
        <w:rPr>
          <w:rFonts w:ascii="Arial" w:hAnsi="Arial" w:cs="Arial"/>
        </w:rPr>
        <w:t xml:space="preserve">The Health Belief Model (HBM) </w:t>
      </w:r>
      <w:r w:rsidR="005072EE" w:rsidRPr="00C64750">
        <w:rPr>
          <w:rFonts w:ascii="Arial" w:hAnsi="Arial" w:cs="Arial"/>
        </w:rPr>
        <w:t>analyses</w:t>
      </w:r>
      <w:r w:rsidRPr="00C64750">
        <w:rPr>
          <w:rFonts w:ascii="Arial" w:hAnsi="Arial" w:cs="Arial"/>
        </w:rPr>
        <w:t xml:space="preserve"> vaccination </w:t>
      </w:r>
      <w:r w:rsidR="005072EE" w:rsidRPr="00C64750">
        <w:rPr>
          <w:rFonts w:ascii="Arial" w:hAnsi="Arial" w:cs="Arial"/>
        </w:rPr>
        <w:t>behaviour</w:t>
      </w:r>
      <w:r w:rsidRPr="00C64750">
        <w:rPr>
          <w:rFonts w:ascii="Arial" w:hAnsi="Arial" w:cs="Arial"/>
        </w:rPr>
        <w:t>, emphasizing perceived threat (risk of infection), perceived benefits (protection), and self-efficacy (easy booking systems) to boost COVID-19 vaccination rates (Carpenter, 2018). However, mistrust, misinformation, and cultural barriers hindered effectiveness in some communities.</w:t>
      </w:r>
    </w:p>
    <w:p w14:paraId="07311FC1" w14:textId="678CC0AC" w:rsidR="00A55051" w:rsidRPr="00C64750" w:rsidRDefault="00A55051" w:rsidP="00C64750">
      <w:pPr>
        <w:spacing w:line="360" w:lineRule="auto"/>
        <w:rPr>
          <w:rFonts w:ascii="Arial" w:hAnsi="Arial" w:cs="Arial"/>
        </w:rPr>
      </w:pPr>
      <w:r w:rsidRPr="00C64750">
        <w:rPr>
          <w:rFonts w:ascii="Arial" w:hAnsi="Arial" w:cs="Arial"/>
        </w:rPr>
        <w:t xml:space="preserve">Social Cognitive Theory (SCT) explains </w:t>
      </w:r>
      <w:r w:rsidR="005072EE" w:rsidRPr="00C64750">
        <w:rPr>
          <w:rFonts w:ascii="Arial" w:hAnsi="Arial" w:cs="Arial"/>
        </w:rPr>
        <w:t>behaviour</w:t>
      </w:r>
      <w:r w:rsidRPr="00C64750">
        <w:rPr>
          <w:rFonts w:ascii="Arial" w:hAnsi="Arial" w:cs="Arial"/>
        </w:rPr>
        <w:t xml:space="preserve"> change in areas like smoking cessation and physical activity, underscoring community-based interventions through role </w:t>
      </w:r>
      <w:r w:rsidR="005072EE" w:rsidRPr="00C64750">
        <w:rPr>
          <w:rFonts w:ascii="Arial" w:hAnsi="Arial" w:cs="Arial"/>
        </w:rPr>
        <w:t>modelling</w:t>
      </w:r>
      <w:r w:rsidRPr="00C64750">
        <w:rPr>
          <w:rFonts w:ascii="Arial" w:hAnsi="Arial" w:cs="Arial"/>
        </w:rPr>
        <w:t xml:space="preserve"> and social norms (Bandura, 2019).</w:t>
      </w:r>
    </w:p>
    <w:p w14:paraId="32FCD942" w14:textId="73FE7EC7" w:rsidR="00A55051" w:rsidRDefault="00A55051" w:rsidP="00C64750">
      <w:pPr>
        <w:spacing w:line="360" w:lineRule="auto"/>
        <w:rPr>
          <w:rFonts w:ascii="Arial" w:hAnsi="Arial" w:cs="Arial"/>
        </w:rPr>
      </w:pPr>
      <w:r w:rsidRPr="00C64750">
        <w:rPr>
          <w:rFonts w:ascii="Arial" w:hAnsi="Arial" w:cs="Arial"/>
        </w:rPr>
        <w:t>The Ecological Model highlights how structural factors like housing and income impact health outcomes, particularly in affluent areas like Solihull with pockets of deprivation experiencing poorer health despite overall wealth (Golden and Earp, 2012).</w:t>
      </w:r>
    </w:p>
    <w:p w14:paraId="7893B628" w14:textId="77777777" w:rsidR="007B3397" w:rsidRDefault="007B3397" w:rsidP="00C64750">
      <w:pPr>
        <w:spacing w:line="360" w:lineRule="auto"/>
        <w:rPr>
          <w:rFonts w:ascii="Arial" w:hAnsi="Arial" w:cs="Arial"/>
        </w:rPr>
      </w:pPr>
    </w:p>
    <w:p w14:paraId="49F9712E" w14:textId="71E122DB" w:rsidR="007B3397" w:rsidRPr="007B3397" w:rsidRDefault="007B3397" w:rsidP="003E5C69">
      <w:pPr>
        <w:pStyle w:val="Heading2"/>
        <w:rPr>
          <w:szCs w:val="22"/>
        </w:rPr>
      </w:pPr>
      <w:bookmarkStart w:id="5" w:name="_Toc234963238"/>
      <w:r w:rsidRPr="007B3397">
        <w:t>C</w:t>
      </w:r>
      <w:r>
        <w:t>hallenges</w:t>
      </w:r>
      <w:bookmarkEnd w:id="5"/>
    </w:p>
    <w:p w14:paraId="6E1E65C3" w14:textId="00FD3DA9" w:rsidR="00A55051" w:rsidRPr="00C64750" w:rsidRDefault="00A55051" w:rsidP="00C64750">
      <w:pPr>
        <w:spacing w:line="360" w:lineRule="auto"/>
        <w:rPr>
          <w:rFonts w:ascii="Arial" w:hAnsi="Arial" w:cs="Arial"/>
        </w:rPr>
      </w:pPr>
      <w:r w:rsidRPr="00C64750">
        <w:rPr>
          <w:rFonts w:ascii="Arial" w:hAnsi="Arial" w:cs="Arial"/>
        </w:rPr>
        <w:t xml:space="preserve">A key challenge for achieving SDG 3 is the focus on treatment over preventive public health. Although the NHS Long Term Plan emphasizes prevention, funding often prioritizes acute care, undermining disease prevention </w:t>
      </w:r>
      <w:r w:rsidR="00803B5F" w:rsidRPr="00C64750">
        <w:rPr>
          <w:rFonts w:ascii="Arial" w:hAnsi="Arial" w:cs="Arial"/>
        </w:rPr>
        <w:t>efforts,</w:t>
      </w:r>
      <w:r w:rsidRPr="00C64750">
        <w:rPr>
          <w:rFonts w:ascii="Arial" w:hAnsi="Arial" w:cs="Arial"/>
        </w:rPr>
        <w:t xml:space="preserve"> and early interventions (The King’s Fund, 2024). Investment in prevention, such as smoking cessation and mental health support, leads to long-term benefits, yet these services face budget cuts (Marmot et al., 2020).</w:t>
      </w:r>
    </w:p>
    <w:p w14:paraId="533F9452" w14:textId="5B3C4CA4" w:rsidR="00E571F9" w:rsidRPr="00C64750" w:rsidRDefault="00A55051" w:rsidP="00C64750">
      <w:pPr>
        <w:spacing w:line="360" w:lineRule="auto"/>
        <w:rPr>
          <w:rFonts w:ascii="Arial" w:hAnsi="Arial" w:cs="Arial"/>
        </w:rPr>
      </w:pPr>
      <w:r w:rsidRPr="00C64750">
        <w:rPr>
          <w:rFonts w:ascii="Arial" w:hAnsi="Arial" w:cs="Arial"/>
        </w:rPr>
        <w:t>Social determinants of health, unevenly distributed across the UK, further exacerbate health disparities. In Solihull, for instance, deprived areas like Chelmsley Wood face significantly poorer health outcomes (Solihull Metropolitan Borough Council, 2022)</w:t>
      </w:r>
      <w:r w:rsidR="00803B5F" w:rsidRPr="00C64750">
        <w:rPr>
          <w:rFonts w:ascii="Arial" w:hAnsi="Arial" w:cs="Arial"/>
        </w:rPr>
        <w:t xml:space="preserve">. </w:t>
      </w:r>
    </w:p>
    <w:p w14:paraId="376EB2A8" w14:textId="46D41654" w:rsidR="00A55051" w:rsidRPr="00C64750" w:rsidRDefault="00A55051" w:rsidP="00C64750">
      <w:pPr>
        <w:spacing w:line="360" w:lineRule="auto"/>
        <w:rPr>
          <w:rFonts w:ascii="Arial" w:hAnsi="Arial" w:cs="Arial"/>
        </w:rPr>
      </w:pPr>
      <w:r w:rsidRPr="00C64750">
        <w:rPr>
          <w:rFonts w:ascii="Arial" w:hAnsi="Arial" w:cs="Arial"/>
        </w:rPr>
        <w:t>Challenges in public health communication highlighted by the HBM show that perceived threats and benefits are insufficient in the face of community mistrust and cultural barriers (Carpenter, 2018). Enhancing culturally competent communication is vital for increasing preventive service uptake.</w:t>
      </w:r>
    </w:p>
    <w:p w14:paraId="04747B62" w14:textId="7AB48B26" w:rsidR="00E571F9" w:rsidRDefault="00A55051" w:rsidP="00C64750">
      <w:pPr>
        <w:spacing w:line="360" w:lineRule="auto"/>
        <w:rPr>
          <w:rFonts w:ascii="Arial" w:hAnsi="Arial" w:cs="Arial"/>
        </w:rPr>
      </w:pPr>
      <w:r w:rsidRPr="00C64750">
        <w:rPr>
          <w:rFonts w:ascii="Arial" w:hAnsi="Arial" w:cs="Arial"/>
        </w:rPr>
        <w:t>Workforce issues, including staff shortages and burnout, also impede the delivery of services aligned with SDG 3 (NHS England, 2019). Addressing these systemic challenges is essential for long-term health improvements.</w:t>
      </w:r>
    </w:p>
    <w:p w14:paraId="0C90237A" w14:textId="77777777" w:rsidR="007B3397" w:rsidRDefault="007B3397" w:rsidP="00C64750">
      <w:pPr>
        <w:spacing w:line="360" w:lineRule="auto"/>
        <w:rPr>
          <w:rFonts w:ascii="Arial" w:hAnsi="Arial" w:cs="Arial"/>
        </w:rPr>
      </w:pPr>
    </w:p>
    <w:p w14:paraId="7AA8DF28" w14:textId="77777777" w:rsidR="003E5C69" w:rsidRDefault="003E5C69" w:rsidP="00C64750">
      <w:pPr>
        <w:spacing w:line="360" w:lineRule="auto"/>
        <w:rPr>
          <w:rFonts w:ascii="Arial" w:hAnsi="Arial" w:cs="Arial"/>
        </w:rPr>
      </w:pPr>
    </w:p>
    <w:p w14:paraId="1CB5D539" w14:textId="77777777" w:rsidR="003E5C69" w:rsidRDefault="003E5C69" w:rsidP="00C64750">
      <w:pPr>
        <w:spacing w:line="360" w:lineRule="auto"/>
        <w:rPr>
          <w:rFonts w:ascii="Arial" w:hAnsi="Arial" w:cs="Arial"/>
        </w:rPr>
      </w:pPr>
    </w:p>
    <w:p w14:paraId="45C20DFA" w14:textId="77777777" w:rsidR="007B3397" w:rsidRPr="00C64750" w:rsidRDefault="007B3397" w:rsidP="00C64750">
      <w:pPr>
        <w:spacing w:line="360" w:lineRule="auto"/>
        <w:rPr>
          <w:rFonts w:ascii="Arial" w:hAnsi="Arial" w:cs="Arial"/>
        </w:rPr>
      </w:pPr>
    </w:p>
    <w:p w14:paraId="1E0B228F" w14:textId="45F8B17F" w:rsidR="00D63919" w:rsidRPr="007B3397" w:rsidRDefault="00D63919" w:rsidP="003E5C69">
      <w:pPr>
        <w:pStyle w:val="Heading2"/>
      </w:pPr>
      <w:r w:rsidRPr="00C64750">
        <w:lastRenderedPageBreak/>
        <w:t xml:space="preserve"> </w:t>
      </w:r>
      <w:bookmarkStart w:id="6" w:name="_Toc234963239"/>
      <w:r w:rsidRPr="007B3397">
        <w:t>SDG 3 – Recommendations</w:t>
      </w:r>
      <w:bookmarkEnd w:id="6"/>
      <w:r w:rsidRPr="007B3397">
        <w:t xml:space="preserve"> </w:t>
      </w:r>
    </w:p>
    <w:p w14:paraId="2F5A127B" w14:textId="77777777" w:rsidR="00D63919" w:rsidRPr="007B3397" w:rsidRDefault="00D63919" w:rsidP="007B3397">
      <w:pPr>
        <w:pStyle w:val="ListParagraph"/>
        <w:numPr>
          <w:ilvl w:val="0"/>
          <w:numId w:val="2"/>
        </w:numPr>
        <w:spacing w:line="360" w:lineRule="auto"/>
        <w:rPr>
          <w:rFonts w:ascii="Arial" w:hAnsi="Arial" w:cs="Arial"/>
        </w:rPr>
      </w:pPr>
      <w:r w:rsidRPr="007B3397">
        <w:rPr>
          <w:rFonts w:ascii="Arial" w:hAnsi="Arial" w:cs="Arial"/>
        </w:rPr>
        <w:t>Strengthening funding for prevention and mental health services, ensuring they are prioritised alongside acute care (The King’s Fund, 2024).</w:t>
      </w:r>
    </w:p>
    <w:p w14:paraId="315BFC74" w14:textId="77777777" w:rsidR="00D63919" w:rsidRPr="007B3397" w:rsidRDefault="00D63919" w:rsidP="007B3397">
      <w:pPr>
        <w:pStyle w:val="ListParagraph"/>
        <w:numPr>
          <w:ilvl w:val="0"/>
          <w:numId w:val="2"/>
        </w:numPr>
        <w:spacing w:line="360" w:lineRule="auto"/>
        <w:rPr>
          <w:rFonts w:ascii="Arial" w:hAnsi="Arial" w:cs="Arial"/>
        </w:rPr>
      </w:pPr>
      <w:r w:rsidRPr="007B3397">
        <w:rPr>
          <w:rFonts w:ascii="Arial" w:hAnsi="Arial" w:cs="Arial"/>
        </w:rPr>
        <w:t>Expanding culturally tailored health communication, particularly for vaccination, screening, and lifestyle interventions, to improve trust and engagement (Carpenter, 2018).</w:t>
      </w:r>
    </w:p>
    <w:p w14:paraId="1E043314" w14:textId="77777777" w:rsidR="00D63919" w:rsidRPr="007B3397" w:rsidRDefault="00D63919" w:rsidP="007B3397">
      <w:pPr>
        <w:pStyle w:val="ListParagraph"/>
        <w:numPr>
          <w:ilvl w:val="0"/>
          <w:numId w:val="2"/>
        </w:numPr>
        <w:spacing w:line="360" w:lineRule="auto"/>
        <w:rPr>
          <w:rFonts w:ascii="Arial" w:hAnsi="Arial" w:cs="Arial"/>
        </w:rPr>
      </w:pPr>
      <w:r w:rsidRPr="007B3397">
        <w:rPr>
          <w:rFonts w:ascii="Arial" w:hAnsi="Arial" w:cs="Arial"/>
        </w:rPr>
        <w:t>Reducing local health inequalities through targeted investment in deprived neighbourhoods such as Chelmsley Wood, focusing on housing, transport, digital access, and early intervention (Solihull Metropolitan Borough Council, 2022).</w:t>
      </w:r>
    </w:p>
    <w:p w14:paraId="7BDD23F6" w14:textId="77777777" w:rsidR="00D63919" w:rsidRPr="007B3397" w:rsidRDefault="00D63919" w:rsidP="007B3397">
      <w:pPr>
        <w:pStyle w:val="ListParagraph"/>
        <w:numPr>
          <w:ilvl w:val="0"/>
          <w:numId w:val="2"/>
        </w:numPr>
        <w:spacing w:line="360" w:lineRule="auto"/>
        <w:rPr>
          <w:rFonts w:ascii="Arial" w:hAnsi="Arial" w:cs="Arial"/>
        </w:rPr>
      </w:pPr>
      <w:r w:rsidRPr="007B3397">
        <w:rPr>
          <w:rFonts w:ascii="Arial" w:hAnsi="Arial" w:cs="Arial"/>
        </w:rPr>
        <w:t>Enhancing cross</w:t>
      </w:r>
      <w:r w:rsidRPr="007B3397">
        <w:rPr>
          <w:rFonts w:ascii="Cambria Math" w:hAnsi="Cambria Math" w:cs="Cambria Math"/>
        </w:rPr>
        <w:t>‑</w:t>
      </w:r>
      <w:r w:rsidRPr="007B3397">
        <w:rPr>
          <w:rFonts w:ascii="Arial" w:hAnsi="Arial" w:cs="Arial"/>
        </w:rPr>
        <w:t>sector collaboration between health, housing, education, and environmental services to address the wider determinants of health (Marmot et al., 2020).</w:t>
      </w:r>
    </w:p>
    <w:p w14:paraId="00D675A0" w14:textId="3B74FAF7" w:rsidR="00D63919" w:rsidRPr="007B3397" w:rsidRDefault="00D63919" w:rsidP="007B3397">
      <w:pPr>
        <w:pStyle w:val="ListParagraph"/>
        <w:numPr>
          <w:ilvl w:val="0"/>
          <w:numId w:val="2"/>
        </w:numPr>
        <w:spacing w:line="360" w:lineRule="auto"/>
        <w:rPr>
          <w:rFonts w:ascii="Arial" w:hAnsi="Arial" w:cs="Arial"/>
        </w:rPr>
      </w:pPr>
      <w:r w:rsidRPr="007B3397">
        <w:rPr>
          <w:rFonts w:ascii="Arial" w:hAnsi="Arial" w:cs="Arial"/>
        </w:rPr>
        <w:t>Increasing community co</w:t>
      </w:r>
      <w:r w:rsidRPr="007B3397">
        <w:rPr>
          <w:rFonts w:ascii="Cambria Math" w:hAnsi="Cambria Math" w:cs="Cambria Math"/>
        </w:rPr>
        <w:t>‑</w:t>
      </w:r>
      <w:r w:rsidRPr="007B3397">
        <w:rPr>
          <w:rFonts w:ascii="Arial" w:hAnsi="Arial" w:cs="Arial"/>
        </w:rPr>
        <w:t xml:space="preserve">production, ensuring </w:t>
      </w:r>
      <w:r w:rsidR="00803B5F" w:rsidRPr="007B3397">
        <w:rPr>
          <w:rFonts w:ascii="Arial" w:hAnsi="Arial" w:cs="Arial"/>
        </w:rPr>
        <w:t>residents</w:t>
      </w:r>
      <w:r w:rsidRPr="007B3397">
        <w:rPr>
          <w:rFonts w:ascii="Arial" w:hAnsi="Arial" w:cs="Arial"/>
        </w:rPr>
        <w:t xml:space="preserve"> help design and shape health initiatives to improve relevance, accessibility, and uptake.</w:t>
      </w:r>
    </w:p>
    <w:p w14:paraId="4BA006CA" w14:textId="77777777" w:rsidR="007B3397" w:rsidRDefault="007B3397" w:rsidP="007B3397">
      <w:pPr>
        <w:pStyle w:val="ListParagraph"/>
        <w:spacing w:line="360" w:lineRule="auto"/>
        <w:rPr>
          <w:rFonts w:ascii="Arial" w:hAnsi="Arial" w:cs="Arial"/>
        </w:rPr>
      </w:pPr>
    </w:p>
    <w:p w14:paraId="2EF931DD" w14:textId="5A7813E4" w:rsidR="00D63919" w:rsidRPr="007B3397" w:rsidRDefault="00D63919" w:rsidP="007B3397">
      <w:pPr>
        <w:pStyle w:val="ListParagraph"/>
        <w:spacing w:line="360" w:lineRule="auto"/>
        <w:rPr>
          <w:rFonts w:ascii="Arial" w:hAnsi="Arial" w:cs="Arial"/>
        </w:rPr>
      </w:pPr>
      <w:r w:rsidRPr="007B3397">
        <w:rPr>
          <w:rFonts w:ascii="Arial" w:hAnsi="Arial" w:cs="Arial"/>
        </w:rPr>
        <w:t>These recommendations align with SDG 3’s emphasis on equity, prevention, and integrated care, and support more sustainable long</w:t>
      </w:r>
      <w:r w:rsidRPr="007B3397">
        <w:rPr>
          <w:rFonts w:ascii="Cambria Math" w:hAnsi="Cambria Math" w:cs="Cambria Math"/>
        </w:rPr>
        <w:t>‑</w:t>
      </w:r>
      <w:r w:rsidRPr="007B3397">
        <w:rPr>
          <w:rFonts w:ascii="Arial" w:hAnsi="Arial" w:cs="Arial"/>
        </w:rPr>
        <w:t>term improvements in population health.</w:t>
      </w:r>
    </w:p>
    <w:p w14:paraId="136329ED" w14:textId="1A378EBF" w:rsidR="00854CAE" w:rsidRPr="007B3397" w:rsidRDefault="009302CF" w:rsidP="007B3397">
      <w:pPr>
        <w:pStyle w:val="ListParagraph"/>
        <w:spacing w:line="360" w:lineRule="auto"/>
        <w:rPr>
          <w:rFonts w:ascii="Arial" w:hAnsi="Arial" w:cs="Arial"/>
        </w:rPr>
      </w:pPr>
      <w:r w:rsidRPr="007B3397">
        <w:rPr>
          <w:rFonts w:ascii="Arial" w:hAnsi="Arial" w:cs="Arial"/>
        </w:rPr>
        <w:t>.</w:t>
      </w:r>
    </w:p>
    <w:p w14:paraId="28784A82" w14:textId="77777777" w:rsidR="00854CAE" w:rsidRPr="00C64750" w:rsidRDefault="00854CAE" w:rsidP="00C64750">
      <w:pPr>
        <w:spacing w:line="360" w:lineRule="auto"/>
        <w:rPr>
          <w:rFonts w:ascii="Arial" w:hAnsi="Arial" w:cs="Arial"/>
        </w:rPr>
      </w:pPr>
    </w:p>
    <w:p w14:paraId="5CDB0E8F" w14:textId="4A73924D" w:rsidR="00BF6400" w:rsidRPr="007B3397" w:rsidRDefault="00BF6400" w:rsidP="00A95D41">
      <w:pPr>
        <w:pStyle w:val="Heading1"/>
      </w:pPr>
      <w:bookmarkStart w:id="7" w:name="_Toc234963240"/>
      <w:r w:rsidRPr="007B3397">
        <w:t>SECTION 2: SDG 13 – CLIMATE ACTION</w:t>
      </w:r>
      <w:bookmarkEnd w:id="7"/>
      <w:r w:rsidRPr="007B3397">
        <w:t xml:space="preserve"> </w:t>
      </w:r>
    </w:p>
    <w:p w14:paraId="28246756" w14:textId="77777777" w:rsidR="00BF6400" w:rsidRPr="00C64750" w:rsidRDefault="00BF6400" w:rsidP="00C64750">
      <w:pPr>
        <w:spacing w:line="360" w:lineRule="auto"/>
        <w:rPr>
          <w:rFonts w:ascii="Arial" w:hAnsi="Arial" w:cs="Arial"/>
        </w:rPr>
      </w:pPr>
      <w:r w:rsidRPr="00C64750">
        <w:rPr>
          <w:rFonts w:ascii="Arial" w:hAnsi="Arial" w:cs="Arial"/>
        </w:rPr>
        <w:t>SDG 13 aims to “take urgent action to combat climate change and its impacts,” recognising climate change as a major threat to global health, wellbeing, and sustainability (United Nations, 2023). Climate change increases risks of respiratory disease, heat</w:t>
      </w:r>
      <w:r w:rsidRPr="00C64750">
        <w:rPr>
          <w:rFonts w:ascii="Cambria Math" w:hAnsi="Cambria Math" w:cs="Cambria Math"/>
        </w:rPr>
        <w:t>‑</w:t>
      </w:r>
      <w:r w:rsidRPr="00C64750">
        <w:rPr>
          <w:rFonts w:ascii="Arial" w:hAnsi="Arial" w:cs="Arial"/>
        </w:rPr>
        <w:t>related illness, food insecurity, and displacement, making SDG 13 essential for achieving SDG 3 (Watts et al., 2023).</w:t>
      </w:r>
    </w:p>
    <w:p w14:paraId="179D0923" w14:textId="77777777" w:rsidR="00BF6400" w:rsidRPr="00C64750" w:rsidRDefault="00BF6400" w:rsidP="00C64750">
      <w:pPr>
        <w:spacing w:line="360" w:lineRule="auto"/>
        <w:rPr>
          <w:rFonts w:ascii="Arial" w:hAnsi="Arial" w:cs="Arial"/>
        </w:rPr>
      </w:pPr>
    </w:p>
    <w:p w14:paraId="7E7454B5" w14:textId="77777777" w:rsidR="00BF6400" w:rsidRPr="007B3397" w:rsidRDefault="00BF6400" w:rsidP="003E5C69">
      <w:pPr>
        <w:pStyle w:val="Heading2"/>
      </w:pPr>
      <w:bookmarkStart w:id="8" w:name="_Toc234963241"/>
      <w:r w:rsidRPr="007B3397">
        <w:t>Global Policies and Initiatives</w:t>
      </w:r>
      <w:bookmarkEnd w:id="8"/>
    </w:p>
    <w:p w14:paraId="268B5270" w14:textId="1173E62E" w:rsidR="00710A15" w:rsidRDefault="00925A3F" w:rsidP="00C64750">
      <w:pPr>
        <w:spacing w:line="360" w:lineRule="auto"/>
        <w:rPr>
          <w:rFonts w:ascii="Arial" w:hAnsi="Arial" w:cs="Arial"/>
        </w:rPr>
      </w:pPr>
      <w:r w:rsidRPr="00C64750">
        <w:rPr>
          <w:rFonts w:ascii="Arial" w:hAnsi="Arial" w:cs="Arial"/>
        </w:rPr>
        <w:t xml:space="preserve">The Paris Agreement (2016) serves as the key global framework for addressing climate change, aiming to limit global warming to 1.5°C and enhance resilience. Despite this commitment, progress is lagging, with many countries not meeting their emissions targets. The IPCC (2021) warns of rising climate-related health risks, such as heatwaves, air pollution, and extreme weather. Low-income nations, which contribute the least to global </w:t>
      </w:r>
      <w:r w:rsidRPr="00C64750">
        <w:rPr>
          <w:rFonts w:ascii="Arial" w:hAnsi="Arial" w:cs="Arial"/>
        </w:rPr>
        <w:lastRenderedPageBreak/>
        <w:t>emissions, are disproportionately affected, raising ethical issues and underscoring the importance of climate justice in achieving SDG 13.</w:t>
      </w:r>
    </w:p>
    <w:p w14:paraId="4581CBDC" w14:textId="77777777" w:rsidR="007B3397" w:rsidRPr="00C64750" w:rsidRDefault="007B3397" w:rsidP="00C64750">
      <w:pPr>
        <w:spacing w:line="360" w:lineRule="auto"/>
        <w:rPr>
          <w:rFonts w:ascii="Arial" w:hAnsi="Arial" w:cs="Arial"/>
        </w:rPr>
      </w:pPr>
    </w:p>
    <w:p w14:paraId="49E6590B" w14:textId="77777777" w:rsidR="00710A15" w:rsidRPr="007B3397" w:rsidRDefault="00710A15" w:rsidP="003E5C69">
      <w:pPr>
        <w:pStyle w:val="Heading2"/>
      </w:pPr>
      <w:bookmarkStart w:id="9" w:name="_Toc234963242"/>
      <w:r w:rsidRPr="007B3397">
        <w:t>National Policies: United Kingdom</w:t>
      </w:r>
      <w:bookmarkEnd w:id="9"/>
    </w:p>
    <w:p w14:paraId="31BC676B" w14:textId="220FBF22" w:rsidR="00835592" w:rsidRPr="00C64750" w:rsidRDefault="00835592" w:rsidP="00C64750">
      <w:pPr>
        <w:spacing w:line="360" w:lineRule="auto"/>
        <w:rPr>
          <w:rFonts w:ascii="Arial" w:hAnsi="Arial" w:cs="Arial"/>
        </w:rPr>
      </w:pPr>
      <w:r w:rsidRPr="00C64750">
        <w:rPr>
          <w:rFonts w:ascii="Arial" w:hAnsi="Arial" w:cs="Arial"/>
        </w:rPr>
        <w:t>The UK’s Net Zero Strategy (2021) commits to achieving net-zero emissions by 2050 by promoting renewable energy, enhancing energy efficiency, and supporting green transportation. This strategy aligns with Sustainable Development Goal (SDG) 13 and indirectly supports SDG 3 by improving air quality and reducing pollution.</w:t>
      </w:r>
    </w:p>
    <w:p w14:paraId="38671C1D" w14:textId="34DF5CC1" w:rsidR="00835592" w:rsidRPr="00C64750" w:rsidRDefault="00835592" w:rsidP="00C64750">
      <w:pPr>
        <w:spacing w:line="360" w:lineRule="auto"/>
        <w:rPr>
          <w:rFonts w:ascii="Arial" w:hAnsi="Arial" w:cs="Arial"/>
        </w:rPr>
      </w:pPr>
      <w:r w:rsidRPr="00C64750">
        <w:rPr>
          <w:rFonts w:ascii="Arial" w:hAnsi="Arial" w:cs="Arial"/>
        </w:rPr>
        <w:t>The Clean Air Strategy (2019) focuses on tackling air pollution, a significant health risk associated with respiratory and cardiovascular issues, but levels in many UK cities still exceed safe limits, highlighting policy implementation gaps.</w:t>
      </w:r>
    </w:p>
    <w:p w14:paraId="7A64DF95" w14:textId="66AE5D66" w:rsidR="003908EB" w:rsidRPr="00C64750" w:rsidRDefault="00835592" w:rsidP="00C64750">
      <w:pPr>
        <w:spacing w:line="360" w:lineRule="auto"/>
        <w:rPr>
          <w:rFonts w:ascii="Arial" w:hAnsi="Arial" w:cs="Arial"/>
        </w:rPr>
      </w:pPr>
      <w:r w:rsidRPr="00C64750">
        <w:rPr>
          <w:rFonts w:ascii="Arial" w:hAnsi="Arial" w:cs="Arial"/>
        </w:rPr>
        <w:t>The Heatwave Plan for England offers guidance for safeguarding vulnerable groups during increasingly frequent extreme heat events, yet funding cuts to local authorities hinder climate adaptation efforts.</w:t>
      </w:r>
    </w:p>
    <w:p w14:paraId="3993FE93" w14:textId="77777777" w:rsidR="00E571F9" w:rsidRPr="00C64750" w:rsidRDefault="00E571F9" w:rsidP="00C64750">
      <w:pPr>
        <w:spacing w:line="360" w:lineRule="auto"/>
        <w:rPr>
          <w:rFonts w:ascii="Arial" w:hAnsi="Arial" w:cs="Arial"/>
        </w:rPr>
      </w:pPr>
    </w:p>
    <w:p w14:paraId="0AE25024" w14:textId="77777777" w:rsidR="003908EB" w:rsidRPr="007B3397" w:rsidRDefault="003908EB" w:rsidP="003E5C69">
      <w:pPr>
        <w:pStyle w:val="Heading2"/>
      </w:pPr>
      <w:bookmarkStart w:id="10" w:name="_Toc234963243"/>
      <w:r w:rsidRPr="007B3397">
        <w:t>Local Policies: Solihull</w:t>
      </w:r>
      <w:bookmarkEnd w:id="10"/>
    </w:p>
    <w:p w14:paraId="285C5AF3" w14:textId="4A5B54E4" w:rsidR="003908EB" w:rsidRPr="00C64750" w:rsidRDefault="00146DC5" w:rsidP="00C64750">
      <w:pPr>
        <w:spacing w:line="360" w:lineRule="auto"/>
        <w:rPr>
          <w:rFonts w:ascii="Arial" w:hAnsi="Arial" w:cs="Arial"/>
        </w:rPr>
      </w:pPr>
      <w:r w:rsidRPr="00C64750">
        <w:rPr>
          <w:rFonts w:ascii="Arial" w:hAnsi="Arial" w:cs="Arial"/>
        </w:rPr>
        <w:t xml:space="preserve">Solihull's Climate Change Strategy (2020) emphasizes resilience, air quality, green infrastructure, and community involvement. Initiatives include air quality monitoring, cycling routes, tree planting, and heatwave readiness. However, inequalities remain, as deprived areas tend to have less green space and higher pollution, highlighting structural environmental disparities that affect health </w:t>
      </w:r>
      <w:r w:rsidR="005072EE" w:rsidRPr="00C64750">
        <w:rPr>
          <w:rFonts w:ascii="Arial" w:hAnsi="Arial" w:cs="Arial"/>
        </w:rPr>
        <w:t>outcomes. Solihull’s</w:t>
      </w:r>
      <w:r w:rsidRPr="00C64750">
        <w:rPr>
          <w:rFonts w:ascii="Arial" w:hAnsi="Arial" w:cs="Arial"/>
        </w:rPr>
        <w:t xml:space="preserve"> Climate Change Strategy (2020) emphasizes resilience, air quality, green infrastructure, and community involvement. Initiatives include air quality monitoring, cycling routes, tree planting, and heatwave readiness. However, inequalities remain, as deprived areas tend to have less green space and higher pollution, highlighting structural environmental disparities that affect health outcomes.</w:t>
      </w:r>
    </w:p>
    <w:p w14:paraId="41B24CAD" w14:textId="77777777" w:rsidR="00E571F9" w:rsidRPr="007B3397" w:rsidRDefault="00E571F9" w:rsidP="00C64750">
      <w:pPr>
        <w:spacing w:line="360" w:lineRule="auto"/>
        <w:rPr>
          <w:rFonts w:ascii="Arial" w:hAnsi="Arial" w:cs="Arial"/>
          <w:b/>
          <w:bCs/>
        </w:rPr>
      </w:pPr>
    </w:p>
    <w:p w14:paraId="731EAA57" w14:textId="7A19DAEA" w:rsidR="00E32F9A" w:rsidRPr="003E5C69" w:rsidRDefault="003908EB" w:rsidP="003E5C69">
      <w:pPr>
        <w:pStyle w:val="Heading2"/>
      </w:pPr>
      <w:bookmarkStart w:id="11" w:name="_Toc234963244"/>
      <w:r w:rsidRPr="003E5C69">
        <w:t>Use of Theories and Models</w:t>
      </w:r>
      <w:bookmarkEnd w:id="11"/>
    </w:p>
    <w:p w14:paraId="0989C9FA" w14:textId="78D6DC5F" w:rsidR="007E2E19" w:rsidRPr="00C64750" w:rsidRDefault="007E2E19" w:rsidP="00C64750">
      <w:pPr>
        <w:spacing w:line="360" w:lineRule="auto"/>
        <w:rPr>
          <w:rFonts w:ascii="Arial" w:hAnsi="Arial" w:cs="Arial"/>
        </w:rPr>
      </w:pPr>
      <w:r w:rsidRPr="00C64750">
        <w:rPr>
          <w:rFonts w:ascii="Arial" w:hAnsi="Arial" w:cs="Arial"/>
        </w:rPr>
        <w:t xml:space="preserve">Social Cognitive Theory emphasizes the role of social norms in shaping </w:t>
      </w:r>
      <w:r w:rsidR="005072EE" w:rsidRPr="00C64750">
        <w:rPr>
          <w:rFonts w:ascii="Arial" w:hAnsi="Arial" w:cs="Arial"/>
        </w:rPr>
        <w:t>behaviours</w:t>
      </w:r>
      <w:r w:rsidRPr="00C64750">
        <w:rPr>
          <w:rFonts w:ascii="Arial" w:hAnsi="Arial" w:cs="Arial"/>
        </w:rPr>
        <w:t xml:space="preserve"> related to climate issues like recycling and energy consumption, suggesting that community campaigns leveraging role </w:t>
      </w:r>
      <w:r w:rsidR="005072EE" w:rsidRPr="00C64750">
        <w:rPr>
          <w:rFonts w:ascii="Arial" w:hAnsi="Arial" w:cs="Arial"/>
        </w:rPr>
        <w:t>modelling</w:t>
      </w:r>
      <w:r w:rsidRPr="00C64750">
        <w:rPr>
          <w:rFonts w:ascii="Arial" w:hAnsi="Arial" w:cs="Arial"/>
        </w:rPr>
        <w:t xml:space="preserve"> and social reinforcement are particularly effective (Bandura, 2019). </w:t>
      </w:r>
    </w:p>
    <w:p w14:paraId="3B66DD80" w14:textId="1650D108" w:rsidR="00E571F9" w:rsidRDefault="007E2E19" w:rsidP="00C64750">
      <w:pPr>
        <w:spacing w:line="360" w:lineRule="auto"/>
        <w:rPr>
          <w:rFonts w:ascii="Arial" w:hAnsi="Arial" w:cs="Arial"/>
        </w:rPr>
      </w:pPr>
      <w:r w:rsidRPr="00C64750">
        <w:rPr>
          <w:rFonts w:ascii="Arial" w:hAnsi="Arial" w:cs="Arial"/>
        </w:rPr>
        <w:lastRenderedPageBreak/>
        <w:t>The Ecological Model illustrates that climate impacts occur at various levels, including individual (heat stress), community (air quality), and policy (emissions regulation) (Golden and Earp, 2012).</w:t>
      </w:r>
    </w:p>
    <w:p w14:paraId="216B817A" w14:textId="77777777" w:rsidR="007B3397" w:rsidRPr="007B3397" w:rsidRDefault="007B3397" w:rsidP="00C64750">
      <w:pPr>
        <w:spacing w:line="360" w:lineRule="auto"/>
        <w:rPr>
          <w:rFonts w:ascii="Arial" w:hAnsi="Arial" w:cs="Arial"/>
          <w:b/>
          <w:bCs/>
        </w:rPr>
      </w:pPr>
    </w:p>
    <w:p w14:paraId="7E34C275" w14:textId="41192E51" w:rsidR="000363CF" w:rsidRPr="007B3397" w:rsidRDefault="001D343A" w:rsidP="003E5C69">
      <w:pPr>
        <w:pStyle w:val="Heading2"/>
      </w:pPr>
      <w:bookmarkStart w:id="12" w:name="_Toc234963245"/>
      <w:r w:rsidRPr="007B3397">
        <w:t>Evaluation of SDG13 and Recommendations</w:t>
      </w:r>
      <w:bookmarkEnd w:id="12"/>
    </w:p>
    <w:p w14:paraId="24FEA203" w14:textId="5B4A096F" w:rsidR="00A82F0A" w:rsidRPr="00C64750" w:rsidRDefault="00E30EC2" w:rsidP="00C64750">
      <w:pPr>
        <w:spacing w:line="360" w:lineRule="auto"/>
        <w:rPr>
          <w:rFonts w:ascii="Arial" w:hAnsi="Arial" w:cs="Arial"/>
        </w:rPr>
      </w:pPr>
      <w:r w:rsidRPr="00C64750">
        <w:rPr>
          <w:rFonts w:ascii="Arial" w:hAnsi="Arial" w:cs="Arial"/>
        </w:rPr>
        <w:t>Climate change significantly threatens population health, making SDG 13 crucial for achieving SDG 3. Rising temperatures and extreme weather contribute to respiratory and cardiovascular illnesses, heat-related deaths, and mental health issues (Watts et al., 2023). Vulnerable groups, including older adults, children, and those in deprived areas, are disproportionately affected, exacerbating health inequalities (The King’s Fund, 2024).</w:t>
      </w:r>
    </w:p>
    <w:p w14:paraId="2A12A80E" w14:textId="77777777" w:rsidR="00F62C6F" w:rsidRPr="007B3397" w:rsidRDefault="00F62C6F" w:rsidP="00C64750">
      <w:pPr>
        <w:spacing w:line="360" w:lineRule="auto"/>
        <w:rPr>
          <w:rFonts w:ascii="Arial" w:hAnsi="Arial" w:cs="Arial"/>
          <w:b/>
          <w:bCs/>
        </w:rPr>
      </w:pPr>
    </w:p>
    <w:p w14:paraId="75053F90" w14:textId="35E128FA" w:rsidR="00006EAA" w:rsidRPr="007B3397" w:rsidRDefault="00006EAA" w:rsidP="003E5C69">
      <w:pPr>
        <w:pStyle w:val="Heading2"/>
      </w:pPr>
      <w:bookmarkStart w:id="13" w:name="_Toc234963246"/>
      <w:r w:rsidRPr="007B3397">
        <w:t>Global Evaluation</w:t>
      </w:r>
      <w:bookmarkEnd w:id="13"/>
    </w:p>
    <w:p w14:paraId="74C252C5" w14:textId="20C21492" w:rsidR="00F967DD" w:rsidRPr="00C64750" w:rsidRDefault="00F967DD" w:rsidP="00C64750">
      <w:pPr>
        <w:spacing w:line="360" w:lineRule="auto"/>
        <w:rPr>
          <w:rFonts w:ascii="Arial" w:hAnsi="Arial" w:cs="Arial"/>
        </w:rPr>
      </w:pPr>
      <w:r w:rsidRPr="00C64750">
        <w:rPr>
          <w:rFonts w:ascii="Arial" w:hAnsi="Arial" w:cs="Arial"/>
        </w:rPr>
        <w:t xml:space="preserve">The Paris Agreement (2016) serves as the key global framework for climate action, aiming to limit warming to 1.5°C. However, many nations are lagging in meeting emissions targets, with the IPCC (2021) warning of rapidly increasing climate-related health risks and inadequate adaptation efforts. Low-income countries </w:t>
      </w:r>
      <w:r w:rsidR="00803B5F" w:rsidRPr="00C64750">
        <w:rPr>
          <w:rFonts w:ascii="Arial" w:hAnsi="Arial" w:cs="Arial"/>
        </w:rPr>
        <w:t>endure the most of</w:t>
      </w:r>
      <w:r w:rsidRPr="00C64750">
        <w:rPr>
          <w:rFonts w:ascii="Arial" w:hAnsi="Arial" w:cs="Arial"/>
        </w:rPr>
        <w:t xml:space="preserve"> these issues despite their minimal contributions to global emissions, raising concerns about climate justice and equity. This highlights a significant gap in the implementation of SDG 13.</w:t>
      </w:r>
    </w:p>
    <w:p w14:paraId="5E05D22E" w14:textId="204E4AB0" w:rsidR="009F3BA1" w:rsidRPr="00C64750" w:rsidRDefault="00F967DD" w:rsidP="00C64750">
      <w:pPr>
        <w:spacing w:line="360" w:lineRule="auto"/>
        <w:rPr>
          <w:rFonts w:ascii="Arial" w:hAnsi="Arial" w:cs="Arial"/>
        </w:rPr>
      </w:pPr>
      <w:r w:rsidRPr="00C64750">
        <w:rPr>
          <w:rFonts w:ascii="Arial" w:hAnsi="Arial" w:cs="Arial"/>
        </w:rPr>
        <w:t xml:space="preserve">In the UK, Solihull's Public Health Annual Report shows progress in vaccination rates and reduced smoking, but persistent inequalities related to deprivation, digital exclusion, and transport barriers remain. These issues align with the Ecological Model, which illustrates how social, environmental, and policy factors shape individual </w:t>
      </w:r>
      <w:r w:rsidR="005072EE" w:rsidRPr="00C64750">
        <w:rPr>
          <w:rFonts w:ascii="Arial" w:hAnsi="Arial" w:cs="Arial"/>
        </w:rPr>
        <w:t>behaviour</w:t>
      </w:r>
      <w:r w:rsidRPr="00C64750">
        <w:rPr>
          <w:rFonts w:ascii="Arial" w:hAnsi="Arial" w:cs="Arial"/>
        </w:rPr>
        <w:t>.</w:t>
      </w:r>
    </w:p>
    <w:p w14:paraId="205D149E" w14:textId="77777777" w:rsidR="009F3BA1" w:rsidRPr="00C64750" w:rsidRDefault="009F3BA1" w:rsidP="00C64750">
      <w:pPr>
        <w:spacing w:line="360" w:lineRule="auto"/>
        <w:rPr>
          <w:rFonts w:ascii="Arial" w:hAnsi="Arial" w:cs="Arial"/>
        </w:rPr>
      </w:pPr>
    </w:p>
    <w:p w14:paraId="2DECA613" w14:textId="77777777" w:rsidR="009F3BA1" w:rsidRPr="007B3397" w:rsidRDefault="009F3BA1" w:rsidP="003E5C69">
      <w:pPr>
        <w:pStyle w:val="Heading2"/>
      </w:pPr>
      <w:bookmarkStart w:id="14" w:name="_Toc234963247"/>
      <w:r w:rsidRPr="007B3397">
        <w:t>Use of Theories and Models</w:t>
      </w:r>
      <w:bookmarkEnd w:id="14"/>
    </w:p>
    <w:p w14:paraId="4A932106" w14:textId="5A292364" w:rsidR="006C5756" w:rsidRPr="00C64750" w:rsidRDefault="006C5756" w:rsidP="00C64750">
      <w:pPr>
        <w:spacing w:line="360" w:lineRule="auto"/>
        <w:rPr>
          <w:rFonts w:ascii="Arial" w:hAnsi="Arial" w:cs="Arial"/>
        </w:rPr>
      </w:pPr>
      <w:r w:rsidRPr="00C64750">
        <w:rPr>
          <w:rFonts w:ascii="Arial" w:hAnsi="Arial" w:cs="Arial"/>
        </w:rPr>
        <w:t xml:space="preserve">The Health Belief Model (HBM) is effective in </w:t>
      </w:r>
      <w:r w:rsidR="005072EE" w:rsidRPr="00C64750">
        <w:rPr>
          <w:rFonts w:ascii="Arial" w:hAnsi="Arial" w:cs="Arial"/>
        </w:rPr>
        <w:t>analysing</w:t>
      </w:r>
      <w:r w:rsidRPr="00C64750">
        <w:rPr>
          <w:rFonts w:ascii="Arial" w:hAnsi="Arial" w:cs="Arial"/>
        </w:rPr>
        <w:t xml:space="preserve"> vaccination </w:t>
      </w:r>
      <w:r w:rsidR="005072EE" w:rsidRPr="00C64750">
        <w:rPr>
          <w:rFonts w:ascii="Arial" w:hAnsi="Arial" w:cs="Arial"/>
        </w:rPr>
        <w:t>behaviour</w:t>
      </w:r>
      <w:r w:rsidRPr="00C64750">
        <w:rPr>
          <w:rFonts w:ascii="Arial" w:hAnsi="Arial" w:cs="Arial"/>
        </w:rPr>
        <w:t>. COVID-19 vaccination campaigns utilized perceived threats (risk of infection), perceived benefits (protection), and self-efficacy (easy booking) to boost uptake (Carpenter, 2018). However, issues such as m</w:t>
      </w:r>
      <w:r w:rsidR="00E571F9" w:rsidRPr="00C64750">
        <w:rPr>
          <w:rFonts w:ascii="Arial" w:hAnsi="Arial" w:cs="Arial"/>
        </w:rPr>
        <w:t>i</w:t>
      </w:r>
      <w:r w:rsidRPr="00C64750">
        <w:rPr>
          <w:rFonts w:ascii="Arial" w:hAnsi="Arial" w:cs="Arial"/>
        </w:rPr>
        <w:t>strust and cultural barriers hindered effectiveness in some communities.</w:t>
      </w:r>
    </w:p>
    <w:p w14:paraId="465FAFA0" w14:textId="235747FB" w:rsidR="006C5756" w:rsidRPr="00C64750" w:rsidRDefault="006C5756" w:rsidP="00C64750">
      <w:pPr>
        <w:spacing w:line="360" w:lineRule="auto"/>
        <w:rPr>
          <w:rFonts w:ascii="Arial" w:hAnsi="Arial" w:cs="Arial"/>
        </w:rPr>
      </w:pPr>
      <w:r w:rsidRPr="00C64750">
        <w:rPr>
          <w:rFonts w:ascii="Arial" w:hAnsi="Arial" w:cs="Arial"/>
        </w:rPr>
        <w:t xml:space="preserve">Social Cognitive Theory (SCT) addresses </w:t>
      </w:r>
      <w:r w:rsidR="005072EE" w:rsidRPr="00C64750">
        <w:rPr>
          <w:rFonts w:ascii="Arial" w:hAnsi="Arial" w:cs="Arial"/>
        </w:rPr>
        <w:t>behaviour</w:t>
      </w:r>
      <w:r w:rsidRPr="00C64750">
        <w:rPr>
          <w:rFonts w:ascii="Arial" w:hAnsi="Arial" w:cs="Arial"/>
        </w:rPr>
        <w:t xml:space="preserve"> </w:t>
      </w:r>
      <w:r w:rsidR="005072EE" w:rsidRPr="00C64750">
        <w:rPr>
          <w:rFonts w:ascii="Arial" w:hAnsi="Arial" w:cs="Arial"/>
        </w:rPr>
        <w:t>changes</w:t>
      </w:r>
      <w:r w:rsidRPr="00C64750">
        <w:rPr>
          <w:rFonts w:ascii="Arial" w:hAnsi="Arial" w:cs="Arial"/>
        </w:rPr>
        <w:t xml:space="preserve"> in areas like smoking cessation and physical activity, emphasizing the role of social norms and role </w:t>
      </w:r>
      <w:r w:rsidR="005072EE" w:rsidRPr="00C64750">
        <w:rPr>
          <w:rFonts w:ascii="Arial" w:hAnsi="Arial" w:cs="Arial"/>
        </w:rPr>
        <w:t>modelling</w:t>
      </w:r>
      <w:r w:rsidRPr="00C64750">
        <w:rPr>
          <w:rFonts w:ascii="Arial" w:hAnsi="Arial" w:cs="Arial"/>
        </w:rPr>
        <w:t xml:space="preserve"> in community interventions (Bandura, 2019).</w:t>
      </w:r>
    </w:p>
    <w:p w14:paraId="650425BA" w14:textId="53544DE9" w:rsidR="006C5756" w:rsidRPr="00C64750" w:rsidRDefault="006C5756" w:rsidP="00C64750">
      <w:pPr>
        <w:spacing w:line="360" w:lineRule="auto"/>
        <w:rPr>
          <w:rFonts w:ascii="Arial" w:hAnsi="Arial" w:cs="Arial"/>
        </w:rPr>
      </w:pPr>
      <w:r w:rsidRPr="00C64750">
        <w:rPr>
          <w:rFonts w:ascii="Arial" w:hAnsi="Arial" w:cs="Arial"/>
        </w:rPr>
        <w:lastRenderedPageBreak/>
        <w:t xml:space="preserve">The Ecological Model illustrates how structural factors like housing and income impact health inequalities, notably in Solihull, where poorer </w:t>
      </w:r>
      <w:r w:rsidR="005072EE" w:rsidRPr="00C64750">
        <w:rPr>
          <w:rFonts w:ascii="Arial" w:hAnsi="Arial" w:cs="Arial"/>
        </w:rPr>
        <w:t>neighbourhoods</w:t>
      </w:r>
      <w:r w:rsidRPr="00C64750">
        <w:rPr>
          <w:rFonts w:ascii="Arial" w:hAnsi="Arial" w:cs="Arial"/>
        </w:rPr>
        <w:t xml:space="preserve"> face worse health outcomes despite overall wealth (Golden and Earp, 2012).</w:t>
      </w:r>
    </w:p>
    <w:p w14:paraId="69310D22" w14:textId="6B284DC6" w:rsidR="00823F03" w:rsidRPr="00C64750" w:rsidRDefault="006C5756" w:rsidP="00C64750">
      <w:pPr>
        <w:spacing w:line="360" w:lineRule="auto"/>
        <w:rPr>
          <w:rFonts w:ascii="Arial" w:hAnsi="Arial" w:cs="Arial"/>
        </w:rPr>
      </w:pPr>
      <w:r w:rsidRPr="00C64750">
        <w:rPr>
          <w:rFonts w:ascii="Arial" w:hAnsi="Arial" w:cs="Arial"/>
        </w:rPr>
        <w:t>In the UK, the Net Zero Strategy (2021) aims to cut emissions by 2050 and enhance renewable energy (HM Government, 2021). Despite this alignment with SDG 13, significant challenges remain, including high air pollution levels linked to premature deaths (Department for Environment, Food &amp; Rural Affairs, 2019). The Clean Air Strategy (2019) outlines ambitious goals, but inconsistent enforcement and limited resources for local authorities impede progress. Additionally, increasing heatwaves pose risks, yet public preparedness is low, with funding cuts limiting local councils’ ability to safeguard vulnerable populations (The King’s Fund, 2024). This underscores the gap between national policy intentions and local execution.</w:t>
      </w:r>
    </w:p>
    <w:p w14:paraId="0B66A45D" w14:textId="77777777" w:rsidR="00E571F9" w:rsidRPr="00C64750" w:rsidRDefault="00E571F9" w:rsidP="00C64750">
      <w:pPr>
        <w:spacing w:line="360" w:lineRule="auto"/>
        <w:rPr>
          <w:rFonts w:ascii="Arial" w:hAnsi="Arial" w:cs="Arial"/>
        </w:rPr>
      </w:pPr>
    </w:p>
    <w:p w14:paraId="1CBAFBCD" w14:textId="491FAF7E" w:rsidR="00823F03" w:rsidRPr="007B3397" w:rsidRDefault="00823F03" w:rsidP="003E5C69">
      <w:pPr>
        <w:pStyle w:val="Heading2"/>
      </w:pPr>
      <w:bookmarkStart w:id="15" w:name="_Toc234963248"/>
      <w:r w:rsidRPr="007B3397">
        <w:t>Local</w:t>
      </w:r>
      <w:r w:rsidR="0076520C" w:rsidRPr="007B3397">
        <w:t xml:space="preserve"> Evaluation</w:t>
      </w:r>
      <w:r w:rsidR="00E571F9" w:rsidRPr="007B3397">
        <w:t xml:space="preserve"> </w:t>
      </w:r>
      <w:r w:rsidR="0076520C" w:rsidRPr="007B3397">
        <w:t>(Solihull)</w:t>
      </w:r>
      <w:bookmarkEnd w:id="15"/>
    </w:p>
    <w:p w14:paraId="11C707D3" w14:textId="075B22E2" w:rsidR="00823F03" w:rsidRPr="00C64750" w:rsidRDefault="005D1C4D" w:rsidP="00C64750">
      <w:pPr>
        <w:spacing w:line="360" w:lineRule="auto"/>
        <w:rPr>
          <w:rFonts w:ascii="Arial" w:hAnsi="Arial" w:cs="Arial"/>
        </w:rPr>
      </w:pPr>
      <w:r w:rsidRPr="00C64750">
        <w:rPr>
          <w:rFonts w:ascii="Arial" w:hAnsi="Arial" w:cs="Arial"/>
        </w:rPr>
        <w:t>Solihull's Climate Change Strategy (2020) prioritizes resilience, air quality, green infrastructure, and community involvement (Solihull Metropolitan Borough Council, 2020). Local initiatives include tree planting, cycling routes, and air quality monitoring. However, disadvantaged areas like North Solihull face worse air quality and fewer green spaces, reflecting ongoing environmental inequalities that affect health (Solihull Metropolitan Borough Council, 2023).</w:t>
      </w:r>
    </w:p>
    <w:p w14:paraId="1B83F781" w14:textId="77777777" w:rsidR="00823F03" w:rsidRPr="007B3397" w:rsidRDefault="00823F03" w:rsidP="00C64750">
      <w:pPr>
        <w:spacing w:line="360" w:lineRule="auto"/>
        <w:rPr>
          <w:rFonts w:ascii="Arial" w:hAnsi="Arial" w:cs="Arial"/>
          <w:b/>
          <w:bCs/>
        </w:rPr>
      </w:pPr>
    </w:p>
    <w:p w14:paraId="4E8DDAD7" w14:textId="30BADF24" w:rsidR="00AC6943" w:rsidRPr="007B3397" w:rsidRDefault="00823F03" w:rsidP="003E5C69">
      <w:pPr>
        <w:pStyle w:val="Heading2"/>
      </w:pPr>
      <w:bookmarkStart w:id="16" w:name="_Toc234963249"/>
      <w:r w:rsidRPr="007B3397">
        <w:t>Recommendations</w:t>
      </w:r>
      <w:bookmarkEnd w:id="16"/>
    </w:p>
    <w:p w14:paraId="74AF330A" w14:textId="77777777" w:rsidR="00C56622" w:rsidRPr="00C64750" w:rsidRDefault="00C56622" w:rsidP="00C64750">
      <w:pPr>
        <w:spacing w:line="360" w:lineRule="auto"/>
        <w:rPr>
          <w:rFonts w:ascii="Arial" w:hAnsi="Arial" w:cs="Arial"/>
        </w:rPr>
      </w:pPr>
      <w:r w:rsidRPr="00C64750">
        <w:rPr>
          <w:rFonts w:ascii="Arial" w:hAnsi="Arial" w:cs="Arial"/>
        </w:rPr>
        <w:t xml:space="preserve">Key recommendations include:  </w:t>
      </w:r>
    </w:p>
    <w:p w14:paraId="199DD033" w14:textId="6DB4E957" w:rsidR="00C56622" w:rsidRPr="007B3397" w:rsidRDefault="00C56622" w:rsidP="007B3397">
      <w:pPr>
        <w:pStyle w:val="ListParagraph"/>
        <w:numPr>
          <w:ilvl w:val="0"/>
          <w:numId w:val="3"/>
        </w:numPr>
        <w:spacing w:line="360" w:lineRule="auto"/>
        <w:rPr>
          <w:rFonts w:ascii="Arial" w:hAnsi="Arial" w:cs="Arial"/>
        </w:rPr>
      </w:pPr>
      <w:r w:rsidRPr="007B3397">
        <w:rPr>
          <w:rFonts w:ascii="Arial" w:hAnsi="Arial" w:cs="Arial"/>
        </w:rPr>
        <w:t xml:space="preserve">Enhancing enforcement of air quality regulations to lower pollution-related health risks.  </w:t>
      </w:r>
    </w:p>
    <w:p w14:paraId="46862811" w14:textId="73D18D35" w:rsidR="00C56622" w:rsidRPr="007B3397" w:rsidRDefault="007B3397" w:rsidP="007B3397">
      <w:pPr>
        <w:pStyle w:val="ListParagraph"/>
        <w:numPr>
          <w:ilvl w:val="0"/>
          <w:numId w:val="3"/>
        </w:numPr>
        <w:spacing w:line="360" w:lineRule="auto"/>
        <w:rPr>
          <w:rFonts w:ascii="Arial" w:hAnsi="Arial" w:cs="Arial"/>
        </w:rPr>
      </w:pPr>
      <w:r w:rsidRPr="007B3397">
        <w:rPr>
          <w:rFonts w:ascii="Arial" w:hAnsi="Arial" w:cs="Arial"/>
        </w:rPr>
        <w:t>B</w:t>
      </w:r>
      <w:r w:rsidR="00C56622" w:rsidRPr="007B3397">
        <w:rPr>
          <w:rFonts w:ascii="Arial" w:hAnsi="Arial" w:cs="Arial"/>
        </w:rPr>
        <w:t xml:space="preserve">oosting investment in green infrastructure in underserved </w:t>
      </w:r>
      <w:r w:rsidR="005072EE" w:rsidRPr="007B3397">
        <w:rPr>
          <w:rFonts w:ascii="Arial" w:hAnsi="Arial" w:cs="Arial"/>
        </w:rPr>
        <w:t>neighbourhoods</w:t>
      </w:r>
      <w:r w:rsidR="00803B5F" w:rsidRPr="007B3397">
        <w:rPr>
          <w:rFonts w:ascii="Arial" w:hAnsi="Arial" w:cs="Arial"/>
        </w:rPr>
        <w:t xml:space="preserve">. </w:t>
      </w:r>
    </w:p>
    <w:p w14:paraId="389604F3" w14:textId="66628DC4" w:rsidR="00C56622" w:rsidRPr="007B3397" w:rsidRDefault="00C56622" w:rsidP="007B3397">
      <w:pPr>
        <w:pStyle w:val="ListParagraph"/>
        <w:numPr>
          <w:ilvl w:val="0"/>
          <w:numId w:val="3"/>
        </w:numPr>
        <w:spacing w:line="360" w:lineRule="auto"/>
        <w:rPr>
          <w:rFonts w:ascii="Arial" w:hAnsi="Arial" w:cs="Arial"/>
        </w:rPr>
      </w:pPr>
      <w:r w:rsidRPr="007B3397">
        <w:rPr>
          <w:rFonts w:ascii="Arial" w:hAnsi="Arial" w:cs="Arial"/>
        </w:rPr>
        <w:t xml:space="preserve">Launching awareness campaigns based on Social Cognitive Theory to promote sustainable </w:t>
      </w:r>
      <w:r w:rsidR="005072EE" w:rsidRPr="007B3397">
        <w:rPr>
          <w:rFonts w:ascii="Arial" w:hAnsi="Arial" w:cs="Arial"/>
        </w:rPr>
        <w:t>behaviours</w:t>
      </w:r>
      <w:r w:rsidRPr="007B3397">
        <w:rPr>
          <w:rFonts w:ascii="Arial" w:hAnsi="Arial" w:cs="Arial"/>
        </w:rPr>
        <w:t xml:space="preserve"> (Bandura, 2019)</w:t>
      </w:r>
      <w:r w:rsidR="00803B5F" w:rsidRPr="007B3397">
        <w:rPr>
          <w:rFonts w:ascii="Arial" w:hAnsi="Arial" w:cs="Arial"/>
        </w:rPr>
        <w:t xml:space="preserve">. </w:t>
      </w:r>
    </w:p>
    <w:p w14:paraId="7533FAEE" w14:textId="1720F87D" w:rsidR="00C56622" w:rsidRPr="007B3397" w:rsidRDefault="00C56622" w:rsidP="007B3397">
      <w:pPr>
        <w:pStyle w:val="ListParagraph"/>
        <w:numPr>
          <w:ilvl w:val="0"/>
          <w:numId w:val="3"/>
        </w:numPr>
        <w:spacing w:line="360" w:lineRule="auto"/>
        <w:rPr>
          <w:rFonts w:ascii="Arial" w:hAnsi="Arial" w:cs="Arial"/>
        </w:rPr>
      </w:pPr>
      <w:r w:rsidRPr="007B3397">
        <w:rPr>
          <w:rFonts w:ascii="Arial" w:hAnsi="Arial" w:cs="Arial"/>
        </w:rPr>
        <w:t>Strengthening climate-resilient healthcare planning for vulnerable populations during heatwaves</w:t>
      </w:r>
      <w:r w:rsidR="00803B5F" w:rsidRPr="007B3397">
        <w:rPr>
          <w:rFonts w:ascii="Arial" w:hAnsi="Arial" w:cs="Arial"/>
        </w:rPr>
        <w:t xml:space="preserve">. </w:t>
      </w:r>
    </w:p>
    <w:p w14:paraId="3EC9FD7C" w14:textId="29FF2C15" w:rsidR="005266DB" w:rsidRPr="007B3397" w:rsidRDefault="00C56622" w:rsidP="007B3397">
      <w:pPr>
        <w:pStyle w:val="ListParagraph"/>
        <w:numPr>
          <w:ilvl w:val="0"/>
          <w:numId w:val="3"/>
        </w:numPr>
        <w:spacing w:line="360" w:lineRule="auto"/>
        <w:rPr>
          <w:rFonts w:ascii="Arial" w:hAnsi="Arial" w:cs="Arial"/>
        </w:rPr>
      </w:pPr>
      <w:r w:rsidRPr="007B3397">
        <w:rPr>
          <w:rFonts w:ascii="Arial" w:hAnsi="Arial" w:cs="Arial"/>
        </w:rPr>
        <w:t>Encouraging collaboration across health, environment, housing, and transport sectors to tackle climate-related health issues</w:t>
      </w:r>
      <w:r w:rsidR="00803B5F" w:rsidRPr="007B3397">
        <w:rPr>
          <w:rFonts w:ascii="Arial" w:hAnsi="Arial" w:cs="Arial"/>
        </w:rPr>
        <w:t xml:space="preserve">. </w:t>
      </w:r>
    </w:p>
    <w:p w14:paraId="4D3D9465" w14:textId="77777777" w:rsidR="005266DB" w:rsidRPr="00C64750" w:rsidRDefault="005266DB" w:rsidP="00C64750">
      <w:pPr>
        <w:spacing w:line="360" w:lineRule="auto"/>
        <w:rPr>
          <w:rFonts w:ascii="Arial" w:hAnsi="Arial" w:cs="Arial"/>
        </w:rPr>
      </w:pPr>
    </w:p>
    <w:p w14:paraId="2672EF00" w14:textId="77777777" w:rsidR="005266DB" w:rsidRPr="00C64750" w:rsidRDefault="005266DB" w:rsidP="003E5C69">
      <w:pPr>
        <w:pStyle w:val="Heading1"/>
      </w:pPr>
    </w:p>
    <w:p w14:paraId="5E9FEC9E" w14:textId="3D132967" w:rsidR="007059D9" w:rsidRPr="007B3397" w:rsidRDefault="007059D9" w:rsidP="003E5C69">
      <w:pPr>
        <w:pStyle w:val="Heading1"/>
        <w:rPr>
          <w:bCs/>
        </w:rPr>
      </w:pPr>
      <w:bookmarkStart w:id="17" w:name="_Toc234963250"/>
      <w:r w:rsidRPr="007B3397">
        <w:rPr>
          <w:bCs/>
        </w:rPr>
        <w:t>C</w:t>
      </w:r>
      <w:r w:rsidR="00CD3C58">
        <w:rPr>
          <w:bCs/>
        </w:rPr>
        <w:t>ONCLUSION</w:t>
      </w:r>
      <w:bookmarkEnd w:id="17"/>
    </w:p>
    <w:p w14:paraId="11C0043F" w14:textId="4AED7FA9" w:rsidR="00DB5956" w:rsidRPr="00C64750" w:rsidRDefault="00DB5956" w:rsidP="00C64750">
      <w:pPr>
        <w:spacing w:line="360" w:lineRule="auto"/>
        <w:rPr>
          <w:rFonts w:ascii="Arial" w:hAnsi="Arial" w:cs="Arial"/>
        </w:rPr>
      </w:pPr>
      <w:r w:rsidRPr="00C64750">
        <w:rPr>
          <w:rFonts w:ascii="Arial" w:hAnsi="Arial" w:cs="Arial"/>
        </w:rPr>
        <w:t xml:space="preserve">This report has thoroughly </w:t>
      </w:r>
      <w:r w:rsidR="005072EE" w:rsidRPr="00C64750">
        <w:rPr>
          <w:rFonts w:ascii="Arial" w:hAnsi="Arial" w:cs="Arial"/>
        </w:rPr>
        <w:t>analysed</w:t>
      </w:r>
      <w:r w:rsidRPr="00C64750">
        <w:rPr>
          <w:rFonts w:ascii="Arial" w:hAnsi="Arial" w:cs="Arial"/>
        </w:rPr>
        <w:t xml:space="preserve"> SDG 3 and SDG 13 within global, national, and local settings, illustrating the deep connections between health and climate initiatives. While global frameworks like the WHO UHC agenda and the Paris Agreement offer guidance, the execution at national and local levels shows significant variation. In the UK, there are strong policy commitments in place, but challenges such as inequalities, funding limitations, and workforce issues hinder progress. Local efforts in Solihull exhibit encouraging community involvement but need increased investment and focused support for disadvantaged groups.</w:t>
      </w:r>
    </w:p>
    <w:p w14:paraId="1661AF01" w14:textId="5E9CCD72" w:rsidR="007059D9" w:rsidRPr="00C64750" w:rsidRDefault="00DB5956" w:rsidP="00C64750">
      <w:pPr>
        <w:spacing w:line="360" w:lineRule="auto"/>
        <w:rPr>
          <w:rFonts w:ascii="Arial" w:hAnsi="Arial" w:cs="Arial"/>
        </w:rPr>
      </w:pPr>
      <w:r w:rsidRPr="00C64750">
        <w:rPr>
          <w:rFonts w:ascii="Arial" w:hAnsi="Arial" w:cs="Arial"/>
        </w:rPr>
        <w:t xml:space="preserve">The analysis emphasizes that effective action demands collaboration across multiple levels, the creation of evidence-based policies, and the adoption of </w:t>
      </w:r>
      <w:r w:rsidR="005072EE" w:rsidRPr="00C64750">
        <w:rPr>
          <w:rFonts w:ascii="Arial" w:hAnsi="Arial" w:cs="Arial"/>
        </w:rPr>
        <w:t>behavioural</w:t>
      </w:r>
      <w:r w:rsidRPr="00C64750">
        <w:rPr>
          <w:rFonts w:ascii="Arial" w:hAnsi="Arial" w:cs="Arial"/>
        </w:rPr>
        <w:t xml:space="preserve"> theories like the Health Belief Model and Social Cognitive Theory. Strengthening preventive measures, enhancing communication, and tackling systemic inequalities are crucial for the accomplishment of both SDGs. Ultimately, fostering progress on SDG 3 and SDG 13 concurrently can lead to healthier, more resilient communities and promote sustainable development.</w:t>
      </w:r>
    </w:p>
    <w:p w14:paraId="3C83663F" w14:textId="77777777" w:rsidR="007059D9" w:rsidRPr="00C64750" w:rsidRDefault="007059D9" w:rsidP="007059D9">
      <w:pPr>
        <w:rPr>
          <w:rFonts w:ascii="Arial" w:hAnsi="Arial" w:cs="Arial"/>
        </w:rPr>
      </w:pPr>
    </w:p>
    <w:p w14:paraId="3D6FAFF8" w14:textId="77777777" w:rsidR="007059D9" w:rsidRPr="00C64750" w:rsidRDefault="007059D9" w:rsidP="007059D9">
      <w:pPr>
        <w:rPr>
          <w:rFonts w:ascii="Arial" w:hAnsi="Arial" w:cs="Arial"/>
        </w:rPr>
      </w:pPr>
    </w:p>
    <w:p w14:paraId="4485783D" w14:textId="77777777" w:rsidR="007059D9" w:rsidRPr="00C64750" w:rsidRDefault="007059D9" w:rsidP="007059D9">
      <w:pPr>
        <w:rPr>
          <w:rFonts w:ascii="Arial" w:hAnsi="Arial" w:cs="Arial"/>
        </w:rPr>
      </w:pPr>
    </w:p>
    <w:p w14:paraId="23CC4B62" w14:textId="77777777" w:rsidR="007059D9" w:rsidRPr="00C64750" w:rsidRDefault="007059D9" w:rsidP="007059D9">
      <w:pPr>
        <w:rPr>
          <w:rFonts w:ascii="Arial" w:hAnsi="Arial" w:cs="Arial"/>
        </w:rPr>
      </w:pPr>
    </w:p>
    <w:p w14:paraId="0BE8B763" w14:textId="77777777" w:rsidR="007059D9" w:rsidRPr="00C64750" w:rsidRDefault="007059D9" w:rsidP="007059D9">
      <w:pPr>
        <w:rPr>
          <w:rFonts w:ascii="Arial" w:hAnsi="Arial" w:cs="Arial"/>
        </w:rPr>
      </w:pPr>
    </w:p>
    <w:p w14:paraId="7BBF9D01" w14:textId="77777777" w:rsidR="00F821BE" w:rsidRPr="00C64750" w:rsidRDefault="00F821BE" w:rsidP="00843464">
      <w:pPr>
        <w:rPr>
          <w:rFonts w:ascii="Arial" w:hAnsi="Arial" w:cs="Arial"/>
        </w:rPr>
      </w:pPr>
    </w:p>
    <w:p w14:paraId="234ADDA2" w14:textId="77777777" w:rsidR="00F821BE" w:rsidRPr="00C64750" w:rsidRDefault="00F821BE" w:rsidP="00843464">
      <w:pPr>
        <w:rPr>
          <w:rFonts w:ascii="Arial" w:hAnsi="Arial" w:cs="Arial"/>
        </w:rPr>
      </w:pPr>
    </w:p>
    <w:p w14:paraId="54C55178" w14:textId="77777777" w:rsidR="00F821BE" w:rsidRPr="00C64750" w:rsidRDefault="00F821BE" w:rsidP="00843464">
      <w:pPr>
        <w:rPr>
          <w:rFonts w:ascii="Arial" w:hAnsi="Arial" w:cs="Arial"/>
        </w:rPr>
      </w:pPr>
    </w:p>
    <w:p w14:paraId="3616C1F6" w14:textId="77777777" w:rsidR="00F821BE" w:rsidRPr="00C64750" w:rsidRDefault="00F821BE" w:rsidP="00843464">
      <w:pPr>
        <w:rPr>
          <w:rFonts w:ascii="Arial" w:hAnsi="Arial" w:cs="Arial"/>
        </w:rPr>
      </w:pPr>
    </w:p>
    <w:p w14:paraId="0FF29803" w14:textId="77777777" w:rsidR="0022054B" w:rsidRDefault="0022054B" w:rsidP="00843464">
      <w:pPr>
        <w:rPr>
          <w:rFonts w:ascii="Arial" w:hAnsi="Arial" w:cs="Arial"/>
        </w:rPr>
      </w:pPr>
    </w:p>
    <w:p w14:paraId="6BCB6080" w14:textId="77777777" w:rsidR="0022054B" w:rsidRDefault="0022054B" w:rsidP="00843464">
      <w:pPr>
        <w:rPr>
          <w:rFonts w:ascii="Arial" w:hAnsi="Arial" w:cs="Arial"/>
        </w:rPr>
      </w:pPr>
    </w:p>
    <w:p w14:paraId="206C987E" w14:textId="77777777" w:rsidR="0022054B" w:rsidRDefault="0022054B" w:rsidP="00843464">
      <w:pPr>
        <w:rPr>
          <w:rFonts w:ascii="Arial" w:hAnsi="Arial" w:cs="Arial"/>
        </w:rPr>
      </w:pPr>
    </w:p>
    <w:p w14:paraId="7E1E60EE" w14:textId="77777777" w:rsidR="007B3397" w:rsidRDefault="007B3397" w:rsidP="0029075E">
      <w:pPr>
        <w:ind w:left="1440" w:firstLine="720"/>
        <w:rPr>
          <w:rFonts w:ascii="Arial" w:hAnsi="Arial" w:cs="Arial"/>
        </w:rPr>
      </w:pPr>
    </w:p>
    <w:p w14:paraId="45230C07" w14:textId="77777777" w:rsidR="007B3397" w:rsidRDefault="007B3397" w:rsidP="0029075E">
      <w:pPr>
        <w:ind w:left="1440" w:firstLine="720"/>
        <w:rPr>
          <w:rFonts w:ascii="Arial" w:hAnsi="Arial" w:cs="Arial"/>
        </w:rPr>
      </w:pPr>
    </w:p>
    <w:p w14:paraId="2812F4AD" w14:textId="77777777" w:rsidR="00CD3C58" w:rsidRPr="00CD3C58" w:rsidRDefault="00CD3C58" w:rsidP="00CD3C58"/>
    <w:p w14:paraId="1CF88EDD" w14:textId="113B8A3E" w:rsidR="0022054B" w:rsidRPr="007B3397" w:rsidRDefault="007B3397" w:rsidP="003E5C69">
      <w:pPr>
        <w:pStyle w:val="Heading1"/>
        <w:jc w:val="center"/>
      </w:pPr>
      <w:bookmarkStart w:id="18" w:name="_Toc234963251"/>
      <w:r>
        <w:lastRenderedPageBreak/>
        <w:t>REFERENCES</w:t>
      </w:r>
      <w:bookmarkEnd w:id="18"/>
    </w:p>
    <w:p w14:paraId="79BD3E9A" w14:textId="6ECE5B7E"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Bandura, A. (2019) </w:t>
      </w:r>
      <w:r w:rsidRPr="009643B8">
        <w:rPr>
          <w:rFonts w:ascii="Arial" w:hAnsi="Arial" w:cs="Arial"/>
          <w:i/>
          <w:iCs/>
        </w:rPr>
        <w:t>Social Cognitive Theory: An Agentic Perspective.</w:t>
      </w:r>
      <w:r w:rsidRPr="009643B8">
        <w:rPr>
          <w:rFonts w:ascii="Arial" w:hAnsi="Arial" w:cs="Arial"/>
        </w:rPr>
        <w:t xml:space="preserve"> Available at: </w:t>
      </w:r>
      <w:hyperlink r:id="rId8" w:history="1">
        <w:r w:rsidRPr="009643B8">
          <w:rPr>
            <w:rStyle w:val="Hyperlink"/>
            <w:rFonts w:ascii="Arial" w:hAnsi="Arial" w:cs="Arial"/>
          </w:rPr>
          <w:t>https://www.routledge.com/Social-Cognitive-Theory-An-Agentic-Perspective/Bandura/p/book/9781138572287</w:t>
        </w:r>
      </w:hyperlink>
      <w:r w:rsidRPr="009643B8">
        <w:rPr>
          <w:rFonts w:ascii="Arial" w:hAnsi="Arial" w:cs="Arial"/>
        </w:rPr>
        <w:t xml:space="preserve"> </w:t>
      </w:r>
      <w:r w:rsidRPr="009643B8">
        <w:rPr>
          <w:rFonts w:ascii="Arial" w:hAnsi="Arial" w:cs="Arial"/>
        </w:rPr>
        <w:t xml:space="preserve"> (Accessed: 1</w:t>
      </w:r>
      <w:r w:rsidRPr="009643B8">
        <w:rPr>
          <w:rFonts w:ascii="Arial" w:hAnsi="Arial" w:cs="Arial"/>
        </w:rPr>
        <w:t>0</w:t>
      </w:r>
      <w:r w:rsidRPr="009643B8">
        <w:rPr>
          <w:rFonts w:ascii="Arial" w:hAnsi="Arial" w:cs="Arial"/>
        </w:rPr>
        <w:t xml:space="preserve"> July 2026).</w:t>
      </w:r>
    </w:p>
    <w:p w14:paraId="5DE0D3D0" w14:textId="3EDFE209"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Carpenter, C.J. (2018) ‘A meta-analysis of the effectiveness of Health Belief Model variables in predicting behaviour’, </w:t>
      </w:r>
      <w:r w:rsidRPr="009643B8">
        <w:rPr>
          <w:rFonts w:ascii="Arial" w:hAnsi="Arial" w:cs="Arial"/>
          <w:i/>
          <w:iCs/>
        </w:rPr>
        <w:t xml:space="preserve">Health Communication, </w:t>
      </w:r>
      <w:r w:rsidRPr="009643B8">
        <w:rPr>
          <w:rFonts w:ascii="Arial" w:hAnsi="Arial" w:cs="Arial"/>
        </w:rPr>
        <w:t xml:space="preserve">33(8), pp. 1018–1026. Available at: </w:t>
      </w:r>
      <w:hyperlink r:id="rId9" w:history="1">
        <w:r w:rsidR="00523DF9" w:rsidRPr="009643B8">
          <w:rPr>
            <w:rStyle w:val="Hyperlink"/>
            <w:rFonts w:ascii="Arial" w:hAnsi="Arial" w:cs="Arial"/>
          </w:rPr>
          <w:t>https://doi.org/10.1080/10410236.2016.1214220</w:t>
        </w:r>
      </w:hyperlink>
      <w:r w:rsidR="00523DF9" w:rsidRPr="009643B8">
        <w:rPr>
          <w:rFonts w:ascii="Arial" w:hAnsi="Arial" w:cs="Arial"/>
        </w:rPr>
        <w:t xml:space="preserve"> </w:t>
      </w:r>
      <w:r w:rsidRPr="009643B8">
        <w:rPr>
          <w:rFonts w:ascii="Arial" w:hAnsi="Arial" w:cs="Arial"/>
        </w:rPr>
        <w:t>(Accessed: 1</w:t>
      </w:r>
      <w:r w:rsidRPr="009643B8">
        <w:rPr>
          <w:rFonts w:ascii="Arial" w:hAnsi="Arial" w:cs="Arial"/>
        </w:rPr>
        <w:t xml:space="preserve">2 </w:t>
      </w:r>
      <w:r w:rsidRPr="009643B8">
        <w:rPr>
          <w:rFonts w:ascii="Arial" w:hAnsi="Arial" w:cs="Arial"/>
        </w:rPr>
        <w:t>July 2026).</w:t>
      </w:r>
    </w:p>
    <w:p w14:paraId="22EAE8A9" w14:textId="14CCC8D8"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Department for Environment, Food &amp; Rural Affairs (2019)</w:t>
      </w:r>
      <w:r w:rsidRPr="009643B8">
        <w:rPr>
          <w:rFonts w:ascii="Arial" w:hAnsi="Arial" w:cs="Arial"/>
          <w:i/>
          <w:iCs/>
        </w:rPr>
        <w:t xml:space="preserve"> Clean Air Strategy 2019. </w:t>
      </w:r>
      <w:r w:rsidRPr="009643B8">
        <w:rPr>
          <w:rFonts w:ascii="Arial" w:hAnsi="Arial" w:cs="Arial"/>
        </w:rPr>
        <w:t xml:space="preserve">Available at: </w:t>
      </w:r>
      <w:hyperlink r:id="rId10" w:history="1">
        <w:r w:rsidRPr="009643B8">
          <w:rPr>
            <w:rStyle w:val="Hyperlink"/>
            <w:rFonts w:ascii="Arial" w:hAnsi="Arial" w:cs="Arial"/>
          </w:rPr>
          <w:t>https://www.gov.uk/government/publications/clean-air-strategy-2019</w:t>
        </w:r>
      </w:hyperlink>
      <w:r w:rsidRPr="009643B8">
        <w:rPr>
          <w:rFonts w:ascii="Arial" w:hAnsi="Arial" w:cs="Arial"/>
        </w:rPr>
        <w:t xml:space="preserve"> </w:t>
      </w:r>
      <w:r w:rsidRPr="009643B8">
        <w:rPr>
          <w:rFonts w:ascii="Arial" w:hAnsi="Arial" w:cs="Arial"/>
        </w:rPr>
        <w:t>(Accessed: 14 July 2026).</w:t>
      </w:r>
    </w:p>
    <w:p w14:paraId="0CB191A7" w14:textId="6E6F9884"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Golden, S.D. and Earp, J.A.L. (2012) ‘Social ecological approaches to health promotion’, </w:t>
      </w:r>
      <w:r w:rsidRPr="009643B8">
        <w:rPr>
          <w:rFonts w:ascii="Arial" w:hAnsi="Arial" w:cs="Arial"/>
          <w:i/>
          <w:iCs/>
        </w:rPr>
        <w:t xml:space="preserve">Health Education &amp; </w:t>
      </w:r>
      <w:r w:rsidR="00523DF9" w:rsidRPr="009643B8">
        <w:rPr>
          <w:rFonts w:ascii="Arial" w:hAnsi="Arial" w:cs="Arial"/>
          <w:i/>
          <w:iCs/>
        </w:rPr>
        <w:t>Behaviour</w:t>
      </w:r>
      <w:r w:rsidRPr="009643B8">
        <w:rPr>
          <w:rFonts w:ascii="Arial" w:hAnsi="Arial" w:cs="Arial"/>
        </w:rPr>
        <w:t xml:space="preserve">, 39(3), pp. 364–372. Available at: </w:t>
      </w:r>
      <w:hyperlink r:id="rId11" w:history="1">
        <w:r w:rsidR="00523DF9" w:rsidRPr="009643B8">
          <w:rPr>
            <w:rStyle w:val="Hyperlink"/>
            <w:rFonts w:ascii="Arial" w:hAnsi="Arial" w:cs="Arial"/>
          </w:rPr>
          <w:t>https://doi.org/10.1177/109019</w:t>
        </w:r>
        <w:r w:rsidR="00523DF9" w:rsidRPr="009643B8">
          <w:rPr>
            <w:rStyle w:val="Hyperlink"/>
            <w:rFonts w:ascii="Arial" w:hAnsi="Arial" w:cs="Arial"/>
          </w:rPr>
          <w:t>8</w:t>
        </w:r>
        <w:r w:rsidR="00523DF9" w:rsidRPr="009643B8">
          <w:rPr>
            <w:rStyle w:val="Hyperlink"/>
            <w:rFonts w:ascii="Arial" w:hAnsi="Arial" w:cs="Arial"/>
          </w:rPr>
          <w:t>111418634</w:t>
        </w:r>
      </w:hyperlink>
      <w:r w:rsidR="00523DF9" w:rsidRPr="009643B8">
        <w:rPr>
          <w:rFonts w:ascii="Arial" w:hAnsi="Arial" w:cs="Arial"/>
        </w:rPr>
        <w:t xml:space="preserve"> </w:t>
      </w:r>
      <w:r w:rsidRPr="009643B8">
        <w:rPr>
          <w:rFonts w:ascii="Arial" w:hAnsi="Arial" w:cs="Arial"/>
        </w:rPr>
        <w:t xml:space="preserve"> (Accessed: 1</w:t>
      </w:r>
      <w:r w:rsidR="00D57C39">
        <w:rPr>
          <w:rFonts w:ascii="Arial" w:hAnsi="Arial" w:cs="Arial"/>
        </w:rPr>
        <w:t>2</w:t>
      </w:r>
      <w:r w:rsidRPr="009643B8">
        <w:rPr>
          <w:rFonts w:ascii="Arial" w:hAnsi="Arial" w:cs="Arial"/>
        </w:rPr>
        <w:t xml:space="preserve"> July 2026).</w:t>
      </w:r>
    </w:p>
    <w:p w14:paraId="50987F94" w14:textId="48302379"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HM Government (2021) </w:t>
      </w:r>
      <w:r w:rsidRPr="009643B8">
        <w:rPr>
          <w:rFonts w:ascii="Arial" w:hAnsi="Arial" w:cs="Arial"/>
          <w:i/>
          <w:iCs/>
        </w:rPr>
        <w:t>Net Zero Strategy: Build Back Green</w:t>
      </w:r>
      <w:r w:rsidRPr="009643B8">
        <w:rPr>
          <w:rFonts w:ascii="Arial" w:hAnsi="Arial" w:cs="Arial"/>
        </w:rPr>
        <w:t xml:space="preserve">er. Available at: </w:t>
      </w:r>
      <w:hyperlink r:id="rId12" w:history="1">
        <w:r w:rsidR="00E92A78" w:rsidRPr="009643B8">
          <w:rPr>
            <w:rStyle w:val="Hyperlink"/>
            <w:rFonts w:ascii="Arial" w:hAnsi="Arial" w:cs="Arial"/>
          </w:rPr>
          <w:t>https://www.gov.uk/government/publications/net-zero-strategy-build-back-greener</w:t>
        </w:r>
      </w:hyperlink>
      <w:r w:rsidR="00E92A78" w:rsidRPr="009643B8">
        <w:rPr>
          <w:rFonts w:ascii="Arial" w:hAnsi="Arial" w:cs="Arial"/>
        </w:rPr>
        <w:t xml:space="preserve"> </w:t>
      </w:r>
      <w:r w:rsidRPr="009643B8">
        <w:rPr>
          <w:rFonts w:ascii="Arial" w:hAnsi="Arial" w:cs="Arial"/>
        </w:rPr>
        <w:t>(Accessed: 14 July 2026).</w:t>
      </w:r>
    </w:p>
    <w:p w14:paraId="47D0D4B5" w14:textId="4F91092E"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Intergovernmental Panel on Climate Change (IPCC) (202</w:t>
      </w:r>
      <w:r w:rsidR="00E92A78" w:rsidRPr="009643B8">
        <w:rPr>
          <w:rFonts w:ascii="Arial" w:hAnsi="Arial" w:cs="Arial"/>
        </w:rPr>
        <w:t>1</w:t>
      </w:r>
      <w:r w:rsidRPr="009643B8">
        <w:rPr>
          <w:rFonts w:ascii="Arial" w:hAnsi="Arial" w:cs="Arial"/>
        </w:rPr>
        <w:t xml:space="preserve">) </w:t>
      </w:r>
      <w:r w:rsidRPr="009643B8">
        <w:rPr>
          <w:rFonts w:ascii="Arial" w:hAnsi="Arial" w:cs="Arial"/>
          <w:i/>
          <w:iCs/>
        </w:rPr>
        <w:t>Climate Change 202</w:t>
      </w:r>
      <w:r w:rsidR="00E92A78" w:rsidRPr="009643B8">
        <w:rPr>
          <w:rFonts w:ascii="Arial" w:hAnsi="Arial" w:cs="Arial"/>
          <w:i/>
          <w:iCs/>
        </w:rPr>
        <w:t>1</w:t>
      </w:r>
      <w:r w:rsidRPr="009643B8">
        <w:rPr>
          <w:rFonts w:ascii="Arial" w:hAnsi="Arial" w:cs="Arial"/>
          <w:i/>
          <w:iCs/>
        </w:rPr>
        <w:t>: Impacts, Adaptation and Vulnerability</w:t>
      </w:r>
      <w:r w:rsidRPr="009643B8">
        <w:rPr>
          <w:rFonts w:ascii="Arial" w:hAnsi="Arial" w:cs="Arial"/>
        </w:rPr>
        <w:t xml:space="preserve">. Available at: </w:t>
      </w:r>
      <w:hyperlink r:id="rId13" w:history="1">
        <w:r w:rsidR="00E92A78" w:rsidRPr="009643B8">
          <w:rPr>
            <w:rStyle w:val="Hyperlink"/>
            <w:rFonts w:ascii="Arial" w:hAnsi="Arial" w:cs="Arial"/>
          </w:rPr>
          <w:t>https://www.ipcc.ch/report/ar6/wg2/</w:t>
        </w:r>
      </w:hyperlink>
      <w:r w:rsidR="00E92A78" w:rsidRPr="009643B8">
        <w:rPr>
          <w:rFonts w:ascii="Arial" w:hAnsi="Arial" w:cs="Arial"/>
        </w:rPr>
        <w:t xml:space="preserve"> </w:t>
      </w:r>
      <w:r w:rsidR="008F2662" w:rsidRPr="009643B8">
        <w:rPr>
          <w:rFonts w:ascii="Arial" w:hAnsi="Arial" w:cs="Arial"/>
        </w:rPr>
        <w:t xml:space="preserve"> </w:t>
      </w:r>
      <w:r w:rsidRPr="009643B8">
        <w:rPr>
          <w:rFonts w:ascii="Arial" w:hAnsi="Arial" w:cs="Arial"/>
        </w:rPr>
        <w:t xml:space="preserve"> (Accessed: 1</w:t>
      </w:r>
      <w:r w:rsidR="00D57C39">
        <w:rPr>
          <w:rFonts w:ascii="Arial" w:hAnsi="Arial" w:cs="Arial"/>
        </w:rPr>
        <w:t>3</w:t>
      </w:r>
      <w:r w:rsidRPr="009643B8">
        <w:rPr>
          <w:rFonts w:ascii="Arial" w:hAnsi="Arial" w:cs="Arial"/>
        </w:rPr>
        <w:t xml:space="preserve"> July 2026).</w:t>
      </w:r>
    </w:p>
    <w:p w14:paraId="20A6DE16" w14:textId="1431A78B"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Marmot, M. et al. (2020) </w:t>
      </w:r>
      <w:r w:rsidRPr="009643B8">
        <w:rPr>
          <w:rFonts w:ascii="Arial" w:hAnsi="Arial" w:cs="Arial"/>
          <w:i/>
          <w:iCs/>
        </w:rPr>
        <w:t>Health Equity in England: The Marmot Review 10 Years On. .</w:t>
      </w:r>
      <w:r w:rsidRPr="009643B8">
        <w:rPr>
          <w:rFonts w:ascii="Arial" w:hAnsi="Arial" w:cs="Arial"/>
        </w:rPr>
        <w:t xml:space="preserve"> Available at: </w:t>
      </w:r>
      <w:hyperlink r:id="rId14" w:history="1">
        <w:r w:rsidR="008F2662" w:rsidRPr="009643B8">
          <w:rPr>
            <w:rStyle w:val="Hyperlink"/>
            <w:rFonts w:ascii="Arial" w:hAnsi="Arial" w:cs="Arial"/>
          </w:rPr>
          <w:t>https://www.health.org.uk/publications/reports/the-marmot-review-10-years-on</w:t>
        </w:r>
      </w:hyperlink>
      <w:r w:rsidR="008F2662" w:rsidRPr="009643B8">
        <w:rPr>
          <w:rFonts w:ascii="Arial" w:hAnsi="Arial" w:cs="Arial"/>
        </w:rPr>
        <w:t xml:space="preserve"> </w:t>
      </w:r>
      <w:r w:rsidRPr="009643B8">
        <w:rPr>
          <w:rFonts w:ascii="Arial" w:hAnsi="Arial" w:cs="Arial"/>
        </w:rPr>
        <w:t xml:space="preserve"> (Accessed: 14 July 2026).</w:t>
      </w:r>
    </w:p>
    <w:p w14:paraId="4908A35E" w14:textId="668269E8"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NHS England (2019) </w:t>
      </w:r>
      <w:r w:rsidRPr="009643B8">
        <w:rPr>
          <w:rFonts w:ascii="Arial" w:hAnsi="Arial" w:cs="Arial"/>
          <w:i/>
          <w:iCs/>
        </w:rPr>
        <w:t>The NHS Long Term Plan.</w:t>
      </w:r>
      <w:r w:rsidRPr="009643B8">
        <w:rPr>
          <w:rFonts w:ascii="Arial" w:hAnsi="Arial" w:cs="Arial"/>
        </w:rPr>
        <w:t xml:space="preserve"> Available at: </w:t>
      </w:r>
      <w:hyperlink r:id="rId15" w:history="1">
        <w:r w:rsidR="008F2662" w:rsidRPr="009643B8">
          <w:rPr>
            <w:rStyle w:val="Hyperlink"/>
            <w:rFonts w:ascii="Arial" w:hAnsi="Arial" w:cs="Arial"/>
          </w:rPr>
          <w:t>https://www.longtermplan.nhs.uk/</w:t>
        </w:r>
      </w:hyperlink>
      <w:r w:rsidR="008F2662" w:rsidRPr="009643B8">
        <w:rPr>
          <w:rFonts w:ascii="Arial" w:hAnsi="Arial" w:cs="Arial"/>
        </w:rPr>
        <w:t xml:space="preserve"> </w:t>
      </w:r>
      <w:r w:rsidRPr="009643B8">
        <w:rPr>
          <w:rFonts w:ascii="Arial" w:hAnsi="Arial" w:cs="Arial"/>
        </w:rPr>
        <w:t xml:space="preserve"> (Accessed: 14 July 2026).</w:t>
      </w:r>
    </w:p>
    <w:p w14:paraId="4689611F" w14:textId="25880D0F"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NHS England (2020) </w:t>
      </w:r>
      <w:r w:rsidRPr="009643B8">
        <w:rPr>
          <w:rFonts w:ascii="Arial" w:hAnsi="Arial" w:cs="Arial"/>
          <w:i/>
          <w:iCs/>
        </w:rPr>
        <w:t>Delivering a ‘Net Zero’ National Health Service</w:t>
      </w:r>
      <w:r w:rsidR="008F2662" w:rsidRPr="009643B8">
        <w:rPr>
          <w:rFonts w:ascii="Arial" w:hAnsi="Arial" w:cs="Arial"/>
          <w:i/>
          <w:iCs/>
        </w:rPr>
        <w:t xml:space="preserve">. </w:t>
      </w:r>
      <w:r w:rsidRPr="009643B8">
        <w:rPr>
          <w:rFonts w:ascii="Arial" w:hAnsi="Arial" w:cs="Arial"/>
        </w:rPr>
        <w:t xml:space="preserve">Available at: </w:t>
      </w:r>
      <w:hyperlink r:id="rId16" w:history="1">
        <w:r w:rsidR="008F2662" w:rsidRPr="009643B8">
          <w:rPr>
            <w:rStyle w:val="Hyperlink"/>
            <w:rFonts w:ascii="Arial" w:hAnsi="Arial" w:cs="Arial"/>
          </w:rPr>
          <w:t>https://www.england.nhs.uk/greenernhs/publication/delivering-a-net-zero-national-health-service/</w:t>
        </w:r>
      </w:hyperlink>
      <w:r w:rsidR="008F2662" w:rsidRPr="009643B8">
        <w:rPr>
          <w:rFonts w:ascii="Arial" w:hAnsi="Arial" w:cs="Arial"/>
        </w:rPr>
        <w:t xml:space="preserve"> </w:t>
      </w:r>
      <w:r w:rsidRPr="009643B8">
        <w:rPr>
          <w:rFonts w:ascii="Arial" w:hAnsi="Arial" w:cs="Arial"/>
        </w:rPr>
        <w:t>(Accessed: 1</w:t>
      </w:r>
      <w:r w:rsidR="00D57C39">
        <w:rPr>
          <w:rFonts w:ascii="Arial" w:hAnsi="Arial" w:cs="Arial"/>
        </w:rPr>
        <w:t>2</w:t>
      </w:r>
      <w:r w:rsidRPr="009643B8">
        <w:rPr>
          <w:rFonts w:ascii="Arial" w:hAnsi="Arial" w:cs="Arial"/>
        </w:rPr>
        <w:t xml:space="preserve"> July 2026).</w:t>
      </w:r>
    </w:p>
    <w:p w14:paraId="3419A1A4" w14:textId="19F9F28D"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Solihull Metropolitan Borough Council (2020) </w:t>
      </w:r>
      <w:r w:rsidRPr="009643B8">
        <w:rPr>
          <w:rFonts w:ascii="Arial" w:hAnsi="Arial" w:cs="Arial"/>
          <w:i/>
          <w:iCs/>
        </w:rPr>
        <w:t>Solihull Climate Change Strategy.</w:t>
      </w:r>
      <w:r w:rsidRPr="009643B8">
        <w:rPr>
          <w:rFonts w:ascii="Arial" w:hAnsi="Arial" w:cs="Arial"/>
        </w:rPr>
        <w:t xml:space="preserve"> Available at: </w:t>
      </w:r>
      <w:hyperlink r:id="rId17" w:history="1">
        <w:r w:rsidR="008F2662" w:rsidRPr="009643B8">
          <w:rPr>
            <w:rStyle w:val="Hyperlink"/>
            <w:rFonts w:ascii="Arial" w:hAnsi="Arial" w:cs="Arial"/>
          </w:rPr>
          <w:t>https://www.solihull.gov.uk/Climate-emergency/Climate-change-strategy</w:t>
        </w:r>
      </w:hyperlink>
      <w:r w:rsidR="008F2662" w:rsidRPr="009643B8">
        <w:rPr>
          <w:rFonts w:ascii="Arial" w:hAnsi="Arial" w:cs="Arial"/>
        </w:rPr>
        <w:t xml:space="preserve"> </w:t>
      </w:r>
      <w:r w:rsidRPr="009643B8">
        <w:rPr>
          <w:rFonts w:ascii="Arial" w:hAnsi="Arial" w:cs="Arial"/>
        </w:rPr>
        <w:t>(Accessed: 1</w:t>
      </w:r>
      <w:r w:rsidR="00D57C39">
        <w:rPr>
          <w:rFonts w:ascii="Arial" w:hAnsi="Arial" w:cs="Arial"/>
        </w:rPr>
        <w:t xml:space="preserve">1 </w:t>
      </w:r>
      <w:r w:rsidRPr="009643B8">
        <w:rPr>
          <w:rFonts w:ascii="Arial" w:hAnsi="Arial" w:cs="Arial"/>
        </w:rPr>
        <w:t>July 2026).</w:t>
      </w:r>
    </w:p>
    <w:p w14:paraId="75144841" w14:textId="769EED06"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Solihull Metropolitan Borough Council (2022) </w:t>
      </w:r>
      <w:r w:rsidRPr="009643B8">
        <w:rPr>
          <w:rFonts w:ascii="Arial" w:hAnsi="Arial" w:cs="Arial"/>
          <w:i/>
          <w:iCs/>
        </w:rPr>
        <w:t>Public Health Annual Report</w:t>
      </w:r>
      <w:r w:rsidRPr="009643B8">
        <w:rPr>
          <w:rFonts w:ascii="Arial" w:hAnsi="Arial" w:cs="Arial"/>
        </w:rPr>
        <w:t xml:space="preserve">. Available at: </w:t>
      </w:r>
      <w:hyperlink r:id="rId18" w:history="1">
        <w:r w:rsidR="008F2662" w:rsidRPr="009643B8">
          <w:rPr>
            <w:rStyle w:val="Hyperlink"/>
            <w:rFonts w:ascii="Arial" w:hAnsi="Arial" w:cs="Arial"/>
          </w:rPr>
          <w:t>https://www.solihull.gov.uk/Public-health/Public-Health-Annual-Reports</w:t>
        </w:r>
      </w:hyperlink>
      <w:r w:rsidR="008F2662" w:rsidRPr="009643B8">
        <w:rPr>
          <w:rFonts w:ascii="Arial" w:hAnsi="Arial" w:cs="Arial"/>
        </w:rPr>
        <w:t xml:space="preserve"> </w:t>
      </w:r>
      <w:r w:rsidRPr="009643B8">
        <w:rPr>
          <w:rFonts w:ascii="Arial" w:hAnsi="Arial" w:cs="Arial"/>
        </w:rPr>
        <w:t xml:space="preserve"> (Accessed: 1</w:t>
      </w:r>
      <w:r w:rsidR="00D57C39">
        <w:rPr>
          <w:rFonts w:ascii="Arial" w:hAnsi="Arial" w:cs="Arial"/>
        </w:rPr>
        <w:t>3</w:t>
      </w:r>
      <w:r w:rsidRPr="009643B8">
        <w:rPr>
          <w:rFonts w:ascii="Arial" w:hAnsi="Arial" w:cs="Arial"/>
        </w:rPr>
        <w:t xml:space="preserve"> July 2026).</w:t>
      </w:r>
    </w:p>
    <w:p w14:paraId="6C86833A" w14:textId="07A9AA4C"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lastRenderedPageBreak/>
        <w:t xml:space="preserve">Solihull Metropolitan Borough Council (2023) Air Quality Annual Status Report. Available at: </w:t>
      </w:r>
      <w:hyperlink r:id="rId19" w:history="1">
        <w:r w:rsidR="008F2662" w:rsidRPr="009643B8">
          <w:rPr>
            <w:rStyle w:val="Hyperlink"/>
            <w:rFonts w:ascii="Arial" w:hAnsi="Arial" w:cs="Arial"/>
          </w:rPr>
          <w:t>https://www.solihull.gov.uk/Pollution-and-noise/Air-quality-monitoring</w:t>
        </w:r>
      </w:hyperlink>
      <w:r w:rsidR="008F2662" w:rsidRPr="009643B8">
        <w:rPr>
          <w:rFonts w:ascii="Arial" w:hAnsi="Arial" w:cs="Arial"/>
        </w:rPr>
        <w:t xml:space="preserve"> </w:t>
      </w:r>
      <w:r w:rsidRPr="009643B8">
        <w:rPr>
          <w:rFonts w:ascii="Arial" w:hAnsi="Arial" w:cs="Arial"/>
        </w:rPr>
        <w:t xml:space="preserve"> (Accessed: 1</w:t>
      </w:r>
      <w:r w:rsidR="00D57C39">
        <w:rPr>
          <w:rFonts w:ascii="Arial" w:hAnsi="Arial" w:cs="Arial"/>
        </w:rPr>
        <w:t xml:space="preserve">2 </w:t>
      </w:r>
      <w:r w:rsidRPr="009643B8">
        <w:rPr>
          <w:rFonts w:ascii="Arial" w:hAnsi="Arial" w:cs="Arial"/>
        </w:rPr>
        <w:t>July 2026).</w:t>
      </w:r>
    </w:p>
    <w:p w14:paraId="6AA9A1B9" w14:textId="6D6610FE" w:rsidR="00D7397E" w:rsidRPr="00D57C39"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The King’s Fund (2024) </w:t>
      </w:r>
      <w:r w:rsidRPr="009643B8">
        <w:rPr>
          <w:rFonts w:ascii="Arial" w:hAnsi="Arial" w:cs="Arial"/>
          <w:i/>
          <w:iCs/>
        </w:rPr>
        <w:t>Climate change and health inequalities.</w:t>
      </w:r>
      <w:r w:rsidRPr="009643B8">
        <w:rPr>
          <w:rFonts w:ascii="Arial" w:hAnsi="Arial" w:cs="Arial"/>
        </w:rPr>
        <w:t xml:space="preserve"> Available at: </w:t>
      </w:r>
      <w:hyperlink r:id="rId20" w:history="1">
        <w:r w:rsidR="008F2662" w:rsidRPr="009643B8">
          <w:rPr>
            <w:rStyle w:val="Hyperlink"/>
            <w:rFonts w:ascii="Arial" w:hAnsi="Arial" w:cs="Arial"/>
          </w:rPr>
          <w:t>https://www.kingsfund.org.uk/insight-and-analysis/long-reads/climate-change-and-health-inequalities</w:t>
        </w:r>
      </w:hyperlink>
      <w:r w:rsidR="008F2662" w:rsidRPr="009643B8">
        <w:rPr>
          <w:rFonts w:ascii="Arial" w:hAnsi="Arial" w:cs="Arial"/>
        </w:rPr>
        <w:t xml:space="preserve"> </w:t>
      </w:r>
      <w:r w:rsidRPr="009643B8">
        <w:rPr>
          <w:rFonts w:ascii="Arial" w:hAnsi="Arial" w:cs="Arial"/>
        </w:rPr>
        <w:t xml:space="preserve"> (Accessed: 1</w:t>
      </w:r>
      <w:r w:rsidR="00D57C39">
        <w:rPr>
          <w:rFonts w:ascii="Arial" w:hAnsi="Arial" w:cs="Arial"/>
        </w:rPr>
        <w:t>2</w:t>
      </w:r>
      <w:r w:rsidRPr="009643B8">
        <w:rPr>
          <w:rFonts w:ascii="Arial" w:hAnsi="Arial" w:cs="Arial"/>
        </w:rPr>
        <w:t xml:space="preserve"> July 2026).</w:t>
      </w:r>
    </w:p>
    <w:p w14:paraId="1EBAA833" w14:textId="6CCE5617"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UK Parliament (2022) </w:t>
      </w:r>
      <w:r w:rsidRPr="009643B8">
        <w:rPr>
          <w:rFonts w:ascii="Arial" w:hAnsi="Arial" w:cs="Arial"/>
          <w:i/>
          <w:iCs/>
        </w:rPr>
        <w:t>Health and Care Act 2022.</w:t>
      </w:r>
      <w:r w:rsidRPr="009643B8">
        <w:rPr>
          <w:rFonts w:ascii="Arial" w:hAnsi="Arial" w:cs="Arial"/>
        </w:rPr>
        <w:t xml:space="preserve">  Available at: </w:t>
      </w:r>
      <w:hyperlink r:id="rId21" w:history="1">
        <w:r w:rsidR="008F2662" w:rsidRPr="009643B8">
          <w:rPr>
            <w:rStyle w:val="Hyperlink"/>
            <w:rFonts w:ascii="Arial" w:hAnsi="Arial" w:cs="Arial"/>
          </w:rPr>
          <w:t>https://www.legislation.gov.uk/ukpga/2022/31/contents</w:t>
        </w:r>
      </w:hyperlink>
      <w:r w:rsidR="008F2662" w:rsidRPr="009643B8">
        <w:rPr>
          <w:rFonts w:ascii="Arial" w:hAnsi="Arial" w:cs="Arial"/>
        </w:rPr>
        <w:t xml:space="preserve"> </w:t>
      </w:r>
      <w:r w:rsidRPr="009643B8">
        <w:rPr>
          <w:rFonts w:ascii="Arial" w:hAnsi="Arial" w:cs="Arial"/>
        </w:rPr>
        <w:t>(Accessed: 14 July 2026).</w:t>
      </w:r>
    </w:p>
    <w:p w14:paraId="3CFA1954" w14:textId="6CDEB40A"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United Nations (2015) </w:t>
      </w:r>
      <w:r w:rsidRPr="009643B8">
        <w:rPr>
          <w:rFonts w:ascii="Arial" w:hAnsi="Arial" w:cs="Arial"/>
          <w:i/>
          <w:iCs/>
        </w:rPr>
        <w:t>Transforming our world: the 2030 Agenda for Sustainable</w:t>
      </w:r>
      <w:r w:rsidR="009643B8" w:rsidRPr="009643B8">
        <w:rPr>
          <w:rFonts w:ascii="Arial" w:hAnsi="Arial" w:cs="Arial"/>
        </w:rPr>
        <w:t xml:space="preserve">. </w:t>
      </w:r>
      <w:r w:rsidRPr="009643B8">
        <w:rPr>
          <w:rFonts w:ascii="Arial" w:hAnsi="Arial" w:cs="Arial"/>
        </w:rPr>
        <w:t xml:space="preserve">Available at: </w:t>
      </w:r>
      <w:hyperlink r:id="rId22" w:history="1">
        <w:r w:rsidR="008F2662" w:rsidRPr="009643B8">
          <w:rPr>
            <w:rStyle w:val="Hyperlink"/>
            <w:rFonts w:ascii="Arial" w:hAnsi="Arial" w:cs="Arial"/>
          </w:rPr>
          <w:t>https://sdgs.un.org/2030agenda</w:t>
        </w:r>
      </w:hyperlink>
      <w:r w:rsidR="008F2662" w:rsidRPr="009643B8">
        <w:rPr>
          <w:rFonts w:ascii="Arial" w:hAnsi="Arial" w:cs="Arial"/>
        </w:rPr>
        <w:t xml:space="preserve"> </w:t>
      </w:r>
      <w:r w:rsidRPr="009643B8">
        <w:rPr>
          <w:rFonts w:ascii="Arial" w:hAnsi="Arial" w:cs="Arial"/>
        </w:rPr>
        <w:t>(Accessed: 14 July 2026).</w:t>
      </w:r>
    </w:p>
    <w:p w14:paraId="6626C197" w14:textId="4AA88A47"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United Nations (2023)</w:t>
      </w:r>
      <w:r w:rsidRPr="009643B8">
        <w:rPr>
          <w:rFonts w:ascii="Arial" w:hAnsi="Arial" w:cs="Arial"/>
          <w:i/>
          <w:iCs/>
        </w:rPr>
        <w:t xml:space="preserve"> The Sustainable Development Goals Report 2023.</w:t>
      </w:r>
      <w:r w:rsidRPr="009643B8">
        <w:rPr>
          <w:rFonts w:ascii="Arial" w:hAnsi="Arial" w:cs="Arial"/>
        </w:rPr>
        <w:t xml:space="preserve"> Available at: </w:t>
      </w:r>
      <w:hyperlink r:id="rId23" w:history="1">
        <w:r w:rsidR="009643B8" w:rsidRPr="009643B8">
          <w:rPr>
            <w:rStyle w:val="Hyperlink"/>
            <w:rFonts w:ascii="Arial" w:hAnsi="Arial" w:cs="Arial"/>
          </w:rPr>
          <w:t>https://unstats.un.org/sdgs/report/2023/</w:t>
        </w:r>
      </w:hyperlink>
      <w:r w:rsidR="009643B8" w:rsidRPr="009643B8">
        <w:rPr>
          <w:rFonts w:ascii="Arial" w:hAnsi="Arial" w:cs="Arial"/>
        </w:rPr>
        <w:t xml:space="preserve"> </w:t>
      </w:r>
      <w:r w:rsidRPr="009643B8">
        <w:rPr>
          <w:rFonts w:ascii="Arial" w:hAnsi="Arial" w:cs="Arial"/>
        </w:rPr>
        <w:t>(Accessed: 1</w:t>
      </w:r>
      <w:r w:rsidR="00AC0ED0">
        <w:rPr>
          <w:rFonts w:ascii="Arial" w:hAnsi="Arial" w:cs="Arial"/>
        </w:rPr>
        <w:t>0</w:t>
      </w:r>
      <w:r w:rsidRPr="009643B8">
        <w:rPr>
          <w:rFonts w:ascii="Arial" w:hAnsi="Arial" w:cs="Arial"/>
        </w:rPr>
        <w:t xml:space="preserve"> July 2026).</w:t>
      </w:r>
    </w:p>
    <w:p w14:paraId="0E3BF4DF" w14:textId="2BC1C438"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United Nations Framework Convention on Climate Change (UNFCCC) (2016) </w:t>
      </w:r>
      <w:r w:rsidRPr="009643B8">
        <w:rPr>
          <w:rFonts w:ascii="Arial" w:hAnsi="Arial" w:cs="Arial"/>
          <w:i/>
          <w:iCs/>
        </w:rPr>
        <w:t>The Paris Agreement.</w:t>
      </w:r>
      <w:r w:rsidRPr="009643B8">
        <w:rPr>
          <w:rFonts w:ascii="Arial" w:hAnsi="Arial" w:cs="Arial"/>
        </w:rPr>
        <w:t xml:space="preserve"> Available at: </w:t>
      </w:r>
      <w:hyperlink r:id="rId24" w:history="1">
        <w:r w:rsidR="009643B8" w:rsidRPr="009643B8">
          <w:rPr>
            <w:rStyle w:val="Hyperlink"/>
            <w:rFonts w:ascii="Arial" w:hAnsi="Arial" w:cs="Arial"/>
          </w:rPr>
          <w:t>https://unfccc.int/process-and-meetings/the-paris-agreement/the-paris-agreement</w:t>
        </w:r>
      </w:hyperlink>
      <w:r w:rsidR="009643B8" w:rsidRPr="009643B8">
        <w:rPr>
          <w:rFonts w:ascii="Arial" w:hAnsi="Arial" w:cs="Arial"/>
        </w:rPr>
        <w:t xml:space="preserve"> </w:t>
      </w:r>
      <w:r w:rsidRPr="009643B8">
        <w:rPr>
          <w:rFonts w:ascii="Arial" w:hAnsi="Arial" w:cs="Arial"/>
        </w:rPr>
        <w:t xml:space="preserve"> (Accessed: 1</w:t>
      </w:r>
      <w:r w:rsidR="00E31506">
        <w:rPr>
          <w:rFonts w:ascii="Arial" w:hAnsi="Arial" w:cs="Arial"/>
        </w:rPr>
        <w:t>0</w:t>
      </w:r>
      <w:r w:rsidRPr="009643B8">
        <w:rPr>
          <w:rFonts w:ascii="Arial" w:hAnsi="Arial" w:cs="Arial"/>
        </w:rPr>
        <w:t xml:space="preserve"> July 2026).</w:t>
      </w:r>
    </w:p>
    <w:p w14:paraId="4DCA9B42" w14:textId="505212E7"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Watts, N. et al. (2023) ‘The 2023 Lancet Countdown on health and climate change’</w:t>
      </w:r>
      <w:r w:rsidRPr="009643B8">
        <w:rPr>
          <w:rFonts w:ascii="Arial" w:hAnsi="Arial" w:cs="Arial"/>
          <w:i/>
          <w:iCs/>
        </w:rPr>
        <w:t>, The Lancet</w:t>
      </w:r>
      <w:r w:rsidRPr="009643B8">
        <w:rPr>
          <w:rFonts w:ascii="Arial" w:hAnsi="Arial" w:cs="Arial"/>
        </w:rPr>
        <w:t>, 402(10397), pp. 1835–1892. Available at: https://doi.org/10.1016/S0140-6736(23)01859-7 (Accessed: 1</w:t>
      </w:r>
      <w:r w:rsidR="00E31506">
        <w:rPr>
          <w:rFonts w:ascii="Arial" w:hAnsi="Arial" w:cs="Arial"/>
        </w:rPr>
        <w:t xml:space="preserve">1 </w:t>
      </w:r>
      <w:r w:rsidRPr="009643B8">
        <w:rPr>
          <w:rFonts w:ascii="Arial" w:hAnsi="Arial" w:cs="Arial"/>
        </w:rPr>
        <w:t>July 2026).</w:t>
      </w:r>
    </w:p>
    <w:p w14:paraId="1E89D06A" w14:textId="18FCE9A6"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World Health Organization (2019) </w:t>
      </w:r>
      <w:r w:rsidRPr="009643B8">
        <w:rPr>
          <w:rFonts w:ascii="Arial" w:hAnsi="Arial" w:cs="Arial"/>
          <w:i/>
          <w:iCs/>
        </w:rPr>
        <w:t>Primary health care on the road to universal health coverage: 2019 monitoring report. A</w:t>
      </w:r>
      <w:r w:rsidRPr="009643B8">
        <w:rPr>
          <w:rFonts w:ascii="Arial" w:hAnsi="Arial" w:cs="Arial"/>
        </w:rPr>
        <w:t xml:space="preserve">vailable at: </w:t>
      </w:r>
      <w:hyperlink r:id="rId25" w:history="1">
        <w:r w:rsidR="009643B8" w:rsidRPr="009643B8">
          <w:rPr>
            <w:rStyle w:val="Hyperlink"/>
            <w:rFonts w:ascii="Arial" w:hAnsi="Arial" w:cs="Arial"/>
          </w:rPr>
          <w:t>https://www.who.int/publications/i/item/9789240029040</w:t>
        </w:r>
      </w:hyperlink>
      <w:r w:rsidR="009643B8" w:rsidRPr="009643B8">
        <w:rPr>
          <w:rFonts w:ascii="Arial" w:hAnsi="Arial" w:cs="Arial"/>
        </w:rPr>
        <w:t xml:space="preserve"> </w:t>
      </w:r>
      <w:r w:rsidRPr="009643B8">
        <w:rPr>
          <w:rFonts w:ascii="Arial" w:hAnsi="Arial" w:cs="Arial"/>
        </w:rPr>
        <w:t xml:space="preserve"> (Accessed: 1</w:t>
      </w:r>
      <w:r w:rsidR="00E31506">
        <w:rPr>
          <w:rFonts w:ascii="Arial" w:hAnsi="Arial" w:cs="Arial"/>
        </w:rPr>
        <w:t>2</w:t>
      </w:r>
      <w:r w:rsidR="006E5CD5">
        <w:rPr>
          <w:rFonts w:ascii="Arial" w:hAnsi="Arial" w:cs="Arial"/>
        </w:rPr>
        <w:t xml:space="preserve"> </w:t>
      </w:r>
      <w:r w:rsidRPr="009643B8">
        <w:rPr>
          <w:rFonts w:ascii="Arial" w:hAnsi="Arial" w:cs="Arial"/>
        </w:rPr>
        <w:t xml:space="preserve"> July 2026).</w:t>
      </w:r>
    </w:p>
    <w:p w14:paraId="1B320953" w14:textId="256D74E9"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World Health Organization (2021) </w:t>
      </w:r>
      <w:r w:rsidRPr="009643B8">
        <w:rPr>
          <w:rFonts w:ascii="Arial" w:hAnsi="Arial" w:cs="Arial"/>
          <w:i/>
          <w:iCs/>
        </w:rPr>
        <w:t>Comprehensive mental health action plan 2013–2030.</w:t>
      </w:r>
      <w:r w:rsidRPr="009643B8">
        <w:rPr>
          <w:rFonts w:ascii="Arial" w:hAnsi="Arial" w:cs="Arial"/>
        </w:rPr>
        <w:t xml:space="preserve"> Available at: </w:t>
      </w:r>
      <w:hyperlink r:id="rId26" w:history="1">
        <w:r w:rsidR="009643B8" w:rsidRPr="009643B8">
          <w:rPr>
            <w:rStyle w:val="Hyperlink"/>
            <w:rFonts w:ascii="Arial" w:hAnsi="Arial" w:cs="Arial"/>
          </w:rPr>
          <w:t>https://www.who.int/publications/i/item/9789240031029</w:t>
        </w:r>
      </w:hyperlink>
      <w:r w:rsidR="009643B8" w:rsidRPr="009643B8">
        <w:rPr>
          <w:rFonts w:ascii="Arial" w:hAnsi="Arial" w:cs="Arial"/>
        </w:rPr>
        <w:t xml:space="preserve"> </w:t>
      </w:r>
      <w:r w:rsidRPr="009643B8">
        <w:rPr>
          <w:rFonts w:ascii="Arial" w:hAnsi="Arial" w:cs="Arial"/>
        </w:rPr>
        <w:t xml:space="preserve"> (Accessed: 14 July 2026).</w:t>
      </w:r>
    </w:p>
    <w:p w14:paraId="33A854A8" w14:textId="16049722" w:rsidR="00D7397E"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World Health Organization (2022) </w:t>
      </w:r>
      <w:r w:rsidRPr="009643B8">
        <w:rPr>
          <w:rFonts w:ascii="Arial" w:hAnsi="Arial" w:cs="Arial"/>
          <w:i/>
          <w:iCs/>
        </w:rPr>
        <w:t>WHO Results Report 2022.</w:t>
      </w:r>
      <w:r w:rsidRPr="009643B8">
        <w:rPr>
          <w:rFonts w:ascii="Arial" w:hAnsi="Arial" w:cs="Arial"/>
        </w:rPr>
        <w:t xml:space="preserve"> Available at: </w:t>
      </w:r>
      <w:hyperlink r:id="rId27" w:history="1">
        <w:r w:rsidR="009643B8" w:rsidRPr="009643B8">
          <w:rPr>
            <w:rStyle w:val="Hyperlink"/>
            <w:rFonts w:ascii="Arial" w:hAnsi="Arial" w:cs="Arial"/>
          </w:rPr>
          <w:t>https://www.who.int/publications/i/item/9789240072473</w:t>
        </w:r>
      </w:hyperlink>
      <w:r w:rsidR="009643B8" w:rsidRPr="009643B8">
        <w:rPr>
          <w:rFonts w:ascii="Arial" w:hAnsi="Arial" w:cs="Arial"/>
        </w:rPr>
        <w:t xml:space="preserve"> </w:t>
      </w:r>
      <w:r w:rsidRPr="009643B8">
        <w:rPr>
          <w:rFonts w:ascii="Arial" w:hAnsi="Arial" w:cs="Arial"/>
        </w:rPr>
        <w:t>(Accessed: 14 July 2026).</w:t>
      </w:r>
    </w:p>
    <w:p w14:paraId="2D9AF53A" w14:textId="5B6ABB6D" w:rsidR="00E32F9A" w:rsidRPr="009643B8" w:rsidRDefault="00D7397E" w:rsidP="00CD3C58">
      <w:pPr>
        <w:pStyle w:val="ListParagraph"/>
        <w:numPr>
          <w:ilvl w:val="0"/>
          <w:numId w:val="4"/>
        </w:numPr>
        <w:spacing w:line="360" w:lineRule="auto"/>
        <w:rPr>
          <w:rFonts w:ascii="Arial" w:hAnsi="Arial" w:cs="Arial"/>
        </w:rPr>
      </w:pPr>
      <w:r w:rsidRPr="009643B8">
        <w:rPr>
          <w:rFonts w:ascii="Arial" w:hAnsi="Arial" w:cs="Arial"/>
        </w:rPr>
        <w:t xml:space="preserve">World Health Organization (2023) </w:t>
      </w:r>
      <w:r w:rsidRPr="009643B8">
        <w:rPr>
          <w:rFonts w:ascii="Arial" w:hAnsi="Arial" w:cs="Arial"/>
          <w:i/>
          <w:iCs/>
        </w:rPr>
        <w:t>World health statistics 2023: monitoring health for the SDGs.</w:t>
      </w:r>
      <w:r w:rsidRPr="009643B8">
        <w:rPr>
          <w:rFonts w:ascii="Arial" w:hAnsi="Arial" w:cs="Arial"/>
        </w:rPr>
        <w:t xml:space="preserve"> Available at: </w:t>
      </w:r>
      <w:hyperlink r:id="rId28" w:history="1">
        <w:r w:rsidR="009643B8" w:rsidRPr="009643B8">
          <w:rPr>
            <w:rStyle w:val="Hyperlink"/>
            <w:rFonts w:ascii="Arial" w:hAnsi="Arial" w:cs="Arial"/>
          </w:rPr>
          <w:t>https://www.who.int/publications/i/item/9789240074323</w:t>
        </w:r>
      </w:hyperlink>
      <w:r w:rsidR="009643B8" w:rsidRPr="009643B8">
        <w:rPr>
          <w:rFonts w:ascii="Arial" w:hAnsi="Arial" w:cs="Arial"/>
        </w:rPr>
        <w:t xml:space="preserve"> </w:t>
      </w:r>
      <w:r w:rsidRPr="009643B8">
        <w:rPr>
          <w:rFonts w:ascii="Arial" w:hAnsi="Arial" w:cs="Arial"/>
        </w:rPr>
        <w:t xml:space="preserve"> (Accessed: 14 July 2026).</w:t>
      </w:r>
    </w:p>
    <w:sectPr w:rsidR="00E32F9A" w:rsidRPr="009643B8">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78FF0" w14:textId="77777777" w:rsidR="004F41B8" w:rsidRDefault="004F41B8" w:rsidP="008C048B">
      <w:pPr>
        <w:spacing w:after="0" w:line="240" w:lineRule="auto"/>
      </w:pPr>
      <w:r>
        <w:separator/>
      </w:r>
    </w:p>
  </w:endnote>
  <w:endnote w:type="continuationSeparator" w:id="0">
    <w:p w14:paraId="0CE84A16" w14:textId="77777777" w:rsidR="004F41B8" w:rsidRDefault="004F41B8" w:rsidP="008C0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591C3" w14:textId="77777777" w:rsidR="004F41B8" w:rsidRDefault="004F41B8" w:rsidP="008C048B">
      <w:pPr>
        <w:spacing w:after="0" w:line="240" w:lineRule="auto"/>
      </w:pPr>
      <w:r>
        <w:separator/>
      </w:r>
    </w:p>
  </w:footnote>
  <w:footnote w:type="continuationSeparator" w:id="0">
    <w:p w14:paraId="448006B4" w14:textId="77777777" w:rsidR="004F41B8" w:rsidRDefault="004F41B8" w:rsidP="008C04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618835"/>
      <w:docPartObj>
        <w:docPartGallery w:val="Page Numbers (Top of Page)"/>
        <w:docPartUnique/>
      </w:docPartObj>
    </w:sdtPr>
    <w:sdtContent>
      <w:p w14:paraId="299FC327" w14:textId="53915B95" w:rsidR="008C048B" w:rsidRDefault="008C048B">
        <w:pPr>
          <w:pStyle w:val="Header"/>
        </w:pPr>
        <w:r>
          <w:fldChar w:fldCharType="begin"/>
        </w:r>
        <w:r>
          <w:instrText>PAGE   \* MERGEFORMAT</w:instrText>
        </w:r>
        <w:r>
          <w:fldChar w:fldCharType="separate"/>
        </w:r>
        <w:r>
          <w:t>2</w:t>
        </w:r>
        <w:r>
          <w:fldChar w:fldCharType="end"/>
        </w:r>
      </w:p>
    </w:sdtContent>
  </w:sdt>
  <w:p w14:paraId="5CF974B9" w14:textId="77777777" w:rsidR="008C048B" w:rsidRDefault="008C04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25F09"/>
    <w:multiLevelType w:val="hybridMultilevel"/>
    <w:tmpl w:val="C592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22B7F"/>
    <w:multiLevelType w:val="hybridMultilevel"/>
    <w:tmpl w:val="DA08D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02D7C"/>
    <w:multiLevelType w:val="hybridMultilevel"/>
    <w:tmpl w:val="75803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160EAA"/>
    <w:multiLevelType w:val="hybridMultilevel"/>
    <w:tmpl w:val="846ED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43485">
    <w:abstractNumId w:val="0"/>
  </w:num>
  <w:num w:numId="2" w16cid:durableId="901797045">
    <w:abstractNumId w:val="3"/>
  </w:num>
  <w:num w:numId="3" w16cid:durableId="321593019">
    <w:abstractNumId w:val="1"/>
  </w:num>
  <w:num w:numId="4" w16cid:durableId="673842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26"/>
    <w:rsid w:val="00006EAA"/>
    <w:rsid w:val="000363CF"/>
    <w:rsid w:val="00045A81"/>
    <w:rsid w:val="000A5242"/>
    <w:rsid w:val="000B74B2"/>
    <w:rsid w:val="001339E1"/>
    <w:rsid w:val="001444D3"/>
    <w:rsid w:val="00146DC5"/>
    <w:rsid w:val="00175E31"/>
    <w:rsid w:val="001B65EE"/>
    <w:rsid w:val="001D343A"/>
    <w:rsid w:val="001F24F0"/>
    <w:rsid w:val="001F7D18"/>
    <w:rsid w:val="002112FE"/>
    <w:rsid w:val="002114B8"/>
    <w:rsid w:val="0022054B"/>
    <w:rsid w:val="002318D0"/>
    <w:rsid w:val="00244A2A"/>
    <w:rsid w:val="00260707"/>
    <w:rsid w:val="00266359"/>
    <w:rsid w:val="0029075E"/>
    <w:rsid w:val="002945A5"/>
    <w:rsid w:val="002B01F0"/>
    <w:rsid w:val="002C1EAD"/>
    <w:rsid w:val="00300E94"/>
    <w:rsid w:val="00346E79"/>
    <w:rsid w:val="00352374"/>
    <w:rsid w:val="003660AA"/>
    <w:rsid w:val="00371C10"/>
    <w:rsid w:val="00373C02"/>
    <w:rsid w:val="003908EB"/>
    <w:rsid w:val="003A7E99"/>
    <w:rsid w:val="003E0D5D"/>
    <w:rsid w:val="003E5C69"/>
    <w:rsid w:val="004330BC"/>
    <w:rsid w:val="0045480F"/>
    <w:rsid w:val="004D6A92"/>
    <w:rsid w:val="004F41B8"/>
    <w:rsid w:val="005072EE"/>
    <w:rsid w:val="00507E66"/>
    <w:rsid w:val="00511327"/>
    <w:rsid w:val="00517ED0"/>
    <w:rsid w:val="00523DF9"/>
    <w:rsid w:val="005266DB"/>
    <w:rsid w:val="00580E5B"/>
    <w:rsid w:val="005857B9"/>
    <w:rsid w:val="005A5DAB"/>
    <w:rsid w:val="005D1C4D"/>
    <w:rsid w:val="00627999"/>
    <w:rsid w:val="006324EA"/>
    <w:rsid w:val="006571D0"/>
    <w:rsid w:val="00661834"/>
    <w:rsid w:val="00681D48"/>
    <w:rsid w:val="00684B0F"/>
    <w:rsid w:val="0068592D"/>
    <w:rsid w:val="006B0653"/>
    <w:rsid w:val="006C30D0"/>
    <w:rsid w:val="006C5756"/>
    <w:rsid w:val="006E5CD5"/>
    <w:rsid w:val="006F77DD"/>
    <w:rsid w:val="007059D9"/>
    <w:rsid w:val="00710A15"/>
    <w:rsid w:val="00713E3C"/>
    <w:rsid w:val="00727A92"/>
    <w:rsid w:val="00756E8B"/>
    <w:rsid w:val="0075755F"/>
    <w:rsid w:val="0076520C"/>
    <w:rsid w:val="00771059"/>
    <w:rsid w:val="00793A26"/>
    <w:rsid w:val="007A3A49"/>
    <w:rsid w:val="007B3397"/>
    <w:rsid w:val="007D0240"/>
    <w:rsid w:val="007E2CDA"/>
    <w:rsid w:val="007E2E19"/>
    <w:rsid w:val="00803B5F"/>
    <w:rsid w:val="00823F03"/>
    <w:rsid w:val="00826273"/>
    <w:rsid w:val="00835592"/>
    <w:rsid w:val="00843464"/>
    <w:rsid w:val="00847070"/>
    <w:rsid w:val="0085447C"/>
    <w:rsid w:val="00854CAE"/>
    <w:rsid w:val="008659AC"/>
    <w:rsid w:val="00877360"/>
    <w:rsid w:val="008B0D2E"/>
    <w:rsid w:val="008C048B"/>
    <w:rsid w:val="008D0AF8"/>
    <w:rsid w:val="008F2662"/>
    <w:rsid w:val="00925A3F"/>
    <w:rsid w:val="009302CF"/>
    <w:rsid w:val="0095082A"/>
    <w:rsid w:val="009620B8"/>
    <w:rsid w:val="009643B8"/>
    <w:rsid w:val="0096775F"/>
    <w:rsid w:val="00967F84"/>
    <w:rsid w:val="009A1B47"/>
    <w:rsid w:val="009A7B17"/>
    <w:rsid w:val="009E1044"/>
    <w:rsid w:val="009F00DF"/>
    <w:rsid w:val="009F3BA1"/>
    <w:rsid w:val="009F5351"/>
    <w:rsid w:val="00A02DB1"/>
    <w:rsid w:val="00A55051"/>
    <w:rsid w:val="00A82F0A"/>
    <w:rsid w:val="00A95D41"/>
    <w:rsid w:val="00AB12FA"/>
    <w:rsid w:val="00AB2327"/>
    <w:rsid w:val="00AC0ED0"/>
    <w:rsid w:val="00AC12C2"/>
    <w:rsid w:val="00AC5C36"/>
    <w:rsid w:val="00AC6943"/>
    <w:rsid w:val="00AD0457"/>
    <w:rsid w:val="00B008F2"/>
    <w:rsid w:val="00B14B4E"/>
    <w:rsid w:val="00B400B0"/>
    <w:rsid w:val="00B46AC4"/>
    <w:rsid w:val="00B46E66"/>
    <w:rsid w:val="00B64566"/>
    <w:rsid w:val="00B801DE"/>
    <w:rsid w:val="00BA25F4"/>
    <w:rsid w:val="00BB1666"/>
    <w:rsid w:val="00BB5CE3"/>
    <w:rsid w:val="00BB78E9"/>
    <w:rsid w:val="00BC3C3A"/>
    <w:rsid w:val="00BE3E1F"/>
    <w:rsid w:val="00BF52E3"/>
    <w:rsid w:val="00BF6400"/>
    <w:rsid w:val="00C3174E"/>
    <w:rsid w:val="00C32663"/>
    <w:rsid w:val="00C56622"/>
    <w:rsid w:val="00C64750"/>
    <w:rsid w:val="00C80893"/>
    <w:rsid w:val="00CA21A3"/>
    <w:rsid w:val="00CB6804"/>
    <w:rsid w:val="00CD3C58"/>
    <w:rsid w:val="00D2006A"/>
    <w:rsid w:val="00D40133"/>
    <w:rsid w:val="00D53427"/>
    <w:rsid w:val="00D548E6"/>
    <w:rsid w:val="00D57C39"/>
    <w:rsid w:val="00D63919"/>
    <w:rsid w:val="00D7093F"/>
    <w:rsid w:val="00D72BCD"/>
    <w:rsid w:val="00D7397E"/>
    <w:rsid w:val="00DB16D8"/>
    <w:rsid w:val="00DB5956"/>
    <w:rsid w:val="00DD0709"/>
    <w:rsid w:val="00DE451B"/>
    <w:rsid w:val="00DF04EC"/>
    <w:rsid w:val="00E15B4D"/>
    <w:rsid w:val="00E2479B"/>
    <w:rsid w:val="00E30EC2"/>
    <w:rsid w:val="00E31506"/>
    <w:rsid w:val="00E32F9A"/>
    <w:rsid w:val="00E50C0D"/>
    <w:rsid w:val="00E571F9"/>
    <w:rsid w:val="00E6386D"/>
    <w:rsid w:val="00E92A78"/>
    <w:rsid w:val="00EB3C5D"/>
    <w:rsid w:val="00EC1785"/>
    <w:rsid w:val="00EC74C8"/>
    <w:rsid w:val="00ED5B88"/>
    <w:rsid w:val="00ED7C86"/>
    <w:rsid w:val="00F0772F"/>
    <w:rsid w:val="00F124C8"/>
    <w:rsid w:val="00F240F4"/>
    <w:rsid w:val="00F26BBC"/>
    <w:rsid w:val="00F27F2E"/>
    <w:rsid w:val="00F42B31"/>
    <w:rsid w:val="00F60D50"/>
    <w:rsid w:val="00F62C6F"/>
    <w:rsid w:val="00F821BE"/>
    <w:rsid w:val="00F967DD"/>
    <w:rsid w:val="00FA3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0B119"/>
  <w15:chartTrackingRefBased/>
  <w15:docId w15:val="{892CA46C-8C06-4D87-B205-7AEF7BA39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D41"/>
    <w:pPr>
      <w:keepNext/>
      <w:keepLines/>
      <w:spacing w:before="360" w:after="80"/>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3E5C69"/>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793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D41"/>
    <w:rPr>
      <w:rFonts w:ascii="Arial" w:eastAsiaTheme="majorEastAsia" w:hAnsi="Arial" w:cstheme="majorBidi"/>
      <w:b/>
      <w:szCs w:val="40"/>
    </w:rPr>
  </w:style>
  <w:style w:type="character" w:customStyle="1" w:styleId="Heading2Char">
    <w:name w:val="Heading 2 Char"/>
    <w:basedOn w:val="DefaultParagraphFont"/>
    <w:link w:val="Heading2"/>
    <w:uiPriority w:val="9"/>
    <w:rsid w:val="003E5C69"/>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793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A26"/>
    <w:rPr>
      <w:rFonts w:eastAsiaTheme="majorEastAsia" w:cstheme="majorBidi"/>
      <w:color w:val="272727" w:themeColor="text1" w:themeTint="D8"/>
    </w:rPr>
  </w:style>
  <w:style w:type="paragraph" w:styleId="Title">
    <w:name w:val="Title"/>
    <w:basedOn w:val="Normal"/>
    <w:next w:val="Normal"/>
    <w:link w:val="TitleChar"/>
    <w:uiPriority w:val="10"/>
    <w:qFormat/>
    <w:rsid w:val="00793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A26"/>
    <w:pPr>
      <w:spacing w:before="160"/>
      <w:jc w:val="center"/>
    </w:pPr>
    <w:rPr>
      <w:i/>
      <w:iCs/>
      <w:color w:val="404040" w:themeColor="text1" w:themeTint="BF"/>
    </w:rPr>
  </w:style>
  <w:style w:type="character" w:customStyle="1" w:styleId="QuoteChar">
    <w:name w:val="Quote Char"/>
    <w:basedOn w:val="DefaultParagraphFont"/>
    <w:link w:val="Quote"/>
    <w:uiPriority w:val="29"/>
    <w:rsid w:val="00793A26"/>
    <w:rPr>
      <w:i/>
      <w:iCs/>
      <w:color w:val="404040" w:themeColor="text1" w:themeTint="BF"/>
    </w:rPr>
  </w:style>
  <w:style w:type="paragraph" w:styleId="ListParagraph">
    <w:name w:val="List Paragraph"/>
    <w:basedOn w:val="Normal"/>
    <w:uiPriority w:val="34"/>
    <w:qFormat/>
    <w:rsid w:val="00793A26"/>
    <w:pPr>
      <w:ind w:left="720"/>
      <w:contextualSpacing/>
    </w:pPr>
  </w:style>
  <w:style w:type="character" w:styleId="IntenseEmphasis">
    <w:name w:val="Intense Emphasis"/>
    <w:basedOn w:val="DefaultParagraphFont"/>
    <w:uiPriority w:val="21"/>
    <w:qFormat/>
    <w:rsid w:val="00793A26"/>
    <w:rPr>
      <w:i/>
      <w:iCs/>
      <w:color w:val="0F4761" w:themeColor="accent1" w:themeShade="BF"/>
    </w:rPr>
  </w:style>
  <w:style w:type="paragraph" w:styleId="IntenseQuote">
    <w:name w:val="Intense Quote"/>
    <w:basedOn w:val="Normal"/>
    <w:next w:val="Normal"/>
    <w:link w:val="IntenseQuoteChar"/>
    <w:uiPriority w:val="30"/>
    <w:qFormat/>
    <w:rsid w:val="00793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A26"/>
    <w:rPr>
      <w:i/>
      <w:iCs/>
      <w:color w:val="0F4761" w:themeColor="accent1" w:themeShade="BF"/>
    </w:rPr>
  </w:style>
  <w:style w:type="character" w:styleId="IntenseReference">
    <w:name w:val="Intense Reference"/>
    <w:basedOn w:val="DefaultParagraphFont"/>
    <w:uiPriority w:val="32"/>
    <w:qFormat/>
    <w:rsid w:val="00793A26"/>
    <w:rPr>
      <w:b/>
      <w:bCs/>
      <w:smallCaps/>
      <w:color w:val="0F4761" w:themeColor="accent1" w:themeShade="BF"/>
      <w:spacing w:val="5"/>
    </w:rPr>
  </w:style>
  <w:style w:type="paragraph" w:styleId="Header">
    <w:name w:val="header"/>
    <w:basedOn w:val="Normal"/>
    <w:link w:val="HeaderChar"/>
    <w:uiPriority w:val="99"/>
    <w:unhideWhenUsed/>
    <w:rsid w:val="008C0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48B"/>
  </w:style>
  <w:style w:type="paragraph" w:styleId="Footer">
    <w:name w:val="footer"/>
    <w:basedOn w:val="Normal"/>
    <w:link w:val="FooterChar"/>
    <w:uiPriority w:val="99"/>
    <w:unhideWhenUsed/>
    <w:rsid w:val="008C0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48B"/>
  </w:style>
  <w:style w:type="character" w:styleId="Hyperlink">
    <w:name w:val="Hyperlink"/>
    <w:basedOn w:val="DefaultParagraphFont"/>
    <w:uiPriority w:val="99"/>
    <w:unhideWhenUsed/>
    <w:rsid w:val="00D7397E"/>
    <w:rPr>
      <w:color w:val="467886" w:themeColor="hyperlink"/>
      <w:u w:val="single"/>
    </w:rPr>
  </w:style>
  <w:style w:type="character" w:styleId="UnresolvedMention">
    <w:name w:val="Unresolved Mention"/>
    <w:basedOn w:val="DefaultParagraphFont"/>
    <w:uiPriority w:val="99"/>
    <w:semiHidden/>
    <w:unhideWhenUsed/>
    <w:rsid w:val="00D7397E"/>
    <w:rPr>
      <w:color w:val="605E5C"/>
      <w:shd w:val="clear" w:color="auto" w:fill="E1DFDD"/>
    </w:rPr>
  </w:style>
  <w:style w:type="character" w:styleId="FollowedHyperlink">
    <w:name w:val="FollowedHyperlink"/>
    <w:basedOn w:val="DefaultParagraphFont"/>
    <w:uiPriority w:val="99"/>
    <w:semiHidden/>
    <w:unhideWhenUsed/>
    <w:rsid w:val="00523DF9"/>
    <w:rPr>
      <w:color w:val="96607D" w:themeColor="followedHyperlink"/>
      <w:u w:val="single"/>
    </w:rPr>
  </w:style>
  <w:style w:type="paragraph" w:styleId="TOCHeading">
    <w:name w:val="TOC Heading"/>
    <w:basedOn w:val="Heading1"/>
    <w:next w:val="Normal"/>
    <w:uiPriority w:val="39"/>
    <w:unhideWhenUsed/>
    <w:qFormat/>
    <w:rsid w:val="002C1EAD"/>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2C1EAD"/>
    <w:pPr>
      <w:spacing w:after="100"/>
    </w:pPr>
  </w:style>
  <w:style w:type="paragraph" w:styleId="TOC2">
    <w:name w:val="toc 2"/>
    <w:basedOn w:val="Normal"/>
    <w:next w:val="Normal"/>
    <w:autoRedefine/>
    <w:uiPriority w:val="39"/>
    <w:unhideWhenUsed/>
    <w:rsid w:val="002C1EA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Social-Cognitive-Theory-An-Agentic-Perspective/Bandura/p/book/9781138572287" TargetMode="External"/><Relationship Id="rId13" Type="http://schemas.openxmlformats.org/officeDocument/2006/relationships/hyperlink" Target="https://www.ipcc.ch/report/ar6/wg2/" TargetMode="External"/><Relationship Id="rId18" Type="http://schemas.openxmlformats.org/officeDocument/2006/relationships/hyperlink" Target="https://www.solihull.gov.uk/Public-health/Public-Health-Annual-Reports" TargetMode="External"/><Relationship Id="rId26" Type="http://schemas.openxmlformats.org/officeDocument/2006/relationships/hyperlink" Target="https://www.who.int/publications/i/item/9789240031029" TargetMode="External"/><Relationship Id="rId3" Type="http://schemas.openxmlformats.org/officeDocument/2006/relationships/styles" Target="styles.xml"/><Relationship Id="rId21" Type="http://schemas.openxmlformats.org/officeDocument/2006/relationships/hyperlink" Target="https://www.legislation.gov.uk/ukpga/2022/31/contents" TargetMode="External"/><Relationship Id="rId7" Type="http://schemas.openxmlformats.org/officeDocument/2006/relationships/endnotes" Target="endnotes.xml"/><Relationship Id="rId12" Type="http://schemas.openxmlformats.org/officeDocument/2006/relationships/hyperlink" Target="https://www.gov.uk/government/publications/net-zero-strategy-build-back-greener" TargetMode="External"/><Relationship Id="rId17" Type="http://schemas.openxmlformats.org/officeDocument/2006/relationships/hyperlink" Target="https://www.solihull.gov.uk/Climate-emergency/Climate-change-strategy" TargetMode="External"/><Relationship Id="rId25" Type="http://schemas.openxmlformats.org/officeDocument/2006/relationships/hyperlink" Target="https://www.who.int/publications/i/item/9789240029040" TargetMode="External"/><Relationship Id="rId2" Type="http://schemas.openxmlformats.org/officeDocument/2006/relationships/numbering" Target="numbering.xml"/><Relationship Id="rId16" Type="http://schemas.openxmlformats.org/officeDocument/2006/relationships/hyperlink" Target="https://www.england.nhs.uk/greenernhs/publication/delivering-a-net-zero-national-health-service/" TargetMode="External"/><Relationship Id="rId20" Type="http://schemas.openxmlformats.org/officeDocument/2006/relationships/hyperlink" Target="https://www.kingsfund.org.uk/insight-and-analysis/long-reads/climate-change-and-health-inequaliti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90198111418634" TargetMode="External"/><Relationship Id="rId24" Type="http://schemas.openxmlformats.org/officeDocument/2006/relationships/hyperlink" Target="https://unfccc.int/process-and-meetings/the-paris-agreement/the-paris-agreement" TargetMode="External"/><Relationship Id="rId5" Type="http://schemas.openxmlformats.org/officeDocument/2006/relationships/webSettings" Target="webSettings.xml"/><Relationship Id="rId15" Type="http://schemas.openxmlformats.org/officeDocument/2006/relationships/hyperlink" Target="https://www.longtermplan.nhs.uk/" TargetMode="External"/><Relationship Id="rId23" Type="http://schemas.openxmlformats.org/officeDocument/2006/relationships/hyperlink" Target="https://unstats.un.org/sdgs/report/2023/" TargetMode="External"/><Relationship Id="rId28" Type="http://schemas.openxmlformats.org/officeDocument/2006/relationships/hyperlink" Target="https://www.who.int/publications/i/item/9789240074323" TargetMode="External"/><Relationship Id="rId10" Type="http://schemas.openxmlformats.org/officeDocument/2006/relationships/hyperlink" Target="https://www.gov.uk/government/publications/clean-air-strategy-2019" TargetMode="External"/><Relationship Id="rId19" Type="http://schemas.openxmlformats.org/officeDocument/2006/relationships/hyperlink" Target="https://www.solihull.gov.uk/Pollution-and-noise/Air-quality-monitorin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10410236.2016.1214220" TargetMode="External"/><Relationship Id="rId14" Type="http://schemas.openxmlformats.org/officeDocument/2006/relationships/hyperlink" Target="https://www.health.org.uk/publications/reports/the-marmot-review-10-years-on" TargetMode="External"/><Relationship Id="rId22" Type="http://schemas.openxmlformats.org/officeDocument/2006/relationships/hyperlink" Target="https://sdgs.un.org/2030agenda" TargetMode="External"/><Relationship Id="rId27" Type="http://schemas.openxmlformats.org/officeDocument/2006/relationships/hyperlink" Target="https://www.who.int/publications/i/item/978924007247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4C14B-CA98-4DB8-9118-9D6CBE3F6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12</Pages>
  <Words>3601</Words>
  <Characters>20532</Characters>
  <Application>Microsoft Office Word</Application>
  <DocSecurity>0</DocSecurity>
  <Lines>171</Lines>
  <Paragraphs>48</Paragraphs>
  <ScaleCrop>false</ScaleCrop>
  <Company/>
  <LinksUpToDate>false</LinksUpToDate>
  <CharactersWithSpaces>24085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Akbar</dc:creator>
  <cp:keywords/>
  <dc:description/>
  <cp:lastModifiedBy>Nosheen Akbar</cp:lastModifiedBy>
  <cp:revision>167</cp:revision>
  <dcterms:created xsi:type="dcterms:W3CDTF">2026-07-13T22:05:00Z</dcterms:created>
  <dcterms:modified xsi:type="dcterms:W3CDTF">2026-07-14T22:15:00Z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b864da2a-e5b5-422c-bf46-0d613243d268</vt:lpwstr>
  </property>
</Properties>
</file>