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E5351" w14:textId="77777777" w:rsidR="00E35BCC" w:rsidRDefault="00E35BCC">
      <w:pPr>
        <w:pStyle w:val="Title"/>
        <w:spacing w:after="0" w:line="360" w:lineRule="auto"/>
        <w:jc w:val="center"/>
        <w:rPr>
          <w:rFonts w:ascii="Times New Roman" w:eastAsia="Times New Roman" w:hAnsi="Times New Roman" w:cs="Times New Roman"/>
          <w:b/>
          <w:bCs/>
          <w:sz w:val="32"/>
          <w:szCs w:val="32"/>
        </w:rPr>
      </w:pPr>
      <w:bookmarkStart w:id="0" w:name="_chcppxbz9ug4" w:colFirst="0" w:colLast="0"/>
      <w:bookmarkEnd w:id="0"/>
    </w:p>
    <w:p w14:paraId="458E5352" w14:textId="77777777" w:rsidR="00E35BCC" w:rsidRDefault="00E35BCC">
      <w:pPr>
        <w:pStyle w:val="Title"/>
        <w:spacing w:after="0" w:line="360" w:lineRule="auto"/>
        <w:jc w:val="center"/>
        <w:rPr>
          <w:rFonts w:ascii="Times New Roman" w:eastAsia="Times New Roman" w:hAnsi="Times New Roman" w:cs="Times New Roman"/>
          <w:b/>
          <w:bCs/>
          <w:sz w:val="32"/>
          <w:szCs w:val="32"/>
        </w:rPr>
      </w:pPr>
      <w:bookmarkStart w:id="1" w:name="_7iu8mvc6oy74" w:colFirst="0" w:colLast="0"/>
      <w:bookmarkEnd w:id="1"/>
    </w:p>
    <w:p w14:paraId="458E5353" w14:textId="77777777" w:rsidR="00E35BCC" w:rsidRDefault="00E35BCC">
      <w:pPr>
        <w:pStyle w:val="Title"/>
        <w:spacing w:after="0" w:line="360" w:lineRule="auto"/>
        <w:jc w:val="center"/>
        <w:rPr>
          <w:rFonts w:ascii="Times New Roman" w:eastAsia="Times New Roman" w:hAnsi="Times New Roman" w:cs="Times New Roman"/>
          <w:b/>
          <w:bCs/>
          <w:sz w:val="32"/>
          <w:szCs w:val="32"/>
        </w:rPr>
      </w:pPr>
      <w:bookmarkStart w:id="2" w:name="_f5u0w3divfn1" w:colFirst="0" w:colLast="0"/>
      <w:bookmarkEnd w:id="2"/>
    </w:p>
    <w:p w14:paraId="458E5354" w14:textId="77777777" w:rsidR="00E35BCC" w:rsidRDefault="00DF450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Project Management</w:t>
      </w:r>
    </w:p>
    <w:p w14:paraId="458E5355" w14:textId="77777777" w:rsidR="00E35BCC" w:rsidRDefault="00DF450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LCLM5003</w:t>
      </w:r>
    </w:p>
    <w:p w14:paraId="458E5356" w14:textId="77777777" w:rsidR="001D17FB" w:rsidRDefault="001D17FB">
      <w:pPr>
        <w:spacing w:line="360" w:lineRule="auto"/>
        <w:jc w:val="center"/>
        <w:rPr>
          <w:rFonts w:ascii="Times New Roman" w:eastAsia="Times New Roman" w:hAnsi="Times New Roman" w:cs="Times New Roman"/>
          <w:b/>
          <w:bCs/>
          <w:sz w:val="32"/>
          <w:szCs w:val="32"/>
        </w:rPr>
      </w:pPr>
    </w:p>
    <w:p w14:paraId="458E5357" w14:textId="77777777" w:rsidR="00E35BCC" w:rsidRDefault="008B6503">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Part A: Poster</w:t>
      </w:r>
    </w:p>
    <w:p w14:paraId="458E5358" w14:textId="77777777" w:rsidR="008B6503" w:rsidRDefault="008B6503" w:rsidP="008B6503">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Part B: Reflection on Feedback</w:t>
      </w:r>
    </w:p>
    <w:p w14:paraId="458E5359" w14:textId="77777777" w:rsidR="00E35BCC" w:rsidRDefault="00DF450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Part C: Project Management Plan</w:t>
      </w:r>
    </w:p>
    <w:p w14:paraId="458E535A" w14:textId="77777777" w:rsidR="00E35BCC" w:rsidRDefault="00E35BCC">
      <w:pPr>
        <w:spacing w:line="360" w:lineRule="auto"/>
        <w:jc w:val="center"/>
      </w:pPr>
    </w:p>
    <w:p w14:paraId="458E535B" w14:textId="77777777" w:rsidR="00E35BCC" w:rsidRDefault="00E35BCC">
      <w:pPr>
        <w:spacing w:line="360" w:lineRule="auto"/>
        <w:jc w:val="center"/>
      </w:pPr>
    </w:p>
    <w:p w14:paraId="458E535C" w14:textId="514384CF"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name:</w:t>
      </w:r>
      <w:r w:rsidR="00676851">
        <w:rPr>
          <w:rFonts w:ascii="Times New Roman" w:eastAsia="Times New Roman" w:hAnsi="Times New Roman" w:cs="Times New Roman"/>
          <w:b/>
          <w:bCs/>
          <w:sz w:val="24"/>
          <w:szCs w:val="24"/>
        </w:rPr>
        <w:t xml:space="preserve"> Daniel Fratczak </w:t>
      </w:r>
    </w:p>
    <w:p w14:paraId="458E535D" w14:textId="3AA67D06" w:rsidR="00E35BCC" w:rsidRDefault="00DF4501">
      <w:pPr>
        <w:spacing w:line="360" w:lineRule="auto"/>
        <w:jc w:val="center"/>
      </w:pPr>
      <w:r>
        <w:rPr>
          <w:rFonts w:ascii="Times New Roman" w:eastAsia="Times New Roman" w:hAnsi="Times New Roman" w:cs="Times New Roman"/>
          <w:b/>
          <w:bCs/>
          <w:sz w:val="24"/>
          <w:szCs w:val="24"/>
        </w:rPr>
        <w:t>Student ID:</w:t>
      </w:r>
      <w:r w:rsidR="00676851">
        <w:rPr>
          <w:rFonts w:ascii="Times New Roman" w:eastAsia="Times New Roman" w:hAnsi="Times New Roman" w:cs="Times New Roman"/>
          <w:b/>
          <w:bCs/>
          <w:sz w:val="24"/>
          <w:szCs w:val="24"/>
        </w:rPr>
        <w:t xml:space="preserve"> </w:t>
      </w:r>
      <w:r w:rsidR="004B79AC">
        <w:rPr>
          <w:rFonts w:ascii="Times New Roman" w:eastAsia="Times New Roman" w:hAnsi="Times New Roman" w:cs="Times New Roman"/>
          <w:b/>
          <w:bCs/>
          <w:sz w:val="24"/>
          <w:szCs w:val="24"/>
        </w:rPr>
        <w:t>2424154</w:t>
      </w:r>
      <w:r>
        <w:br w:type="page"/>
      </w:r>
    </w:p>
    <w:p w14:paraId="458E535E"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of Contents</w:t>
      </w:r>
    </w:p>
    <w:sdt>
      <w:sdtPr>
        <w:rPr>
          <w:rFonts w:ascii="Times New Roman" w:eastAsia="Arial" w:hAnsi="Times New Roman" w:cs="Times New Roman"/>
          <w:color w:val="auto"/>
          <w:sz w:val="24"/>
          <w:szCs w:val="24"/>
          <w:lang w:val="en-GB" w:eastAsia="en-GB"/>
        </w:rPr>
        <w:id w:val="2032151722"/>
        <w:docPartObj>
          <w:docPartGallery w:val="Table of Contents"/>
          <w:docPartUnique/>
        </w:docPartObj>
      </w:sdtPr>
      <w:sdtEndPr>
        <w:rPr>
          <w:b/>
          <w:bCs/>
          <w:noProof/>
          <w:color w:val="000000" w:themeColor="text1"/>
        </w:rPr>
      </w:sdtEndPr>
      <w:sdtContent>
        <w:p w14:paraId="458E535F" w14:textId="77777777" w:rsidR="003A31C3" w:rsidRPr="003A31C3" w:rsidRDefault="003A31C3" w:rsidP="003A31C3">
          <w:pPr>
            <w:pStyle w:val="TOCHeading"/>
            <w:spacing w:before="0" w:line="360" w:lineRule="auto"/>
            <w:jc w:val="both"/>
            <w:rPr>
              <w:rFonts w:ascii="Times New Roman" w:hAnsi="Times New Roman" w:cs="Times New Roman"/>
              <w:sz w:val="22"/>
              <w:szCs w:val="24"/>
            </w:rPr>
          </w:pPr>
        </w:p>
        <w:p w14:paraId="458E5360" w14:textId="77777777" w:rsidR="004F5C2F" w:rsidRPr="004F5C2F" w:rsidRDefault="003A31C3" w:rsidP="004F5C2F">
          <w:pPr>
            <w:pStyle w:val="TOC1"/>
            <w:tabs>
              <w:tab w:val="right" w:leader="dot" w:pos="9019"/>
            </w:tabs>
            <w:jc w:val="both"/>
            <w:rPr>
              <w:rFonts w:ascii="Times New Roman" w:eastAsiaTheme="minorEastAsia" w:hAnsi="Times New Roman" w:cs="Times New Roman"/>
              <w:noProof/>
              <w:sz w:val="24"/>
            </w:rPr>
          </w:pPr>
          <w:r w:rsidRPr="00447BE9">
            <w:rPr>
              <w:rFonts w:ascii="Times New Roman" w:hAnsi="Times New Roman" w:cs="Times New Roman"/>
              <w:b/>
              <w:bCs/>
              <w:noProof/>
              <w:color w:val="000000" w:themeColor="text1"/>
              <w:sz w:val="24"/>
              <w:szCs w:val="24"/>
            </w:rPr>
            <w:fldChar w:fldCharType="begin"/>
          </w:r>
          <w:r w:rsidRPr="00447BE9">
            <w:rPr>
              <w:rFonts w:ascii="Times New Roman" w:hAnsi="Times New Roman" w:cs="Times New Roman"/>
              <w:b/>
              <w:bCs/>
              <w:noProof/>
              <w:color w:val="000000" w:themeColor="text1"/>
              <w:sz w:val="24"/>
              <w:szCs w:val="24"/>
            </w:rPr>
            <w:instrText xml:space="preserve"> TOC \o "1-3" \h \z \u </w:instrText>
          </w:r>
          <w:r w:rsidRPr="00447BE9">
            <w:rPr>
              <w:rFonts w:ascii="Times New Roman" w:hAnsi="Times New Roman" w:cs="Times New Roman"/>
              <w:b/>
              <w:bCs/>
              <w:noProof/>
              <w:color w:val="000000" w:themeColor="text1"/>
              <w:sz w:val="24"/>
              <w:szCs w:val="24"/>
            </w:rPr>
            <w:fldChar w:fldCharType="separate"/>
          </w:r>
          <w:hyperlink w:anchor="_Toc236317324" w:history="1">
            <w:r w:rsidR="004F5C2F" w:rsidRPr="004F5C2F">
              <w:rPr>
                <w:rStyle w:val="Hyperlink"/>
                <w:rFonts w:ascii="Times New Roman" w:hAnsi="Times New Roman" w:cs="Times New Roman"/>
                <w:noProof/>
                <w:sz w:val="24"/>
              </w:rPr>
              <w:t>Part A: Poster</w:t>
            </w:r>
            <w:r w:rsidR="004F5C2F" w:rsidRPr="004F5C2F">
              <w:rPr>
                <w:rFonts w:ascii="Times New Roman" w:hAnsi="Times New Roman" w:cs="Times New Roman"/>
                <w:noProof/>
                <w:webHidden/>
                <w:sz w:val="24"/>
              </w:rPr>
              <w:tab/>
            </w:r>
            <w:r w:rsidR="004F5C2F" w:rsidRPr="004F5C2F">
              <w:rPr>
                <w:rFonts w:ascii="Times New Roman" w:hAnsi="Times New Roman" w:cs="Times New Roman"/>
                <w:noProof/>
                <w:webHidden/>
                <w:sz w:val="24"/>
              </w:rPr>
              <w:fldChar w:fldCharType="begin"/>
            </w:r>
            <w:r w:rsidR="004F5C2F" w:rsidRPr="004F5C2F">
              <w:rPr>
                <w:rFonts w:ascii="Times New Roman" w:hAnsi="Times New Roman" w:cs="Times New Roman"/>
                <w:noProof/>
                <w:webHidden/>
                <w:sz w:val="24"/>
              </w:rPr>
              <w:instrText xml:space="preserve"> PAGEREF _Toc236317324 \h </w:instrText>
            </w:r>
            <w:r w:rsidR="004F5C2F" w:rsidRPr="004F5C2F">
              <w:rPr>
                <w:rFonts w:ascii="Times New Roman" w:hAnsi="Times New Roman" w:cs="Times New Roman"/>
                <w:noProof/>
                <w:webHidden/>
                <w:sz w:val="24"/>
              </w:rPr>
            </w:r>
            <w:r w:rsidR="004F5C2F" w:rsidRPr="004F5C2F">
              <w:rPr>
                <w:rFonts w:ascii="Times New Roman" w:hAnsi="Times New Roman" w:cs="Times New Roman"/>
                <w:noProof/>
                <w:webHidden/>
                <w:sz w:val="24"/>
              </w:rPr>
              <w:fldChar w:fldCharType="separate"/>
            </w:r>
            <w:r w:rsidR="004F5C2F" w:rsidRPr="004F5C2F">
              <w:rPr>
                <w:rFonts w:ascii="Times New Roman" w:hAnsi="Times New Roman" w:cs="Times New Roman"/>
                <w:noProof/>
                <w:webHidden/>
                <w:sz w:val="24"/>
              </w:rPr>
              <w:t>2</w:t>
            </w:r>
            <w:r w:rsidR="004F5C2F" w:rsidRPr="004F5C2F">
              <w:rPr>
                <w:rFonts w:ascii="Times New Roman" w:hAnsi="Times New Roman" w:cs="Times New Roman"/>
                <w:noProof/>
                <w:webHidden/>
                <w:sz w:val="24"/>
              </w:rPr>
              <w:fldChar w:fldCharType="end"/>
            </w:r>
          </w:hyperlink>
        </w:p>
        <w:p w14:paraId="458E5361" w14:textId="77777777" w:rsidR="004F5C2F" w:rsidRPr="004F5C2F" w:rsidRDefault="004F5C2F" w:rsidP="004F5C2F">
          <w:pPr>
            <w:pStyle w:val="TOC1"/>
            <w:tabs>
              <w:tab w:val="right" w:leader="dot" w:pos="9019"/>
            </w:tabs>
            <w:jc w:val="both"/>
            <w:rPr>
              <w:rFonts w:ascii="Times New Roman" w:eastAsiaTheme="minorEastAsia" w:hAnsi="Times New Roman" w:cs="Times New Roman"/>
              <w:noProof/>
              <w:sz w:val="24"/>
            </w:rPr>
          </w:pPr>
          <w:hyperlink w:anchor="_Toc236317325" w:history="1">
            <w:r w:rsidRPr="004F5C2F">
              <w:rPr>
                <w:rStyle w:val="Hyperlink"/>
                <w:rFonts w:ascii="Times New Roman" w:hAnsi="Times New Roman" w:cs="Times New Roman"/>
                <w:noProof/>
                <w:sz w:val="24"/>
              </w:rPr>
              <w:t>Part B: Reflect critically on the feedback received from tutor and peers</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_Toc236317325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12</w:t>
            </w:r>
            <w:r w:rsidRPr="004F5C2F">
              <w:rPr>
                <w:rFonts w:ascii="Times New Roman" w:hAnsi="Times New Roman" w:cs="Times New Roman"/>
                <w:noProof/>
                <w:webHidden/>
                <w:sz w:val="24"/>
              </w:rPr>
              <w:fldChar w:fldCharType="end"/>
            </w:r>
          </w:hyperlink>
        </w:p>
        <w:p w14:paraId="458E5362"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26" w:history="1">
            <w:r w:rsidRPr="004F5C2F">
              <w:rPr>
                <w:rStyle w:val="Hyperlink"/>
                <w:rFonts w:ascii="Times New Roman" w:hAnsi="Times New Roman" w:cs="Times New Roman"/>
                <w:noProof/>
                <w:sz w:val="24"/>
              </w:rPr>
              <w:t>Introduction</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_Toc236317326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12</w:t>
            </w:r>
            <w:r w:rsidRPr="004F5C2F">
              <w:rPr>
                <w:rFonts w:ascii="Times New Roman" w:hAnsi="Times New Roman" w:cs="Times New Roman"/>
                <w:noProof/>
                <w:webHidden/>
                <w:sz w:val="24"/>
              </w:rPr>
              <w:fldChar w:fldCharType="end"/>
            </w:r>
          </w:hyperlink>
        </w:p>
        <w:p w14:paraId="458E5363"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27" w:history="1">
            <w:r w:rsidRPr="004F5C2F">
              <w:rPr>
                <w:rStyle w:val="Hyperlink"/>
                <w:rFonts w:ascii="Times New Roman" w:hAnsi="Times New Roman" w:cs="Times New Roman"/>
                <w:noProof/>
                <w:sz w:val="24"/>
              </w:rPr>
              <w:t>Key strengths</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_Toc236317327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13</w:t>
            </w:r>
            <w:r w:rsidRPr="004F5C2F">
              <w:rPr>
                <w:rFonts w:ascii="Times New Roman" w:hAnsi="Times New Roman" w:cs="Times New Roman"/>
                <w:noProof/>
                <w:webHidden/>
                <w:sz w:val="24"/>
              </w:rPr>
              <w:fldChar w:fldCharType="end"/>
            </w:r>
          </w:hyperlink>
        </w:p>
        <w:p w14:paraId="458E5364"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28" w:history="1">
            <w:r w:rsidRPr="004F5C2F">
              <w:rPr>
                <w:rStyle w:val="Hyperlink"/>
                <w:rFonts w:ascii="Times New Roman" w:hAnsi="Times New Roman" w:cs="Times New Roman"/>
                <w:noProof/>
                <w:sz w:val="24"/>
              </w:rPr>
              <w:t>Areas for improvement</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_Toc236317328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13</w:t>
            </w:r>
            <w:r w:rsidRPr="004F5C2F">
              <w:rPr>
                <w:rFonts w:ascii="Times New Roman" w:hAnsi="Times New Roman" w:cs="Times New Roman"/>
                <w:noProof/>
                <w:webHidden/>
                <w:sz w:val="24"/>
              </w:rPr>
              <w:fldChar w:fldCharType="end"/>
            </w:r>
          </w:hyperlink>
        </w:p>
        <w:p w14:paraId="458E5365"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29" w:history="1">
            <w:r w:rsidRPr="004F5C2F">
              <w:rPr>
                <w:rStyle w:val="Hyperlink"/>
                <w:rFonts w:ascii="Times New Roman" w:hAnsi="Times New Roman" w:cs="Times New Roman"/>
                <w:noProof/>
                <w:sz w:val="24"/>
              </w:rPr>
              <w:t>How does feedback inform changes to your final project management plan</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_Toc236317329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14</w:t>
            </w:r>
            <w:r w:rsidRPr="004F5C2F">
              <w:rPr>
                <w:rFonts w:ascii="Times New Roman" w:hAnsi="Times New Roman" w:cs="Times New Roman"/>
                <w:noProof/>
                <w:webHidden/>
                <w:sz w:val="24"/>
              </w:rPr>
              <w:fldChar w:fldCharType="end"/>
            </w:r>
          </w:hyperlink>
        </w:p>
        <w:p w14:paraId="458E5366"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30" w:history="1">
            <w:r w:rsidRPr="004F5C2F">
              <w:rPr>
                <w:rStyle w:val="Hyperlink"/>
                <w:rFonts w:ascii="Times New Roman" w:hAnsi="Times New Roman" w:cs="Times New Roman"/>
                <w:noProof/>
                <w:sz w:val="24"/>
              </w:rPr>
              <w:t>Conclusion</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_Toc236317330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15</w:t>
            </w:r>
            <w:r w:rsidRPr="004F5C2F">
              <w:rPr>
                <w:rFonts w:ascii="Times New Roman" w:hAnsi="Times New Roman" w:cs="Times New Roman"/>
                <w:noProof/>
                <w:webHidden/>
                <w:sz w:val="24"/>
              </w:rPr>
              <w:fldChar w:fldCharType="end"/>
            </w:r>
          </w:hyperlink>
        </w:p>
        <w:p w14:paraId="458E5367" w14:textId="77777777" w:rsidR="004F5C2F" w:rsidRPr="004F5C2F" w:rsidRDefault="004F5C2F" w:rsidP="004F5C2F">
          <w:pPr>
            <w:pStyle w:val="TOC1"/>
            <w:tabs>
              <w:tab w:val="right" w:leader="dot" w:pos="9019"/>
            </w:tabs>
            <w:jc w:val="both"/>
            <w:rPr>
              <w:rFonts w:ascii="Times New Roman" w:eastAsiaTheme="minorEastAsia" w:hAnsi="Times New Roman" w:cs="Times New Roman"/>
              <w:noProof/>
              <w:sz w:val="24"/>
            </w:rPr>
          </w:pPr>
          <w:hyperlink w:anchor="_Toc236317331" w:history="1">
            <w:r w:rsidRPr="004F5C2F">
              <w:rPr>
                <w:rStyle w:val="Hyperlink"/>
                <w:rFonts w:ascii="Times New Roman" w:hAnsi="Times New Roman" w:cs="Times New Roman"/>
                <w:noProof/>
                <w:sz w:val="24"/>
              </w:rPr>
              <w:t>Part C: Project Management Plan</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_Toc236317331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16</w:t>
            </w:r>
            <w:r w:rsidRPr="004F5C2F">
              <w:rPr>
                <w:rFonts w:ascii="Times New Roman" w:hAnsi="Times New Roman" w:cs="Times New Roman"/>
                <w:noProof/>
                <w:webHidden/>
                <w:sz w:val="24"/>
              </w:rPr>
              <w:fldChar w:fldCharType="end"/>
            </w:r>
          </w:hyperlink>
        </w:p>
        <w:p w14:paraId="458E5368"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32" w:history="1">
            <w:r w:rsidRPr="004F5C2F">
              <w:rPr>
                <w:rStyle w:val="Hyperlink"/>
                <w:rFonts w:ascii="Times New Roman" w:hAnsi="Times New Roman" w:cs="Times New Roman"/>
                <w:noProof/>
                <w:sz w:val="24"/>
              </w:rPr>
              <w:t>1. Introduction</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_Toc236317332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16</w:t>
            </w:r>
            <w:r w:rsidRPr="004F5C2F">
              <w:rPr>
                <w:rFonts w:ascii="Times New Roman" w:hAnsi="Times New Roman" w:cs="Times New Roman"/>
                <w:noProof/>
                <w:webHidden/>
                <w:sz w:val="24"/>
              </w:rPr>
              <w:fldChar w:fldCharType="end"/>
            </w:r>
          </w:hyperlink>
        </w:p>
        <w:p w14:paraId="458E5369"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33" w:history="1">
            <w:r w:rsidRPr="004F5C2F">
              <w:rPr>
                <w:rStyle w:val="Hyperlink"/>
                <w:rFonts w:ascii="Times New Roman" w:hAnsi="Times New Roman" w:cs="Times New Roman"/>
                <w:noProof/>
                <w:sz w:val="24"/>
              </w:rPr>
              <w:t>2. Project description</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_Toc236317333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17</w:t>
            </w:r>
            <w:r w:rsidRPr="004F5C2F">
              <w:rPr>
                <w:rFonts w:ascii="Times New Roman" w:hAnsi="Times New Roman" w:cs="Times New Roman"/>
                <w:noProof/>
                <w:webHidden/>
                <w:sz w:val="24"/>
              </w:rPr>
              <w:fldChar w:fldCharType="end"/>
            </w:r>
          </w:hyperlink>
        </w:p>
        <w:p w14:paraId="458E536A"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34" w:history="1">
            <w:r w:rsidRPr="004F5C2F">
              <w:rPr>
                <w:rStyle w:val="Hyperlink"/>
                <w:rFonts w:ascii="Times New Roman" w:hAnsi="Times New Roman" w:cs="Times New Roman"/>
                <w:noProof/>
                <w:sz w:val="24"/>
              </w:rPr>
              <w:t>3. Scope</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_Toc236317334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17</w:t>
            </w:r>
            <w:r w:rsidRPr="004F5C2F">
              <w:rPr>
                <w:rFonts w:ascii="Times New Roman" w:hAnsi="Times New Roman" w:cs="Times New Roman"/>
                <w:noProof/>
                <w:webHidden/>
                <w:sz w:val="24"/>
              </w:rPr>
              <w:fldChar w:fldCharType="end"/>
            </w:r>
          </w:hyperlink>
        </w:p>
        <w:p w14:paraId="458E536B"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35" w:history="1">
            <w:r w:rsidRPr="004F5C2F">
              <w:rPr>
                <w:rStyle w:val="Hyperlink"/>
                <w:rFonts w:ascii="Times New Roman" w:hAnsi="Times New Roman" w:cs="Times New Roman"/>
                <w:noProof/>
                <w:sz w:val="24"/>
              </w:rPr>
              <w:t>4. Work breakdown structure (WBS)</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_Toc236317335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18</w:t>
            </w:r>
            <w:r w:rsidRPr="004F5C2F">
              <w:rPr>
                <w:rFonts w:ascii="Times New Roman" w:hAnsi="Times New Roman" w:cs="Times New Roman"/>
                <w:noProof/>
                <w:webHidden/>
                <w:sz w:val="24"/>
              </w:rPr>
              <w:fldChar w:fldCharType="end"/>
            </w:r>
          </w:hyperlink>
        </w:p>
        <w:p w14:paraId="458E536C"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36" w:history="1">
            <w:r w:rsidRPr="004F5C2F">
              <w:rPr>
                <w:rStyle w:val="Hyperlink"/>
                <w:rFonts w:ascii="Times New Roman" w:hAnsi="Times New Roman" w:cs="Times New Roman"/>
                <w:noProof/>
                <w:sz w:val="24"/>
              </w:rPr>
              <w:t>5. Quad Chart</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_Toc236317336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19</w:t>
            </w:r>
            <w:r w:rsidRPr="004F5C2F">
              <w:rPr>
                <w:rFonts w:ascii="Times New Roman" w:hAnsi="Times New Roman" w:cs="Times New Roman"/>
                <w:noProof/>
                <w:webHidden/>
                <w:sz w:val="24"/>
              </w:rPr>
              <w:fldChar w:fldCharType="end"/>
            </w:r>
          </w:hyperlink>
        </w:p>
        <w:p w14:paraId="458E536D"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37" w:history="1">
            <w:r w:rsidRPr="004F5C2F">
              <w:rPr>
                <w:rStyle w:val="Hyperlink"/>
                <w:rFonts w:ascii="Times New Roman" w:hAnsi="Times New Roman" w:cs="Times New Roman"/>
                <w:noProof/>
                <w:sz w:val="24"/>
              </w:rPr>
              <w:t>6. Gantt Chart</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_Toc236317337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20</w:t>
            </w:r>
            <w:r w:rsidRPr="004F5C2F">
              <w:rPr>
                <w:rFonts w:ascii="Times New Roman" w:hAnsi="Times New Roman" w:cs="Times New Roman"/>
                <w:noProof/>
                <w:webHidden/>
                <w:sz w:val="24"/>
              </w:rPr>
              <w:fldChar w:fldCharType="end"/>
            </w:r>
          </w:hyperlink>
        </w:p>
        <w:p w14:paraId="458E536E"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38" w:history="1">
            <w:r w:rsidRPr="004F5C2F">
              <w:rPr>
                <w:rStyle w:val="Hyperlink"/>
                <w:rFonts w:ascii="Times New Roman" w:hAnsi="Times New Roman" w:cs="Times New Roman"/>
                <w:noProof/>
                <w:sz w:val="24"/>
              </w:rPr>
              <w:t>7. Stakeholders' involvement</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_Toc236317338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21</w:t>
            </w:r>
            <w:r w:rsidRPr="004F5C2F">
              <w:rPr>
                <w:rFonts w:ascii="Times New Roman" w:hAnsi="Times New Roman" w:cs="Times New Roman"/>
                <w:noProof/>
                <w:webHidden/>
                <w:sz w:val="24"/>
              </w:rPr>
              <w:fldChar w:fldCharType="end"/>
            </w:r>
          </w:hyperlink>
        </w:p>
        <w:p w14:paraId="458E536F"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39" w:history="1">
            <w:r w:rsidRPr="004F5C2F">
              <w:rPr>
                <w:rStyle w:val="Hyperlink"/>
                <w:rFonts w:ascii="Times New Roman" w:hAnsi="Times New Roman" w:cs="Times New Roman"/>
                <w:noProof/>
                <w:sz w:val="24"/>
              </w:rPr>
              <w:t>8. Allocation of resources</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_Toc236317339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23</w:t>
            </w:r>
            <w:r w:rsidRPr="004F5C2F">
              <w:rPr>
                <w:rFonts w:ascii="Times New Roman" w:hAnsi="Times New Roman" w:cs="Times New Roman"/>
                <w:noProof/>
                <w:webHidden/>
                <w:sz w:val="24"/>
              </w:rPr>
              <w:fldChar w:fldCharType="end"/>
            </w:r>
          </w:hyperlink>
        </w:p>
        <w:p w14:paraId="458E5370"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40" w:history="1">
            <w:r w:rsidRPr="004F5C2F">
              <w:rPr>
                <w:rStyle w:val="Hyperlink"/>
                <w:rFonts w:ascii="Times New Roman" w:hAnsi="Times New Roman" w:cs="Times New Roman"/>
                <w:noProof/>
                <w:sz w:val="24"/>
              </w:rPr>
              <w:t>9. Risk Analysis</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_Toc236317340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25</w:t>
            </w:r>
            <w:r w:rsidRPr="004F5C2F">
              <w:rPr>
                <w:rFonts w:ascii="Times New Roman" w:hAnsi="Times New Roman" w:cs="Times New Roman"/>
                <w:noProof/>
                <w:webHidden/>
                <w:sz w:val="24"/>
              </w:rPr>
              <w:fldChar w:fldCharType="end"/>
            </w:r>
          </w:hyperlink>
        </w:p>
        <w:p w14:paraId="458E5371" w14:textId="77777777" w:rsidR="004F5C2F" w:rsidRPr="004F5C2F" w:rsidRDefault="004F5C2F" w:rsidP="004F5C2F">
          <w:pPr>
            <w:pStyle w:val="TOC2"/>
            <w:tabs>
              <w:tab w:val="right" w:leader="dot" w:pos="9019"/>
            </w:tabs>
            <w:jc w:val="both"/>
            <w:rPr>
              <w:rFonts w:ascii="Times New Roman" w:eastAsiaTheme="minorEastAsia" w:hAnsi="Times New Roman" w:cs="Times New Roman"/>
              <w:noProof/>
              <w:sz w:val="24"/>
            </w:rPr>
          </w:pPr>
          <w:hyperlink w:anchor="_Toc236317341" w:history="1">
            <w:r w:rsidRPr="004F5C2F">
              <w:rPr>
                <w:rStyle w:val="Hyperlink"/>
                <w:rFonts w:ascii="Times New Roman" w:hAnsi="Times New Roman" w:cs="Times New Roman"/>
                <w:noProof/>
                <w:sz w:val="24"/>
              </w:rPr>
              <w:t>10. Conclusion</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_Toc236317341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28</w:t>
            </w:r>
            <w:r w:rsidRPr="004F5C2F">
              <w:rPr>
                <w:rFonts w:ascii="Times New Roman" w:hAnsi="Times New Roman" w:cs="Times New Roman"/>
                <w:noProof/>
                <w:webHidden/>
                <w:sz w:val="24"/>
              </w:rPr>
              <w:fldChar w:fldCharType="end"/>
            </w:r>
          </w:hyperlink>
        </w:p>
        <w:p w14:paraId="458E5372" w14:textId="77777777" w:rsidR="004F5C2F" w:rsidRDefault="004F5C2F" w:rsidP="004F5C2F">
          <w:pPr>
            <w:pStyle w:val="TOC1"/>
            <w:tabs>
              <w:tab w:val="right" w:leader="dot" w:pos="9019"/>
            </w:tabs>
            <w:jc w:val="both"/>
            <w:rPr>
              <w:rFonts w:asciiTheme="minorHAnsi" w:eastAsiaTheme="minorEastAsia" w:hAnsiTheme="minorHAnsi" w:cstheme="minorBidi"/>
              <w:noProof/>
            </w:rPr>
          </w:pPr>
          <w:hyperlink w:anchor="_Toc236317342" w:history="1">
            <w:r w:rsidRPr="004F5C2F">
              <w:rPr>
                <w:rStyle w:val="Hyperlink"/>
                <w:rFonts w:ascii="Times New Roman" w:hAnsi="Times New Roman" w:cs="Times New Roman"/>
                <w:noProof/>
                <w:sz w:val="24"/>
              </w:rPr>
              <w:t>References</w:t>
            </w:r>
            <w:r w:rsidRPr="004F5C2F">
              <w:rPr>
                <w:rFonts w:ascii="Times New Roman" w:hAnsi="Times New Roman" w:cs="Times New Roman"/>
                <w:noProof/>
                <w:webHidden/>
                <w:sz w:val="24"/>
              </w:rPr>
              <w:tab/>
            </w:r>
            <w:r w:rsidRPr="004F5C2F">
              <w:rPr>
                <w:rFonts w:ascii="Times New Roman" w:hAnsi="Times New Roman" w:cs="Times New Roman"/>
                <w:noProof/>
                <w:webHidden/>
                <w:sz w:val="24"/>
              </w:rPr>
              <w:fldChar w:fldCharType="begin"/>
            </w:r>
            <w:r w:rsidRPr="004F5C2F">
              <w:rPr>
                <w:rFonts w:ascii="Times New Roman" w:hAnsi="Times New Roman" w:cs="Times New Roman"/>
                <w:noProof/>
                <w:webHidden/>
                <w:sz w:val="24"/>
              </w:rPr>
              <w:instrText xml:space="preserve"> PAGEREF _Toc236317342 \h </w:instrText>
            </w:r>
            <w:r w:rsidRPr="004F5C2F">
              <w:rPr>
                <w:rFonts w:ascii="Times New Roman" w:hAnsi="Times New Roman" w:cs="Times New Roman"/>
                <w:noProof/>
                <w:webHidden/>
                <w:sz w:val="24"/>
              </w:rPr>
            </w:r>
            <w:r w:rsidRPr="004F5C2F">
              <w:rPr>
                <w:rFonts w:ascii="Times New Roman" w:hAnsi="Times New Roman" w:cs="Times New Roman"/>
                <w:noProof/>
                <w:webHidden/>
                <w:sz w:val="24"/>
              </w:rPr>
              <w:fldChar w:fldCharType="separate"/>
            </w:r>
            <w:r w:rsidRPr="004F5C2F">
              <w:rPr>
                <w:rFonts w:ascii="Times New Roman" w:hAnsi="Times New Roman" w:cs="Times New Roman"/>
                <w:noProof/>
                <w:webHidden/>
                <w:sz w:val="24"/>
              </w:rPr>
              <w:t>29</w:t>
            </w:r>
            <w:r w:rsidRPr="004F5C2F">
              <w:rPr>
                <w:rFonts w:ascii="Times New Roman" w:hAnsi="Times New Roman" w:cs="Times New Roman"/>
                <w:noProof/>
                <w:webHidden/>
                <w:sz w:val="24"/>
              </w:rPr>
              <w:fldChar w:fldCharType="end"/>
            </w:r>
          </w:hyperlink>
        </w:p>
        <w:p w14:paraId="458E5373" w14:textId="77777777" w:rsidR="003A31C3" w:rsidRPr="00447BE9" w:rsidRDefault="003A31C3" w:rsidP="00447BE9">
          <w:pPr>
            <w:spacing w:line="360" w:lineRule="auto"/>
            <w:jc w:val="both"/>
            <w:rPr>
              <w:rFonts w:ascii="Times New Roman" w:hAnsi="Times New Roman" w:cs="Times New Roman"/>
              <w:color w:val="000000" w:themeColor="text1"/>
              <w:sz w:val="24"/>
              <w:szCs w:val="24"/>
            </w:rPr>
          </w:pPr>
          <w:r w:rsidRPr="00447BE9">
            <w:rPr>
              <w:rFonts w:ascii="Times New Roman" w:hAnsi="Times New Roman" w:cs="Times New Roman"/>
              <w:b/>
              <w:bCs/>
              <w:noProof/>
              <w:color w:val="000000" w:themeColor="text1"/>
              <w:sz w:val="24"/>
              <w:szCs w:val="24"/>
            </w:rPr>
            <w:fldChar w:fldCharType="end"/>
          </w:r>
        </w:p>
      </w:sdtContent>
    </w:sdt>
    <w:p w14:paraId="458E5374" w14:textId="77777777" w:rsidR="007462A0" w:rsidRDefault="007462A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58E5375" w14:textId="77777777" w:rsidR="00E35BCC" w:rsidRDefault="007462A0" w:rsidP="00865D7D">
      <w:pPr>
        <w:pStyle w:val="Heading1"/>
      </w:pPr>
      <w:bookmarkStart w:id="3" w:name="_Toc236317324"/>
      <w:r>
        <w:lastRenderedPageBreak/>
        <w:t>Part A: Poster</w:t>
      </w:r>
      <w:bookmarkEnd w:id="3"/>
    </w:p>
    <w:p w14:paraId="458E5376" w14:textId="77777777" w:rsidR="007462A0" w:rsidRPr="00741C3D" w:rsidRDefault="007462A0" w:rsidP="007462A0">
      <w:pPr>
        <w:rPr>
          <w:b/>
          <w:bCs/>
          <w:color w:val="000000" w:themeColor="text1"/>
        </w:rPr>
      </w:pPr>
      <w:r>
        <w:rPr>
          <w:noProof/>
          <w:lang w:val="en-IN" w:eastAsia="en-IN"/>
        </w:rPr>
        <w:drawing>
          <wp:inline distT="0" distB="0" distL="0" distR="0" wp14:anchorId="458E5485" wp14:editId="458E5486">
            <wp:extent cx="5733415" cy="8110220"/>
            <wp:effectExtent l="0" t="0" r="635" b="5080"/>
            <wp:docPr id="9385621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562190"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3415" cy="8110220"/>
                    </a:xfrm>
                    <a:prstGeom prst="rect">
                      <a:avLst/>
                    </a:prstGeom>
                  </pic:spPr>
                </pic:pic>
              </a:graphicData>
            </a:graphic>
          </wp:inline>
        </w:drawing>
      </w:r>
    </w:p>
    <w:p w14:paraId="458E5377" w14:textId="77777777" w:rsidR="007462A0" w:rsidRPr="00741C3D" w:rsidRDefault="007462A0" w:rsidP="007462A0">
      <w:pPr>
        <w:rPr>
          <w:b/>
          <w:bCs/>
          <w:color w:val="000000" w:themeColor="text1"/>
        </w:rPr>
      </w:pPr>
    </w:p>
    <w:p w14:paraId="458E5378" w14:textId="77777777" w:rsidR="00865D7D" w:rsidRDefault="00865D7D">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14:paraId="458E5379" w14:textId="77777777" w:rsidR="00865D7D" w:rsidRDefault="00865D7D" w:rsidP="007462A0">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Slide Content</w:t>
      </w:r>
    </w:p>
    <w:p w14:paraId="458E537A" w14:textId="77777777" w:rsidR="007462A0" w:rsidRPr="007462A0" w:rsidRDefault="007462A0" w:rsidP="007462A0">
      <w:pPr>
        <w:spacing w:line="360" w:lineRule="auto"/>
        <w:jc w:val="both"/>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t xml:space="preserve">Introduction </w:t>
      </w:r>
    </w:p>
    <w:p w14:paraId="458E537B"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Safety and accuracy in construction ensures that modern projects meet security compliance and accessibility standards. DFT (Department of Transport) in the UK can contribute up to 85% of schemes costing nearly £20 to £250 million+ (GOV UK, 2025). The following discussion points out possible project options of construction of a temporary multimodal transport solution to reduce pressure in commuter travel, supply chains, and local business, resulting in economic losses and public dissatisfaction in a major metropolitan city in the UK. </w:t>
      </w:r>
    </w:p>
    <w:p w14:paraId="458E537C" w14:textId="77777777" w:rsidR="007462A0" w:rsidRPr="007462A0" w:rsidRDefault="007462A0" w:rsidP="007462A0">
      <w:pPr>
        <w:spacing w:line="360" w:lineRule="auto"/>
        <w:jc w:val="both"/>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br w:type="page"/>
      </w:r>
    </w:p>
    <w:p w14:paraId="458E537D" w14:textId="77777777" w:rsidR="007462A0" w:rsidRPr="007462A0" w:rsidRDefault="007462A0" w:rsidP="007462A0">
      <w:pPr>
        <w:spacing w:line="360" w:lineRule="auto"/>
        <w:jc w:val="both"/>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lastRenderedPageBreak/>
        <w:t xml:space="preserve">Main Analysis </w:t>
      </w:r>
    </w:p>
    <w:p w14:paraId="458E537E" w14:textId="77777777" w:rsidR="007462A0" w:rsidRPr="007462A0" w:rsidRDefault="007462A0" w:rsidP="007462A0">
      <w:pPr>
        <w:spacing w:line="360" w:lineRule="auto"/>
        <w:jc w:val="both"/>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t>Project background and rationale</w:t>
      </w:r>
    </w:p>
    <w:p w14:paraId="458E537F" w14:textId="77777777" w:rsidR="007462A0" w:rsidRPr="007462A0" w:rsidRDefault="007462A0" w:rsidP="007462A0">
      <w:pPr>
        <w:spacing w:line="360" w:lineRule="auto"/>
        <w:jc w:val="both"/>
        <w:rPr>
          <w:rFonts w:ascii="Times New Roman" w:hAnsi="Times New Roman" w:cs="Times New Roman"/>
          <w:b/>
          <w:bCs/>
          <w:i/>
          <w:iCs/>
          <w:color w:val="000000" w:themeColor="text1"/>
          <w:sz w:val="24"/>
          <w:szCs w:val="24"/>
        </w:rPr>
      </w:pPr>
      <w:r w:rsidRPr="007462A0">
        <w:rPr>
          <w:rFonts w:ascii="Times New Roman" w:hAnsi="Times New Roman" w:cs="Times New Roman"/>
          <w:b/>
          <w:bCs/>
          <w:i/>
          <w:iCs/>
          <w:color w:val="000000" w:themeColor="text1"/>
          <w:sz w:val="24"/>
          <w:szCs w:val="24"/>
        </w:rPr>
        <w:t xml:space="preserve">Background </w:t>
      </w:r>
    </w:p>
    <w:p w14:paraId="458E5380"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A major metropolitan city in the UK experienced major disruption in November 2025, due to closure of a central transportation hub, which offers key interchange for rail, bus, and freight logistics, due to announcement of an urgent regeneration programme. Creation of foundational safety and accessibility standards in construction prevents cost delays while being compliant with legal standards and safety for commuting travellers (Sarvari </w:t>
      </w:r>
      <w:r w:rsidRPr="007462A0">
        <w:rPr>
          <w:rFonts w:ascii="Times New Roman" w:hAnsi="Times New Roman" w:cs="Times New Roman"/>
          <w:i/>
          <w:iCs/>
          <w:color w:val="000000" w:themeColor="text1"/>
          <w:sz w:val="24"/>
          <w:szCs w:val="24"/>
        </w:rPr>
        <w:t xml:space="preserve">et al., </w:t>
      </w:r>
      <w:r w:rsidRPr="007462A0">
        <w:rPr>
          <w:rFonts w:ascii="Times New Roman" w:hAnsi="Times New Roman" w:cs="Times New Roman"/>
          <w:color w:val="000000" w:themeColor="text1"/>
          <w:sz w:val="24"/>
          <w:szCs w:val="24"/>
        </w:rPr>
        <w:t xml:space="preserve">2025). </w:t>
      </w:r>
    </w:p>
    <w:p w14:paraId="458E5381" w14:textId="77777777" w:rsidR="007462A0" w:rsidRPr="007462A0" w:rsidRDefault="007462A0" w:rsidP="007462A0">
      <w:pPr>
        <w:spacing w:line="360" w:lineRule="auto"/>
        <w:jc w:val="both"/>
        <w:rPr>
          <w:rFonts w:ascii="Times New Roman" w:hAnsi="Times New Roman" w:cs="Times New Roman"/>
          <w:b/>
          <w:bCs/>
          <w:i/>
          <w:iCs/>
          <w:color w:val="000000" w:themeColor="text1"/>
          <w:sz w:val="24"/>
          <w:szCs w:val="24"/>
        </w:rPr>
      </w:pPr>
      <w:r w:rsidRPr="007462A0">
        <w:rPr>
          <w:rFonts w:ascii="Times New Roman" w:hAnsi="Times New Roman" w:cs="Times New Roman"/>
          <w:b/>
          <w:bCs/>
          <w:i/>
          <w:iCs/>
          <w:color w:val="000000" w:themeColor="text1"/>
          <w:sz w:val="24"/>
          <w:szCs w:val="24"/>
        </w:rPr>
        <w:t xml:space="preserve">Rationale </w:t>
      </w:r>
    </w:p>
    <w:p w14:paraId="458E5382"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Optimisation of this solution has been proposed as local authorities revealed that the hub was built over 40 years, and no longer meets modern safety standards. </w:t>
      </w:r>
    </w:p>
    <w:p w14:paraId="458E5383" w14:textId="77777777" w:rsidR="007462A0" w:rsidRPr="007462A0" w:rsidRDefault="007462A0" w:rsidP="007462A0">
      <w:pPr>
        <w:spacing w:line="360" w:lineRule="auto"/>
        <w:jc w:val="both"/>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t>Project aims and objectives</w:t>
      </w:r>
    </w:p>
    <w:p w14:paraId="458E5384" w14:textId="77777777" w:rsidR="007462A0" w:rsidRPr="007462A0" w:rsidRDefault="007462A0" w:rsidP="007462A0">
      <w:pPr>
        <w:spacing w:line="360" w:lineRule="auto"/>
        <w:jc w:val="both"/>
        <w:rPr>
          <w:rFonts w:ascii="Times New Roman" w:hAnsi="Times New Roman" w:cs="Times New Roman"/>
          <w:b/>
          <w:bCs/>
          <w:i/>
          <w:iCs/>
          <w:color w:val="000000" w:themeColor="text1"/>
          <w:sz w:val="24"/>
          <w:szCs w:val="24"/>
        </w:rPr>
      </w:pPr>
      <w:r w:rsidRPr="007462A0">
        <w:rPr>
          <w:rFonts w:ascii="Times New Roman" w:hAnsi="Times New Roman" w:cs="Times New Roman"/>
          <w:b/>
          <w:bCs/>
          <w:i/>
          <w:iCs/>
          <w:color w:val="000000" w:themeColor="text1"/>
          <w:sz w:val="24"/>
          <w:szCs w:val="24"/>
        </w:rPr>
        <w:t xml:space="preserve">Aim </w:t>
      </w:r>
    </w:p>
    <w:p w14:paraId="458E5385"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The aim of the project is to offer construction of a temporary multimodal transport solution that can reduce disruption in commuter travel, supply chains, and local business, resulting in economic losses and public dissatisfaction.</w:t>
      </w:r>
    </w:p>
    <w:p w14:paraId="458E5386" w14:textId="77777777" w:rsidR="007462A0" w:rsidRPr="007462A0" w:rsidRDefault="007462A0" w:rsidP="007462A0">
      <w:pPr>
        <w:spacing w:line="360" w:lineRule="auto"/>
        <w:jc w:val="both"/>
        <w:rPr>
          <w:rFonts w:ascii="Times New Roman" w:hAnsi="Times New Roman" w:cs="Times New Roman"/>
          <w:b/>
          <w:bCs/>
          <w:i/>
          <w:iCs/>
          <w:color w:val="000000" w:themeColor="text1"/>
          <w:sz w:val="24"/>
          <w:szCs w:val="24"/>
        </w:rPr>
      </w:pPr>
      <w:r w:rsidRPr="007462A0">
        <w:rPr>
          <w:rFonts w:ascii="Times New Roman" w:hAnsi="Times New Roman" w:cs="Times New Roman"/>
          <w:b/>
          <w:bCs/>
          <w:i/>
          <w:iCs/>
          <w:color w:val="000000" w:themeColor="text1"/>
          <w:sz w:val="24"/>
          <w:szCs w:val="24"/>
        </w:rPr>
        <w:t>Objectives</w:t>
      </w:r>
    </w:p>
    <w:p w14:paraId="458E5387" w14:textId="77777777" w:rsidR="007462A0" w:rsidRPr="007462A0" w:rsidRDefault="007462A0" w:rsidP="007462A0">
      <w:pPr>
        <w:numPr>
          <w:ilvl w:val="0"/>
          <w:numId w:val="1"/>
        </w:num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To construct a temporary multimodal transport solution for rail, bus and freight logistics</w:t>
      </w:r>
    </w:p>
    <w:p w14:paraId="458E5388" w14:textId="77777777" w:rsidR="007462A0" w:rsidRPr="007462A0" w:rsidRDefault="007462A0" w:rsidP="007462A0">
      <w:pPr>
        <w:numPr>
          <w:ilvl w:val="0"/>
          <w:numId w:val="1"/>
        </w:num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To comply with legal and modern safety standards </w:t>
      </w:r>
    </w:p>
    <w:p w14:paraId="458E5389" w14:textId="77777777" w:rsidR="007462A0" w:rsidRPr="007462A0" w:rsidRDefault="007462A0" w:rsidP="007462A0">
      <w:pPr>
        <w:numPr>
          <w:ilvl w:val="0"/>
          <w:numId w:val="1"/>
        </w:num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To maintain accessibility and commute through project option while primary regeneration programme takes place</w:t>
      </w:r>
    </w:p>
    <w:p w14:paraId="458E538A" w14:textId="77777777" w:rsidR="007462A0" w:rsidRPr="007462A0" w:rsidRDefault="007462A0" w:rsidP="007462A0">
      <w:pPr>
        <w:numPr>
          <w:ilvl w:val="0"/>
          <w:numId w:val="1"/>
        </w:num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To meet standards of environmental targets and modern urban principles </w:t>
      </w:r>
    </w:p>
    <w:p w14:paraId="458E538B" w14:textId="77777777" w:rsidR="007462A0" w:rsidRPr="007462A0" w:rsidRDefault="007462A0" w:rsidP="007462A0">
      <w:pPr>
        <w:spacing w:line="360" w:lineRule="auto"/>
        <w:jc w:val="both"/>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br w:type="page"/>
      </w:r>
    </w:p>
    <w:p w14:paraId="458E538C" w14:textId="77777777" w:rsidR="007462A0" w:rsidRPr="007462A0" w:rsidRDefault="007462A0" w:rsidP="007462A0">
      <w:pPr>
        <w:spacing w:line="360" w:lineRule="auto"/>
        <w:jc w:val="both"/>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lastRenderedPageBreak/>
        <w:t>Scope and boundaries</w:t>
      </w:r>
    </w:p>
    <w:p w14:paraId="458E538D" w14:textId="77777777" w:rsidR="007462A0" w:rsidRPr="007462A0" w:rsidRDefault="007462A0" w:rsidP="007462A0">
      <w:pPr>
        <w:spacing w:line="360" w:lineRule="auto"/>
        <w:jc w:val="both"/>
        <w:rPr>
          <w:rFonts w:ascii="Times New Roman" w:hAnsi="Times New Roman" w:cs="Times New Roman"/>
          <w:b/>
          <w:bCs/>
          <w:i/>
          <w:iCs/>
          <w:color w:val="000000" w:themeColor="text1"/>
          <w:sz w:val="24"/>
          <w:szCs w:val="24"/>
        </w:rPr>
      </w:pPr>
      <w:r w:rsidRPr="007462A0">
        <w:rPr>
          <w:rFonts w:ascii="Times New Roman" w:hAnsi="Times New Roman" w:cs="Times New Roman"/>
          <w:b/>
          <w:bCs/>
          <w:i/>
          <w:iCs/>
          <w:color w:val="000000" w:themeColor="text1"/>
          <w:sz w:val="24"/>
          <w:szCs w:val="24"/>
        </w:rPr>
        <w:t xml:space="preserve">Scope </w:t>
      </w:r>
    </w:p>
    <w:p w14:paraId="458E538E"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The solution offers deployment of a decentralised and phased contingency network while helping commuters to travel every day. The bypass method will reduce chances of delays, scope creep and customer dissatisfaction. </w:t>
      </w:r>
    </w:p>
    <w:p w14:paraId="458E538F" w14:textId="77777777" w:rsidR="007462A0" w:rsidRPr="007462A0" w:rsidRDefault="007462A0" w:rsidP="007462A0">
      <w:pPr>
        <w:spacing w:line="360" w:lineRule="auto"/>
        <w:jc w:val="both"/>
        <w:rPr>
          <w:rFonts w:ascii="Times New Roman" w:hAnsi="Times New Roman" w:cs="Times New Roman"/>
          <w:b/>
          <w:i/>
          <w:color w:val="000000" w:themeColor="text1"/>
          <w:sz w:val="24"/>
          <w:szCs w:val="24"/>
        </w:rPr>
      </w:pPr>
      <w:r w:rsidRPr="007462A0">
        <w:rPr>
          <w:rFonts w:ascii="Times New Roman" w:hAnsi="Times New Roman" w:cs="Times New Roman"/>
          <w:b/>
          <w:i/>
          <w:color w:val="000000" w:themeColor="text1"/>
          <w:sz w:val="24"/>
          <w:szCs w:val="24"/>
        </w:rPr>
        <w:t xml:space="preserve">Project Triangle </w:t>
      </w:r>
    </w:p>
    <w:p w14:paraId="458E5390" w14:textId="77777777" w:rsidR="007462A0" w:rsidRPr="007462A0" w:rsidRDefault="007462A0" w:rsidP="007462A0">
      <w:pPr>
        <w:spacing w:line="360" w:lineRule="auto"/>
        <w:jc w:val="center"/>
        <w:rPr>
          <w:rFonts w:ascii="Times New Roman" w:hAnsi="Times New Roman" w:cs="Times New Roman"/>
          <w:b/>
          <w:i/>
          <w:color w:val="000000" w:themeColor="text1"/>
          <w:sz w:val="24"/>
          <w:szCs w:val="24"/>
        </w:rPr>
      </w:pPr>
      <w:r w:rsidRPr="007462A0">
        <w:rPr>
          <w:rFonts w:ascii="Times New Roman" w:hAnsi="Times New Roman" w:cs="Times New Roman"/>
          <w:b/>
          <w:i/>
          <w:noProof/>
          <w:color w:val="000000" w:themeColor="text1"/>
          <w:sz w:val="24"/>
          <w:szCs w:val="24"/>
          <w:lang w:val="en-IN" w:eastAsia="en-IN"/>
        </w:rPr>
        <w:drawing>
          <wp:inline distT="0" distB="0" distL="0" distR="0" wp14:anchorId="458E5487" wp14:editId="458E5488">
            <wp:extent cx="4963218" cy="4134427"/>
            <wp:effectExtent l="19050" t="19050" r="2794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63218" cy="4134427"/>
                    </a:xfrm>
                    <a:prstGeom prst="rect">
                      <a:avLst/>
                    </a:prstGeom>
                    <a:ln>
                      <a:solidFill>
                        <a:schemeClr val="tx1"/>
                      </a:solidFill>
                    </a:ln>
                  </pic:spPr>
                </pic:pic>
              </a:graphicData>
            </a:graphic>
          </wp:inline>
        </w:drawing>
      </w:r>
    </w:p>
    <w:p w14:paraId="458E5391" w14:textId="77777777" w:rsidR="007462A0" w:rsidRPr="007462A0" w:rsidRDefault="007462A0" w:rsidP="007462A0">
      <w:pPr>
        <w:spacing w:line="360" w:lineRule="auto"/>
        <w:jc w:val="center"/>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Figure 1: Project Triangle</w:t>
      </w:r>
    </w:p>
    <w:p w14:paraId="458E5392" w14:textId="77777777" w:rsidR="007462A0" w:rsidRPr="007462A0" w:rsidRDefault="007462A0" w:rsidP="007462A0">
      <w:pPr>
        <w:spacing w:line="360" w:lineRule="auto"/>
        <w:jc w:val="both"/>
        <w:rPr>
          <w:rFonts w:ascii="Times New Roman" w:hAnsi="Times New Roman" w:cs="Times New Roman"/>
          <w:bCs/>
          <w:i/>
          <w:iCs/>
          <w:color w:val="000000" w:themeColor="text1"/>
          <w:sz w:val="24"/>
          <w:szCs w:val="24"/>
        </w:rPr>
      </w:pPr>
      <w:r w:rsidRPr="007462A0">
        <w:rPr>
          <w:rFonts w:ascii="Times New Roman" w:hAnsi="Times New Roman" w:cs="Times New Roman"/>
          <w:bCs/>
          <w:iCs/>
          <w:color w:val="000000" w:themeColor="text1"/>
          <w:sz w:val="24"/>
          <w:szCs w:val="24"/>
        </w:rPr>
        <w:t xml:space="preserve">The above figure highlights that the project can face difficulties while trying to maintain a balance among cost, time, and scope. For instance, while trying to complete the project within estimated budget, the project may not be completed within the forecasted timeline and in order to meet budget and timeline may not be able to fulfil project scope. </w:t>
      </w:r>
      <w:r w:rsidRPr="007462A0">
        <w:rPr>
          <w:rFonts w:ascii="Times New Roman" w:hAnsi="Times New Roman" w:cs="Times New Roman"/>
          <w:bCs/>
          <w:i/>
          <w:iCs/>
          <w:color w:val="000000" w:themeColor="text1"/>
          <w:sz w:val="24"/>
          <w:szCs w:val="24"/>
        </w:rPr>
        <w:br w:type="page"/>
      </w:r>
    </w:p>
    <w:p w14:paraId="458E5393" w14:textId="77777777" w:rsidR="007462A0" w:rsidRPr="007462A0" w:rsidRDefault="007462A0" w:rsidP="007462A0">
      <w:pPr>
        <w:spacing w:line="360" w:lineRule="auto"/>
        <w:jc w:val="both"/>
        <w:rPr>
          <w:rFonts w:ascii="Times New Roman" w:hAnsi="Times New Roman" w:cs="Times New Roman"/>
          <w:b/>
          <w:bCs/>
          <w:i/>
          <w:iCs/>
          <w:color w:val="000000" w:themeColor="text1"/>
          <w:sz w:val="24"/>
          <w:szCs w:val="24"/>
        </w:rPr>
      </w:pPr>
      <w:r w:rsidRPr="007462A0">
        <w:rPr>
          <w:rFonts w:ascii="Times New Roman" w:hAnsi="Times New Roman" w:cs="Times New Roman"/>
          <w:b/>
          <w:bCs/>
          <w:i/>
          <w:iCs/>
          <w:color w:val="000000" w:themeColor="text1"/>
          <w:sz w:val="24"/>
          <w:szCs w:val="24"/>
        </w:rPr>
        <w:lastRenderedPageBreak/>
        <w:t xml:space="preserve">Boundaries </w:t>
      </w:r>
    </w:p>
    <w:p w14:paraId="458E5394"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The project can experience delays in acquiring temporary licensing permits and noise complaints from surrounding neighbourhoods. </w:t>
      </w:r>
    </w:p>
    <w:p w14:paraId="458E5395" w14:textId="77777777" w:rsidR="007462A0" w:rsidRPr="007462A0" w:rsidRDefault="007462A0" w:rsidP="007462A0">
      <w:pPr>
        <w:spacing w:line="360" w:lineRule="auto"/>
        <w:jc w:val="both"/>
        <w:rPr>
          <w:rFonts w:ascii="Times New Roman" w:hAnsi="Times New Roman" w:cs="Times New Roman"/>
          <w:b/>
          <w:i/>
          <w:color w:val="000000" w:themeColor="text1"/>
          <w:sz w:val="24"/>
          <w:szCs w:val="24"/>
        </w:rPr>
      </w:pPr>
      <w:r w:rsidRPr="007462A0">
        <w:rPr>
          <w:rFonts w:ascii="Times New Roman" w:hAnsi="Times New Roman" w:cs="Times New Roman"/>
          <w:b/>
          <w:i/>
          <w:color w:val="000000" w:themeColor="text1"/>
          <w:sz w:val="24"/>
          <w:szCs w:val="24"/>
        </w:rPr>
        <w:t>RACI Matrix</w:t>
      </w:r>
    </w:p>
    <w:p w14:paraId="458E5396"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R= Responsible </w:t>
      </w:r>
    </w:p>
    <w:p w14:paraId="458E5397"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A= Accountable</w:t>
      </w:r>
    </w:p>
    <w:p w14:paraId="458E5398"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C= Consulted</w:t>
      </w:r>
    </w:p>
    <w:p w14:paraId="458E5399"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 To Be Informed</w:t>
      </w:r>
    </w:p>
    <w:tbl>
      <w:tblPr>
        <w:tblStyle w:val="TableGrid"/>
        <w:tblW w:w="5000" w:type="pct"/>
        <w:tblLook w:val="04A0" w:firstRow="1" w:lastRow="0" w:firstColumn="1" w:lastColumn="0" w:noHBand="0" w:noVBand="1"/>
      </w:tblPr>
      <w:tblGrid>
        <w:gridCol w:w="1500"/>
        <w:gridCol w:w="1672"/>
        <w:gridCol w:w="1501"/>
        <w:gridCol w:w="1535"/>
        <w:gridCol w:w="1548"/>
        <w:gridCol w:w="1263"/>
      </w:tblGrid>
      <w:tr w:rsidR="007462A0" w:rsidRPr="007462A0" w14:paraId="458E53A0" w14:textId="77777777" w:rsidTr="007462A0">
        <w:tc>
          <w:tcPr>
            <w:tcW w:w="832" w:type="pct"/>
            <w:shd w:val="clear" w:color="auto" w:fill="FFFFFF" w:themeFill="background1"/>
          </w:tcPr>
          <w:p w14:paraId="458E539A"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p>
        </w:tc>
        <w:tc>
          <w:tcPr>
            <w:tcW w:w="927" w:type="pct"/>
            <w:shd w:val="clear" w:color="auto" w:fill="FFFFFF" w:themeFill="background1"/>
          </w:tcPr>
          <w:p w14:paraId="458E539B"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Construction project  manager</w:t>
            </w:r>
          </w:p>
        </w:tc>
        <w:tc>
          <w:tcPr>
            <w:tcW w:w="832" w:type="pct"/>
            <w:shd w:val="clear" w:color="auto" w:fill="FFFFFF" w:themeFill="background1"/>
          </w:tcPr>
          <w:p w14:paraId="458E539C"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Finance manager</w:t>
            </w:r>
          </w:p>
        </w:tc>
        <w:tc>
          <w:tcPr>
            <w:tcW w:w="851" w:type="pct"/>
            <w:shd w:val="clear" w:color="auto" w:fill="FFFFFF" w:themeFill="background1"/>
          </w:tcPr>
          <w:p w14:paraId="458E539D"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Resource allocator</w:t>
            </w:r>
          </w:p>
        </w:tc>
        <w:tc>
          <w:tcPr>
            <w:tcW w:w="858" w:type="pct"/>
            <w:shd w:val="clear" w:color="auto" w:fill="FFFFFF" w:themeFill="background1"/>
          </w:tcPr>
          <w:p w14:paraId="458E539E"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Marketing team</w:t>
            </w:r>
          </w:p>
        </w:tc>
        <w:tc>
          <w:tcPr>
            <w:tcW w:w="700" w:type="pct"/>
            <w:shd w:val="clear" w:color="auto" w:fill="FFFFFF" w:themeFill="background1"/>
          </w:tcPr>
          <w:p w14:paraId="458E539F"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Site engineer</w:t>
            </w:r>
          </w:p>
        </w:tc>
      </w:tr>
      <w:tr w:rsidR="007462A0" w:rsidRPr="007462A0" w14:paraId="458E53A7" w14:textId="77777777" w:rsidTr="007462A0">
        <w:tc>
          <w:tcPr>
            <w:tcW w:w="832" w:type="pct"/>
            <w:shd w:val="clear" w:color="auto" w:fill="FFFFFF" w:themeFill="background1"/>
          </w:tcPr>
          <w:p w14:paraId="458E53A1"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Project planning </w:t>
            </w:r>
          </w:p>
        </w:tc>
        <w:tc>
          <w:tcPr>
            <w:tcW w:w="927" w:type="pct"/>
            <w:shd w:val="clear" w:color="auto" w:fill="FFFFFF" w:themeFill="background1"/>
          </w:tcPr>
          <w:p w14:paraId="458E53A2"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R</w:t>
            </w:r>
          </w:p>
        </w:tc>
        <w:tc>
          <w:tcPr>
            <w:tcW w:w="832" w:type="pct"/>
            <w:shd w:val="clear" w:color="auto" w:fill="FFFFFF" w:themeFill="background1"/>
          </w:tcPr>
          <w:p w14:paraId="458E53A3"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w:t>
            </w:r>
          </w:p>
        </w:tc>
        <w:tc>
          <w:tcPr>
            <w:tcW w:w="851" w:type="pct"/>
            <w:shd w:val="clear" w:color="auto" w:fill="FFFFFF" w:themeFill="background1"/>
          </w:tcPr>
          <w:p w14:paraId="458E53A4"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w:t>
            </w:r>
          </w:p>
        </w:tc>
        <w:tc>
          <w:tcPr>
            <w:tcW w:w="858" w:type="pct"/>
            <w:shd w:val="clear" w:color="auto" w:fill="FFFFFF" w:themeFill="background1"/>
          </w:tcPr>
          <w:p w14:paraId="458E53A5"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w:t>
            </w:r>
          </w:p>
        </w:tc>
        <w:tc>
          <w:tcPr>
            <w:tcW w:w="700" w:type="pct"/>
            <w:shd w:val="clear" w:color="auto" w:fill="FFFFFF" w:themeFill="background1"/>
          </w:tcPr>
          <w:p w14:paraId="458E53A6"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w:t>
            </w:r>
          </w:p>
        </w:tc>
      </w:tr>
      <w:tr w:rsidR="007462A0" w:rsidRPr="007462A0" w14:paraId="458E53AE" w14:textId="77777777" w:rsidTr="007462A0">
        <w:tc>
          <w:tcPr>
            <w:tcW w:w="832" w:type="pct"/>
            <w:shd w:val="clear" w:color="auto" w:fill="FFFFFF" w:themeFill="background1"/>
          </w:tcPr>
          <w:p w14:paraId="458E53A8"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Daily activities on-site</w:t>
            </w:r>
          </w:p>
        </w:tc>
        <w:tc>
          <w:tcPr>
            <w:tcW w:w="927" w:type="pct"/>
            <w:shd w:val="clear" w:color="auto" w:fill="FFFFFF" w:themeFill="background1"/>
          </w:tcPr>
          <w:p w14:paraId="458E53A9"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A</w:t>
            </w:r>
          </w:p>
        </w:tc>
        <w:tc>
          <w:tcPr>
            <w:tcW w:w="832" w:type="pct"/>
            <w:shd w:val="clear" w:color="auto" w:fill="FFFFFF" w:themeFill="background1"/>
          </w:tcPr>
          <w:p w14:paraId="458E53AA"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A</w:t>
            </w:r>
          </w:p>
        </w:tc>
        <w:tc>
          <w:tcPr>
            <w:tcW w:w="851" w:type="pct"/>
            <w:shd w:val="clear" w:color="auto" w:fill="FFFFFF" w:themeFill="background1"/>
          </w:tcPr>
          <w:p w14:paraId="458E53AB"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w:t>
            </w:r>
          </w:p>
        </w:tc>
        <w:tc>
          <w:tcPr>
            <w:tcW w:w="858" w:type="pct"/>
            <w:shd w:val="clear" w:color="auto" w:fill="FFFFFF" w:themeFill="background1"/>
          </w:tcPr>
          <w:p w14:paraId="458E53AC"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w:t>
            </w:r>
          </w:p>
        </w:tc>
        <w:tc>
          <w:tcPr>
            <w:tcW w:w="700" w:type="pct"/>
            <w:shd w:val="clear" w:color="auto" w:fill="FFFFFF" w:themeFill="background1"/>
          </w:tcPr>
          <w:p w14:paraId="458E53AD"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A</w:t>
            </w:r>
          </w:p>
        </w:tc>
      </w:tr>
      <w:tr w:rsidR="007462A0" w:rsidRPr="007462A0" w14:paraId="458E53B5" w14:textId="77777777" w:rsidTr="007462A0">
        <w:tc>
          <w:tcPr>
            <w:tcW w:w="832" w:type="pct"/>
            <w:shd w:val="clear" w:color="auto" w:fill="FFFFFF" w:themeFill="background1"/>
          </w:tcPr>
          <w:p w14:paraId="458E53AF"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Budget allocation </w:t>
            </w:r>
          </w:p>
        </w:tc>
        <w:tc>
          <w:tcPr>
            <w:tcW w:w="927" w:type="pct"/>
            <w:shd w:val="clear" w:color="auto" w:fill="FFFFFF" w:themeFill="background1"/>
          </w:tcPr>
          <w:p w14:paraId="458E53B0"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C</w:t>
            </w:r>
          </w:p>
        </w:tc>
        <w:tc>
          <w:tcPr>
            <w:tcW w:w="832" w:type="pct"/>
            <w:shd w:val="clear" w:color="auto" w:fill="FFFFFF" w:themeFill="background1"/>
          </w:tcPr>
          <w:p w14:paraId="458E53B1"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R</w:t>
            </w:r>
          </w:p>
        </w:tc>
        <w:tc>
          <w:tcPr>
            <w:tcW w:w="851" w:type="pct"/>
            <w:shd w:val="clear" w:color="auto" w:fill="FFFFFF" w:themeFill="background1"/>
          </w:tcPr>
          <w:p w14:paraId="458E53B2"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A</w:t>
            </w:r>
          </w:p>
        </w:tc>
        <w:tc>
          <w:tcPr>
            <w:tcW w:w="858" w:type="pct"/>
            <w:shd w:val="clear" w:color="auto" w:fill="FFFFFF" w:themeFill="background1"/>
          </w:tcPr>
          <w:p w14:paraId="458E53B3"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w:t>
            </w:r>
          </w:p>
        </w:tc>
        <w:tc>
          <w:tcPr>
            <w:tcW w:w="700" w:type="pct"/>
            <w:shd w:val="clear" w:color="auto" w:fill="FFFFFF" w:themeFill="background1"/>
          </w:tcPr>
          <w:p w14:paraId="458E53B4"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C</w:t>
            </w:r>
          </w:p>
        </w:tc>
      </w:tr>
      <w:tr w:rsidR="007462A0" w:rsidRPr="007462A0" w14:paraId="458E53BC" w14:textId="77777777" w:rsidTr="007462A0">
        <w:tc>
          <w:tcPr>
            <w:tcW w:w="832" w:type="pct"/>
            <w:shd w:val="clear" w:color="auto" w:fill="FFFFFF" w:themeFill="background1"/>
          </w:tcPr>
          <w:p w14:paraId="458E53B6"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Human resource management</w:t>
            </w:r>
          </w:p>
        </w:tc>
        <w:tc>
          <w:tcPr>
            <w:tcW w:w="927" w:type="pct"/>
            <w:shd w:val="clear" w:color="auto" w:fill="FFFFFF" w:themeFill="background1"/>
          </w:tcPr>
          <w:p w14:paraId="458E53B7"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A</w:t>
            </w:r>
          </w:p>
        </w:tc>
        <w:tc>
          <w:tcPr>
            <w:tcW w:w="832" w:type="pct"/>
            <w:shd w:val="clear" w:color="auto" w:fill="FFFFFF" w:themeFill="background1"/>
          </w:tcPr>
          <w:p w14:paraId="458E53B8"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C</w:t>
            </w:r>
          </w:p>
        </w:tc>
        <w:tc>
          <w:tcPr>
            <w:tcW w:w="851" w:type="pct"/>
            <w:shd w:val="clear" w:color="auto" w:fill="FFFFFF" w:themeFill="background1"/>
          </w:tcPr>
          <w:p w14:paraId="458E53B9"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R</w:t>
            </w:r>
          </w:p>
        </w:tc>
        <w:tc>
          <w:tcPr>
            <w:tcW w:w="858" w:type="pct"/>
            <w:shd w:val="clear" w:color="auto" w:fill="FFFFFF" w:themeFill="background1"/>
          </w:tcPr>
          <w:p w14:paraId="458E53BA"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w:t>
            </w:r>
          </w:p>
        </w:tc>
        <w:tc>
          <w:tcPr>
            <w:tcW w:w="700" w:type="pct"/>
            <w:shd w:val="clear" w:color="auto" w:fill="FFFFFF" w:themeFill="background1"/>
          </w:tcPr>
          <w:p w14:paraId="458E53BB"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A</w:t>
            </w:r>
          </w:p>
        </w:tc>
      </w:tr>
      <w:tr w:rsidR="007462A0" w:rsidRPr="007462A0" w14:paraId="458E53C3" w14:textId="77777777" w:rsidTr="007462A0">
        <w:tc>
          <w:tcPr>
            <w:tcW w:w="832" w:type="pct"/>
            <w:shd w:val="clear" w:color="auto" w:fill="FFFFFF" w:themeFill="background1"/>
          </w:tcPr>
          <w:p w14:paraId="458E53BD"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Quality surveyor</w:t>
            </w:r>
          </w:p>
        </w:tc>
        <w:tc>
          <w:tcPr>
            <w:tcW w:w="927" w:type="pct"/>
            <w:shd w:val="clear" w:color="auto" w:fill="FFFFFF" w:themeFill="background1"/>
          </w:tcPr>
          <w:p w14:paraId="458E53BE"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A</w:t>
            </w:r>
          </w:p>
        </w:tc>
        <w:tc>
          <w:tcPr>
            <w:tcW w:w="832" w:type="pct"/>
            <w:shd w:val="clear" w:color="auto" w:fill="FFFFFF" w:themeFill="background1"/>
          </w:tcPr>
          <w:p w14:paraId="458E53BF"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C</w:t>
            </w:r>
          </w:p>
        </w:tc>
        <w:tc>
          <w:tcPr>
            <w:tcW w:w="851" w:type="pct"/>
            <w:shd w:val="clear" w:color="auto" w:fill="FFFFFF" w:themeFill="background1"/>
          </w:tcPr>
          <w:p w14:paraId="458E53C0"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C</w:t>
            </w:r>
          </w:p>
        </w:tc>
        <w:tc>
          <w:tcPr>
            <w:tcW w:w="858" w:type="pct"/>
            <w:shd w:val="clear" w:color="auto" w:fill="FFFFFF" w:themeFill="background1"/>
          </w:tcPr>
          <w:p w14:paraId="458E53C1"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C</w:t>
            </w:r>
          </w:p>
        </w:tc>
        <w:tc>
          <w:tcPr>
            <w:tcW w:w="700" w:type="pct"/>
            <w:shd w:val="clear" w:color="auto" w:fill="FFFFFF" w:themeFill="background1"/>
          </w:tcPr>
          <w:p w14:paraId="458E53C2"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R</w:t>
            </w:r>
          </w:p>
        </w:tc>
      </w:tr>
      <w:tr w:rsidR="007462A0" w:rsidRPr="007462A0" w14:paraId="458E53CA" w14:textId="77777777" w:rsidTr="007462A0">
        <w:tc>
          <w:tcPr>
            <w:tcW w:w="832" w:type="pct"/>
            <w:shd w:val="clear" w:color="auto" w:fill="FFFFFF" w:themeFill="background1"/>
          </w:tcPr>
          <w:p w14:paraId="458E53C4"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Promotion of the transport system</w:t>
            </w:r>
          </w:p>
        </w:tc>
        <w:tc>
          <w:tcPr>
            <w:tcW w:w="927" w:type="pct"/>
            <w:shd w:val="clear" w:color="auto" w:fill="FFFFFF" w:themeFill="background1"/>
          </w:tcPr>
          <w:p w14:paraId="458E53C5"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C</w:t>
            </w:r>
          </w:p>
        </w:tc>
        <w:tc>
          <w:tcPr>
            <w:tcW w:w="832" w:type="pct"/>
            <w:shd w:val="clear" w:color="auto" w:fill="FFFFFF" w:themeFill="background1"/>
          </w:tcPr>
          <w:p w14:paraId="458E53C6"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w:t>
            </w:r>
          </w:p>
        </w:tc>
        <w:tc>
          <w:tcPr>
            <w:tcW w:w="851" w:type="pct"/>
            <w:shd w:val="clear" w:color="auto" w:fill="FFFFFF" w:themeFill="background1"/>
          </w:tcPr>
          <w:p w14:paraId="458E53C7"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w:t>
            </w:r>
          </w:p>
        </w:tc>
        <w:tc>
          <w:tcPr>
            <w:tcW w:w="858" w:type="pct"/>
            <w:shd w:val="clear" w:color="auto" w:fill="FFFFFF" w:themeFill="background1"/>
          </w:tcPr>
          <w:p w14:paraId="458E53C8"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R</w:t>
            </w:r>
          </w:p>
        </w:tc>
        <w:tc>
          <w:tcPr>
            <w:tcW w:w="700" w:type="pct"/>
            <w:shd w:val="clear" w:color="auto" w:fill="FFFFFF" w:themeFill="background1"/>
          </w:tcPr>
          <w:p w14:paraId="458E53C9"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w:t>
            </w:r>
          </w:p>
        </w:tc>
      </w:tr>
    </w:tbl>
    <w:p w14:paraId="458E53CB" w14:textId="77777777" w:rsidR="007462A0" w:rsidRPr="007462A0" w:rsidRDefault="007462A0" w:rsidP="007462A0">
      <w:pPr>
        <w:spacing w:line="360" w:lineRule="auto"/>
        <w:jc w:val="center"/>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Table 1: RACI Matrix</w:t>
      </w:r>
    </w:p>
    <w:p w14:paraId="458E53CC" w14:textId="77777777" w:rsidR="007462A0" w:rsidRPr="007462A0" w:rsidRDefault="007462A0" w:rsidP="007462A0">
      <w:pPr>
        <w:spacing w:line="360" w:lineRule="auto"/>
        <w:jc w:val="both"/>
        <w:rPr>
          <w:rFonts w:ascii="Times New Roman" w:hAnsi="Times New Roman" w:cs="Times New Roman"/>
          <w:bCs/>
          <w:color w:val="000000" w:themeColor="text1"/>
          <w:sz w:val="24"/>
          <w:szCs w:val="24"/>
        </w:rPr>
      </w:pPr>
      <w:r w:rsidRPr="007462A0">
        <w:rPr>
          <w:rFonts w:ascii="Times New Roman" w:hAnsi="Times New Roman" w:cs="Times New Roman"/>
          <w:bCs/>
          <w:color w:val="000000" w:themeColor="text1"/>
          <w:sz w:val="24"/>
          <w:szCs w:val="24"/>
        </w:rPr>
        <w:t xml:space="preserve">This RACI matrix evidences which personnel of the project team is responsible, accountable, to be informed and consulted for which task of the project. </w:t>
      </w:r>
      <w:r w:rsidRPr="007462A0">
        <w:rPr>
          <w:rFonts w:ascii="Times New Roman" w:hAnsi="Times New Roman" w:cs="Times New Roman"/>
          <w:bCs/>
          <w:color w:val="000000" w:themeColor="text1"/>
          <w:sz w:val="24"/>
          <w:szCs w:val="24"/>
        </w:rPr>
        <w:br w:type="page"/>
      </w:r>
    </w:p>
    <w:p w14:paraId="458E53CD" w14:textId="77777777" w:rsidR="007462A0" w:rsidRPr="007462A0" w:rsidRDefault="007462A0" w:rsidP="007462A0">
      <w:pPr>
        <w:spacing w:line="360" w:lineRule="auto"/>
        <w:jc w:val="both"/>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lastRenderedPageBreak/>
        <w:t>Key stakeholders</w:t>
      </w:r>
    </w:p>
    <w:p w14:paraId="458E53CE" w14:textId="77777777" w:rsidR="007462A0" w:rsidRPr="007462A0" w:rsidRDefault="007462A0" w:rsidP="007462A0">
      <w:pPr>
        <w:spacing w:line="360" w:lineRule="auto"/>
        <w:jc w:val="center"/>
        <w:rPr>
          <w:rFonts w:ascii="Times New Roman" w:hAnsi="Times New Roman" w:cs="Times New Roman"/>
          <w:b/>
          <w:bCs/>
          <w:color w:val="000000" w:themeColor="text1"/>
          <w:sz w:val="24"/>
          <w:szCs w:val="24"/>
        </w:rPr>
      </w:pPr>
      <w:r w:rsidRPr="007462A0">
        <w:rPr>
          <w:rFonts w:ascii="Times New Roman" w:hAnsi="Times New Roman" w:cs="Times New Roman"/>
          <w:b/>
          <w:bCs/>
          <w:noProof/>
          <w:color w:val="000000" w:themeColor="text1"/>
          <w:sz w:val="24"/>
          <w:szCs w:val="24"/>
          <w:lang w:val="en-IN" w:eastAsia="en-IN"/>
        </w:rPr>
        <w:drawing>
          <wp:inline distT="0" distB="0" distL="0" distR="0" wp14:anchorId="458E5489" wp14:editId="458E548A">
            <wp:extent cx="3564081" cy="2800350"/>
            <wp:effectExtent l="19050" t="19050" r="17780"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80154" cy="2812979"/>
                    </a:xfrm>
                    <a:prstGeom prst="rect">
                      <a:avLst/>
                    </a:prstGeom>
                    <a:ln>
                      <a:solidFill>
                        <a:schemeClr val="tx1"/>
                      </a:solidFill>
                    </a:ln>
                  </pic:spPr>
                </pic:pic>
              </a:graphicData>
            </a:graphic>
          </wp:inline>
        </w:drawing>
      </w:r>
    </w:p>
    <w:p w14:paraId="458E53CF" w14:textId="77777777" w:rsidR="007462A0" w:rsidRPr="007462A0" w:rsidRDefault="007462A0" w:rsidP="007462A0">
      <w:pPr>
        <w:spacing w:line="360" w:lineRule="auto"/>
        <w:jc w:val="center"/>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t>Figure 2: Stakeholder matrix</w:t>
      </w:r>
    </w:p>
    <w:p w14:paraId="458E53D0"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Involvement of stakeholder holds pivotal importance as they ensure that a construction process meets project scope, procure funding, legal compliance and quality standards (Shah </w:t>
      </w:r>
      <w:r w:rsidRPr="007462A0">
        <w:rPr>
          <w:rFonts w:ascii="Times New Roman" w:hAnsi="Times New Roman" w:cs="Times New Roman"/>
          <w:i/>
          <w:iCs/>
          <w:color w:val="000000" w:themeColor="text1"/>
          <w:sz w:val="24"/>
          <w:szCs w:val="24"/>
        </w:rPr>
        <w:t xml:space="preserve">et al., </w:t>
      </w:r>
      <w:r w:rsidRPr="007462A0">
        <w:rPr>
          <w:rFonts w:ascii="Times New Roman" w:hAnsi="Times New Roman" w:cs="Times New Roman"/>
          <w:color w:val="000000" w:themeColor="text1"/>
          <w:sz w:val="24"/>
          <w:szCs w:val="24"/>
        </w:rPr>
        <w:t xml:space="preserve">2023). Key stakeholders in this project are Local council, the government of the UK, project team, construction engineer, media, suppliers, local residents, and People with vehicles across the city. </w:t>
      </w:r>
    </w:p>
    <w:p w14:paraId="458E53D1" w14:textId="77777777" w:rsidR="007462A0" w:rsidRPr="007462A0" w:rsidRDefault="007462A0" w:rsidP="007462A0">
      <w:pPr>
        <w:spacing w:line="360" w:lineRule="auto"/>
        <w:jc w:val="both"/>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br w:type="page"/>
      </w:r>
    </w:p>
    <w:p w14:paraId="458E53D2" w14:textId="77777777" w:rsidR="007462A0" w:rsidRPr="007462A0" w:rsidRDefault="007462A0" w:rsidP="007462A0">
      <w:pPr>
        <w:spacing w:line="360" w:lineRule="auto"/>
        <w:jc w:val="both"/>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lastRenderedPageBreak/>
        <w:t>High-level risks and trade-offs</w:t>
      </w:r>
    </w:p>
    <w:p w14:paraId="458E53D3" w14:textId="77777777" w:rsidR="007462A0" w:rsidRPr="007462A0" w:rsidRDefault="007462A0" w:rsidP="007462A0">
      <w:pPr>
        <w:spacing w:line="360" w:lineRule="auto"/>
        <w:jc w:val="both"/>
        <w:rPr>
          <w:rFonts w:ascii="Times New Roman" w:hAnsi="Times New Roman" w:cs="Times New Roman"/>
          <w:b/>
          <w:bCs/>
          <w:i/>
          <w:iCs/>
          <w:color w:val="000000" w:themeColor="text1"/>
          <w:sz w:val="24"/>
          <w:szCs w:val="24"/>
        </w:rPr>
      </w:pPr>
      <w:r w:rsidRPr="007462A0">
        <w:rPr>
          <w:rFonts w:ascii="Times New Roman" w:hAnsi="Times New Roman" w:cs="Times New Roman"/>
          <w:b/>
          <w:bCs/>
          <w:i/>
          <w:iCs/>
          <w:color w:val="000000" w:themeColor="text1"/>
          <w:sz w:val="24"/>
          <w:szCs w:val="24"/>
        </w:rPr>
        <w:t>High-level risks</w:t>
      </w:r>
    </w:p>
    <w:p w14:paraId="458E53D4"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Assessment of risks before the initiation process in a construction project is essential as it identifies gaps for more strict measures (Salzano </w:t>
      </w:r>
      <w:r w:rsidRPr="007462A0">
        <w:rPr>
          <w:rFonts w:ascii="Times New Roman" w:hAnsi="Times New Roman" w:cs="Times New Roman"/>
          <w:i/>
          <w:iCs/>
          <w:color w:val="000000" w:themeColor="text1"/>
          <w:sz w:val="24"/>
          <w:szCs w:val="24"/>
        </w:rPr>
        <w:t xml:space="preserve">et al., </w:t>
      </w:r>
      <w:r w:rsidRPr="007462A0">
        <w:rPr>
          <w:rFonts w:ascii="Times New Roman" w:hAnsi="Times New Roman" w:cs="Times New Roman"/>
          <w:color w:val="000000" w:themeColor="text1"/>
          <w:sz w:val="24"/>
          <w:szCs w:val="24"/>
        </w:rPr>
        <w:t xml:space="preserve">2024). Technical failure and increasing expenditure (budget overrun) are two major issues for the project. </w:t>
      </w:r>
    </w:p>
    <w:p w14:paraId="458E53D5" w14:textId="77777777" w:rsidR="007462A0" w:rsidRPr="007462A0" w:rsidRDefault="007462A0" w:rsidP="007462A0">
      <w:pPr>
        <w:spacing w:line="360" w:lineRule="auto"/>
        <w:jc w:val="both"/>
        <w:rPr>
          <w:rFonts w:ascii="Times New Roman" w:hAnsi="Times New Roman" w:cs="Times New Roman"/>
          <w:b/>
          <w:bCs/>
          <w:i/>
          <w:iCs/>
          <w:color w:val="000000" w:themeColor="text1"/>
          <w:sz w:val="24"/>
          <w:szCs w:val="24"/>
        </w:rPr>
      </w:pPr>
      <w:r w:rsidRPr="007462A0">
        <w:rPr>
          <w:rFonts w:ascii="Times New Roman" w:hAnsi="Times New Roman" w:cs="Times New Roman"/>
          <w:b/>
          <w:bCs/>
          <w:i/>
          <w:iCs/>
          <w:color w:val="000000" w:themeColor="text1"/>
          <w:sz w:val="24"/>
          <w:szCs w:val="24"/>
        </w:rPr>
        <w:t xml:space="preserve">Trade-offs </w:t>
      </w:r>
    </w:p>
    <w:p w14:paraId="458E53D6"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The project faces difficulties regarding lack of special permits and health and safety incidents risks while trying to maintain environmental targets, digital infrastructure and urban design plans. Deceleration of this process compromises anticipated quality standards of the outcome. </w:t>
      </w:r>
    </w:p>
    <w:tbl>
      <w:tblPr>
        <w:tblStyle w:val="TableGrid"/>
        <w:tblW w:w="5000" w:type="pct"/>
        <w:tblLook w:val="04A0" w:firstRow="1" w:lastRow="0" w:firstColumn="1" w:lastColumn="0" w:noHBand="0" w:noVBand="1"/>
      </w:tblPr>
      <w:tblGrid>
        <w:gridCol w:w="1803"/>
        <w:gridCol w:w="1804"/>
        <w:gridCol w:w="1804"/>
        <w:gridCol w:w="1804"/>
        <w:gridCol w:w="1804"/>
      </w:tblGrid>
      <w:tr w:rsidR="007462A0" w:rsidRPr="007462A0" w14:paraId="458E53DC" w14:textId="77777777" w:rsidTr="007E6347">
        <w:tc>
          <w:tcPr>
            <w:tcW w:w="1000" w:type="pct"/>
          </w:tcPr>
          <w:p w14:paraId="458E53D7"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 xml:space="preserve">Risk </w:t>
            </w:r>
          </w:p>
        </w:tc>
        <w:tc>
          <w:tcPr>
            <w:tcW w:w="1000" w:type="pct"/>
          </w:tcPr>
          <w:p w14:paraId="458E53D8"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Likelihood (1= Low and 5= High)</w:t>
            </w:r>
          </w:p>
        </w:tc>
        <w:tc>
          <w:tcPr>
            <w:tcW w:w="1000" w:type="pct"/>
          </w:tcPr>
          <w:p w14:paraId="458E53D9"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Severity (1= Low and 5= High)</w:t>
            </w:r>
          </w:p>
        </w:tc>
        <w:tc>
          <w:tcPr>
            <w:tcW w:w="1000" w:type="pct"/>
          </w:tcPr>
          <w:p w14:paraId="458E53DA"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Impact (Likelihood * Severity)</w:t>
            </w:r>
          </w:p>
        </w:tc>
        <w:tc>
          <w:tcPr>
            <w:tcW w:w="1000" w:type="pct"/>
          </w:tcPr>
          <w:p w14:paraId="458E53DB"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 xml:space="preserve">Mitigation </w:t>
            </w:r>
          </w:p>
        </w:tc>
      </w:tr>
      <w:tr w:rsidR="007462A0" w:rsidRPr="007462A0" w14:paraId="458E53E2" w14:textId="77777777" w:rsidTr="007E6347">
        <w:tc>
          <w:tcPr>
            <w:tcW w:w="1000" w:type="pct"/>
          </w:tcPr>
          <w:p w14:paraId="458E53DD"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Technical failure</w:t>
            </w:r>
          </w:p>
        </w:tc>
        <w:tc>
          <w:tcPr>
            <w:tcW w:w="1000" w:type="pct"/>
            <w:shd w:val="clear" w:color="auto" w:fill="FFFF00"/>
          </w:tcPr>
          <w:p w14:paraId="458E53DE"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3</w:t>
            </w:r>
          </w:p>
        </w:tc>
        <w:tc>
          <w:tcPr>
            <w:tcW w:w="1000" w:type="pct"/>
            <w:shd w:val="clear" w:color="auto" w:fill="FF0000"/>
          </w:tcPr>
          <w:p w14:paraId="458E53DF"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5</w:t>
            </w:r>
          </w:p>
        </w:tc>
        <w:tc>
          <w:tcPr>
            <w:tcW w:w="1000" w:type="pct"/>
            <w:shd w:val="clear" w:color="auto" w:fill="FF0000"/>
          </w:tcPr>
          <w:p w14:paraId="458E53E0"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15</w:t>
            </w:r>
          </w:p>
        </w:tc>
        <w:tc>
          <w:tcPr>
            <w:tcW w:w="1000" w:type="pct"/>
          </w:tcPr>
          <w:p w14:paraId="458E53E1"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Ensuring quality assessment </w:t>
            </w:r>
          </w:p>
        </w:tc>
      </w:tr>
      <w:tr w:rsidR="007462A0" w:rsidRPr="007462A0" w14:paraId="458E53E8" w14:textId="77777777" w:rsidTr="007E6347">
        <w:tc>
          <w:tcPr>
            <w:tcW w:w="1000" w:type="pct"/>
          </w:tcPr>
          <w:p w14:paraId="458E53E3"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Lack of special permits</w:t>
            </w:r>
          </w:p>
        </w:tc>
        <w:tc>
          <w:tcPr>
            <w:tcW w:w="1000" w:type="pct"/>
            <w:shd w:val="clear" w:color="auto" w:fill="FFFF00"/>
          </w:tcPr>
          <w:p w14:paraId="458E53E4"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3</w:t>
            </w:r>
          </w:p>
        </w:tc>
        <w:tc>
          <w:tcPr>
            <w:tcW w:w="1000" w:type="pct"/>
            <w:shd w:val="clear" w:color="auto" w:fill="FFFF00"/>
          </w:tcPr>
          <w:p w14:paraId="458E53E5"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3</w:t>
            </w:r>
          </w:p>
        </w:tc>
        <w:tc>
          <w:tcPr>
            <w:tcW w:w="1000" w:type="pct"/>
            <w:shd w:val="clear" w:color="auto" w:fill="FFFF00"/>
          </w:tcPr>
          <w:p w14:paraId="458E53E6"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9</w:t>
            </w:r>
          </w:p>
        </w:tc>
        <w:tc>
          <w:tcPr>
            <w:tcW w:w="1000" w:type="pct"/>
          </w:tcPr>
          <w:p w14:paraId="458E53E7"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Managing legal connection </w:t>
            </w:r>
          </w:p>
        </w:tc>
      </w:tr>
      <w:tr w:rsidR="007462A0" w:rsidRPr="007462A0" w14:paraId="458E53EE" w14:textId="77777777" w:rsidTr="007E6347">
        <w:tc>
          <w:tcPr>
            <w:tcW w:w="1000" w:type="pct"/>
          </w:tcPr>
          <w:p w14:paraId="458E53E9"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Budget Overrun</w:t>
            </w:r>
          </w:p>
        </w:tc>
        <w:tc>
          <w:tcPr>
            <w:tcW w:w="1000" w:type="pct"/>
            <w:shd w:val="clear" w:color="auto" w:fill="FF0000"/>
          </w:tcPr>
          <w:p w14:paraId="458E53EA"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5</w:t>
            </w:r>
          </w:p>
        </w:tc>
        <w:tc>
          <w:tcPr>
            <w:tcW w:w="1000" w:type="pct"/>
            <w:shd w:val="clear" w:color="auto" w:fill="FF0000"/>
          </w:tcPr>
          <w:p w14:paraId="458E53EB"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4</w:t>
            </w:r>
          </w:p>
        </w:tc>
        <w:tc>
          <w:tcPr>
            <w:tcW w:w="1000" w:type="pct"/>
            <w:shd w:val="clear" w:color="auto" w:fill="FF0000"/>
          </w:tcPr>
          <w:p w14:paraId="458E53EC"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20</w:t>
            </w:r>
          </w:p>
        </w:tc>
        <w:tc>
          <w:tcPr>
            <w:tcW w:w="1000" w:type="pct"/>
          </w:tcPr>
          <w:p w14:paraId="458E53ED"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Contingency budget allocation</w:t>
            </w:r>
          </w:p>
        </w:tc>
      </w:tr>
      <w:tr w:rsidR="007462A0" w:rsidRPr="007462A0" w14:paraId="458E53F4" w14:textId="77777777" w:rsidTr="007E6347">
        <w:tc>
          <w:tcPr>
            <w:tcW w:w="1000" w:type="pct"/>
          </w:tcPr>
          <w:p w14:paraId="458E53EF"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Health and Safety incidents</w:t>
            </w:r>
          </w:p>
        </w:tc>
        <w:tc>
          <w:tcPr>
            <w:tcW w:w="1000" w:type="pct"/>
            <w:shd w:val="clear" w:color="auto" w:fill="FFFF00"/>
          </w:tcPr>
          <w:p w14:paraId="458E53F0"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3</w:t>
            </w:r>
          </w:p>
        </w:tc>
        <w:tc>
          <w:tcPr>
            <w:tcW w:w="1000" w:type="pct"/>
            <w:shd w:val="clear" w:color="auto" w:fill="92D050"/>
          </w:tcPr>
          <w:p w14:paraId="458E53F1"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2</w:t>
            </w:r>
          </w:p>
        </w:tc>
        <w:tc>
          <w:tcPr>
            <w:tcW w:w="1000" w:type="pct"/>
            <w:shd w:val="clear" w:color="auto" w:fill="92D050"/>
          </w:tcPr>
          <w:p w14:paraId="458E53F2"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6</w:t>
            </w:r>
          </w:p>
        </w:tc>
        <w:tc>
          <w:tcPr>
            <w:tcW w:w="1000" w:type="pct"/>
          </w:tcPr>
          <w:p w14:paraId="458E53F3"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Incorporation of Health and Safety Gears</w:t>
            </w:r>
          </w:p>
        </w:tc>
      </w:tr>
    </w:tbl>
    <w:p w14:paraId="458E53F5" w14:textId="77777777" w:rsidR="007462A0" w:rsidRPr="007462A0" w:rsidRDefault="007462A0" w:rsidP="007E6347">
      <w:pPr>
        <w:spacing w:line="360" w:lineRule="auto"/>
        <w:jc w:val="center"/>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Table 2: Risk Matrix</w:t>
      </w:r>
    </w:p>
    <w:p w14:paraId="458E53F6" w14:textId="77777777" w:rsidR="007462A0" w:rsidRPr="007462A0" w:rsidRDefault="007462A0" w:rsidP="007462A0">
      <w:pPr>
        <w:spacing w:line="360" w:lineRule="auto"/>
        <w:jc w:val="both"/>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t>Strategic value of the project</w:t>
      </w:r>
    </w:p>
    <w:p w14:paraId="458E53F7"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 xml:space="preserve">A construction project holds value as a successful outcome offers long-term sustenance of planned outcome and longevity as well (Bennett and Mayouf, 2021). The project holds value as the proposed solution complies with modern urban planning while offering an alternative solution for a respectable length of time. </w:t>
      </w:r>
    </w:p>
    <w:p w14:paraId="458E53F8"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br w:type="page"/>
      </w:r>
    </w:p>
    <w:p w14:paraId="458E53F9"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lastRenderedPageBreak/>
        <w:t>Work breakdown structure</w:t>
      </w:r>
    </w:p>
    <w:p w14:paraId="458E53FA" w14:textId="77777777" w:rsidR="007462A0" w:rsidRPr="007462A0" w:rsidRDefault="007462A0" w:rsidP="007E6347">
      <w:pPr>
        <w:spacing w:line="360" w:lineRule="auto"/>
        <w:jc w:val="center"/>
        <w:rPr>
          <w:rFonts w:ascii="Times New Roman" w:hAnsi="Times New Roman" w:cs="Times New Roman"/>
          <w:b/>
          <w:color w:val="000000" w:themeColor="text1"/>
          <w:sz w:val="24"/>
          <w:szCs w:val="24"/>
        </w:rPr>
      </w:pPr>
      <w:r w:rsidRPr="007462A0">
        <w:rPr>
          <w:rFonts w:ascii="Times New Roman" w:hAnsi="Times New Roman" w:cs="Times New Roman"/>
          <w:b/>
          <w:noProof/>
          <w:color w:val="000000" w:themeColor="text1"/>
          <w:sz w:val="24"/>
          <w:szCs w:val="24"/>
          <w:lang w:val="en-IN" w:eastAsia="en-IN"/>
        </w:rPr>
        <w:drawing>
          <wp:inline distT="0" distB="0" distL="0" distR="0" wp14:anchorId="458E548B" wp14:editId="458E548C">
            <wp:extent cx="4366525" cy="4219575"/>
            <wp:effectExtent l="19050" t="19050" r="1524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72883" cy="4225719"/>
                    </a:xfrm>
                    <a:prstGeom prst="rect">
                      <a:avLst/>
                    </a:prstGeom>
                    <a:ln>
                      <a:solidFill>
                        <a:schemeClr val="tx1"/>
                      </a:solidFill>
                    </a:ln>
                  </pic:spPr>
                </pic:pic>
              </a:graphicData>
            </a:graphic>
          </wp:inline>
        </w:drawing>
      </w:r>
    </w:p>
    <w:p w14:paraId="458E53FB" w14:textId="77777777" w:rsidR="007462A0" w:rsidRPr="007462A0" w:rsidRDefault="007462A0" w:rsidP="007E6347">
      <w:pPr>
        <w:spacing w:line="360" w:lineRule="auto"/>
        <w:jc w:val="center"/>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Figure 3: WBS of the project</w:t>
      </w:r>
    </w:p>
    <w:p w14:paraId="458E53FC"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 xml:space="preserve">Quad Chart </w:t>
      </w:r>
    </w:p>
    <w:p w14:paraId="458E53FD" w14:textId="77777777" w:rsidR="007462A0" w:rsidRPr="007462A0" w:rsidRDefault="007462A0" w:rsidP="007E6347">
      <w:pPr>
        <w:spacing w:line="360" w:lineRule="auto"/>
        <w:jc w:val="center"/>
        <w:rPr>
          <w:rFonts w:ascii="Times New Roman" w:hAnsi="Times New Roman" w:cs="Times New Roman"/>
          <w:b/>
          <w:color w:val="000000" w:themeColor="text1"/>
          <w:sz w:val="24"/>
          <w:szCs w:val="24"/>
        </w:rPr>
      </w:pPr>
      <w:r w:rsidRPr="007462A0">
        <w:rPr>
          <w:rFonts w:ascii="Times New Roman" w:hAnsi="Times New Roman" w:cs="Times New Roman"/>
          <w:b/>
          <w:noProof/>
          <w:color w:val="000000" w:themeColor="text1"/>
          <w:sz w:val="24"/>
          <w:szCs w:val="24"/>
          <w:lang w:val="en-IN" w:eastAsia="en-IN"/>
        </w:rPr>
        <w:drawing>
          <wp:inline distT="0" distB="0" distL="0" distR="0" wp14:anchorId="458E548D" wp14:editId="458E548E">
            <wp:extent cx="3696216" cy="3105583"/>
            <wp:effectExtent l="19050" t="19050" r="19050" b="190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96216" cy="3105583"/>
                    </a:xfrm>
                    <a:prstGeom prst="rect">
                      <a:avLst/>
                    </a:prstGeom>
                    <a:ln>
                      <a:solidFill>
                        <a:schemeClr val="tx1"/>
                      </a:solidFill>
                    </a:ln>
                  </pic:spPr>
                </pic:pic>
              </a:graphicData>
            </a:graphic>
          </wp:inline>
        </w:drawing>
      </w:r>
    </w:p>
    <w:p w14:paraId="458E53FE" w14:textId="77777777" w:rsidR="007462A0" w:rsidRPr="007462A0" w:rsidRDefault="007462A0" w:rsidP="007E6347">
      <w:pPr>
        <w:spacing w:line="360" w:lineRule="auto"/>
        <w:jc w:val="center"/>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Figure 4: Quad chart of the project</w:t>
      </w:r>
    </w:p>
    <w:p w14:paraId="458E53FF"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lastRenderedPageBreak/>
        <w:t>The quad chart shows visually about the problem overview, its execution approach, the performance metrics to be considered for its evaluation and the benefits fostered by the project.</w:t>
      </w:r>
    </w:p>
    <w:p w14:paraId="458E5400" w14:textId="77777777" w:rsidR="007462A0" w:rsidRPr="007462A0" w:rsidRDefault="007462A0" w:rsidP="007462A0">
      <w:pPr>
        <w:spacing w:line="360" w:lineRule="auto"/>
        <w:jc w:val="both"/>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Timeline of the project</w:t>
      </w:r>
    </w:p>
    <w:p w14:paraId="458E5401" w14:textId="77777777" w:rsidR="007462A0" w:rsidRPr="007462A0" w:rsidRDefault="007462A0" w:rsidP="007E6347">
      <w:pPr>
        <w:spacing w:line="360" w:lineRule="auto"/>
        <w:jc w:val="center"/>
        <w:rPr>
          <w:rFonts w:ascii="Times New Roman" w:hAnsi="Times New Roman" w:cs="Times New Roman"/>
          <w:b/>
          <w:color w:val="000000" w:themeColor="text1"/>
          <w:sz w:val="24"/>
          <w:szCs w:val="24"/>
        </w:rPr>
      </w:pPr>
      <w:r w:rsidRPr="007462A0">
        <w:rPr>
          <w:rFonts w:ascii="Times New Roman" w:hAnsi="Times New Roman" w:cs="Times New Roman"/>
          <w:b/>
          <w:noProof/>
          <w:color w:val="000000" w:themeColor="text1"/>
          <w:sz w:val="24"/>
          <w:szCs w:val="24"/>
          <w:lang w:val="en-IN" w:eastAsia="en-IN"/>
        </w:rPr>
        <w:drawing>
          <wp:inline distT="0" distB="0" distL="0" distR="0" wp14:anchorId="458E548F" wp14:editId="458E5490">
            <wp:extent cx="5733415" cy="2729865"/>
            <wp:effectExtent l="19050" t="19050" r="19685" b="133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729865"/>
                    </a:xfrm>
                    <a:prstGeom prst="rect">
                      <a:avLst/>
                    </a:prstGeom>
                    <a:ln>
                      <a:solidFill>
                        <a:schemeClr val="tx1"/>
                      </a:solidFill>
                    </a:ln>
                  </pic:spPr>
                </pic:pic>
              </a:graphicData>
            </a:graphic>
          </wp:inline>
        </w:drawing>
      </w:r>
    </w:p>
    <w:p w14:paraId="458E5402" w14:textId="77777777" w:rsidR="007462A0" w:rsidRPr="007462A0" w:rsidRDefault="007462A0" w:rsidP="007E6347">
      <w:pPr>
        <w:spacing w:line="360" w:lineRule="auto"/>
        <w:jc w:val="center"/>
        <w:rPr>
          <w:rFonts w:ascii="Times New Roman" w:hAnsi="Times New Roman" w:cs="Times New Roman"/>
          <w:b/>
          <w:color w:val="000000" w:themeColor="text1"/>
          <w:sz w:val="24"/>
          <w:szCs w:val="24"/>
        </w:rPr>
      </w:pPr>
      <w:r w:rsidRPr="007462A0">
        <w:rPr>
          <w:rFonts w:ascii="Times New Roman" w:hAnsi="Times New Roman" w:cs="Times New Roman"/>
          <w:b/>
          <w:noProof/>
          <w:color w:val="000000" w:themeColor="text1"/>
          <w:sz w:val="24"/>
          <w:szCs w:val="24"/>
          <w:lang w:val="en-IN" w:eastAsia="en-IN"/>
        </w:rPr>
        <w:drawing>
          <wp:inline distT="0" distB="0" distL="0" distR="0" wp14:anchorId="458E5491" wp14:editId="458E5492">
            <wp:extent cx="5733415" cy="2429510"/>
            <wp:effectExtent l="19050" t="19050" r="19685" b="279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2429510"/>
                    </a:xfrm>
                    <a:prstGeom prst="rect">
                      <a:avLst/>
                    </a:prstGeom>
                    <a:ln>
                      <a:solidFill>
                        <a:schemeClr val="tx1"/>
                      </a:solidFill>
                    </a:ln>
                  </pic:spPr>
                </pic:pic>
              </a:graphicData>
            </a:graphic>
          </wp:inline>
        </w:drawing>
      </w:r>
    </w:p>
    <w:p w14:paraId="458E5403" w14:textId="77777777" w:rsidR="007462A0" w:rsidRPr="007462A0" w:rsidRDefault="007462A0" w:rsidP="007E6347">
      <w:pPr>
        <w:spacing w:line="360" w:lineRule="auto"/>
        <w:jc w:val="center"/>
        <w:rPr>
          <w:rFonts w:ascii="Times New Roman" w:hAnsi="Times New Roman" w:cs="Times New Roman"/>
          <w:b/>
          <w:color w:val="000000" w:themeColor="text1"/>
          <w:sz w:val="24"/>
          <w:szCs w:val="24"/>
        </w:rPr>
      </w:pPr>
      <w:r w:rsidRPr="007462A0">
        <w:rPr>
          <w:rFonts w:ascii="Times New Roman" w:hAnsi="Times New Roman" w:cs="Times New Roman"/>
          <w:b/>
          <w:color w:val="000000" w:themeColor="text1"/>
          <w:sz w:val="24"/>
          <w:szCs w:val="24"/>
        </w:rPr>
        <w:t>Figure 5: Gantt chart</w:t>
      </w:r>
    </w:p>
    <w:p w14:paraId="458E5404" w14:textId="77777777" w:rsidR="007462A0" w:rsidRPr="007462A0" w:rsidRDefault="007462A0" w:rsidP="007462A0">
      <w:pPr>
        <w:spacing w:line="360" w:lineRule="auto"/>
        <w:jc w:val="both"/>
        <w:rPr>
          <w:rFonts w:ascii="Times New Roman" w:hAnsi="Times New Roman" w:cs="Times New Roman"/>
          <w:color w:val="000000" w:themeColor="text1"/>
          <w:sz w:val="24"/>
          <w:szCs w:val="24"/>
        </w:rPr>
      </w:pPr>
    </w:p>
    <w:p w14:paraId="458E5405" w14:textId="77777777" w:rsidR="007462A0" w:rsidRPr="007462A0" w:rsidRDefault="007462A0" w:rsidP="007462A0">
      <w:pPr>
        <w:spacing w:line="360" w:lineRule="auto"/>
        <w:jc w:val="both"/>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br w:type="page"/>
      </w:r>
    </w:p>
    <w:p w14:paraId="458E5406" w14:textId="77777777" w:rsidR="007462A0" w:rsidRPr="007462A0" w:rsidRDefault="007462A0" w:rsidP="007462A0">
      <w:pPr>
        <w:spacing w:line="360" w:lineRule="auto"/>
        <w:jc w:val="both"/>
        <w:rPr>
          <w:rFonts w:ascii="Times New Roman" w:hAnsi="Times New Roman" w:cs="Times New Roman"/>
          <w:b/>
          <w:bCs/>
          <w:color w:val="000000" w:themeColor="text1"/>
          <w:sz w:val="24"/>
          <w:szCs w:val="24"/>
        </w:rPr>
      </w:pPr>
      <w:r w:rsidRPr="007462A0">
        <w:rPr>
          <w:rFonts w:ascii="Times New Roman" w:hAnsi="Times New Roman" w:cs="Times New Roman"/>
          <w:b/>
          <w:bCs/>
          <w:color w:val="000000" w:themeColor="text1"/>
          <w:sz w:val="24"/>
          <w:szCs w:val="24"/>
        </w:rPr>
        <w:lastRenderedPageBreak/>
        <w:t xml:space="preserve">Conclusion </w:t>
      </w:r>
    </w:p>
    <w:p w14:paraId="458E5407" w14:textId="77777777" w:rsidR="007462A0" w:rsidRDefault="007462A0" w:rsidP="007462A0">
      <w:pPr>
        <w:spacing w:line="360" w:lineRule="auto"/>
        <w:jc w:val="both"/>
        <w:rPr>
          <w:rFonts w:ascii="Times New Roman" w:hAnsi="Times New Roman" w:cs="Times New Roman"/>
          <w:color w:val="000000" w:themeColor="text1"/>
          <w:sz w:val="24"/>
          <w:szCs w:val="24"/>
        </w:rPr>
      </w:pPr>
      <w:r w:rsidRPr="007462A0">
        <w:rPr>
          <w:rFonts w:ascii="Times New Roman" w:hAnsi="Times New Roman" w:cs="Times New Roman"/>
          <w:color w:val="000000" w:themeColor="text1"/>
          <w:sz w:val="24"/>
          <w:szCs w:val="24"/>
        </w:rPr>
        <w:t>In conclusion, the discussion highlights feasibility of the project while contemplating key risk factors and levels of complications. Objectives of the project ensure that key deliverables are met while comfort and accessibility are maintained for daily commuters.</w:t>
      </w:r>
    </w:p>
    <w:p w14:paraId="458E5408" w14:textId="77777777" w:rsidR="00B37CD2" w:rsidRDefault="00B37CD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458E5409" w14:textId="77777777" w:rsidR="00B37CD2" w:rsidRDefault="00B37CD2" w:rsidP="00865D7D">
      <w:pPr>
        <w:pStyle w:val="Heading1"/>
      </w:pPr>
      <w:bookmarkStart w:id="4" w:name="_Toc236317325"/>
      <w:r w:rsidRPr="00B37CD2">
        <w:lastRenderedPageBreak/>
        <w:t xml:space="preserve">Part B: </w:t>
      </w:r>
      <w:r w:rsidR="00865D7D">
        <w:t xml:space="preserve">Reflect critically on the feedback </w:t>
      </w:r>
      <w:r w:rsidR="00865D7D" w:rsidRPr="00865D7D">
        <w:t>received</w:t>
      </w:r>
      <w:r w:rsidR="00865D7D">
        <w:t xml:space="preserve"> from tutor and peers</w:t>
      </w:r>
      <w:bookmarkEnd w:id="4"/>
    </w:p>
    <w:p w14:paraId="6CE75BA1" w14:textId="77777777" w:rsidR="009E43AD" w:rsidRPr="00A72B12" w:rsidRDefault="009E43AD" w:rsidP="009E43AD">
      <w:pPr>
        <w:spacing w:before="100" w:beforeAutospacing="1" w:after="100" w:afterAutospacing="1" w:line="240" w:lineRule="auto"/>
        <w:outlineLvl w:val="1"/>
        <w:rPr>
          <w:rFonts w:ascii="Times New Roman" w:eastAsia="Times New Roman" w:hAnsi="Times New Roman" w:cs="Times New Roman"/>
          <w:b/>
          <w:bCs/>
          <w:sz w:val="24"/>
          <w:szCs w:val="24"/>
        </w:rPr>
      </w:pPr>
      <w:r w:rsidRPr="00A72B12">
        <w:rPr>
          <w:rFonts w:ascii="Times New Roman" w:eastAsia="Times New Roman" w:hAnsi="Times New Roman" w:cs="Times New Roman"/>
          <w:b/>
          <w:bCs/>
          <w:sz w:val="24"/>
          <w:szCs w:val="24"/>
        </w:rPr>
        <w:t>Description – What happened?</w:t>
      </w:r>
    </w:p>
    <w:p w14:paraId="02B31864" w14:textId="77777777" w:rsidR="009E43AD" w:rsidRPr="00A72B12" w:rsidRDefault="009E43AD" w:rsidP="009E43AD">
      <w:pPr>
        <w:spacing w:before="100" w:beforeAutospacing="1" w:after="100" w:afterAutospacing="1" w:line="240" w:lineRule="auto"/>
        <w:rPr>
          <w:rFonts w:ascii="Times New Roman" w:eastAsia="Times New Roman" w:hAnsi="Times New Roman" w:cs="Times New Roman"/>
          <w:sz w:val="24"/>
          <w:szCs w:val="24"/>
        </w:rPr>
      </w:pPr>
      <w:r w:rsidRPr="00A72B12">
        <w:rPr>
          <w:rFonts w:ascii="Times New Roman" w:eastAsia="Times New Roman" w:hAnsi="Times New Roman" w:cs="Times New Roman"/>
          <w:sz w:val="24"/>
          <w:szCs w:val="24"/>
        </w:rPr>
        <w:t>For Part A, I created a project management plan for a temporary multimodal transport solution to reduce disruption caused by highway maintenance. I also made a poster and presented it to the class. During my presentation, I explained the project aims, stakeholders, risks, and schedule. After I finished, my tutor gave me feedback about my poster and my presentation. The feedback included things I did well and things I need to improve.</w:t>
      </w:r>
    </w:p>
    <w:p w14:paraId="2BBB7332" w14:textId="77777777" w:rsidR="009E43AD" w:rsidRPr="00A72B12" w:rsidRDefault="009E43AD" w:rsidP="009E43AD">
      <w:pPr>
        <w:spacing w:before="100" w:beforeAutospacing="1" w:after="100" w:afterAutospacing="1" w:line="240" w:lineRule="auto"/>
        <w:outlineLvl w:val="1"/>
        <w:rPr>
          <w:rFonts w:ascii="Times New Roman" w:eastAsia="Times New Roman" w:hAnsi="Times New Roman" w:cs="Times New Roman"/>
          <w:b/>
          <w:bCs/>
          <w:sz w:val="24"/>
          <w:szCs w:val="24"/>
        </w:rPr>
      </w:pPr>
      <w:r w:rsidRPr="00A72B12">
        <w:rPr>
          <w:rFonts w:ascii="Times New Roman" w:eastAsia="Times New Roman" w:hAnsi="Times New Roman" w:cs="Times New Roman"/>
          <w:b/>
          <w:bCs/>
          <w:sz w:val="24"/>
          <w:szCs w:val="24"/>
        </w:rPr>
        <w:t>Evaluation – What worked well and what did not?</w:t>
      </w:r>
    </w:p>
    <w:p w14:paraId="513F07DA" w14:textId="77777777" w:rsidR="009E43AD" w:rsidRPr="00A72B12" w:rsidRDefault="009E43AD" w:rsidP="009E43AD">
      <w:pPr>
        <w:spacing w:before="100" w:beforeAutospacing="1" w:after="100" w:afterAutospacing="1" w:line="240" w:lineRule="auto"/>
        <w:rPr>
          <w:rFonts w:ascii="Times New Roman" w:eastAsia="Times New Roman" w:hAnsi="Times New Roman" w:cs="Times New Roman"/>
          <w:sz w:val="24"/>
          <w:szCs w:val="24"/>
        </w:rPr>
      </w:pPr>
      <w:r w:rsidRPr="00A72B12">
        <w:rPr>
          <w:rFonts w:ascii="Times New Roman" w:eastAsia="Times New Roman" w:hAnsi="Times New Roman" w:cs="Times New Roman"/>
          <w:sz w:val="24"/>
          <w:szCs w:val="24"/>
        </w:rPr>
        <w:t xml:space="preserve">I think my poster was clear and easy to follow. My tutor said my project was well organised and that I had good research and clear project aims. I was happy with this feedback. However, my presentation did not go as well as I wanted. I read too much from my notes instead of speaking from the poster. Because of this, I was not very </w:t>
      </w:r>
      <w:proofErr w:type="gramStart"/>
      <w:r w:rsidRPr="00A72B12">
        <w:rPr>
          <w:rFonts w:ascii="Times New Roman" w:eastAsia="Times New Roman" w:hAnsi="Times New Roman" w:cs="Times New Roman"/>
          <w:sz w:val="24"/>
          <w:szCs w:val="24"/>
        </w:rPr>
        <w:t>confident</w:t>
      </w:r>
      <w:proofErr w:type="gramEnd"/>
      <w:r w:rsidRPr="00A72B12">
        <w:rPr>
          <w:rFonts w:ascii="Times New Roman" w:eastAsia="Times New Roman" w:hAnsi="Times New Roman" w:cs="Times New Roman"/>
          <w:sz w:val="24"/>
          <w:szCs w:val="24"/>
        </w:rPr>
        <w:t xml:space="preserve"> and I did not talk enough to the audience. I now understand that a good presentation is not only about having good information but also about how you present it.</w:t>
      </w:r>
    </w:p>
    <w:p w14:paraId="7A1D19FF" w14:textId="77777777" w:rsidR="009E43AD" w:rsidRPr="00A72B12" w:rsidRDefault="009E43AD" w:rsidP="009E43AD">
      <w:pPr>
        <w:spacing w:before="100" w:beforeAutospacing="1" w:after="100" w:afterAutospacing="1" w:line="240" w:lineRule="auto"/>
        <w:outlineLvl w:val="1"/>
        <w:rPr>
          <w:rFonts w:ascii="Times New Roman" w:eastAsia="Times New Roman" w:hAnsi="Times New Roman" w:cs="Times New Roman"/>
          <w:b/>
          <w:bCs/>
          <w:sz w:val="24"/>
          <w:szCs w:val="24"/>
        </w:rPr>
      </w:pPr>
      <w:r w:rsidRPr="00A72B12">
        <w:rPr>
          <w:rFonts w:ascii="Times New Roman" w:eastAsia="Times New Roman" w:hAnsi="Times New Roman" w:cs="Times New Roman"/>
          <w:b/>
          <w:bCs/>
          <w:sz w:val="24"/>
          <w:szCs w:val="24"/>
        </w:rPr>
        <w:t>Analysis – Why did this happen?</w:t>
      </w:r>
    </w:p>
    <w:p w14:paraId="497B49BE" w14:textId="77777777" w:rsidR="009E43AD" w:rsidRPr="00A72B12" w:rsidRDefault="009E43AD" w:rsidP="009E43AD">
      <w:pPr>
        <w:spacing w:before="100" w:beforeAutospacing="1" w:after="100" w:afterAutospacing="1" w:line="240" w:lineRule="auto"/>
        <w:rPr>
          <w:rFonts w:ascii="Times New Roman" w:eastAsia="Times New Roman" w:hAnsi="Times New Roman" w:cs="Times New Roman"/>
          <w:sz w:val="24"/>
          <w:szCs w:val="24"/>
        </w:rPr>
      </w:pPr>
      <w:r w:rsidRPr="00A72B12">
        <w:rPr>
          <w:rFonts w:ascii="Times New Roman" w:eastAsia="Times New Roman" w:hAnsi="Times New Roman" w:cs="Times New Roman"/>
          <w:sz w:val="24"/>
          <w:szCs w:val="24"/>
        </w:rPr>
        <w:t>I think this happened because I was nervous about speaking in front of the class. I was worried that I would forget what to say, so I depended too much on my notes. I knew my project well, but I did not practise my presentation enough before the day. This made me less confident. I learned that practising before a presentation can make a big difference. I also realised that speaking from the poster is better than reading from notes because it helps you connect with the audience.</w:t>
      </w:r>
    </w:p>
    <w:p w14:paraId="19C8CC7A" w14:textId="77777777" w:rsidR="009E43AD" w:rsidRPr="00A72B12" w:rsidRDefault="009E43AD" w:rsidP="009E43AD">
      <w:pPr>
        <w:spacing w:before="100" w:beforeAutospacing="1" w:after="100" w:afterAutospacing="1" w:line="240" w:lineRule="auto"/>
        <w:outlineLvl w:val="1"/>
        <w:rPr>
          <w:rFonts w:ascii="Times New Roman" w:eastAsia="Times New Roman" w:hAnsi="Times New Roman" w:cs="Times New Roman"/>
          <w:b/>
          <w:bCs/>
          <w:sz w:val="24"/>
          <w:szCs w:val="24"/>
        </w:rPr>
      </w:pPr>
      <w:r w:rsidRPr="00A72B12">
        <w:rPr>
          <w:rFonts w:ascii="Times New Roman" w:eastAsia="Times New Roman" w:hAnsi="Times New Roman" w:cs="Times New Roman"/>
          <w:b/>
          <w:bCs/>
          <w:sz w:val="24"/>
          <w:szCs w:val="24"/>
        </w:rPr>
        <w:t>Application – How will I improve next time?</w:t>
      </w:r>
    </w:p>
    <w:p w14:paraId="47591E9D" w14:textId="77777777" w:rsidR="009E43AD" w:rsidRPr="00A72B12" w:rsidRDefault="009E43AD" w:rsidP="009E43AD">
      <w:pPr>
        <w:spacing w:before="100" w:beforeAutospacing="1" w:after="100" w:afterAutospacing="1" w:line="240" w:lineRule="auto"/>
        <w:rPr>
          <w:rFonts w:ascii="Times New Roman" w:eastAsia="Times New Roman" w:hAnsi="Times New Roman" w:cs="Times New Roman"/>
          <w:sz w:val="24"/>
          <w:szCs w:val="24"/>
        </w:rPr>
      </w:pPr>
      <w:r w:rsidRPr="00A72B12">
        <w:rPr>
          <w:rFonts w:ascii="Times New Roman" w:eastAsia="Times New Roman" w:hAnsi="Times New Roman" w:cs="Times New Roman"/>
          <w:sz w:val="24"/>
          <w:szCs w:val="24"/>
        </w:rPr>
        <w:t>Next time, I will spend more time practising before my presentation. I will use my poster as a guide instead of reading from my notes. I will also practise speaking clearly and making eye contact with the audience. I believe this will help me feel more confident and improve my presentation skills. I will also use my tutor's feedback to help me do better in future presentations.</w:t>
      </w:r>
    </w:p>
    <w:p w14:paraId="40F85303" w14:textId="77777777" w:rsidR="009E43AD" w:rsidRPr="00A72B12" w:rsidRDefault="009E43AD" w:rsidP="009E43AD">
      <w:pPr>
        <w:spacing w:before="100" w:beforeAutospacing="1" w:after="100" w:afterAutospacing="1" w:line="240" w:lineRule="auto"/>
        <w:outlineLvl w:val="1"/>
        <w:rPr>
          <w:rFonts w:ascii="Times New Roman" w:eastAsia="Times New Roman" w:hAnsi="Times New Roman" w:cs="Times New Roman"/>
          <w:b/>
          <w:bCs/>
          <w:sz w:val="24"/>
          <w:szCs w:val="24"/>
        </w:rPr>
      </w:pPr>
      <w:r w:rsidRPr="00A72B12">
        <w:rPr>
          <w:rFonts w:ascii="Times New Roman" w:eastAsia="Times New Roman" w:hAnsi="Times New Roman" w:cs="Times New Roman"/>
          <w:b/>
          <w:bCs/>
          <w:sz w:val="24"/>
          <w:szCs w:val="24"/>
        </w:rPr>
        <w:t>Transformation – How has this changed me?</w:t>
      </w:r>
    </w:p>
    <w:p w14:paraId="11957C19" w14:textId="77777777" w:rsidR="009E43AD" w:rsidRPr="00A72B12" w:rsidRDefault="009E43AD" w:rsidP="009E43AD">
      <w:pPr>
        <w:spacing w:before="100" w:beforeAutospacing="1" w:after="100" w:afterAutospacing="1" w:line="240" w:lineRule="auto"/>
        <w:rPr>
          <w:rFonts w:ascii="Times New Roman" w:eastAsia="Times New Roman" w:hAnsi="Times New Roman" w:cs="Times New Roman"/>
          <w:sz w:val="24"/>
          <w:szCs w:val="24"/>
        </w:rPr>
      </w:pPr>
      <w:r w:rsidRPr="00A72B12">
        <w:rPr>
          <w:rFonts w:ascii="Times New Roman" w:eastAsia="Times New Roman" w:hAnsi="Times New Roman" w:cs="Times New Roman"/>
          <w:sz w:val="24"/>
          <w:szCs w:val="24"/>
        </w:rPr>
        <w:t>This experience has helped me understand that presenting is an important skill. I now know that I need to prepare not only my project but also my presentation. I feel more confident because I know what I need to improve. In the future, I will practise more, trust my own knowledge, and try to speak naturally instead of reading from notes. This experience has made me a better learner, and I will use what I have learned in my future university work and in my career.</w:t>
      </w:r>
    </w:p>
    <w:p w14:paraId="458E5417" w14:textId="77777777" w:rsidR="00E35BCC" w:rsidRDefault="00DF4501">
      <w:pPr>
        <w:spacing w:line="360" w:lineRule="auto"/>
        <w:jc w:val="both"/>
        <w:rPr>
          <w:rFonts w:ascii="Times New Roman" w:eastAsia="Times New Roman" w:hAnsi="Times New Roman" w:cs="Times New Roman"/>
          <w:b/>
          <w:bCs/>
          <w:sz w:val="24"/>
          <w:szCs w:val="24"/>
        </w:rPr>
      </w:pPr>
      <w:r>
        <w:br w:type="page"/>
      </w:r>
    </w:p>
    <w:p w14:paraId="458E5418" w14:textId="77777777" w:rsidR="007462A0" w:rsidRDefault="007462A0">
      <w:pPr>
        <w:pStyle w:val="Heading1"/>
      </w:pPr>
      <w:bookmarkStart w:id="5" w:name="_6w33yohbg6t" w:colFirst="0" w:colLast="0"/>
      <w:bookmarkStart w:id="6" w:name="_Toc236317331"/>
      <w:bookmarkEnd w:id="5"/>
      <w:r>
        <w:lastRenderedPageBreak/>
        <w:t>Part C: Project Management Plan</w:t>
      </w:r>
      <w:bookmarkEnd w:id="6"/>
    </w:p>
    <w:p w14:paraId="458E5419" w14:textId="77777777" w:rsidR="00E35BCC" w:rsidRDefault="00AC6079" w:rsidP="00447BE9">
      <w:pPr>
        <w:pStyle w:val="Heading2"/>
        <w:rPr>
          <w:highlight w:val="yellow"/>
        </w:rPr>
      </w:pPr>
      <w:bookmarkStart w:id="7" w:name="_Toc236317332"/>
      <w:r>
        <w:t>1. Introduction</w:t>
      </w:r>
      <w:bookmarkEnd w:id="7"/>
    </w:p>
    <w:p w14:paraId="458E541A"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Management concerns the activity of applying relevant tools, techniques, and knowledge to meet the objectives of a project within the defined constraints of time and cost. The current study relates to a project of building a temporary multimodal transport solution for a major metropolitan city in the UK, which is to undergo redevelopment to update its existing system to modern safety standards. The project report discusses the scope, work breakdown structure, quad chart, and the timeline of the project activities using Gantt chart. The detailed assessment of the risk profile and stakeholder merits further inform the project planning process of the multimodal transport solution. </w:t>
      </w:r>
    </w:p>
    <w:p w14:paraId="458E541B" w14:textId="77777777" w:rsidR="00E35BCC" w:rsidRDefault="00DF4501">
      <w:pPr>
        <w:spacing w:line="360" w:lineRule="auto"/>
        <w:jc w:val="both"/>
        <w:rPr>
          <w:rFonts w:ascii="Times New Roman" w:eastAsia="Times New Roman" w:hAnsi="Times New Roman" w:cs="Times New Roman"/>
          <w:b/>
          <w:bCs/>
          <w:sz w:val="24"/>
          <w:szCs w:val="24"/>
        </w:rPr>
      </w:pPr>
      <w:r>
        <w:br w:type="page"/>
      </w:r>
    </w:p>
    <w:p w14:paraId="458E541C" w14:textId="77777777" w:rsidR="00E35BCC" w:rsidRDefault="00DF4501" w:rsidP="005533F3">
      <w:pPr>
        <w:pStyle w:val="Heading2"/>
        <w:rPr>
          <w:highlight w:val="yellow"/>
        </w:rPr>
      </w:pPr>
      <w:bookmarkStart w:id="8" w:name="_mzzo004nuhgz" w:colFirst="0" w:colLast="0"/>
      <w:bookmarkStart w:id="9" w:name="_Toc236317333"/>
      <w:bookmarkEnd w:id="8"/>
      <w:r>
        <w:lastRenderedPageBreak/>
        <w:t>2. Project description</w:t>
      </w:r>
      <w:bookmarkEnd w:id="9"/>
    </w:p>
    <w:p w14:paraId="458E541D"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major city in the UK plans to undergo regeneration, due to the closure of its central transport hub that used to support bus, rail and freight logistics movement. A structural safety assessment revealed that the central hub fails to comply with modern safety and accessibility standards. Moreover, its closure has affected the local businesses, caused supply chain disruptions, and affected commuter travel resulting in economic loss. The redevelopment of the transport hub will reflect alignment with environmental, inclusive urban design and digital infrastructure needs. The project involves conducting several activities to accomplish the redevelopment targets, however in the current study; the focus will be on developing a temporal multimodal transport solution to support transit needs, while the project progresses towards its imperative. The focus during the project is on upholding safety and quality standards to ensure compliance with UK’s construction and built environment norms. The </w:t>
      </w:r>
      <w:proofErr w:type="spellStart"/>
      <w:r>
        <w:rPr>
          <w:rFonts w:ascii="Times New Roman" w:eastAsia="Times New Roman" w:hAnsi="Times New Roman" w:cs="Times New Roman"/>
          <w:sz w:val="24"/>
          <w:szCs w:val="24"/>
        </w:rPr>
        <w:t>CoMO</w:t>
      </w:r>
      <w:proofErr w:type="spellEnd"/>
      <w:r>
        <w:rPr>
          <w:rFonts w:ascii="Times New Roman" w:eastAsia="Times New Roman" w:hAnsi="Times New Roman" w:cs="Times New Roman"/>
          <w:sz w:val="24"/>
          <w:szCs w:val="24"/>
        </w:rPr>
        <w:t xml:space="preserve"> UK mobility hub details the quality standards that transport projects need to acquire by the DFT (Department of Transport) for gaining relevant accreditations (England, 2026). The present study depicts a roadmap of the activity that can guide the progression of the project with provisions for scheduled completion through informed risk assessment and mitigation. </w:t>
      </w:r>
    </w:p>
    <w:p w14:paraId="458E541E" w14:textId="77777777" w:rsidR="00E35BCC" w:rsidRDefault="00AC6079" w:rsidP="005533F3">
      <w:pPr>
        <w:pStyle w:val="Heading2"/>
        <w:rPr>
          <w:shd w:val="clear" w:color="auto" w:fill="999999"/>
        </w:rPr>
      </w:pPr>
      <w:bookmarkStart w:id="10" w:name="_ntzgit3zojwx" w:colFirst="0" w:colLast="0"/>
      <w:bookmarkStart w:id="11" w:name="_Toc236317334"/>
      <w:bookmarkEnd w:id="10"/>
      <w:r>
        <w:t>3. Scope</w:t>
      </w:r>
      <w:bookmarkEnd w:id="11"/>
    </w:p>
    <w:p w14:paraId="458E541F"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scope: The in-scope activities of the project relate to the implementation of decentralised and a phased transport network to help commuter transit. The temporary solution seeks to offer an immediate solution to limit the economic loss and public dissatisfaction caused by the closure of the central hub. The functionality and maintenance of the temporary transit hub falls under the scope of the project. </w:t>
      </w:r>
    </w:p>
    <w:p w14:paraId="458E5420"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 Scope: The aspects that are beyond the project objectives and reflect in the external bounds of the project classify as out-scope. The permanent presence of the heavy civil transport infrastructure, structural overhauls or modification are beyond the scope of the project. Moreover, the current temporary multimodal transport project’s continuity or closure related decisions after the completion of the redevelopment of the central transport hub does not fall within the project’s scope. </w:t>
      </w:r>
    </w:p>
    <w:p w14:paraId="458E5421" w14:textId="77777777" w:rsidR="00E35BCC" w:rsidRDefault="00DF4501">
      <w:pPr>
        <w:spacing w:line="360" w:lineRule="auto"/>
        <w:jc w:val="both"/>
        <w:rPr>
          <w:rFonts w:ascii="Times New Roman" w:eastAsia="Times New Roman" w:hAnsi="Times New Roman" w:cs="Times New Roman"/>
          <w:b/>
          <w:bCs/>
          <w:sz w:val="24"/>
          <w:szCs w:val="24"/>
        </w:rPr>
      </w:pPr>
      <w:r>
        <w:br w:type="page"/>
      </w:r>
    </w:p>
    <w:p w14:paraId="458E5422" w14:textId="77777777" w:rsidR="00E35BCC" w:rsidRDefault="00DF4501" w:rsidP="005533F3">
      <w:pPr>
        <w:pStyle w:val="Heading2"/>
      </w:pPr>
      <w:bookmarkStart w:id="12" w:name="_3le7mh30gnju" w:colFirst="0" w:colLast="0"/>
      <w:bookmarkStart w:id="13" w:name="_Toc236317335"/>
      <w:bookmarkEnd w:id="12"/>
      <w:r>
        <w:lastRenderedPageBreak/>
        <w:t>4. Work breakdown structure (WBS)</w:t>
      </w:r>
      <w:bookmarkEnd w:id="13"/>
    </w:p>
    <w:p w14:paraId="458E5423"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IN" w:eastAsia="en-IN"/>
        </w:rPr>
        <w:drawing>
          <wp:inline distT="114300" distB="114300" distL="114300" distR="114300" wp14:anchorId="458E5493" wp14:editId="458E5494">
            <wp:extent cx="4076700" cy="45529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076700" cy="4552950"/>
                    </a:xfrm>
                    <a:prstGeom prst="rect">
                      <a:avLst/>
                    </a:prstGeom>
                    <a:ln/>
                  </pic:spPr>
                </pic:pic>
              </a:graphicData>
            </a:graphic>
          </wp:inline>
        </w:drawing>
      </w:r>
    </w:p>
    <w:p w14:paraId="458E5424"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Work breakdown structure</w:t>
      </w:r>
    </w:p>
    <w:p w14:paraId="458E5425"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WBS is a project management tool that breaks down the project activities into smaller and manageable tasks to improve resource allocation and monitoring efficiency. As stated by </w:t>
      </w:r>
      <w:proofErr w:type="spellStart"/>
      <w:r>
        <w:rPr>
          <w:rFonts w:ascii="Times New Roman" w:eastAsia="Times New Roman" w:hAnsi="Times New Roman" w:cs="Times New Roman"/>
          <w:sz w:val="24"/>
          <w:szCs w:val="24"/>
        </w:rPr>
        <w:t>Oyekunle</w:t>
      </w:r>
      <w:proofErr w:type="spellEnd"/>
      <w:r>
        <w:rPr>
          <w:rFonts w:ascii="Times New Roman" w:eastAsia="Times New Roman" w:hAnsi="Times New Roman" w:cs="Times New Roman"/>
          <w:sz w:val="24"/>
          <w:szCs w:val="24"/>
        </w:rPr>
        <w:t xml:space="preserve"> </w:t>
      </w:r>
      <w:r w:rsidRPr="00875738">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the use of reliable measurement tools and efficient techniques of project management enhance the prospects of project success and generate value. The above figure shows the WBS of the temporal multimodal transport project segmented along the lines of the key stages of the project. The project stages relate to initiation, planning, execution, control, and closure with clear depiction of the activities that follow in each stage (Cooke and Williams, 2024). The primary initiation stage involves the activities of defining project scope and objectives, stakeholder identification and assessment of location readiness. </w:t>
      </w:r>
      <w:r>
        <w:br w:type="page"/>
      </w:r>
    </w:p>
    <w:p w14:paraId="458E5426"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planning and execution stages depict the avenues of project planning such as team development, while the latter phase involves implementing the project activities. The control process is necessary to monitor the project’s progression, where quality standards and project’s efficiency in fixing traffic management issues are evaluated. The closure of the project follows the premise of reviewing the deliverables and documenting the results to affirm the project’s completion.</w:t>
      </w:r>
    </w:p>
    <w:p w14:paraId="458E5427" w14:textId="77777777" w:rsidR="00E35BCC" w:rsidRDefault="00AC6079" w:rsidP="005533F3">
      <w:pPr>
        <w:pStyle w:val="Heading2"/>
      </w:pPr>
      <w:bookmarkStart w:id="14" w:name="_l4pl1scybf7t" w:colFirst="0" w:colLast="0"/>
      <w:bookmarkStart w:id="15" w:name="_Toc236317336"/>
      <w:bookmarkEnd w:id="14"/>
      <w:r>
        <w:t>5. Quad Chart</w:t>
      </w:r>
      <w:bookmarkEnd w:id="15"/>
    </w:p>
    <w:p w14:paraId="458E5428"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IN" w:eastAsia="en-IN"/>
        </w:rPr>
        <w:drawing>
          <wp:inline distT="19050" distB="19050" distL="19050" distR="19050" wp14:anchorId="458E5495" wp14:editId="458E5496">
            <wp:extent cx="5731200" cy="34290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731200" cy="3429000"/>
                    </a:xfrm>
                    <a:prstGeom prst="rect">
                      <a:avLst/>
                    </a:prstGeom>
                    <a:ln w="12700">
                      <a:solidFill>
                        <a:srgbClr val="000000"/>
                      </a:solidFill>
                      <a:prstDash val="solid"/>
                    </a:ln>
                  </pic:spPr>
                </pic:pic>
              </a:graphicData>
            </a:graphic>
          </wp:inline>
        </w:drawing>
      </w:r>
    </w:p>
    <w:p w14:paraId="458E5429"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2: Quad chart  </w:t>
      </w:r>
    </w:p>
    <w:p w14:paraId="458E542A"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image shows a quad chart of the selected temporary multimodal transport project, providing an overview of the imperatives that the project </w:t>
      </w:r>
      <w:r w:rsidR="00046C02">
        <w:rPr>
          <w:rFonts w:ascii="Times New Roman" w:eastAsia="Times New Roman" w:hAnsi="Times New Roman" w:cs="Times New Roman"/>
          <w:sz w:val="24"/>
          <w:szCs w:val="24"/>
        </w:rPr>
        <w:t>aim</w:t>
      </w:r>
      <w:r>
        <w:rPr>
          <w:rFonts w:ascii="Times New Roman" w:eastAsia="Times New Roman" w:hAnsi="Times New Roman" w:cs="Times New Roman"/>
          <w:sz w:val="24"/>
          <w:szCs w:val="24"/>
        </w:rPr>
        <w:t xml:space="preserve"> to address. The quad chart is a visual representation of the project details to assist the stakeholders in gaining an understanding of the key project details to guide informed decision-making (Kerzner, 2025). The first quadrant represents an overview of the project </w:t>
      </w:r>
      <w:r w:rsidR="00046C02">
        <w:rPr>
          <w:rFonts w:ascii="Times New Roman" w:eastAsia="Times New Roman" w:hAnsi="Times New Roman" w:cs="Times New Roman"/>
          <w:sz w:val="24"/>
          <w:szCs w:val="24"/>
        </w:rPr>
        <w:t>problem, which</w:t>
      </w:r>
      <w:r>
        <w:rPr>
          <w:rFonts w:ascii="Times New Roman" w:eastAsia="Times New Roman" w:hAnsi="Times New Roman" w:cs="Times New Roman"/>
          <w:sz w:val="24"/>
          <w:szCs w:val="24"/>
        </w:rPr>
        <w:t xml:space="preserve"> relates to the closure of the central transportation hub that led to traffic disruptions. The second quadrant lists the execution approach that the project is to follow that relates to the waterfall method of project management. As mentioned by Leyba et al., (2024), waterfall methodology involves conduction of the project activities in a systematic and sequential manner to ensure optimal monitoring of activities during construction projects and ensure adherence to quality and safety standards. </w:t>
      </w:r>
      <w:r>
        <w:br w:type="page"/>
      </w:r>
    </w:p>
    <w:p w14:paraId="458E542B"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third quadrant shows the avenues sought for catering to the performance metrics needs of the </w:t>
      </w:r>
      <w:r w:rsidR="00046C02">
        <w:rPr>
          <w:rFonts w:ascii="Times New Roman" w:eastAsia="Times New Roman" w:hAnsi="Times New Roman" w:cs="Times New Roman"/>
          <w:sz w:val="24"/>
          <w:szCs w:val="24"/>
        </w:rPr>
        <w:t>project, which</w:t>
      </w:r>
      <w:r>
        <w:rPr>
          <w:rFonts w:ascii="Times New Roman" w:eastAsia="Times New Roman" w:hAnsi="Times New Roman" w:cs="Times New Roman"/>
          <w:sz w:val="24"/>
          <w:szCs w:val="24"/>
        </w:rPr>
        <w:t xml:space="preserve"> is to suffice using cost performance index. As opined by </w:t>
      </w:r>
      <w:proofErr w:type="spellStart"/>
      <w:r>
        <w:rPr>
          <w:rFonts w:ascii="Times New Roman" w:eastAsia="Times New Roman" w:hAnsi="Times New Roman" w:cs="Times New Roman"/>
          <w:sz w:val="24"/>
          <w:szCs w:val="24"/>
        </w:rPr>
        <w:t>Oyegoke</w:t>
      </w:r>
      <w:proofErr w:type="spellEnd"/>
      <w:r>
        <w:rPr>
          <w:rFonts w:ascii="Times New Roman" w:eastAsia="Times New Roman" w:hAnsi="Times New Roman" w:cs="Times New Roman"/>
          <w:sz w:val="24"/>
          <w:szCs w:val="24"/>
        </w:rPr>
        <w:t xml:space="preserve"> et al., (2022), the purpose of cost control techniques is to ensure that the expenditure on the project responds to the project’s cost and resource constraints, while delivering value for the investment. This necessitates the need for the fourth quadrant where the benefits and impact of the project outcomes list, which relate to an efficient temporary </w:t>
      </w:r>
      <w:r w:rsidR="00046C02">
        <w:rPr>
          <w:rFonts w:ascii="Times New Roman" w:eastAsia="Times New Roman" w:hAnsi="Times New Roman" w:cs="Times New Roman"/>
          <w:sz w:val="24"/>
          <w:szCs w:val="24"/>
        </w:rPr>
        <w:t>multimodal,</w:t>
      </w:r>
      <w:r>
        <w:rPr>
          <w:rFonts w:ascii="Times New Roman" w:eastAsia="Times New Roman" w:hAnsi="Times New Roman" w:cs="Times New Roman"/>
          <w:sz w:val="24"/>
          <w:szCs w:val="24"/>
        </w:rPr>
        <w:t xml:space="preserve"> transport solution for the public and the businesses.</w:t>
      </w:r>
    </w:p>
    <w:p w14:paraId="458E542C" w14:textId="77777777" w:rsidR="00E35BCC" w:rsidRDefault="00AC6079" w:rsidP="005533F3">
      <w:pPr>
        <w:pStyle w:val="Heading2"/>
      </w:pPr>
      <w:bookmarkStart w:id="16" w:name="_hxww9pohrpt8" w:colFirst="0" w:colLast="0"/>
      <w:bookmarkStart w:id="17" w:name="_Toc236317337"/>
      <w:bookmarkEnd w:id="16"/>
      <w:r>
        <w:t>6. Gantt Chart</w:t>
      </w:r>
      <w:bookmarkEnd w:id="17"/>
    </w:p>
    <w:p w14:paraId="458E542D"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IN" w:eastAsia="en-IN"/>
        </w:rPr>
        <w:drawing>
          <wp:inline distT="19050" distB="19050" distL="19050" distR="19050" wp14:anchorId="458E5497" wp14:editId="458E5498">
            <wp:extent cx="4872038" cy="2970162"/>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4872038" cy="2970162"/>
                    </a:xfrm>
                    <a:prstGeom prst="rect">
                      <a:avLst/>
                    </a:prstGeom>
                    <a:ln w="12700">
                      <a:solidFill>
                        <a:srgbClr val="000000"/>
                      </a:solidFill>
                      <a:prstDash val="solid"/>
                    </a:ln>
                  </pic:spPr>
                </pic:pic>
              </a:graphicData>
            </a:graphic>
          </wp:inline>
        </w:drawing>
      </w:r>
    </w:p>
    <w:p w14:paraId="458E542E"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3: </w:t>
      </w:r>
      <w:proofErr w:type="spellStart"/>
      <w:r w:rsidR="00046C02">
        <w:rPr>
          <w:rFonts w:ascii="Times New Roman" w:eastAsia="Times New Roman" w:hAnsi="Times New Roman" w:cs="Times New Roman"/>
          <w:b/>
          <w:bCs/>
          <w:sz w:val="24"/>
          <w:szCs w:val="24"/>
        </w:rPr>
        <w:t>gantt</w:t>
      </w:r>
      <w:proofErr w:type="spellEnd"/>
      <w:r w:rsidR="00046C02">
        <w:rPr>
          <w:rFonts w:ascii="Times New Roman" w:eastAsia="Times New Roman" w:hAnsi="Times New Roman" w:cs="Times New Roman"/>
          <w:b/>
          <w:bCs/>
          <w:sz w:val="24"/>
          <w:szCs w:val="24"/>
        </w:rPr>
        <w:t xml:space="preserve"> chart</w:t>
      </w:r>
      <w:r>
        <w:rPr>
          <w:rFonts w:ascii="Times New Roman" w:eastAsia="Times New Roman" w:hAnsi="Times New Roman" w:cs="Times New Roman"/>
          <w:b/>
          <w:bCs/>
          <w:sz w:val="24"/>
          <w:szCs w:val="24"/>
        </w:rPr>
        <w:t xml:space="preserve"> or timeline of the project</w:t>
      </w:r>
    </w:p>
    <w:p w14:paraId="458E542F" w14:textId="77777777" w:rsidR="00E35BCC" w:rsidRDefault="00DF450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The above image shows the Gantt chart of the project listing the timelines of each of the activities. The timeline shows the sequential flow of the project activities, where after completion of one stage the project is to advance towards the next stage. The project requires 166 days to accomplish its target objectives and meet its deliverables with activities spanning over the five phases in line with the waterfall method. The longest duration is for the execution stage of the project activity, which requires 74 days involving the tasks of construction phase initiation, use of accessible resources and construction of the temporary multimodal transport system.</w:t>
      </w:r>
      <w:r>
        <w:br w:type="page"/>
      </w:r>
    </w:p>
    <w:p w14:paraId="458E5430" w14:textId="77777777" w:rsidR="00E35BCC" w:rsidRDefault="00DF4501" w:rsidP="005533F3">
      <w:pPr>
        <w:pStyle w:val="Heading2"/>
      </w:pPr>
      <w:bookmarkStart w:id="18" w:name="_fum2ccqys7qd" w:colFirst="0" w:colLast="0"/>
      <w:bookmarkStart w:id="19" w:name="_Toc236317338"/>
      <w:bookmarkEnd w:id="18"/>
      <w:r>
        <w:lastRenderedPageBreak/>
        <w:t>7. Stakeholders' involvement</w:t>
      </w:r>
      <w:bookmarkEnd w:id="19"/>
    </w:p>
    <w:p w14:paraId="458E5431"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Stakeholder management ensures project success by aligning expectations of team members with project goals and minimising resistance to execute project tasks. In the words of </w:t>
      </w:r>
      <w:proofErr w:type="spellStart"/>
      <w:r>
        <w:rPr>
          <w:rFonts w:ascii="Times New Roman" w:eastAsia="Times New Roman" w:hAnsi="Times New Roman" w:cs="Times New Roman"/>
          <w:sz w:val="24"/>
          <w:szCs w:val="24"/>
        </w:rPr>
        <w:t>Dugbartey</w:t>
      </w:r>
      <w:proofErr w:type="spellEnd"/>
      <w:r>
        <w:rPr>
          <w:rFonts w:ascii="Times New Roman" w:eastAsia="Times New Roman" w:hAnsi="Times New Roman" w:cs="Times New Roman"/>
          <w:sz w:val="24"/>
          <w:szCs w:val="24"/>
        </w:rPr>
        <w:t xml:space="preserve"> and Kehinde (2025), stakeholder management is involved in defining clear roles to each stakeholder based on their criteria and fostering accountability to meet strategic decision goals. In the temporary multimodal transport solution project, internal stakeholders are the project team (construction project manager, finance manager, resource allocator and marketing team), construction engineer (site engineer) and suppliers. External stakeholders of this project are local council, government of the UK, media, local residents and people with vehicles across the city. According to Wang (2022), internal and external stakeholders influence project progression rates by maintaining workforce stability with tangible and intangible resources. These internal and external stakeholders are responsible for executing the planning, execution and testing tasks within the temporary multimodal transport solution project. </w:t>
      </w:r>
    </w:p>
    <w:p w14:paraId="458E5432"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IN" w:eastAsia="en-IN"/>
        </w:rPr>
        <w:drawing>
          <wp:inline distT="114300" distB="114300" distL="114300" distR="114300" wp14:anchorId="458E5499" wp14:editId="458E549A">
            <wp:extent cx="5052504" cy="4058915"/>
            <wp:effectExtent l="12700" t="12700" r="12700" b="127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052504" cy="4058915"/>
                    </a:xfrm>
                    <a:prstGeom prst="rect">
                      <a:avLst/>
                    </a:prstGeom>
                    <a:ln w="12700">
                      <a:solidFill>
                        <a:srgbClr val="000000"/>
                      </a:solidFill>
                      <a:prstDash val="solid"/>
                    </a:ln>
                  </pic:spPr>
                </pic:pic>
              </a:graphicData>
            </a:graphic>
          </wp:inline>
        </w:drawing>
      </w:r>
    </w:p>
    <w:p w14:paraId="458E5433"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Stakeholder power and interest grid</w:t>
      </w:r>
    </w:p>
    <w:p w14:paraId="458E5434" w14:textId="77777777" w:rsidR="00E35BCC" w:rsidRDefault="00DF4501">
      <w:pPr>
        <w:spacing w:line="360" w:lineRule="auto"/>
        <w:jc w:val="both"/>
        <w:rPr>
          <w:rFonts w:ascii="Times New Roman" w:eastAsia="Times New Roman" w:hAnsi="Times New Roman" w:cs="Times New Roman"/>
          <w:sz w:val="24"/>
          <w:szCs w:val="24"/>
        </w:rPr>
      </w:pPr>
      <w:r>
        <w:br w:type="page"/>
      </w:r>
    </w:p>
    <w:p w14:paraId="458E5435"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Stakeholder power-interest matrix is one of the most effective ways to segment each stakeholder based on their roles and responsibilities while executing project tasks in a coordinated manner. Maqbool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stated that the power-interest matrix helps to map out stakeholders and characterise them effectively depending on their capabilities. This matrix enables the project administrator to control project governance and accomplish tasks one by one to reach its objectives and goals. In the context of building a temporary multimodal transport solution project, the stakeholder power-interest matrix has been applied to segment all internal and external stakeholders into four different groups. Local councils and government of the UK belong to the </w:t>
      </w:r>
      <w:r w:rsidR="00875738">
        <w:rPr>
          <w:rFonts w:ascii="Times New Roman" w:eastAsia="Times New Roman" w:hAnsi="Times New Roman" w:cs="Times New Roman"/>
          <w:sz w:val="24"/>
          <w:szCs w:val="24"/>
        </w:rPr>
        <w:t>keep-satisfied</w:t>
      </w:r>
      <w:r>
        <w:rPr>
          <w:rFonts w:ascii="Times New Roman" w:eastAsia="Times New Roman" w:hAnsi="Times New Roman" w:cs="Times New Roman"/>
          <w:sz w:val="24"/>
          <w:szCs w:val="24"/>
        </w:rPr>
        <w:t xml:space="preserve"> </w:t>
      </w:r>
      <w:r w:rsidR="00875738">
        <w:rPr>
          <w:rFonts w:ascii="Times New Roman" w:eastAsia="Times New Roman" w:hAnsi="Times New Roman" w:cs="Times New Roman"/>
          <w:sz w:val="24"/>
          <w:szCs w:val="24"/>
        </w:rPr>
        <w:t>grid,</w:t>
      </w:r>
      <w:r>
        <w:rPr>
          <w:rFonts w:ascii="Times New Roman" w:eastAsia="Times New Roman" w:hAnsi="Times New Roman" w:cs="Times New Roman"/>
          <w:sz w:val="24"/>
          <w:szCs w:val="24"/>
        </w:rPr>
        <w:t xml:space="preserve"> as these stakeholders are responsible for providing financial and regulatory support to this project. In the monitoring grid, media and suppliers monitor all of the project activities of temporary multimodal transport solution projects and observe key vulnerabilities within the project progression rates. These procedures can guide the project manager to forecast strategic decisions and ensure flexibility in project activity management. </w:t>
      </w:r>
    </w:p>
    <w:p w14:paraId="458E5436"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that, the project team (construction project manager, finance manager, resource allocator and marketing team) and construction engineer (site engineer) are responsible for executing all key events or activities of this project. For this reason, they are categorised into the key players </w:t>
      </w:r>
      <w:r w:rsidR="00875738">
        <w:rPr>
          <w:rFonts w:ascii="Times New Roman" w:eastAsia="Times New Roman" w:hAnsi="Times New Roman" w:cs="Times New Roman"/>
          <w:sz w:val="24"/>
          <w:szCs w:val="24"/>
        </w:rPr>
        <w:t>group,</w:t>
      </w:r>
      <w:r>
        <w:rPr>
          <w:rFonts w:ascii="Times New Roman" w:eastAsia="Times New Roman" w:hAnsi="Times New Roman" w:cs="Times New Roman"/>
          <w:sz w:val="24"/>
          <w:szCs w:val="24"/>
        </w:rPr>
        <w:t xml:space="preserve"> as without their involvement, building a temporary multimodal transport solution project cannot reach its destination successfully. These key players are accountable for monitoring the project progression and control each event of this project to ensure flexibility and transparency in project activity scheduling operations. In the words of Hollmann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stakeholder engagement guides project managers to review project operations and focus on external elements to meet project objectives. On the other hand, local residents and people with vehicles are informed about the temporary transport solution so that they can take their routes based on their requirements. For this reason, these external stakeholders are </w:t>
      </w:r>
      <w:r w:rsidR="00875738">
        <w:rPr>
          <w:rFonts w:ascii="Times New Roman" w:eastAsia="Times New Roman" w:hAnsi="Times New Roman" w:cs="Times New Roman"/>
          <w:sz w:val="24"/>
          <w:szCs w:val="24"/>
        </w:rPr>
        <w:t>presented</w:t>
      </w:r>
      <w:r>
        <w:rPr>
          <w:rFonts w:ascii="Times New Roman" w:eastAsia="Times New Roman" w:hAnsi="Times New Roman" w:cs="Times New Roman"/>
          <w:sz w:val="24"/>
          <w:szCs w:val="24"/>
        </w:rPr>
        <w:t xml:space="preserve"> in the fourth grid of keep informed groups. </w:t>
      </w:r>
    </w:p>
    <w:p w14:paraId="458E5437" w14:textId="77777777" w:rsidR="00E35BCC" w:rsidRDefault="00DF4501">
      <w:pPr>
        <w:spacing w:line="360" w:lineRule="auto"/>
        <w:jc w:val="both"/>
        <w:rPr>
          <w:rFonts w:ascii="Times New Roman" w:eastAsia="Times New Roman" w:hAnsi="Times New Roman" w:cs="Times New Roman"/>
          <w:sz w:val="24"/>
          <w:szCs w:val="24"/>
        </w:rPr>
      </w:pPr>
      <w:r>
        <w:br w:type="page"/>
      </w:r>
    </w:p>
    <w:p w14:paraId="458E5438"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Stakeholder management with internal and external stakeholders improve progression speed and control the project monitoring and tracking management operations. According to </w:t>
      </w:r>
      <w:proofErr w:type="spellStart"/>
      <w:r>
        <w:rPr>
          <w:rFonts w:ascii="Times New Roman" w:eastAsia="Times New Roman" w:hAnsi="Times New Roman" w:cs="Times New Roman"/>
          <w:sz w:val="24"/>
          <w:szCs w:val="24"/>
        </w:rPr>
        <w:t>Ebekozien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stakeholder integration enables project managers to </w:t>
      </w:r>
      <w:r w:rsidR="00875738">
        <w:rPr>
          <w:rFonts w:ascii="Times New Roman" w:eastAsia="Times New Roman" w:hAnsi="Times New Roman" w:cs="Times New Roman"/>
          <w:sz w:val="24"/>
          <w:szCs w:val="24"/>
        </w:rPr>
        <w:t>accomplish,</w:t>
      </w:r>
      <w:r>
        <w:rPr>
          <w:rFonts w:ascii="Times New Roman" w:eastAsia="Times New Roman" w:hAnsi="Times New Roman" w:cs="Times New Roman"/>
          <w:sz w:val="24"/>
          <w:szCs w:val="24"/>
        </w:rPr>
        <w:t xml:space="preserve"> all critical tasks with the engagement of structured project management plans to meet project deliverables. However, sometimes, due to conflict among project team members, the project manager of a temporary transport solution project can face difficulties in organising project activities adequately. Thus, the project manager can introduce conflict management plans to understand key risks in relation to operations or resource management practices. This plan can guide project stakeholders to determine their individual responsibility and maintain project progression rates successfully. In this way, the project authority of this project can also guide their stakeholders with relevant resources to improve their progression speed and ensure flexibility in strategic decision-making processes. Thus, stakeholders of this project can understand the project criteria and execute their assigned tasks in order to achieve project deliverables and objectives. </w:t>
      </w:r>
    </w:p>
    <w:p w14:paraId="458E5439" w14:textId="77777777" w:rsidR="00E35BCC" w:rsidRDefault="00DF4501" w:rsidP="005533F3">
      <w:pPr>
        <w:pStyle w:val="Heading2"/>
      </w:pPr>
      <w:bookmarkStart w:id="20" w:name="_miv70cmh2qip" w:colFirst="0" w:colLast="0"/>
      <w:bookmarkStart w:id="21" w:name="_Toc236317339"/>
      <w:bookmarkEnd w:id="20"/>
      <w:r>
        <w:t>8. Allocation of resources</w:t>
      </w:r>
      <w:bookmarkEnd w:id="21"/>
    </w:p>
    <w:p w14:paraId="458E543A"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Resource allocation is one of the essential tasks within a construction project to meet project deliverables and success. According to Li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(2025), resource allocation helps to enhance the speed of actual progression of a project with tangible and intangible resources. For building a temporary multimodal transport solution project, tangible resources are daily on-site activities, quality surveyors and human resource management. On the other hand, intangible resources for this project are </w:t>
      </w:r>
      <w:r w:rsidR="00C6747D">
        <w:rPr>
          <w:rFonts w:ascii="Times New Roman" w:eastAsia="Times New Roman" w:hAnsi="Times New Roman" w:cs="Times New Roman"/>
          <w:sz w:val="24"/>
          <w:szCs w:val="24"/>
        </w:rPr>
        <w:t>project-planning</w:t>
      </w:r>
      <w:r>
        <w:rPr>
          <w:rFonts w:ascii="Times New Roman" w:eastAsia="Times New Roman" w:hAnsi="Times New Roman" w:cs="Times New Roman"/>
          <w:sz w:val="24"/>
          <w:szCs w:val="24"/>
        </w:rPr>
        <w:t xml:space="preserve">, promotion of the transport system and budget allocation. These tangible and intangible resources can guide the project manager to assign specific tasks and resources to specific stakeholders based on their capabilities. These resources can also assist the project coordinator to avoid extra spending risks and gain better values with tangible resources. RACI matrix is applied to segment each resource with internal stakeholders to enhance the transparency and progression of this project. </w:t>
      </w:r>
    </w:p>
    <w:p w14:paraId="458E543B"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IN" w:eastAsia="en-IN"/>
        </w:rPr>
        <w:lastRenderedPageBreak/>
        <w:drawing>
          <wp:inline distT="19050" distB="19050" distL="19050" distR="19050" wp14:anchorId="458E549B" wp14:editId="458E549C">
            <wp:extent cx="4382925" cy="3141233"/>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4382925" cy="3141233"/>
                    </a:xfrm>
                    <a:prstGeom prst="rect">
                      <a:avLst/>
                    </a:prstGeom>
                    <a:ln w="12700">
                      <a:solidFill>
                        <a:srgbClr val="000000"/>
                      </a:solidFill>
                      <a:prstDash val="solid"/>
                    </a:ln>
                  </pic:spPr>
                </pic:pic>
              </a:graphicData>
            </a:graphic>
          </wp:inline>
        </w:drawing>
      </w:r>
    </w:p>
    <w:p w14:paraId="458E543C"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5: RACI matrix</w:t>
      </w:r>
    </w:p>
    <w:p w14:paraId="458E543D"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authority uses the RACI matrix to distribute their resources to each stakeholder so that they can take responsibility or accountability to execute each activity. According to Arshad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RACI matrix is designed to assign activities, responsibilities and resources based on stakeholders’ level of expectations while performing the execution phase of a project. From the above matrix, it is understood that the construction project manager takes responsibility in developing project planning where other members are informed about the planning. For daily activities on site, all of the project team members are accountable and informed to handle project tasks and operations in a strategic order. </w:t>
      </w:r>
    </w:p>
    <w:tbl>
      <w:tblPr>
        <w:tblStyle w:val="a"/>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04"/>
        <w:gridCol w:w="4505"/>
      </w:tblGrid>
      <w:tr w:rsidR="00E35BCC" w14:paraId="458E5440" w14:textId="77777777" w:rsidTr="00B71236">
        <w:trPr>
          <w:jc w:val="center"/>
        </w:trPr>
        <w:tc>
          <w:tcPr>
            <w:tcW w:w="2500" w:type="pct"/>
            <w:tcMar>
              <w:top w:w="100" w:type="dxa"/>
              <w:left w:w="100" w:type="dxa"/>
              <w:bottom w:w="100" w:type="dxa"/>
              <w:right w:w="100" w:type="dxa"/>
            </w:tcMar>
          </w:tcPr>
          <w:p w14:paraId="458E543E"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Activities</w:t>
            </w:r>
          </w:p>
        </w:tc>
        <w:tc>
          <w:tcPr>
            <w:tcW w:w="2500" w:type="pct"/>
            <w:tcMar>
              <w:top w:w="100" w:type="dxa"/>
              <w:left w:w="100" w:type="dxa"/>
              <w:bottom w:w="100" w:type="dxa"/>
              <w:right w:w="100" w:type="dxa"/>
            </w:tcMar>
          </w:tcPr>
          <w:p w14:paraId="458E543F"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Budget (£)</w:t>
            </w:r>
          </w:p>
        </w:tc>
      </w:tr>
      <w:tr w:rsidR="00E35BCC" w14:paraId="458E5443" w14:textId="77777777" w:rsidTr="00B71236">
        <w:trPr>
          <w:jc w:val="center"/>
        </w:trPr>
        <w:tc>
          <w:tcPr>
            <w:tcW w:w="2500" w:type="pct"/>
            <w:tcMar>
              <w:top w:w="100" w:type="dxa"/>
              <w:left w:w="100" w:type="dxa"/>
              <w:bottom w:w="100" w:type="dxa"/>
              <w:right w:w="100" w:type="dxa"/>
            </w:tcMar>
          </w:tcPr>
          <w:p w14:paraId="458E5441"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Project planning</w:t>
            </w:r>
          </w:p>
        </w:tc>
        <w:tc>
          <w:tcPr>
            <w:tcW w:w="2500" w:type="pct"/>
            <w:tcMar>
              <w:top w:w="100" w:type="dxa"/>
              <w:left w:w="100" w:type="dxa"/>
              <w:bottom w:w="100" w:type="dxa"/>
              <w:right w:w="100" w:type="dxa"/>
            </w:tcMar>
          </w:tcPr>
          <w:p w14:paraId="458E5442"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£9,400</w:t>
            </w:r>
          </w:p>
        </w:tc>
      </w:tr>
      <w:tr w:rsidR="00E35BCC" w14:paraId="458E5446" w14:textId="77777777" w:rsidTr="00B71236">
        <w:trPr>
          <w:jc w:val="center"/>
        </w:trPr>
        <w:tc>
          <w:tcPr>
            <w:tcW w:w="2500" w:type="pct"/>
            <w:tcMar>
              <w:top w:w="100" w:type="dxa"/>
              <w:left w:w="100" w:type="dxa"/>
              <w:bottom w:w="100" w:type="dxa"/>
              <w:right w:w="100" w:type="dxa"/>
            </w:tcMar>
          </w:tcPr>
          <w:p w14:paraId="458E5444"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Daily Activities</w:t>
            </w:r>
          </w:p>
        </w:tc>
        <w:tc>
          <w:tcPr>
            <w:tcW w:w="2500" w:type="pct"/>
            <w:tcMar>
              <w:top w:w="100" w:type="dxa"/>
              <w:left w:w="100" w:type="dxa"/>
              <w:bottom w:w="100" w:type="dxa"/>
              <w:right w:w="100" w:type="dxa"/>
            </w:tcMar>
          </w:tcPr>
          <w:p w14:paraId="458E5445"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£25,000</w:t>
            </w:r>
          </w:p>
        </w:tc>
      </w:tr>
      <w:tr w:rsidR="00E35BCC" w14:paraId="458E5449" w14:textId="77777777" w:rsidTr="00B71236">
        <w:trPr>
          <w:jc w:val="center"/>
        </w:trPr>
        <w:tc>
          <w:tcPr>
            <w:tcW w:w="2500" w:type="pct"/>
            <w:tcMar>
              <w:top w:w="100" w:type="dxa"/>
              <w:left w:w="100" w:type="dxa"/>
              <w:bottom w:w="100" w:type="dxa"/>
              <w:right w:w="100" w:type="dxa"/>
            </w:tcMar>
          </w:tcPr>
          <w:p w14:paraId="458E5447"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Human resource operations</w:t>
            </w:r>
          </w:p>
        </w:tc>
        <w:tc>
          <w:tcPr>
            <w:tcW w:w="2500" w:type="pct"/>
            <w:tcMar>
              <w:top w:w="100" w:type="dxa"/>
              <w:left w:w="100" w:type="dxa"/>
              <w:bottom w:w="100" w:type="dxa"/>
              <w:right w:w="100" w:type="dxa"/>
            </w:tcMar>
          </w:tcPr>
          <w:p w14:paraId="458E5448"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£36,000</w:t>
            </w:r>
          </w:p>
        </w:tc>
      </w:tr>
      <w:tr w:rsidR="00E35BCC" w14:paraId="458E544C" w14:textId="77777777" w:rsidTr="00B71236">
        <w:trPr>
          <w:jc w:val="center"/>
        </w:trPr>
        <w:tc>
          <w:tcPr>
            <w:tcW w:w="2500" w:type="pct"/>
            <w:tcMar>
              <w:top w:w="100" w:type="dxa"/>
              <w:left w:w="100" w:type="dxa"/>
              <w:bottom w:w="100" w:type="dxa"/>
              <w:right w:w="100" w:type="dxa"/>
            </w:tcMar>
          </w:tcPr>
          <w:p w14:paraId="458E544A"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Construction activities</w:t>
            </w:r>
          </w:p>
        </w:tc>
        <w:tc>
          <w:tcPr>
            <w:tcW w:w="2500" w:type="pct"/>
            <w:tcMar>
              <w:top w:w="100" w:type="dxa"/>
              <w:left w:w="100" w:type="dxa"/>
              <w:bottom w:w="100" w:type="dxa"/>
              <w:right w:w="100" w:type="dxa"/>
            </w:tcMar>
          </w:tcPr>
          <w:p w14:paraId="458E544B"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£75,000</w:t>
            </w:r>
          </w:p>
        </w:tc>
      </w:tr>
      <w:tr w:rsidR="00E35BCC" w14:paraId="458E544F" w14:textId="77777777" w:rsidTr="00B71236">
        <w:trPr>
          <w:jc w:val="center"/>
        </w:trPr>
        <w:tc>
          <w:tcPr>
            <w:tcW w:w="2500" w:type="pct"/>
            <w:tcMar>
              <w:top w:w="100" w:type="dxa"/>
              <w:left w:w="100" w:type="dxa"/>
              <w:bottom w:w="100" w:type="dxa"/>
              <w:right w:w="100" w:type="dxa"/>
            </w:tcMar>
          </w:tcPr>
          <w:p w14:paraId="458E544D"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Quality resources</w:t>
            </w:r>
          </w:p>
        </w:tc>
        <w:tc>
          <w:tcPr>
            <w:tcW w:w="2500" w:type="pct"/>
            <w:tcMar>
              <w:top w:w="100" w:type="dxa"/>
              <w:left w:w="100" w:type="dxa"/>
              <w:bottom w:w="100" w:type="dxa"/>
              <w:right w:w="100" w:type="dxa"/>
            </w:tcMar>
          </w:tcPr>
          <w:p w14:paraId="458E544E"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£17,500</w:t>
            </w:r>
          </w:p>
        </w:tc>
      </w:tr>
      <w:tr w:rsidR="00E35BCC" w14:paraId="458E5452" w14:textId="77777777" w:rsidTr="00B71236">
        <w:trPr>
          <w:jc w:val="center"/>
        </w:trPr>
        <w:tc>
          <w:tcPr>
            <w:tcW w:w="2500" w:type="pct"/>
            <w:tcMar>
              <w:top w:w="100" w:type="dxa"/>
              <w:left w:w="100" w:type="dxa"/>
              <w:bottom w:w="100" w:type="dxa"/>
              <w:right w:w="100" w:type="dxa"/>
            </w:tcMar>
          </w:tcPr>
          <w:p w14:paraId="458E5450"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Technical resources</w:t>
            </w:r>
          </w:p>
        </w:tc>
        <w:tc>
          <w:tcPr>
            <w:tcW w:w="2500" w:type="pct"/>
            <w:tcMar>
              <w:top w:w="100" w:type="dxa"/>
              <w:left w:w="100" w:type="dxa"/>
              <w:bottom w:w="100" w:type="dxa"/>
              <w:right w:w="100" w:type="dxa"/>
            </w:tcMar>
          </w:tcPr>
          <w:p w14:paraId="458E5451"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£21,500</w:t>
            </w:r>
          </w:p>
        </w:tc>
      </w:tr>
      <w:tr w:rsidR="00E35BCC" w14:paraId="458E5455" w14:textId="77777777" w:rsidTr="00B71236">
        <w:trPr>
          <w:jc w:val="center"/>
        </w:trPr>
        <w:tc>
          <w:tcPr>
            <w:tcW w:w="2500" w:type="pct"/>
            <w:tcMar>
              <w:top w:w="100" w:type="dxa"/>
              <w:left w:w="100" w:type="dxa"/>
              <w:bottom w:w="100" w:type="dxa"/>
              <w:right w:w="100" w:type="dxa"/>
            </w:tcMar>
          </w:tcPr>
          <w:p w14:paraId="458E5453"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Total</w:t>
            </w:r>
          </w:p>
        </w:tc>
        <w:tc>
          <w:tcPr>
            <w:tcW w:w="2500" w:type="pct"/>
            <w:tcMar>
              <w:top w:w="100" w:type="dxa"/>
              <w:left w:w="100" w:type="dxa"/>
              <w:bottom w:w="100" w:type="dxa"/>
              <w:right w:w="100" w:type="dxa"/>
            </w:tcMar>
          </w:tcPr>
          <w:p w14:paraId="458E5454" w14:textId="77777777" w:rsidR="00E35BCC" w:rsidRDefault="00DF4501">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£184,400</w:t>
            </w:r>
          </w:p>
        </w:tc>
      </w:tr>
    </w:tbl>
    <w:p w14:paraId="458E5456"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1: Financial Plan</w:t>
      </w:r>
    </w:p>
    <w:p w14:paraId="458E5457" w14:textId="77777777" w:rsidR="00B71236" w:rsidRDefault="00B7123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58E5458" w14:textId="77777777" w:rsidR="00E35BCC" w:rsidRDefault="00DF450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lastRenderedPageBreak/>
        <w:t>The finance manager is responsible for allocating the budget for this project and the resource allocator stakeholder is responsible for managing human resource-driven tasks. The estimated budget of this project will be £</w:t>
      </w:r>
      <w:r w:rsidR="00B71236">
        <w:rPr>
          <w:rFonts w:ascii="Times New Roman" w:eastAsia="Times New Roman" w:hAnsi="Times New Roman" w:cs="Times New Roman"/>
          <w:sz w:val="24"/>
          <w:szCs w:val="24"/>
        </w:rPr>
        <w:t>184,400 that</w:t>
      </w:r>
      <w:r>
        <w:rPr>
          <w:rFonts w:ascii="Times New Roman" w:eastAsia="Times New Roman" w:hAnsi="Times New Roman" w:cs="Times New Roman"/>
          <w:sz w:val="24"/>
          <w:szCs w:val="24"/>
        </w:rPr>
        <w:t xml:space="preserve"> is developed by the financial manager. Site manager is also responsible for handling quality surveyor based operations in order to meet project success of the temporary multimodal transport solution project. The marketing team also takes the responsibility to promote their transport system and attract a large number of drivers to take this alternative route. This matrix can guide the project manager to assign specific stakeholders based on their abilities to enhance project performance and control project progression. </w:t>
      </w:r>
    </w:p>
    <w:p w14:paraId="458E5459" w14:textId="77777777" w:rsidR="00E35BCC" w:rsidRDefault="00DF4501" w:rsidP="005533F3">
      <w:pPr>
        <w:pStyle w:val="Heading2"/>
      </w:pPr>
      <w:bookmarkStart w:id="22" w:name="_jmynkdwukvw6" w:colFirst="0" w:colLast="0"/>
      <w:bookmarkStart w:id="23" w:name="_Toc236317340"/>
      <w:bookmarkEnd w:id="22"/>
      <w:r>
        <w:t>9. Risk Analysis</w:t>
      </w:r>
      <w:bookmarkEnd w:id="23"/>
    </w:p>
    <w:p w14:paraId="458E545A" w14:textId="77777777" w:rsidR="00E35BCC" w:rsidRDefault="00DF4501">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Risk analysis is one of the major constraints in a construction project that is accountable for evaluating key barriers or vulnerabilities of a project. This analysis helps to find suitable solutions and enables the project manager to integrate informed decisions to execute those solutions effectively. According to Shayan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risk analysis helps to enforce key strategic plans based on predicted and unpredicted risks during the execution of a construction project. In the context of building a temporary multimodal transport solution project, the project manager can understand that technical failure, lack of special permits, budget overrun and health and safety incidents can be critical risks that can restrict the flexibility of project progression. These risks can create difficulties for stakeholders to set appropriate budgets and develop regulatory compliance properly due to these vulnerabilities. Thus, the project administrator can </w:t>
      </w:r>
      <w:r w:rsidR="00D62149">
        <w:rPr>
          <w:rFonts w:ascii="Times New Roman" w:eastAsia="Times New Roman" w:hAnsi="Times New Roman" w:cs="Times New Roman"/>
          <w:sz w:val="24"/>
          <w:szCs w:val="24"/>
        </w:rPr>
        <w:t>respond appropriately</w:t>
      </w:r>
      <w:r>
        <w:rPr>
          <w:rFonts w:ascii="Times New Roman" w:eastAsia="Times New Roman" w:hAnsi="Times New Roman" w:cs="Times New Roman"/>
          <w:sz w:val="24"/>
          <w:szCs w:val="24"/>
        </w:rPr>
        <w:t xml:space="preserve"> to solve these risks with strategic mitigation plans. </w:t>
      </w:r>
    </w:p>
    <w:p w14:paraId="458E545B"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IN" w:eastAsia="en-IN"/>
        </w:rPr>
        <w:drawing>
          <wp:inline distT="114300" distB="114300" distL="114300" distR="114300" wp14:anchorId="458E549D" wp14:editId="458E549E">
            <wp:extent cx="4702013" cy="2600230"/>
            <wp:effectExtent l="12700" t="12700" r="12700" b="127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4702013" cy="2600230"/>
                    </a:xfrm>
                    <a:prstGeom prst="rect">
                      <a:avLst/>
                    </a:prstGeom>
                    <a:ln w="12700">
                      <a:solidFill>
                        <a:srgbClr val="000000"/>
                      </a:solidFill>
                      <a:prstDash val="solid"/>
                    </a:ln>
                  </pic:spPr>
                </pic:pic>
              </a:graphicData>
            </a:graphic>
          </wp:inline>
        </w:drawing>
      </w:r>
    </w:p>
    <w:p w14:paraId="458E545C"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6: Risk matrix</w:t>
      </w:r>
    </w:p>
    <w:p w14:paraId="458E545D" w14:textId="77777777" w:rsidR="00D62149" w:rsidRDefault="00D6214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58E545E"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Risk matrix assists project managers to categorise risks based on two characteristics including likelihood and severity to determine the overall impact on project progression rates. In the words of Guo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risk matrix helps to determine the probability of historical and current data in order to integrate appropriate mitigation strategies. In building a temporary multimodal transport solution project, </w:t>
      </w:r>
      <w:r w:rsidR="00D62149">
        <w:rPr>
          <w:rFonts w:ascii="Times New Roman" w:eastAsia="Times New Roman" w:hAnsi="Times New Roman" w:cs="Times New Roman"/>
          <w:sz w:val="24"/>
          <w:szCs w:val="24"/>
        </w:rPr>
        <w:t>budget-overrun</w:t>
      </w:r>
      <w:r>
        <w:rPr>
          <w:rFonts w:ascii="Times New Roman" w:eastAsia="Times New Roman" w:hAnsi="Times New Roman" w:cs="Times New Roman"/>
          <w:sz w:val="24"/>
          <w:szCs w:val="24"/>
        </w:rPr>
        <w:t xml:space="preserve"> risk is categorised as high likelihood and high severity level, whereas technical failure is categorised as moderate likelihood and high severity level. </w:t>
      </w:r>
    </w:p>
    <w:p w14:paraId="458E545F"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lack of special permits is coordinated as moderate severity and moderate likelihood category and health and safety incidents risk is categorised in low severity and moderate likelihood category. This categorical distribution can guide the project manager to understand the significant impact on project progression rate of building a temporary multimodal transport solution project. This procedure can influence the project coordinator to integrate suitable mitigation strategies to solve these vulnerabilities and enhance project progression rates. </w:t>
      </w:r>
    </w:p>
    <w:p w14:paraId="458E5460" w14:textId="77777777" w:rsidR="00E35BCC" w:rsidRDefault="00DF4501">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IN" w:eastAsia="en-IN"/>
        </w:rPr>
        <w:drawing>
          <wp:inline distT="114300" distB="114300" distL="114300" distR="114300" wp14:anchorId="458E549F" wp14:editId="458E54A0">
            <wp:extent cx="3878100" cy="3200547"/>
            <wp:effectExtent l="12700" t="12700" r="12700" b="1270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r="1413"/>
                    <a:stretch>
                      <a:fillRect/>
                    </a:stretch>
                  </pic:blipFill>
                  <pic:spPr>
                    <a:xfrm>
                      <a:off x="0" y="0"/>
                      <a:ext cx="3878100" cy="3200547"/>
                    </a:xfrm>
                    <a:prstGeom prst="rect">
                      <a:avLst/>
                    </a:prstGeom>
                    <a:ln w="12700">
                      <a:solidFill>
                        <a:srgbClr val="000000"/>
                      </a:solidFill>
                      <a:prstDash val="solid"/>
                    </a:ln>
                  </pic:spPr>
                </pic:pic>
              </a:graphicData>
            </a:graphic>
          </wp:inline>
        </w:drawing>
      </w:r>
    </w:p>
    <w:p w14:paraId="458E5461" w14:textId="77777777" w:rsidR="00E35BCC" w:rsidRDefault="003A401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Figure 7</w:t>
      </w:r>
      <w:r w:rsidR="00DF4501">
        <w:rPr>
          <w:rFonts w:ascii="Times New Roman" w:eastAsia="Times New Roman" w:hAnsi="Times New Roman" w:cs="Times New Roman"/>
          <w:b/>
          <w:bCs/>
          <w:sz w:val="24"/>
          <w:szCs w:val="24"/>
        </w:rPr>
        <w:t>: Risk management plan</w:t>
      </w:r>
    </w:p>
    <w:p w14:paraId="458E5462" w14:textId="77777777" w:rsidR="00E35BCC" w:rsidRDefault="00DF4501">
      <w:pPr>
        <w:spacing w:line="360" w:lineRule="auto"/>
        <w:jc w:val="both"/>
        <w:rPr>
          <w:rFonts w:ascii="Times New Roman" w:eastAsia="Times New Roman" w:hAnsi="Times New Roman" w:cs="Times New Roman"/>
          <w:sz w:val="24"/>
          <w:szCs w:val="24"/>
        </w:rPr>
      </w:pPr>
      <w:r>
        <w:br w:type="page"/>
      </w:r>
    </w:p>
    <w:p w14:paraId="458E5463"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From the above risk management plan, the project authority can integrate a quality assessment plan for redeveloping technical infrastructure to reduce technical failure risks. Moreover, the project manager can also manage legal connections to minimise the lack of special permit issues and provide appropriate transport solutions to local residents and other people. The project coordinator can also develop consistent budget allocation procedures based on market fluctuations that can enable the financial manager to set appropriate cost and values in resource management plan to avoid budget overrun. In the end, the project manager can also integrate health and safety gears during executing construction operations of building a temporary multimodal transport solution project in order to prevent health and safety incident-based risks. These mitigation plans can guide the project authority to develop strategic project </w:t>
      </w:r>
      <w:r w:rsidR="00381244">
        <w:rPr>
          <w:rFonts w:ascii="Times New Roman" w:eastAsia="Times New Roman" w:hAnsi="Times New Roman" w:cs="Times New Roman"/>
          <w:sz w:val="24"/>
          <w:szCs w:val="24"/>
        </w:rPr>
        <w:t>plans, achieve project deliverables,</w:t>
      </w:r>
      <w:r>
        <w:rPr>
          <w:rFonts w:ascii="Times New Roman" w:eastAsia="Times New Roman" w:hAnsi="Times New Roman" w:cs="Times New Roman"/>
          <w:sz w:val="24"/>
          <w:szCs w:val="24"/>
        </w:rPr>
        <w:t xml:space="preserve"> and provide significant transport-driven solutions to their local residents and people. </w:t>
      </w:r>
    </w:p>
    <w:p w14:paraId="458E5464" w14:textId="77777777" w:rsidR="00E35BCC" w:rsidRDefault="00DF4501">
      <w:pPr>
        <w:spacing w:line="360" w:lineRule="auto"/>
        <w:jc w:val="both"/>
        <w:rPr>
          <w:rFonts w:ascii="Times New Roman" w:eastAsia="Times New Roman" w:hAnsi="Times New Roman" w:cs="Times New Roman"/>
          <w:b/>
          <w:bCs/>
          <w:sz w:val="24"/>
          <w:szCs w:val="24"/>
        </w:rPr>
      </w:pPr>
      <w:r>
        <w:br w:type="page"/>
      </w:r>
    </w:p>
    <w:p w14:paraId="458E5465" w14:textId="77777777" w:rsidR="00E35BCC" w:rsidRDefault="00DF4501" w:rsidP="005533F3">
      <w:pPr>
        <w:pStyle w:val="Heading2"/>
      </w:pPr>
      <w:bookmarkStart w:id="24" w:name="_tmn280frgnve" w:colFirst="0" w:colLast="0"/>
      <w:bookmarkStart w:id="25" w:name="_Toc236317341"/>
      <w:bookmarkEnd w:id="24"/>
      <w:r>
        <w:lastRenderedPageBreak/>
        <w:t>10. Conclusion</w:t>
      </w:r>
      <w:bookmarkEnd w:id="25"/>
    </w:p>
    <w:p w14:paraId="458E5466" w14:textId="77777777" w:rsidR="00E35BCC" w:rsidRDefault="00DF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study, it has been concluded that a project management plan guides project managers to determine project stakeholders and resources that are accountable for meeting project objectives and goals. The scope of this project is to implement a decentralised and a phased transport network and reflect in the external bounds of the project classification. Work-breakdown structure and Gantt chart has been created to determine the project timeline. Stakeholder power-interest matrix has been applied to understand stakeholder engagement within the temporary multimodal transport solution project. RACI matrix has been applied to understand resource allocation and risk management plan has been used to solve project-driven vulnerabilities. </w:t>
      </w:r>
    </w:p>
    <w:p w14:paraId="458E5467" w14:textId="77777777" w:rsidR="00E35BCC" w:rsidRDefault="00DF4501">
      <w:pPr>
        <w:spacing w:line="360" w:lineRule="auto"/>
        <w:jc w:val="both"/>
        <w:rPr>
          <w:rFonts w:ascii="Times New Roman" w:eastAsia="Times New Roman" w:hAnsi="Times New Roman" w:cs="Times New Roman"/>
          <w:b/>
          <w:bCs/>
          <w:sz w:val="24"/>
          <w:szCs w:val="24"/>
        </w:rPr>
      </w:pPr>
      <w:r>
        <w:br w:type="page"/>
      </w:r>
    </w:p>
    <w:p w14:paraId="458E5468" w14:textId="77777777" w:rsidR="00E35BCC" w:rsidRDefault="00DF4501">
      <w:pPr>
        <w:pStyle w:val="Heading1"/>
      </w:pPr>
      <w:bookmarkStart w:id="26" w:name="_jdg3vrzeczhd" w:colFirst="0" w:colLast="0"/>
      <w:bookmarkStart w:id="27" w:name="_Toc236317342"/>
      <w:bookmarkEnd w:id="26"/>
      <w:r>
        <w:lastRenderedPageBreak/>
        <w:t>References</w:t>
      </w:r>
      <w:bookmarkEnd w:id="27"/>
    </w:p>
    <w:p w14:paraId="458E5469" w14:textId="77777777" w:rsidR="004045C9" w:rsidRPr="004045C9" w:rsidRDefault="004045C9" w:rsidP="004045C9">
      <w:pPr>
        <w:spacing w:line="360" w:lineRule="auto"/>
        <w:jc w:val="both"/>
        <w:rPr>
          <w:rFonts w:ascii="Times New Roman" w:eastAsia="Times New Roman" w:hAnsi="Times New Roman" w:cs="Times New Roman"/>
          <w:b/>
          <w:sz w:val="24"/>
          <w:szCs w:val="24"/>
        </w:rPr>
      </w:pPr>
      <w:r w:rsidRPr="004045C9">
        <w:rPr>
          <w:rFonts w:ascii="Times New Roman" w:eastAsia="Times New Roman" w:hAnsi="Times New Roman" w:cs="Times New Roman"/>
          <w:b/>
          <w:sz w:val="24"/>
          <w:szCs w:val="24"/>
        </w:rPr>
        <w:t>Part A</w:t>
      </w:r>
    </w:p>
    <w:p w14:paraId="458E546A" w14:textId="77777777" w:rsidR="004045C9" w:rsidRPr="004045C9" w:rsidRDefault="004045C9" w:rsidP="004045C9">
      <w:pPr>
        <w:spacing w:line="360" w:lineRule="auto"/>
        <w:jc w:val="both"/>
        <w:rPr>
          <w:rFonts w:ascii="Times New Roman" w:hAnsi="Times New Roman" w:cs="Times New Roman"/>
          <w:color w:val="000000" w:themeColor="text1"/>
          <w:sz w:val="24"/>
          <w:szCs w:val="24"/>
          <w:u w:val="single"/>
        </w:rPr>
      </w:pPr>
      <w:r w:rsidRPr="004045C9">
        <w:rPr>
          <w:rFonts w:ascii="Times New Roman" w:hAnsi="Times New Roman" w:cs="Times New Roman"/>
          <w:color w:val="000000" w:themeColor="text1"/>
          <w:sz w:val="24"/>
          <w:szCs w:val="24"/>
          <w:highlight w:val="white"/>
        </w:rPr>
        <w:t xml:space="preserve">Bennett, K. and Mayouf, M., (2021). Value management integration for whole life cycle: post COVID-19 strategy for the UK construction industry. </w:t>
      </w:r>
      <w:r w:rsidRPr="004045C9">
        <w:rPr>
          <w:rFonts w:ascii="Times New Roman" w:hAnsi="Times New Roman" w:cs="Times New Roman"/>
          <w:i/>
          <w:iCs/>
          <w:color w:val="000000" w:themeColor="text1"/>
          <w:sz w:val="24"/>
          <w:szCs w:val="24"/>
        </w:rPr>
        <w:t>Sustainability</w:t>
      </w:r>
      <w:r w:rsidRPr="004045C9">
        <w:rPr>
          <w:rFonts w:ascii="Times New Roman" w:hAnsi="Times New Roman" w:cs="Times New Roman"/>
          <w:color w:val="000000" w:themeColor="text1"/>
          <w:sz w:val="24"/>
          <w:szCs w:val="24"/>
        </w:rPr>
        <w:t xml:space="preserve">, </w:t>
      </w:r>
      <w:r w:rsidRPr="004045C9">
        <w:rPr>
          <w:rFonts w:ascii="Times New Roman" w:hAnsi="Times New Roman" w:cs="Times New Roman"/>
          <w:i/>
          <w:iCs/>
          <w:color w:val="000000" w:themeColor="text1"/>
          <w:sz w:val="24"/>
          <w:szCs w:val="24"/>
        </w:rPr>
        <w:t>13</w:t>
      </w:r>
      <w:r w:rsidRPr="004045C9">
        <w:rPr>
          <w:rFonts w:ascii="Times New Roman" w:hAnsi="Times New Roman" w:cs="Times New Roman"/>
          <w:color w:val="000000" w:themeColor="text1"/>
          <w:sz w:val="24"/>
          <w:szCs w:val="24"/>
        </w:rPr>
        <w:t>(16), p.9274.</w:t>
      </w:r>
      <w:hyperlink r:id="rId23">
        <w:r w:rsidRPr="004045C9">
          <w:rPr>
            <w:rFonts w:ascii="Times New Roman" w:hAnsi="Times New Roman" w:cs="Times New Roman"/>
            <w:color w:val="000000" w:themeColor="text1"/>
            <w:sz w:val="24"/>
            <w:szCs w:val="24"/>
          </w:rPr>
          <w:t xml:space="preserve"> </w:t>
        </w:r>
      </w:hyperlink>
      <w:hyperlink r:id="rId24">
        <w:r w:rsidRPr="004045C9">
          <w:rPr>
            <w:rFonts w:ascii="Times New Roman" w:hAnsi="Times New Roman" w:cs="Times New Roman"/>
            <w:color w:val="000000" w:themeColor="text1"/>
            <w:sz w:val="24"/>
            <w:szCs w:val="24"/>
            <w:u w:val="single"/>
          </w:rPr>
          <w:t>https://doi.org/10.3390/su13169274</w:t>
        </w:r>
      </w:hyperlink>
    </w:p>
    <w:p w14:paraId="458E546B" w14:textId="77777777" w:rsidR="004045C9" w:rsidRPr="004045C9" w:rsidRDefault="004045C9" w:rsidP="004045C9">
      <w:pPr>
        <w:spacing w:line="360" w:lineRule="auto"/>
        <w:jc w:val="both"/>
        <w:rPr>
          <w:rFonts w:ascii="Times New Roman" w:hAnsi="Times New Roman" w:cs="Times New Roman"/>
          <w:color w:val="000000" w:themeColor="text1"/>
          <w:sz w:val="24"/>
          <w:szCs w:val="24"/>
        </w:rPr>
      </w:pPr>
      <w:r w:rsidRPr="004045C9">
        <w:rPr>
          <w:rFonts w:ascii="Times New Roman" w:hAnsi="Times New Roman" w:cs="Times New Roman"/>
          <w:color w:val="000000" w:themeColor="text1"/>
          <w:sz w:val="24"/>
          <w:szCs w:val="24"/>
        </w:rPr>
        <w:t xml:space="preserve">GOV UK, (2025). </w:t>
      </w:r>
      <w:r w:rsidRPr="004045C9">
        <w:rPr>
          <w:rFonts w:ascii="Times New Roman" w:hAnsi="Times New Roman" w:cs="Times New Roman"/>
          <w:i/>
          <w:iCs/>
          <w:color w:val="000000" w:themeColor="text1"/>
          <w:sz w:val="24"/>
          <w:szCs w:val="24"/>
        </w:rPr>
        <w:t xml:space="preserve">Department for Transport annual report and accounts 2024 to 2025 (HTML version). </w:t>
      </w:r>
      <w:r w:rsidRPr="004045C9">
        <w:rPr>
          <w:rFonts w:ascii="Times New Roman" w:hAnsi="Times New Roman" w:cs="Times New Roman"/>
          <w:color w:val="000000" w:themeColor="text1"/>
          <w:sz w:val="24"/>
          <w:szCs w:val="24"/>
        </w:rPr>
        <w:t>Available at:</w:t>
      </w:r>
      <w:hyperlink r:id="rId25">
        <w:r w:rsidRPr="004045C9">
          <w:rPr>
            <w:rFonts w:ascii="Times New Roman" w:hAnsi="Times New Roman" w:cs="Times New Roman"/>
            <w:color w:val="000000" w:themeColor="text1"/>
            <w:sz w:val="24"/>
            <w:szCs w:val="24"/>
          </w:rPr>
          <w:t xml:space="preserve"> </w:t>
        </w:r>
      </w:hyperlink>
      <w:hyperlink r:id="rId26">
        <w:r w:rsidRPr="004045C9">
          <w:rPr>
            <w:rFonts w:ascii="Times New Roman" w:hAnsi="Times New Roman" w:cs="Times New Roman"/>
            <w:color w:val="000000" w:themeColor="text1"/>
            <w:sz w:val="24"/>
            <w:szCs w:val="24"/>
            <w:u w:val="single"/>
          </w:rPr>
          <w:t>https://www.gov.uk/government/publications/dft-annual-report-and-accounts-2024-to-2025/department-for-transport-annual-report-and-accounts-2024-to-2025-html-version</w:t>
        </w:r>
      </w:hyperlink>
      <w:r w:rsidRPr="004045C9">
        <w:rPr>
          <w:rFonts w:ascii="Times New Roman" w:hAnsi="Times New Roman" w:cs="Times New Roman"/>
          <w:color w:val="000000" w:themeColor="text1"/>
          <w:sz w:val="24"/>
          <w:szCs w:val="24"/>
        </w:rPr>
        <w:t xml:space="preserve"> (Accessed: 02 July 2026).</w:t>
      </w:r>
    </w:p>
    <w:p w14:paraId="458E546C" w14:textId="77777777" w:rsidR="004045C9" w:rsidRPr="004045C9" w:rsidRDefault="004045C9" w:rsidP="004045C9">
      <w:pPr>
        <w:spacing w:line="360" w:lineRule="auto"/>
        <w:jc w:val="both"/>
        <w:rPr>
          <w:rFonts w:ascii="Times New Roman" w:hAnsi="Times New Roman" w:cs="Times New Roman"/>
          <w:color w:val="000000" w:themeColor="text1"/>
          <w:sz w:val="24"/>
          <w:szCs w:val="24"/>
        </w:rPr>
      </w:pPr>
      <w:r w:rsidRPr="004045C9">
        <w:rPr>
          <w:rFonts w:ascii="Times New Roman" w:hAnsi="Times New Roman" w:cs="Times New Roman"/>
          <w:color w:val="000000" w:themeColor="text1"/>
          <w:sz w:val="24"/>
          <w:szCs w:val="24"/>
        </w:rPr>
        <w:t xml:space="preserve">Madden, A., (2023). </w:t>
      </w:r>
      <w:r w:rsidRPr="004045C9">
        <w:rPr>
          <w:rFonts w:ascii="Times New Roman" w:hAnsi="Times New Roman" w:cs="Times New Roman"/>
          <w:i/>
          <w:color w:val="000000" w:themeColor="text1"/>
          <w:sz w:val="24"/>
          <w:szCs w:val="24"/>
        </w:rPr>
        <w:t xml:space="preserve">Belfast’s £200m ‘Grand Central Station’ expected to be completed in 2025. </w:t>
      </w:r>
      <w:r w:rsidRPr="004045C9">
        <w:rPr>
          <w:rFonts w:ascii="Times New Roman" w:hAnsi="Times New Roman" w:cs="Times New Roman"/>
          <w:color w:val="000000" w:themeColor="text1"/>
          <w:sz w:val="24"/>
          <w:szCs w:val="24"/>
        </w:rPr>
        <w:t>Available at:</w:t>
      </w:r>
      <w:hyperlink r:id="rId27">
        <w:r w:rsidRPr="004045C9">
          <w:rPr>
            <w:rFonts w:ascii="Times New Roman" w:hAnsi="Times New Roman" w:cs="Times New Roman"/>
            <w:color w:val="000000" w:themeColor="text1"/>
            <w:sz w:val="24"/>
            <w:szCs w:val="24"/>
          </w:rPr>
          <w:t xml:space="preserve"> </w:t>
        </w:r>
      </w:hyperlink>
      <w:r w:rsidRPr="004045C9">
        <w:rPr>
          <w:rFonts w:ascii="Times New Roman" w:hAnsi="Times New Roman" w:cs="Times New Roman"/>
          <w:color w:val="000000" w:themeColor="text1"/>
          <w:sz w:val="24"/>
          <w:szCs w:val="24"/>
        </w:rPr>
        <w:t xml:space="preserve"> https://www.belfasttelegraph.co.uk/news/northern-ireland/belfasts-%C2%A3200m-grand-central-station-expected-to-be-completed-in-2025/a/112957583.html (Accessed: 01 July 2026).</w:t>
      </w:r>
    </w:p>
    <w:p w14:paraId="458E546D" w14:textId="77777777" w:rsidR="004045C9" w:rsidRPr="004045C9" w:rsidRDefault="004045C9" w:rsidP="004045C9">
      <w:pPr>
        <w:spacing w:line="360" w:lineRule="auto"/>
        <w:jc w:val="both"/>
        <w:rPr>
          <w:rFonts w:ascii="Times New Roman" w:hAnsi="Times New Roman" w:cs="Times New Roman"/>
          <w:color w:val="000000" w:themeColor="text1"/>
          <w:sz w:val="24"/>
          <w:szCs w:val="24"/>
          <w:u w:val="single"/>
        </w:rPr>
      </w:pPr>
      <w:r w:rsidRPr="004045C9">
        <w:rPr>
          <w:rFonts w:ascii="Times New Roman" w:hAnsi="Times New Roman" w:cs="Times New Roman"/>
          <w:color w:val="000000" w:themeColor="text1"/>
          <w:sz w:val="24"/>
          <w:szCs w:val="24"/>
          <w:highlight w:val="white"/>
        </w:rPr>
        <w:t xml:space="preserve">Salzano, A., Cascone, S., Zitiello, E.P. and Nicolella, M., (2024). Construction safety and efficiency: integrating building information </w:t>
      </w:r>
      <w:proofErr w:type="spellStart"/>
      <w:r w:rsidRPr="004045C9">
        <w:rPr>
          <w:rFonts w:ascii="Times New Roman" w:hAnsi="Times New Roman" w:cs="Times New Roman"/>
          <w:color w:val="000000" w:themeColor="text1"/>
          <w:sz w:val="24"/>
          <w:szCs w:val="24"/>
          <w:highlight w:val="white"/>
        </w:rPr>
        <w:t>modeling</w:t>
      </w:r>
      <w:proofErr w:type="spellEnd"/>
      <w:r w:rsidRPr="004045C9">
        <w:rPr>
          <w:rFonts w:ascii="Times New Roman" w:hAnsi="Times New Roman" w:cs="Times New Roman"/>
          <w:color w:val="000000" w:themeColor="text1"/>
          <w:sz w:val="24"/>
          <w:szCs w:val="24"/>
          <w:highlight w:val="white"/>
        </w:rPr>
        <w:t xml:space="preserve"> into risk management and project execution. </w:t>
      </w:r>
      <w:r w:rsidRPr="004045C9">
        <w:rPr>
          <w:rFonts w:ascii="Times New Roman" w:hAnsi="Times New Roman" w:cs="Times New Roman"/>
          <w:i/>
          <w:iCs/>
          <w:color w:val="000000" w:themeColor="text1"/>
          <w:sz w:val="24"/>
          <w:szCs w:val="24"/>
        </w:rPr>
        <w:t>Sustainability</w:t>
      </w:r>
      <w:r w:rsidRPr="004045C9">
        <w:rPr>
          <w:rFonts w:ascii="Times New Roman" w:hAnsi="Times New Roman" w:cs="Times New Roman"/>
          <w:color w:val="000000" w:themeColor="text1"/>
          <w:sz w:val="24"/>
          <w:szCs w:val="24"/>
        </w:rPr>
        <w:t xml:space="preserve">, </w:t>
      </w:r>
      <w:r w:rsidRPr="004045C9">
        <w:rPr>
          <w:rFonts w:ascii="Times New Roman" w:hAnsi="Times New Roman" w:cs="Times New Roman"/>
          <w:i/>
          <w:iCs/>
          <w:color w:val="000000" w:themeColor="text1"/>
          <w:sz w:val="24"/>
          <w:szCs w:val="24"/>
        </w:rPr>
        <w:t>16</w:t>
      </w:r>
      <w:r w:rsidRPr="004045C9">
        <w:rPr>
          <w:rFonts w:ascii="Times New Roman" w:hAnsi="Times New Roman" w:cs="Times New Roman"/>
          <w:color w:val="000000" w:themeColor="text1"/>
          <w:sz w:val="24"/>
          <w:szCs w:val="24"/>
        </w:rPr>
        <w:t>(10), p.4094.</w:t>
      </w:r>
      <w:hyperlink r:id="rId28">
        <w:r w:rsidRPr="004045C9">
          <w:rPr>
            <w:rFonts w:ascii="Times New Roman" w:hAnsi="Times New Roman" w:cs="Times New Roman"/>
            <w:color w:val="000000" w:themeColor="text1"/>
            <w:sz w:val="24"/>
            <w:szCs w:val="24"/>
          </w:rPr>
          <w:t xml:space="preserve"> </w:t>
        </w:r>
      </w:hyperlink>
      <w:hyperlink r:id="rId29">
        <w:r w:rsidRPr="004045C9">
          <w:rPr>
            <w:rFonts w:ascii="Times New Roman" w:hAnsi="Times New Roman" w:cs="Times New Roman"/>
            <w:color w:val="000000" w:themeColor="text1"/>
            <w:sz w:val="24"/>
            <w:szCs w:val="24"/>
            <w:u w:val="single"/>
          </w:rPr>
          <w:t>https://doi.org/10.3390/su16104094</w:t>
        </w:r>
      </w:hyperlink>
    </w:p>
    <w:p w14:paraId="458E546E" w14:textId="77777777" w:rsidR="004045C9" w:rsidRPr="004045C9" w:rsidRDefault="004045C9" w:rsidP="004045C9">
      <w:pPr>
        <w:spacing w:line="360" w:lineRule="auto"/>
        <w:jc w:val="both"/>
        <w:rPr>
          <w:rFonts w:ascii="Times New Roman" w:hAnsi="Times New Roman" w:cs="Times New Roman"/>
          <w:color w:val="000000" w:themeColor="text1"/>
          <w:sz w:val="24"/>
          <w:szCs w:val="24"/>
          <w:u w:val="single"/>
        </w:rPr>
      </w:pPr>
      <w:r w:rsidRPr="004045C9">
        <w:rPr>
          <w:rFonts w:ascii="Times New Roman" w:hAnsi="Times New Roman" w:cs="Times New Roman"/>
          <w:color w:val="000000" w:themeColor="text1"/>
          <w:sz w:val="24"/>
          <w:szCs w:val="24"/>
          <w:highlight w:val="white"/>
        </w:rPr>
        <w:t xml:space="preserve">Sarvari, H., Edwards, D.J., Rillie, I. and Roberts, C., (2025). Barriers, bottlenecks, and challenges in implementing safety I-and safety II-enabled safe systems of working in construction projects: a scoping review. </w:t>
      </w:r>
      <w:r w:rsidRPr="004045C9">
        <w:rPr>
          <w:rFonts w:ascii="Times New Roman" w:hAnsi="Times New Roman" w:cs="Times New Roman"/>
          <w:i/>
          <w:iCs/>
          <w:color w:val="000000" w:themeColor="text1"/>
          <w:sz w:val="24"/>
          <w:szCs w:val="24"/>
        </w:rPr>
        <w:t>Buildings</w:t>
      </w:r>
      <w:r w:rsidRPr="004045C9">
        <w:rPr>
          <w:rFonts w:ascii="Times New Roman" w:hAnsi="Times New Roman" w:cs="Times New Roman"/>
          <w:color w:val="000000" w:themeColor="text1"/>
          <w:sz w:val="24"/>
          <w:szCs w:val="24"/>
        </w:rPr>
        <w:t xml:space="preserve">, </w:t>
      </w:r>
      <w:r w:rsidRPr="004045C9">
        <w:rPr>
          <w:rFonts w:ascii="Times New Roman" w:hAnsi="Times New Roman" w:cs="Times New Roman"/>
          <w:i/>
          <w:iCs/>
          <w:color w:val="000000" w:themeColor="text1"/>
          <w:sz w:val="24"/>
          <w:szCs w:val="24"/>
        </w:rPr>
        <w:t>15</w:t>
      </w:r>
      <w:r w:rsidRPr="004045C9">
        <w:rPr>
          <w:rFonts w:ascii="Times New Roman" w:hAnsi="Times New Roman" w:cs="Times New Roman"/>
          <w:color w:val="000000" w:themeColor="text1"/>
          <w:sz w:val="24"/>
          <w:szCs w:val="24"/>
        </w:rPr>
        <w:t>(3), p.347.</w:t>
      </w:r>
      <w:hyperlink r:id="rId30">
        <w:r w:rsidRPr="004045C9">
          <w:rPr>
            <w:rFonts w:ascii="Times New Roman" w:hAnsi="Times New Roman" w:cs="Times New Roman"/>
            <w:color w:val="000000" w:themeColor="text1"/>
            <w:sz w:val="24"/>
            <w:szCs w:val="24"/>
          </w:rPr>
          <w:t xml:space="preserve"> </w:t>
        </w:r>
      </w:hyperlink>
      <w:hyperlink r:id="rId31">
        <w:r w:rsidRPr="004045C9">
          <w:rPr>
            <w:rFonts w:ascii="Times New Roman" w:hAnsi="Times New Roman" w:cs="Times New Roman"/>
            <w:color w:val="000000" w:themeColor="text1"/>
            <w:sz w:val="24"/>
            <w:szCs w:val="24"/>
            <w:u w:val="single"/>
          </w:rPr>
          <w:t>https://doi.org/10.3390/buildings15030347</w:t>
        </w:r>
      </w:hyperlink>
    </w:p>
    <w:p w14:paraId="458E546F" w14:textId="77777777" w:rsidR="004045C9" w:rsidRPr="004045C9" w:rsidRDefault="004045C9" w:rsidP="004045C9">
      <w:pPr>
        <w:spacing w:line="360" w:lineRule="auto"/>
        <w:jc w:val="both"/>
        <w:rPr>
          <w:rFonts w:ascii="Times New Roman" w:eastAsia="Times New Roman" w:hAnsi="Times New Roman" w:cs="Times New Roman"/>
          <w:b/>
          <w:sz w:val="24"/>
          <w:szCs w:val="24"/>
        </w:rPr>
      </w:pPr>
      <w:r w:rsidRPr="004045C9">
        <w:rPr>
          <w:rFonts w:ascii="Times New Roman" w:hAnsi="Times New Roman" w:cs="Times New Roman"/>
          <w:color w:val="000000" w:themeColor="text1"/>
          <w:sz w:val="24"/>
          <w:szCs w:val="24"/>
          <w:highlight w:val="white"/>
        </w:rPr>
        <w:t xml:space="preserve">Shah, F.H., Bhatti, O.S. and Ahmed, S., (2023). Project management practices in construction projects and their roles in achieving sustainability—A comprehensive review. </w:t>
      </w:r>
      <w:r w:rsidRPr="004045C9">
        <w:rPr>
          <w:rFonts w:ascii="Times New Roman" w:hAnsi="Times New Roman" w:cs="Times New Roman"/>
          <w:i/>
          <w:iCs/>
          <w:color w:val="000000" w:themeColor="text1"/>
          <w:sz w:val="24"/>
          <w:szCs w:val="24"/>
        </w:rPr>
        <w:t>Engineering Proceedings</w:t>
      </w:r>
      <w:r w:rsidRPr="004045C9">
        <w:rPr>
          <w:rFonts w:ascii="Times New Roman" w:hAnsi="Times New Roman" w:cs="Times New Roman"/>
          <w:color w:val="000000" w:themeColor="text1"/>
          <w:sz w:val="24"/>
          <w:szCs w:val="24"/>
        </w:rPr>
        <w:t xml:space="preserve">, </w:t>
      </w:r>
      <w:r w:rsidRPr="004045C9">
        <w:rPr>
          <w:rFonts w:ascii="Times New Roman" w:hAnsi="Times New Roman" w:cs="Times New Roman"/>
          <w:i/>
          <w:iCs/>
          <w:color w:val="000000" w:themeColor="text1"/>
          <w:sz w:val="24"/>
          <w:szCs w:val="24"/>
        </w:rPr>
        <w:t>44</w:t>
      </w:r>
      <w:r w:rsidRPr="004045C9">
        <w:rPr>
          <w:rFonts w:ascii="Times New Roman" w:hAnsi="Times New Roman" w:cs="Times New Roman"/>
          <w:color w:val="000000" w:themeColor="text1"/>
          <w:sz w:val="24"/>
          <w:szCs w:val="24"/>
        </w:rPr>
        <w:t>(1), p.2.</w:t>
      </w:r>
      <w:hyperlink r:id="rId32">
        <w:r w:rsidRPr="004045C9">
          <w:rPr>
            <w:rFonts w:ascii="Times New Roman" w:hAnsi="Times New Roman" w:cs="Times New Roman"/>
            <w:color w:val="000000" w:themeColor="text1"/>
            <w:sz w:val="24"/>
            <w:szCs w:val="24"/>
          </w:rPr>
          <w:t xml:space="preserve"> </w:t>
        </w:r>
      </w:hyperlink>
      <w:hyperlink r:id="rId33">
        <w:r w:rsidRPr="004045C9">
          <w:rPr>
            <w:rFonts w:ascii="Times New Roman" w:hAnsi="Times New Roman" w:cs="Times New Roman"/>
            <w:color w:val="000000" w:themeColor="text1"/>
            <w:sz w:val="24"/>
            <w:szCs w:val="24"/>
            <w:u w:val="single"/>
          </w:rPr>
          <w:t>https://doi.org/10.3390/engproc2023044002</w:t>
        </w:r>
      </w:hyperlink>
    </w:p>
    <w:p w14:paraId="458E5470" w14:textId="77777777" w:rsidR="004045C9" w:rsidRPr="004045C9" w:rsidRDefault="004045C9" w:rsidP="004045C9">
      <w:pPr>
        <w:spacing w:line="360" w:lineRule="auto"/>
        <w:jc w:val="both"/>
        <w:rPr>
          <w:rFonts w:ascii="Times New Roman" w:eastAsia="Times New Roman" w:hAnsi="Times New Roman" w:cs="Times New Roman"/>
          <w:b/>
          <w:sz w:val="24"/>
          <w:szCs w:val="24"/>
        </w:rPr>
      </w:pPr>
      <w:r w:rsidRPr="004045C9">
        <w:rPr>
          <w:rFonts w:ascii="Times New Roman" w:eastAsia="Times New Roman" w:hAnsi="Times New Roman" w:cs="Times New Roman"/>
          <w:b/>
          <w:sz w:val="24"/>
          <w:szCs w:val="24"/>
        </w:rPr>
        <w:t>Part B</w:t>
      </w:r>
    </w:p>
    <w:p w14:paraId="458E5471" w14:textId="77777777" w:rsidR="004045C9" w:rsidRPr="004045C9" w:rsidRDefault="004045C9" w:rsidP="004045C9">
      <w:pPr>
        <w:spacing w:line="360" w:lineRule="auto"/>
        <w:jc w:val="both"/>
        <w:rPr>
          <w:rFonts w:ascii="Times New Roman" w:hAnsi="Times New Roman" w:cs="Times New Roman"/>
          <w:color w:val="1155CC"/>
          <w:sz w:val="24"/>
          <w:szCs w:val="24"/>
          <w:u w:val="single"/>
        </w:rPr>
      </w:pPr>
      <w:r w:rsidRPr="004045C9">
        <w:rPr>
          <w:rFonts w:ascii="Times New Roman" w:hAnsi="Times New Roman" w:cs="Times New Roman"/>
          <w:sz w:val="24"/>
          <w:szCs w:val="24"/>
        </w:rPr>
        <w:t xml:space="preserve">Calafato, R., (2024) Literature in language education: exploring teachers’ beliefs, practices, creativity, and literary competence. </w:t>
      </w:r>
      <w:r w:rsidRPr="004045C9">
        <w:rPr>
          <w:rFonts w:ascii="Times New Roman" w:hAnsi="Times New Roman" w:cs="Times New Roman"/>
          <w:i/>
          <w:iCs/>
          <w:sz w:val="24"/>
          <w:szCs w:val="24"/>
        </w:rPr>
        <w:t>Pedagogies: An International Journal, 19(1)</w:t>
      </w:r>
      <w:r w:rsidRPr="004045C9">
        <w:rPr>
          <w:rFonts w:ascii="Times New Roman" w:hAnsi="Times New Roman" w:cs="Times New Roman"/>
          <w:sz w:val="24"/>
          <w:szCs w:val="24"/>
        </w:rPr>
        <w:t>, pp.80-98.</w:t>
      </w:r>
      <w:hyperlink r:id="rId34">
        <w:r w:rsidRPr="004045C9">
          <w:rPr>
            <w:rFonts w:ascii="Times New Roman" w:hAnsi="Times New Roman" w:cs="Times New Roman"/>
            <w:sz w:val="24"/>
            <w:szCs w:val="24"/>
          </w:rPr>
          <w:t xml:space="preserve"> </w:t>
        </w:r>
      </w:hyperlink>
      <w:hyperlink r:id="rId35">
        <w:r w:rsidRPr="004045C9">
          <w:rPr>
            <w:rFonts w:ascii="Times New Roman" w:hAnsi="Times New Roman" w:cs="Times New Roman"/>
            <w:color w:val="1155CC"/>
            <w:sz w:val="24"/>
            <w:szCs w:val="24"/>
            <w:u w:val="single"/>
          </w:rPr>
          <w:t>https://doi.org/10.1080/1554480X.2022.2164500</w:t>
        </w:r>
      </w:hyperlink>
    </w:p>
    <w:p w14:paraId="458E5472" w14:textId="77777777" w:rsidR="004045C9" w:rsidRPr="004045C9" w:rsidRDefault="004045C9" w:rsidP="004045C9">
      <w:pPr>
        <w:spacing w:line="360" w:lineRule="auto"/>
        <w:jc w:val="both"/>
        <w:rPr>
          <w:rFonts w:ascii="Times New Roman" w:hAnsi="Times New Roman" w:cs="Times New Roman"/>
          <w:sz w:val="24"/>
          <w:szCs w:val="24"/>
        </w:rPr>
      </w:pPr>
      <w:r w:rsidRPr="004045C9">
        <w:rPr>
          <w:rFonts w:ascii="Times New Roman" w:hAnsi="Times New Roman" w:cs="Times New Roman"/>
          <w:sz w:val="24"/>
          <w:szCs w:val="24"/>
        </w:rPr>
        <w:t xml:space="preserve">Indeed (2024) </w:t>
      </w:r>
      <w:r w:rsidRPr="004045C9">
        <w:rPr>
          <w:rFonts w:ascii="Times New Roman" w:hAnsi="Times New Roman" w:cs="Times New Roman"/>
          <w:i/>
          <w:iCs/>
          <w:sz w:val="24"/>
          <w:szCs w:val="24"/>
        </w:rPr>
        <w:t>Mastering 10 useful academic skills: Tips for development</w:t>
      </w:r>
      <w:r w:rsidRPr="004045C9">
        <w:rPr>
          <w:rFonts w:ascii="Times New Roman" w:hAnsi="Times New Roman" w:cs="Times New Roman"/>
          <w:sz w:val="24"/>
          <w:szCs w:val="24"/>
        </w:rPr>
        <w:t xml:space="preserve">. [online] </w:t>
      </w:r>
      <w:r w:rsidRPr="004045C9">
        <w:rPr>
          <w:rFonts w:ascii="Times New Roman" w:hAnsi="Times New Roman" w:cs="Times New Roman"/>
          <w:i/>
          <w:iCs/>
          <w:sz w:val="24"/>
          <w:szCs w:val="24"/>
        </w:rPr>
        <w:t>Indeed Career Guide</w:t>
      </w:r>
      <w:r w:rsidRPr="004045C9">
        <w:rPr>
          <w:rFonts w:ascii="Times New Roman" w:hAnsi="Times New Roman" w:cs="Times New Roman"/>
          <w:sz w:val="24"/>
          <w:szCs w:val="24"/>
        </w:rPr>
        <w:t>. Available at: https://in.indeed.com/career-advice/career-development/academic-skills [Accessed 21 July 2026].</w:t>
      </w:r>
    </w:p>
    <w:p w14:paraId="458E5473" w14:textId="77777777" w:rsidR="004045C9" w:rsidRPr="004045C9" w:rsidRDefault="004045C9" w:rsidP="004045C9">
      <w:pPr>
        <w:spacing w:line="360" w:lineRule="auto"/>
        <w:jc w:val="both"/>
        <w:rPr>
          <w:rFonts w:ascii="Times New Roman" w:eastAsia="Times New Roman" w:hAnsi="Times New Roman" w:cs="Times New Roman"/>
          <w:b/>
          <w:sz w:val="24"/>
          <w:szCs w:val="24"/>
        </w:rPr>
      </w:pPr>
      <w:r w:rsidRPr="004045C9">
        <w:rPr>
          <w:rFonts w:ascii="Times New Roman" w:eastAsia="Times New Roman" w:hAnsi="Times New Roman" w:cs="Times New Roman"/>
          <w:b/>
          <w:sz w:val="24"/>
          <w:szCs w:val="24"/>
        </w:rPr>
        <w:t>Part C</w:t>
      </w:r>
    </w:p>
    <w:p w14:paraId="458E5474" w14:textId="77777777" w:rsidR="007655ED" w:rsidRPr="004045C9" w:rsidRDefault="007655ED" w:rsidP="004045C9">
      <w:pPr>
        <w:spacing w:line="360" w:lineRule="auto"/>
        <w:jc w:val="both"/>
        <w:rPr>
          <w:rFonts w:ascii="Times New Roman" w:eastAsia="Times New Roman" w:hAnsi="Times New Roman" w:cs="Times New Roman"/>
          <w:sz w:val="24"/>
          <w:szCs w:val="24"/>
        </w:rPr>
      </w:pPr>
      <w:r w:rsidRPr="004045C9">
        <w:rPr>
          <w:rFonts w:ascii="Times New Roman" w:eastAsia="Times New Roman" w:hAnsi="Times New Roman" w:cs="Times New Roman"/>
          <w:sz w:val="24"/>
          <w:szCs w:val="24"/>
        </w:rPr>
        <w:t xml:space="preserve">Arshad, M., Saha, S. and Sahu, S.K., (2023). Development of RACI matrix for complete machine lifecycle. </w:t>
      </w:r>
      <w:r w:rsidRPr="004045C9">
        <w:rPr>
          <w:rFonts w:ascii="Times New Roman" w:eastAsia="Times New Roman" w:hAnsi="Times New Roman" w:cs="Times New Roman"/>
          <w:i/>
          <w:iCs/>
          <w:sz w:val="24"/>
          <w:szCs w:val="24"/>
        </w:rPr>
        <w:t>International Journal of Industrial Engineering</w:t>
      </w:r>
      <w:r w:rsidRPr="004045C9">
        <w:rPr>
          <w:rFonts w:ascii="Times New Roman" w:eastAsia="Times New Roman" w:hAnsi="Times New Roman" w:cs="Times New Roman"/>
          <w:sz w:val="24"/>
          <w:szCs w:val="24"/>
        </w:rPr>
        <w:t>, pp.1-10. https://www.academia.edu/download/99615126/IRJET_V10I277.pdf</w:t>
      </w:r>
    </w:p>
    <w:p w14:paraId="458E5475" w14:textId="77777777" w:rsidR="007655ED" w:rsidRPr="004045C9" w:rsidRDefault="007655ED" w:rsidP="004045C9">
      <w:pPr>
        <w:spacing w:line="360" w:lineRule="auto"/>
        <w:jc w:val="both"/>
        <w:rPr>
          <w:rFonts w:ascii="Times New Roman" w:eastAsia="Times New Roman" w:hAnsi="Times New Roman" w:cs="Times New Roman"/>
          <w:sz w:val="24"/>
          <w:szCs w:val="24"/>
        </w:rPr>
      </w:pPr>
      <w:r w:rsidRPr="004045C9">
        <w:rPr>
          <w:rFonts w:ascii="Times New Roman" w:eastAsia="Times New Roman" w:hAnsi="Times New Roman" w:cs="Times New Roman"/>
          <w:sz w:val="24"/>
          <w:szCs w:val="24"/>
        </w:rPr>
        <w:lastRenderedPageBreak/>
        <w:t xml:space="preserve">Cooke, B. and Williams, P., (2024) </w:t>
      </w:r>
      <w:r w:rsidRPr="004045C9">
        <w:rPr>
          <w:rFonts w:ascii="Times New Roman" w:eastAsia="Times New Roman" w:hAnsi="Times New Roman" w:cs="Times New Roman"/>
          <w:i/>
          <w:iCs/>
          <w:sz w:val="24"/>
          <w:szCs w:val="24"/>
        </w:rPr>
        <w:t>Construction planning, programming and control</w:t>
      </w:r>
      <w:r w:rsidRPr="004045C9">
        <w:rPr>
          <w:rFonts w:ascii="Times New Roman" w:eastAsia="Times New Roman" w:hAnsi="Times New Roman" w:cs="Times New Roman"/>
          <w:sz w:val="24"/>
          <w:szCs w:val="24"/>
        </w:rPr>
        <w:t xml:space="preserve">. John Wiley &amp; Sons. </w:t>
      </w:r>
    </w:p>
    <w:p w14:paraId="458E5476" w14:textId="77777777" w:rsidR="007655ED" w:rsidRPr="004045C9" w:rsidRDefault="007655ED" w:rsidP="004045C9">
      <w:pPr>
        <w:spacing w:line="360" w:lineRule="auto"/>
        <w:jc w:val="both"/>
        <w:rPr>
          <w:rFonts w:ascii="Times New Roman" w:eastAsia="Times New Roman" w:hAnsi="Times New Roman" w:cs="Times New Roman"/>
          <w:color w:val="1155CC"/>
          <w:sz w:val="24"/>
          <w:szCs w:val="24"/>
          <w:highlight w:val="white"/>
          <w:u w:val="single"/>
        </w:rPr>
      </w:pPr>
      <w:r w:rsidRPr="004045C9">
        <w:rPr>
          <w:rFonts w:ascii="Times New Roman" w:eastAsia="Times New Roman" w:hAnsi="Times New Roman" w:cs="Times New Roman"/>
          <w:sz w:val="24"/>
          <w:szCs w:val="24"/>
          <w:highlight w:val="white"/>
        </w:rPr>
        <w:t xml:space="preserve">Dugbartey, A.N. and Kehinde, O., (2025). Optimizing project delivery through agile methodologies: Balancing speed, collaboration and stakeholder engagement. </w:t>
      </w:r>
      <w:r w:rsidRPr="004045C9">
        <w:rPr>
          <w:rFonts w:ascii="Times New Roman" w:eastAsia="Times New Roman" w:hAnsi="Times New Roman" w:cs="Times New Roman"/>
          <w:i/>
          <w:iCs/>
          <w:sz w:val="24"/>
          <w:szCs w:val="24"/>
        </w:rPr>
        <w:t>World Journal of Advanced Research and Reviews</w:t>
      </w:r>
      <w:r w:rsidRPr="004045C9">
        <w:rPr>
          <w:rFonts w:ascii="Times New Roman" w:eastAsia="Times New Roman" w:hAnsi="Times New Roman" w:cs="Times New Roman"/>
          <w:sz w:val="24"/>
          <w:szCs w:val="24"/>
        </w:rPr>
        <w:t xml:space="preserve">, </w:t>
      </w:r>
      <w:r w:rsidRPr="004045C9">
        <w:rPr>
          <w:rFonts w:ascii="Times New Roman" w:eastAsia="Times New Roman" w:hAnsi="Times New Roman" w:cs="Times New Roman"/>
          <w:i/>
          <w:iCs/>
          <w:sz w:val="24"/>
          <w:szCs w:val="24"/>
        </w:rPr>
        <w:t>25</w:t>
      </w:r>
      <w:r w:rsidRPr="004045C9">
        <w:rPr>
          <w:rFonts w:ascii="Times New Roman" w:eastAsia="Times New Roman" w:hAnsi="Times New Roman" w:cs="Times New Roman"/>
          <w:sz w:val="24"/>
          <w:szCs w:val="24"/>
        </w:rPr>
        <w:t>(1), pp.1237-1257.</w:t>
      </w:r>
      <w:hyperlink r:id="rId36">
        <w:r w:rsidRPr="004045C9">
          <w:rPr>
            <w:rFonts w:ascii="Times New Roman" w:eastAsia="Times New Roman" w:hAnsi="Times New Roman" w:cs="Times New Roman"/>
            <w:sz w:val="24"/>
            <w:szCs w:val="24"/>
          </w:rPr>
          <w:t xml:space="preserve"> </w:t>
        </w:r>
      </w:hyperlink>
      <w:hyperlink r:id="rId37">
        <w:r w:rsidRPr="004045C9">
          <w:rPr>
            <w:rFonts w:ascii="Times New Roman" w:eastAsia="Times New Roman" w:hAnsi="Times New Roman" w:cs="Times New Roman"/>
            <w:color w:val="1155CC"/>
            <w:sz w:val="24"/>
            <w:szCs w:val="24"/>
            <w:highlight w:val="white"/>
            <w:u w:val="single"/>
          </w:rPr>
          <w:t>https://doi.org/10.30574/wjarr.2025.25.1.0193</w:t>
        </w:r>
      </w:hyperlink>
    </w:p>
    <w:p w14:paraId="458E5477" w14:textId="77777777" w:rsidR="007655ED" w:rsidRPr="004045C9" w:rsidRDefault="007655ED" w:rsidP="004045C9">
      <w:pPr>
        <w:spacing w:line="360" w:lineRule="auto"/>
        <w:jc w:val="both"/>
        <w:rPr>
          <w:rFonts w:ascii="Times New Roman" w:eastAsia="Times New Roman" w:hAnsi="Times New Roman" w:cs="Times New Roman"/>
          <w:sz w:val="24"/>
          <w:szCs w:val="24"/>
        </w:rPr>
      </w:pPr>
      <w:proofErr w:type="spellStart"/>
      <w:r w:rsidRPr="004045C9">
        <w:rPr>
          <w:rFonts w:ascii="Times New Roman" w:eastAsia="Times New Roman" w:hAnsi="Times New Roman" w:cs="Times New Roman"/>
          <w:sz w:val="24"/>
          <w:szCs w:val="24"/>
        </w:rPr>
        <w:t>Ebekozien</w:t>
      </w:r>
      <w:proofErr w:type="spellEnd"/>
      <w:r w:rsidRPr="004045C9">
        <w:rPr>
          <w:rFonts w:ascii="Times New Roman" w:eastAsia="Times New Roman" w:hAnsi="Times New Roman" w:cs="Times New Roman"/>
          <w:sz w:val="24"/>
          <w:szCs w:val="24"/>
        </w:rPr>
        <w:t xml:space="preserve">, A., </w:t>
      </w:r>
      <w:proofErr w:type="spellStart"/>
      <w:r w:rsidRPr="004045C9">
        <w:rPr>
          <w:rFonts w:ascii="Times New Roman" w:eastAsia="Times New Roman" w:hAnsi="Times New Roman" w:cs="Times New Roman"/>
          <w:sz w:val="24"/>
          <w:szCs w:val="24"/>
        </w:rPr>
        <w:t>Aigbavboa</w:t>
      </w:r>
      <w:proofErr w:type="spellEnd"/>
      <w:r w:rsidRPr="004045C9">
        <w:rPr>
          <w:rFonts w:ascii="Times New Roman" w:eastAsia="Times New Roman" w:hAnsi="Times New Roman" w:cs="Times New Roman"/>
          <w:sz w:val="24"/>
          <w:szCs w:val="24"/>
        </w:rPr>
        <w:t xml:space="preserve">, C.O. and </w:t>
      </w:r>
      <w:proofErr w:type="spellStart"/>
      <w:r w:rsidRPr="004045C9">
        <w:rPr>
          <w:rFonts w:ascii="Times New Roman" w:eastAsia="Times New Roman" w:hAnsi="Times New Roman" w:cs="Times New Roman"/>
          <w:sz w:val="24"/>
          <w:szCs w:val="24"/>
        </w:rPr>
        <w:t>Ramotshela</w:t>
      </w:r>
      <w:proofErr w:type="spellEnd"/>
      <w:r w:rsidRPr="004045C9">
        <w:rPr>
          <w:rFonts w:ascii="Times New Roman" w:eastAsia="Times New Roman" w:hAnsi="Times New Roman" w:cs="Times New Roman"/>
          <w:sz w:val="24"/>
          <w:szCs w:val="24"/>
        </w:rPr>
        <w:t xml:space="preserve">, M., (2024). A qualitative approach to investigate stakeholders' engagement in construction projects. </w:t>
      </w:r>
      <w:r w:rsidRPr="004045C9">
        <w:rPr>
          <w:rFonts w:ascii="Times New Roman" w:eastAsia="Times New Roman" w:hAnsi="Times New Roman" w:cs="Times New Roman"/>
          <w:i/>
          <w:iCs/>
          <w:sz w:val="24"/>
          <w:szCs w:val="24"/>
        </w:rPr>
        <w:t>Benchmarking: An International Journal</w:t>
      </w:r>
      <w:r w:rsidRPr="004045C9">
        <w:rPr>
          <w:rFonts w:ascii="Times New Roman" w:eastAsia="Times New Roman" w:hAnsi="Times New Roman" w:cs="Times New Roman"/>
          <w:sz w:val="24"/>
          <w:szCs w:val="24"/>
        </w:rPr>
        <w:t xml:space="preserve">, </w:t>
      </w:r>
      <w:r w:rsidRPr="004045C9">
        <w:rPr>
          <w:rFonts w:ascii="Times New Roman" w:eastAsia="Times New Roman" w:hAnsi="Times New Roman" w:cs="Times New Roman"/>
          <w:i/>
          <w:iCs/>
          <w:sz w:val="24"/>
          <w:szCs w:val="24"/>
        </w:rPr>
        <w:t>31</w:t>
      </w:r>
      <w:r w:rsidRPr="004045C9">
        <w:rPr>
          <w:rFonts w:ascii="Times New Roman" w:eastAsia="Times New Roman" w:hAnsi="Times New Roman" w:cs="Times New Roman"/>
          <w:sz w:val="24"/>
          <w:szCs w:val="24"/>
        </w:rPr>
        <w:t>(3), pp.866-883. DOI 10.1108/BIJ-11-2021-0663</w:t>
      </w:r>
    </w:p>
    <w:p w14:paraId="458E5478" w14:textId="77777777" w:rsidR="007655ED" w:rsidRPr="004045C9" w:rsidRDefault="007655ED" w:rsidP="004045C9">
      <w:pPr>
        <w:spacing w:line="360" w:lineRule="auto"/>
        <w:jc w:val="both"/>
        <w:rPr>
          <w:rFonts w:ascii="Times New Roman" w:eastAsia="Times New Roman" w:hAnsi="Times New Roman" w:cs="Times New Roman"/>
          <w:sz w:val="24"/>
          <w:szCs w:val="24"/>
        </w:rPr>
      </w:pPr>
      <w:r w:rsidRPr="004045C9">
        <w:rPr>
          <w:rFonts w:ascii="Times New Roman" w:eastAsia="Times New Roman" w:hAnsi="Times New Roman" w:cs="Times New Roman"/>
          <w:sz w:val="24"/>
          <w:szCs w:val="24"/>
        </w:rPr>
        <w:t xml:space="preserve">England, H. (2026) </w:t>
      </w:r>
      <w:r w:rsidRPr="004045C9">
        <w:rPr>
          <w:rFonts w:ascii="Times New Roman" w:eastAsia="Times New Roman" w:hAnsi="Times New Roman" w:cs="Times New Roman"/>
          <w:i/>
          <w:iCs/>
          <w:sz w:val="24"/>
          <w:szCs w:val="24"/>
        </w:rPr>
        <w:t>Delivering quality: mobility hubs</w:t>
      </w:r>
      <w:r w:rsidRPr="004045C9">
        <w:rPr>
          <w:rFonts w:ascii="Times New Roman" w:eastAsia="Times New Roman" w:hAnsi="Times New Roman" w:cs="Times New Roman"/>
          <w:sz w:val="24"/>
          <w:szCs w:val="24"/>
        </w:rPr>
        <w:t xml:space="preserve">. [online] </w:t>
      </w:r>
      <w:r w:rsidRPr="004045C9">
        <w:rPr>
          <w:rFonts w:ascii="Times New Roman" w:eastAsia="Times New Roman" w:hAnsi="Times New Roman" w:cs="Times New Roman"/>
          <w:i/>
          <w:iCs/>
          <w:sz w:val="24"/>
          <w:szCs w:val="24"/>
        </w:rPr>
        <w:t>GOV.UK</w:t>
      </w:r>
      <w:r w:rsidRPr="004045C9">
        <w:rPr>
          <w:rFonts w:ascii="Times New Roman" w:eastAsia="Times New Roman" w:hAnsi="Times New Roman" w:cs="Times New Roman"/>
          <w:sz w:val="24"/>
          <w:szCs w:val="24"/>
        </w:rPr>
        <w:t>. Available at: https://www.gov.uk/government/publications/sustainable-placemaking-guidance-for-mobility-hubs/delivering-quality-mobility-hubs-html [Accessed 30 July 2026].</w:t>
      </w:r>
    </w:p>
    <w:p w14:paraId="458E5479" w14:textId="77777777" w:rsidR="007655ED" w:rsidRPr="004045C9" w:rsidRDefault="007655ED" w:rsidP="004045C9">
      <w:pPr>
        <w:spacing w:line="360" w:lineRule="auto"/>
        <w:jc w:val="both"/>
        <w:rPr>
          <w:rFonts w:ascii="Times New Roman" w:eastAsia="Times New Roman" w:hAnsi="Times New Roman" w:cs="Times New Roman"/>
          <w:color w:val="1155CC"/>
          <w:sz w:val="24"/>
          <w:szCs w:val="24"/>
          <w:u w:val="single"/>
        </w:rPr>
      </w:pPr>
      <w:r w:rsidRPr="004045C9">
        <w:rPr>
          <w:rFonts w:ascii="Times New Roman" w:eastAsia="Times New Roman" w:hAnsi="Times New Roman" w:cs="Times New Roman"/>
          <w:sz w:val="24"/>
          <w:szCs w:val="24"/>
        </w:rPr>
        <w:t xml:space="preserve">Guo, S., Li, J., He, J., Luo, W. and Chen, B., (2022). A modified risk matrix method for </w:t>
      </w:r>
      <w:proofErr w:type="spellStart"/>
      <w:r w:rsidRPr="004045C9">
        <w:rPr>
          <w:rFonts w:ascii="Times New Roman" w:eastAsia="Times New Roman" w:hAnsi="Times New Roman" w:cs="Times New Roman"/>
          <w:sz w:val="24"/>
          <w:szCs w:val="24"/>
        </w:rPr>
        <w:t>behavioral</w:t>
      </w:r>
      <w:proofErr w:type="spellEnd"/>
      <w:r w:rsidRPr="004045C9">
        <w:rPr>
          <w:rFonts w:ascii="Times New Roman" w:eastAsia="Times New Roman" w:hAnsi="Times New Roman" w:cs="Times New Roman"/>
          <w:sz w:val="24"/>
          <w:szCs w:val="24"/>
        </w:rPr>
        <w:t xml:space="preserve"> risk evaluation in the construction industry. </w:t>
      </w:r>
      <w:r w:rsidRPr="004045C9">
        <w:rPr>
          <w:rFonts w:ascii="Times New Roman" w:eastAsia="Times New Roman" w:hAnsi="Times New Roman" w:cs="Times New Roman"/>
          <w:i/>
          <w:iCs/>
          <w:sz w:val="24"/>
          <w:szCs w:val="24"/>
        </w:rPr>
        <w:t>Journal of Asian Architecture and Building Engineering</w:t>
      </w:r>
      <w:r w:rsidRPr="004045C9">
        <w:rPr>
          <w:rFonts w:ascii="Times New Roman" w:eastAsia="Times New Roman" w:hAnsi="Times New Roman" w:cs="Times New Roman"/>
          <w:sz w:val="24"/>
          <w:szCs w:val="24"/>
        </w:rPr>
        <w:t xml:space="preserve">, </w:t>
      </w:r>
      <w:r w:rsidRPr="004045C9">
        <w:rPr>
          <w:rFonts w:ascii="Times New Roman" w:eastAsia="Times New Roman" w:hAnsi="Times New Roman" w:cs="Times New Roman"/>
          <w:i/>
          <w:iCs/>
          <w:sz w:val="24"/>
          <w:szCs w:val="24"/>
        </w:rPr>
        <w:t>21</w:t>
      </w:r>
      <w:r w:rsidRPr="004045C9">
        <w:rPr>
          <w:rFonts w:ascii="Times New Roman" w:eastAsia="Times New Roman" w:hAnsi="Times New Roman" w:cs="Times New Roman"/>
          <w:sz w:val="24"/>
          <w:szCs w:val="24"/>
        </w:rPr>
        <w:t>(3), pp.1053-1066.</w:t>
      </w:r>
      <w:hyperlink r:id="rId38">
        <w:r w:rsidRPr="004045C9">
          <w:rPr>
            <w:rFonts w:ascii="Times New Roman" w:eastAsia="Times New Roman" w:hAnsi="Times New Roman" w:cs="Times New Roman"/>
            <w:sz w:val="24"/>
            <w:szCs w:val="24"/>
          </w:rPr>
          <w:t xml:space="preserve"> </w:t>
        </w:r>
      </w:hyperlink>
      <w:hyperlink r:id="rId39">
        <w:r w:rsidRPr="004045C9">
          <w:rPr>
            <w:rFonts w:ascii="Times New Roman" w:eastAsia="Times New Roman" w:hAnsi="Times New Roman" w:cs="Times New Roman"/>
            <w:color w:val="1155CC"/>
            <w:sz w:val="24"/>
            <w:szCs w:val="24"/>
            <w:u w:val="single"/>
          </w:rPr>
          <w:t>https://doi.org/10.1080/13467581.2021.1905647</w:t>
        </w:r>
      </w:hyperlink>
    </w:p>
    <w:p w14:paraId="458E547A" w14:textId="77777777" w:rsidR="007655ED" w:rsidRPr="004045C9" w:rsidRDefault="007655ED" w:rsidP="004045C9">
      <w:pPr>
        <w:spacing w:line="360" w:lineRule="auto"/>
        <w:jc w:val="both"/>
        <w:rPr>
          <w:rFonts w:ascii="Times New Roman" w:eastAsia="Times New Roman" w:hAnsi="Times New Roman" w:cs="Times New Roman"/>
          <w:sz w:val="24"/>
          <w:szCs w:val="24"/>
        </w:rPr>
      </w:pPr>
      <w:r w:rsidRPr="004045C9">
        <w:rPr>
          <w:rFonts w:ascii="Times New Roman" w:eastAsia="Times New Roman" w:hAnsi="Times New Roman" w:cs="Times New Roman"/>
          <w:sz w:val="24"/>
          <w:szCs w:val="24"/>
        </w:rPr>
        <w:t xml:space="preserve">Hollmann, S., </w:t>
      </w:r>
      <w:proofErr w:type="spellStart"/>
      <w:r w:rsidRPr="004045C9">
        <w:rPr>
          <w:rFonts w:ascii="Times New Roman" w:eastAsia="Times New Roman" w:hAnsi="Times New Roman" w:cs="Times New Roman"/>
          <w:sz w:val="24"/>
          <w:szCs w:val="24"/>
        </w:rPr>
        <w:t>Regierer</w:t>
      </w:r>
      <w:proofErr w:type="spellEnd"/>
      <w:r w:rsidRPr="004045C9">
        <w:rPr>
          <w:rFonts w:ascii="Times New Roman" w:eastAsia="Times New Roman" w:hAnsi="Times New Roman" w:cs="Times New Roman"/>
          <w:sz w:val="24"/>
          <w:szCs w:val="24"/>
        </w:rPr>
        <w:t xml:space="preserve">, B., </w:t>
      </w:r>
      <w:proofErr w:type="spellStart"/>
      <w:r w:rsidRPr="004045C9">
        <w:rPr>
          <w:rFonts w:ascii="Times New Roman" w:eastAsia="Times New Roman" w:hAnsi="Times New Roman" w:cs="Times New Roman"/>
          <w:sz w:val="24"/>
          <w:szCs w:val="24"/>
        </w:rPr>
        <w:t>Bechis</w:t>
      </w:r>
      <w:proofErr w:type="spellEnd"/>
      <w:r w:rsidRPr="004045C9">
        <w:rPr>
          <w:rFonts w:ascii="Times New Roman" w:eastAsia="Times New Roman" w:hAnsi="Times New Roman" w:cs="Times New Roman"/>
          <w:sz w:val="24"/>
          <w:szCs w:val="24"/>
        </w:rPr>
        <w:t xml:space="preserve">, J., Tobin, L. and D’Elia, D., (2022). Ten simple rules on how to develop a stakeholder engagement plan. </w:t>
      </w:r>
      <w:proofErr w:type="spellStart"/>
      <w:r w:rsidRPr="004045C9">
        <w:rPr>
          <w:rFonts w:ascii="Times New Roman" w:eastAsia="Times New Roman" w:hAnsi="Times New Roman" w:cs="Times New Roman"/>
          <w:i/>
          <w:iCs/>
          <w:sz w:val="24"/>
          <w:szCs w:val="24"/>
        </w:rPr>
        <w:t>PLoS</w:t>
      </w:r>
      <w:proofErr w:type="spellEnd"/>
      <w:r w:rsidRPr="004045C9">
        <w:rPr>
          <w:rFonts w:ascii="Times New Roman" w:eastAsia="Times New Roman" w:hAnsi="Times New Roman" w:cs="Times New Roman"/>
          <w:i/>
          <w:iCs/>
          <w:sz w:val="24"/>
          <w:szCs w:val="24"/>
        </w:rPr>
        <w:t xml:space="preserve"> Computational Biology</w:t>
      </w:r>
      <w:r w:rsidRPr="004045C9">
        <w:rPr>
          <w:rFonts w:ascii="Times New Roman" w:eastAsia="Times New Roman" w:hAnsi="Times New Roman" w:cs="Times New Roman"/>
          <w:sz w:val="24"/>
          <w:szCs w:val="24"/>
        </w:rPr>
        <w:t xml:space="preserve">, </w:t>
      </w:r>
      <w:r w:rsidRPr="004045C9">
        <w:rPr>
          <w:rFonts w:ascii="Times New Roman" w:eastAsia="Times New Roman" w:hAnsi="Times New Roman" w:cs="Times New Roman"/>
          <w:i/>
          <w:iCs/>
          <w:sz w:val="24"/>
          <w:szCs w:val="24"/>
        </w:rPr>
        <w:t>18</w:t>
      </w:r>
      <w:r w:rsidRPr="004045C9">
        <w:rPr>
          <w:rFonts w:ascii="Times New Roman" w:eastAsia="Times New Roman" w:hAnsi="Times New Roman" w:cs="Times New Roman"/>
          <w:sz w:val="24"/>
          <w:szCs w:val="24"/>
        </w:rPr>
        <w:t>(10), pp.1-12. https://doi.org/ 10.1371/journal.pcbi.1010520</w:t>
      </w:r>
    </w:p>
    <w:p w14:paraId="458E547B" w14:textId="77777777" w:rsidR="007655ED" w:rsidRPr="004045C9" w:rsidRDefault="007655ED" w:rsidP="004045C9">
      <w:pPr>
        <w:spacing w:line="360" w:lineRule="auto"/>
        <w:jc w:val="both"/>
        <w:rPr>
          <w:rFonts w:ascii="Times New Roman" w:eastAsia="Times New Roman" w:hAnsi="Times New Roman" w:cs="Times New Roman"/>
          <w:sz w:val="24"/>
          <w:szCs w:val="24"/>
        </w:rPr>
      </w:pPr>
      <w:r w:rsidRPr="004045C9">
        <w:rPr>
          <w:rFonts w:ascii="Times New Roman" w:eastAsia="Times New Roman" w:hAnsi="Times New Roman" w:cs="Times New Roman"/>
          <w:sz w:val="24"/>
          <w:szCs w:val="24"/>
        </w:rPr>
        <w:t xml:space="preserve">Kerzner, H., (2025) </w:t>
      </w:r>
      <w:r w:rsidRPr="004045C9">
        <w:rPr>
          <w:rFonts w:ascii="Times New Roman" w:eastAsia="Times New Roman" w:hAnsi="Times New Roman" w:cs="Times New Roman"/>
          <w:i/>
          <w:iCs/>
          <w:sz w:val="24"/>
          <w:szCs w:val="24"/>
        </w:rPr>
        <w:t>Project management: a systems approach to planning, scheduling, and controlling</w:t>
      </w:r>
      <w:r w:rsidRPr="004045C9">
        <w:rPr>
          <w:rFonts w:ascii="Times New Roman" w:eastAsia="Times New Roman" w:hAnsi="Times New Roman" w:cs="Times New Roman"/>
          <w:sz w:val="24"/>
          <w:szCs w:val="24"/>
        </w:rPr>
        <w:t xml:space="preserve">. John Wiley &amp; Sons. </w:t>
      </w:r>
    </w:p>
    <w:p w14:paraId="458E547C" w14:textId="77777777" w:rsidR="007655ED" w:rsidRPr="004045C9" w:rsidRDefault="007655ED" w:rsidP="004045C9">
      <w:pPr>
        <w:spacing w:line="360" w:lineRule="auto"/>
        <w:jc w:val="both"/>
        <w:rPr>
          <w:rFonts w:ascii="Times New Roman" w:eastAsia="Times New Roman" w:hAnsi="Times New Roman" w:cs="Times New Roman"/>
          <w:sz w:val="24"/>
          <w:szCs w:val="24"/>
        </w:rPr>
      </w:pPr>
      <w:r w:rsidRPr="004045C9">
        <w:rPr>
          <w:rFonts w:ascii="Times New Roman" w:eastAsia="Times New Roman" w:hAnsi="Times New Roman" w:cs="Times New Roman"/>
          <w:sz w:val="24"/>
          <w:szCs w:val="24"/>
        </w:rPr>
        <w:t xml:space="preserve">Leyba, A.C.G., Rana, M.Q., Salazar, A.M., Oladinrin, O.T. and Lee, A., (2024) Deploying the hybrid project management methodology framework in major transportation projects in the United Kingdom. </w:t>
      </w:r>
      <w:r w:rsidRPr="004045C9">
        <w:rPr>
          <w:rFonts w:ascii="Times New Roman" w:eastAsia="Times New Roman" w:hAnsi="Times New Roman" w:cs="Times New Roman"/>
          <w:i/>
          <w:iCs/>
          <w:sz w:val="24"/>
          <w:szCs w:val="24"/>
        </w:rPr>
        <w:t>Journal of Architectural Engineering Technology</w:t>
      </w:r>
      <w:r w:rsidRPr="004045C9">
        <w:rPr>
          <w:rFonts w:ascii="Times New Roman" w:eastAsia="Times New Roman" w:hAnsi="Times New Roman" w:cs="Times New Roman"/>
          <w:sz w:val="24"/>
          <w:szCs w:val="24"/>
        </w:rPr>
        <w:t xml:space="preserve">, </w:t>
      </w:r>
      <w:r w:rsidRPr="004045C9">
        <w:rPr>
          <w:rFonts w:ascii="Times New Roman" w:eastAsia="Times New Roman" w:hAnsi="Times New Roman" w:cs="Times New Roman"/>
          <w:i/>
          <w:iCs/>
          <w:sz w:val="24"/>
          <w:szCs w:val="24"/>
        </w:rPr>
        <w:t>13</w:t>
      </w:r>
      <w:r w:rsidRPr="004045C9">
        <w:rPr>
          <w:rFonts w:ascii="Times New Roman" w:eastAsia="Times New Roman" w:hAnsi="Times New Roman" w:cs="Times New Roman"/>
          <w:sz w:val="24"/>
          <w:szCs w:val="24"/>
        </w:rPr>
        <w:t xml:space="preserve">(2), pp. 1-9. </w:t>
      </w:r>
      <w:hyperlink r:id="rId40">
        <w:r w:rsidRPr="004045C9">
          <w:rPr>
            <w:rFonts w:ascii="Times New Roman" w:eastAsia="Times New Roman" w:hAnsi="Times New Roman" w:cs="Times New Roman"/>
            <w:sz w:val="24"/>
            <w:szCs w:val="24"/>
            <w:u w:val="single"/>
          </w:rPr>
          <w:t>https://salford-repository.worktribe.com/file/2714805/1/Published%20Version</w:t>
        </w:r>
      </w:hyperlink>
    </w:p>
    <w:p w14:paraId="458E547D" w14:textId="77777777" w:rsidR="007655ED" w:rsidRPr="004045C9" w:rsidRDefault="007655ED" w:rsidP="004045C9">
      <w:pPr>
        <w:spacing w:line="360" w:lineRule="auto"/>
        <w:jc w:val="both"/>
        <w:rPr>
          <w:rFonts w:ascii="Times New Roman" w:eastAsia="Times New Roman" w:hAnsi="Times New Roman" w:cs="Times New Roman"/>
          <w:color w:val="1155CC"/>
          <w:sz w:val="24"/>
          <w:szCs w:val="24"/>
          <w:u w:val="single"/>
        </w:rPr>
      </w:pPr>
      <w:r w:rsidRPr="004045C9">
        <w:rPr>
          <w:rFonts w:ascii="Times New Roman" w:eastAsia="Times New Roman" w:hAnsi="Times New Roman" w:cs="Times New Roman"/>
          <w:sz w:val="24"/>
          <w:szCs w:val="24"/>
        </w:rPr>
        <w:t xml:space="preserve">Li, P., Ren, C. and Lei, Y., (2025). Research on Enhancing Resource Allocation Efficiency on Construction Sites of Building Projects Based on Efficient Calculation Methods. </w:t>
      </w:r>
      <w:r w:rsidRPr="004045C9">
        <w:rPr>
          <w:rFonts w:ascii="Times New Roman" w:eastAsia="Times New Roman" w:hAnsi="Times New Roman" w:cs="Times New Roman"/>
          <w:i/>
          <w:iCs/>
          <w:sz w:val="24"/>
          <w:szCs w:val="24"/>
        </w:rPr>
        <w:t>International Journal for Housing Science &amp; Its Applications</w:t>
      </w:r>
      <w:r w:rsidRPr="004045C9">
        <w:rPr>
          <w:rFonts w:ascii="Times New Roman" w:eastAsia="Times New Roman" w:hAnsi="Times New Roman" w:cs="Times New Roman"/>
          <w:sz w:val="24"/>
          <w:szCs w:val="24"/>
        </w:rPr>
        <w:t xml:space="preserve">, </w:t>
      </w:r>
      <w:r w:rsidRPr="004045C9">
        <w:rPr>
          <w:rFonts w:ascii="Times New Roman" w:eastAsia="Times New Roman" w:hAnsi="Times New Roman" w:cs="Times New Roman"/>
          <w:i/>
          <w:iCs/>
          <w:sz w:val="24"/>
          <w:szCs w:val="24"/>
        </w:rPr>
        <w:t>46</w:t>
      </w:r>
      <w:r w:rsidRPr="004045C9">
        <w:rPr>
          <w:rFonts w:ascii="Times New Roman" w:eastAsia="Times New Roman" w:hAnsi="Times New Roman" w:cs="Times New Roman"/>
          <w:sz w:val="24"/>
          <w:szCs w:val="24"/>
        </w:rPr>
        <w:t>(3), pp.1-16.</w:t>
      </w:r>
      <w:hyperlink r:id="rId41">
        <w:r w:rsidRPr="004045C9">
          <w:rPr>
            <w:rFonts w:ascii="Times New Roman" w:eastAsia="Times New Roman" w:hAnsi="Times New Roman" w:cs="Times New Roman"/>
            <w:sz w:val="24"/>
            <w:szCs w:val="24"/>
          </w:rPr>
          <w:t xml:space="preserve"> </w:t>
        </w:r>
      </w:hyperlink>
      <w:hyperlink r:id="rId42">
        <w:r w:rsidRPr="004045C9">
          <w:rPr>
            <w:rFonts w:ascii="Times New Roman" w:eastAsia="Times New Roman" w:hAnsi="Times New Roman" w:cs="Times New Roman"/>
            <w:color w:val="1155CC"/>
            <w:sz w:val="24"/>
            <w:szCs w:val="24"/>
            <w:u w:val="single"/>
          </w:rPr>
          <w:t>https://doi.org/10.70517/ijhsa46329</w:t>
        </w:r>
      </w:hyperlink>
    </w:p>
    <w:p w14:paraId="458E547E" w14:textId="77777777" w:rsidR="007655ED" w:rsidRPr="004045C9" w:rsidRDefault="007655ED" w:rsidP="004045C9">
      <w:pPr>
        <w:spacing w:line="360" w:lineRule="auto"/>
        <w:jc w:val="both"/>
        <w:rPr>
          <w:rFonts w:ascii="Times New Roman" w:eastAsia="Times New Roman" w:hAnsi="Times New Roman" w:cs="Times New Roman"/>
          <w:sz w:val="24"/>
          <w:szCs w:val="24"/>
        </w:rPr>
      </w:pPr>
      <w:r w:rsidRPr="004045C9">
        <w:rPr>
          <w:rFonts w:ascii="Times New Roman" w:eastAsia="Times New Roman" w:hAnsi="Times New Roman" w:cs="Times New Roman"/>
          <w:sz w:val="24"/>
          <w:szCs w:val="24"/>
        </w:rPr>
        <w:t xml:space="preserve">Maqbool, R., Rashid, Y. and Ashfaq, S., (2022). Renewable energy project success: Internal versus external stakeholders' satisfaction and influences of power‐interest matrix. </w:t>
      </w:r>
      <w:r w:rsidRPr="004045C9">
        <w:rPr>
          <w:rFonts w:ascii="Times New Roman" w:eastAsia="Times New Roman" w:hAnsi="Times New Roman" w:cs="Times New Roman"/>
          <w:i/>
          <w:iCs/>
          <w:sz w:val="24"/>
          <w:szCs w:val="24"/>
        </w:rPr>
        <w:t>Sustainable Development</w:t>
      </w:r>
      <w:r w:rsidRPr="004045C9">
        <w:rPr>
          <w:rFonts w:ascii="Times New Roman" w:eastAsia="Times New Roman" w:hAnsi="Times New Roman" w:cs="Times New Roman"/>
          <w:sz w:val="24"/>
          <w:szCs w:val="24"/>
        </w:rPr>
        <w:t xml:space="preserve">, </w:t>
      </w:r>
      <w:r w:rsidRPr="004045C9">
        <w:rPr>
          <w:rFonts w:ascii="Times New Roman" w:eastAsia="Times New Roman" w:hAnsi="Times New Roman" w:cs="Times New Roman"/>
          <w:i/>
          <w:iCs/>
          <w:sz w:val="24"/>
          <w:szCs w:val="24"/>
        </w:rPr>
        <w:t>30</w:t>
      </w:r>
      <w:r w:rsidRPr="004045C9">
        <w:rPr>
          <w:rFonts w:ascii="Times New Roman" w:eastAsia="Times New Roman" w:hAnsi="Times New Roman" w:cs="Times New Roman"/>
          <w:sz w:val="24"/>
          <w:szCs w:val="24"/>
        </w:rPr>
        <w:t>(6), pp.1542-1561. DOI: 10.1002/sd.2327</w:t>
      </w:r>
    </w:p>
    <w:p w14:paraId="458E547F" w14:textId="77777777" w:rsidR="007655ED" w:rsidRPr="004045C9" w:rsidRDefault="007655ED" w:rsidP="004045C9">
      <w:pPr>
        <w:spacing w:line="360" w:lineRule="auto"/>
        <w:jc w:val="both"/>
        <w:rPr>
          <w:rFonts w:ascii="Times New Roman" w:eastAsia="Times New Roman" w:hAnsi="Times New Roman" w:cs="Times New Roman"/>
          <w:sz w:val="24"/>
          <w:szCs w:val="24"/>
        </w:rPr>
      </w:pPr>
      <w:proofErr w:type="spellStart"/>
      <w:r w:rsidRPr="004045C9">
        <w:rPr>
          <w:rFonts w:ascii="Times New Roman" w:eastAsia="Times New Roman" w:hAnsi="Times New Roman" w:cs="Times New Roman"/>
          <w:sz w:val="24"/>
          <w:szCs w:val="24"/>
        </w:rPr>
        <w:t>Oyegoke</w:t>
      </w:r>
      <w:proofErr w:type="spellEnd"/>
      <w:r w:rsidRPr="004045C9">
        <w:rPr>
          <w:rFonts w:ascii="Times New Roman" w:eastAsia="Times New Roman" w:hAnsi="Times New Roman" w:cs="Times New Roman"/>
          <w:sz w:val="24"/>
          <w:szCs w:val="24"/>
        </w:rPr>
        <w:t xml:space="preserve">, A.S., Powell, R., Ajayi, S., </w:t>
      </w:r>
      <w:proofErr w:type="spellStart"/>
      <w:r w:rsidRPr="004045C9">
        <w:rPr>
          <w:rFonts w:ascii="Times New Roman" w:eastAsia="Times New Roman" w:hAnsi="Times New Roman" w:cs="Times New Roman"/>
          <w:sz w:val="24"/>
          <w:szCs w:val="24"/>
        </w:rPr>
        <w:t>Godawatte</w:t>
      </w:r>
      <w:proofErr w:type="spellEnd"/>
      <w:r w:rsidRPr="004045C9">
        <w:rPr>
          <w:rFonts w:ascii="Times New Roman" w:eastAsia="Times New Roman" w:hAnsi="Times New Roman" w:cs="Times New Roman"/>
          <w:sz w:val="24"/>
          <w:szCs w:val="24"/>
        </w:rPr>
        <w:t xml:space="preserve">, G.A.G.R. and </w:t>
      </w:r>
      <w:proofErr w:type="spellStart"/>
      <w:r w:rsidRPr="004045C9">
        <w:rPr>
          <w:rFonts w:ascii="Times New Roman" w:eastAsia="Times New Roman" w:hAnsi="Times New Roman" w:cs="Times New Roman"/>
          <w:sz w:val="24"/>
          <w:szCs w:val="24"/>
        </w:rPr>
        <w:t>Akenroye</w:t>
      </w:r>
      <w:proofErr w:type="spellEnd"/>
      <w:r w:rsidRPr="004045C9">
        <w:rPr>
          <w:rFonts w:ascii="Times New Roman" w:eastAsia="Times New Roman" w:hAnsi="Times New Roman" w:cs="Times New Roman"/>
          <w:sz w:val="24"/>
          <w:szCs w:val="24"/>
        </w:rPr>
        <w:t xml:space="preserve">, T., (2022) Factors affecting the selection of effective cost control techniques in the UK construction industry. </w:t>
      </w:r>
      <w:r w:rsidRPr="004045C9">
        <w:rPr>
          <w:rFonts w:ascii="Times New Roman" w:eastAsia="Times New Roman" w:hAnsi="Times New Roman" w:cs="Times New Roman"/>
          <w:i/>
          <w:iCs/>
          <w:sz w:val="24"/>
          <w:szCs w:val="24"/>
        </w:rPr>
        <w:lastRenderedPageBreak/>
        <w:t>Journal of Financial Management of Property and Construction</w:t>
      </w:r>
      <w:r w:rsidRPr="004045C9">
        <w:rPr>
          <w:rFonts w:ascii="Times New Roman" w:eastAsia="Times New Roman" w:hAnsi="Times New Roman" w:cs="Times New Roman"/>
          <w:sz w:val="24"/>
          <w:szCs w:val="24"/>
        </w:rPr>
        <w:t xml:space="preserve">, </w:t>
      </w:r>
      <w:r w:rsidRPr="004045C9">
        <w:rPr>
          <w:rFonts w:ascii="Times New Roman" w:eastAsia="Times New Roman" w:hAnsi="Times New Roman" w:cs="Times New Roman"/>
          <w:i/>
          <w:iCs/>
          <w:sz w:val="24"/>
          <w:szCs w:val="24"/>
        </w:rPr>
        <w:t>27</w:t>
      </w:r>
      <w:r w:rsidRPr="004045C9">
        <w:rPr>
          <w:rFonts w:ascii="Times New Roman" w:eastAsia="Times New Roman" w:hAnsi="Times New Roman" w:cs="Times New Roman"/>
          <w:sz w:val="24"/>
          <w:szCs w:val="24"/>
        </w:rPr>
        <w:t xml:space="preserve">(2), pp.141-160. </w:t>
      </w:r>
      <w:hyperlink r:id="rId43">
        <w:r w:rsidRPr="004045C9">
          <w:rPr>
            <w:rFonts w:ascii="Times New Roman" w:eastAsia="Times New Roman" w:hAnsi="Times New Roman" w:cs="Times New Roman"/>
            <w:sz w:val="24"/>
            <w:szCs w:val="24"/>
            <w:u w:val="single"/>
          </w:rPr>
          <w:t>https://www.emerald.com/jfmpc/article/27/2/141/227153</w:t>
        </w:r>
      </w:hyperlink>
    </w:p>
    <w:p w14:paraId="458E5480" w14:textId="77777777" w:rsidR="007655ED" w:rsidRPr="004045C9" w:rsidRDefault="007655ED" w:rsidP="004045C9">
      <w:pPr>
        <w:spacing w:line="360" w:lineRule="auto"/>
        <w:jc w:val="both"/>
        <w:rPr>
          <w:rFonts w:ascii="Times New Roman" w:eastAsia="Times New Roman" w:hAnsi="Times New Roman" w:cs="Times New Roman"/>
          <w:sz w:val="24"/>
          <w:szCs w:val="24"/>
        </w:rPr>
      </w:pPr>
      <w:proofErr w:type="spellStart"/>
      <w:r w:rsidRPr="004045C9">
        <w:rPr>
          <w:rFonts w:ascii="Times New Roman" w:eastAsia="Times New Roman" w:hAnsi="Times New Roman" w:cs="Times New Roman"/>
          <w:sz w:val="24"/>
          <w:szCs w:val="24"/>
        </w:rPr>
        <w:t>Oyekunle</w:t>
      </w:r>
      <w:proofErr w:type="spellEnd"/>
      <w:r w:rsidRPr="004045C9">
        <w:rPr>
          <w:rFonts w:ascii="Times New Roman" w:eastAsia="Times New Roman" w:hAnsi="Times New Roman" w:cs="Times New Roman"/>
          <w:sz w:val="24"/>
          <w:szCs w:val="24"/>
        </w:rPr>
        <w:t xml:space="preserve">, D.O.T., Abbey, T.I. and Ibeh, F., (2024) Project management dynamics: Shaping success in UK construction projects. </w:t>
      </w:r>
      <w:r w:rsidRPr="004045C9">
        <w:rPr>
          <w:rFonts w:ascii="Times New Roman" w:eastAsia="Times New Roman" w:hAnsi="Times New Roman" w:cs="Times New Roman"/>
          <w:i/>
          <w:iCs/>
          <w:sz w:val="24"/>
          <w:szCs w:val="24"/>
        </w:rPr>
        <w:t>Open Journal of Business and Management</w:t>
      </w:r>
      <w:r w:rsidRPr="004045C9">
        <w:rPr>
          <w:rFonts w:ascii="Times New Roman" w:eastAsia="Times New Roman" w:hAnsi="Times New Roman" w:cs="Times New Roman"/>
          <w:sz w:val="24"/>
          <w:szCs w:val="24"/>
        </w:rPr>
        <w:t xml:space="preserve">, </w:t>
      </w:r>
      <w:r w:rsidRPr="004045C9">
        <w:rPr>
          <w:rFonts w:ascii="Times New Roman" w:eastAsia="Times New Roman" w:hAnsi="Times New Roman" w:cs="Times New Roman"/>
          <w:i/>
          <w:iCs/>
          <w:sz w:val="24"/>
          <w:szCs w:val="24"/>
        </w:rPr>
        <w:t>12</w:t>
      </w:r>
      <w:r w:rsidRPr="004045C9">
        <w:rPr>
          <w:rFonts w:ascii="Times New Roman" w:eastAsia="Times New Roman" w:hAnsi="Times New Roman" w:cs="Times New Roman"/>
          <w:sz w:val="24"/>
          <w:szCs w:val="24"/>
        </w:rPr>
        <w:t xml:space="preserve">(4), pp. 2099-2117 </w:t>
      </w:r>
      <w:hyperlink r:id="rId44">
        <w:r w:rsidRPr="004045C9">
          <w:rPr>
            <w:rFonts w:ascii="Times New Roman" w:eastAsia="Times New Roman" w:hAnsi="Times New Roman" w:cs="Times New Roman"/>
            <w:sz w:val="24"/>
            <w:szCs w:val="24"/>
            <w:u w:val="single"/>
          </w:rPr>
          <w:t>https://papers.ssrn.com/sol3/papers.cfm?abstract_id=4862219</w:t>
        </w:r>
      </w:hyperlink>
    </w:p>
    <w:p w14:paraId="458E5481" w14:textId="77777777" w:rsidR="007655ED" w:rsidRPr="004045C9" w:rsidRDefault="007655ED" w:rsidP="004045C9">
      <w:pPr>
        <w:spacing w:line="360" w:lineRule="auto"/>
        <w:jc w:val="both"/>
        <w:rPr>
          <w:rFonts w:ascii="Times New Roman" w:eastAsia="Times New Roman" w:hAnsi="Times New Roman" w:cs="Times New Roman"/>
          <w:color w:val="1155CC"/>
          <w:sz w:val="24"/>
          <w:szCs w:val="24"/>
          <w:u w:val="single"/>
        </w:rPr>
      </w:pPr>
      <w:r w:rsidRPr="004045C9">
        <w:rPr>
          <w:rFonts w:ascii="Times New Roman" w:eastAsia="Times New Roman" w:hAnsi="Times New Roman" w:cs="Times New Roman"/>
          <w:sz w:val="24"/>
          <w:szCs w:val="24"/>
        </w:rPr>
        <w:t xml:space="preserve">Shayan, S., Pyung Kim, K. and Tam, V.W., (2022). Critical success factor analysis for effective risk management at the execution stage of a construction project. </w:t>
      </w:r>
      <w:r w:rsidRPr="004045C9">
        <w:rPr>
          <w:rFonts w:ascii="Times New Roman" w:eastAsia="Times New Roman" w:hAnsi="Times New Roman" w:cs="Times New Roman"/>
          <w:i/>
          <w:iCs/>
          <w:sz w:val="24"/>
          <w:szCs w:val="24"/>
        </w:rPr>
        <w:t>International Journal of Construction Management</w:t>
      </w:r>
      <w:r w:rsidRPr="004045C9">
        <w:rPr>
          <w:rFonts w:ascii="Times New Roman" w:eastAsia="Times New Roman" w:hAnsi="Times New Roman" w:cs="Times New Roman"/>
          <w:sz w:val="24"/>
          <w:szCs w:val="24"/>
        </w:rPr>
        <w:t xml:space="preserve">, </w:t>
      </w:r>
      <w:r w:rsidRPr="004045C9">
        <w:rPr>
          <w:rFonts w:ascii="Times New Roman" w:eastAsia="Times New Roman" w:hAnsi="Times New Roman" w:cs="Times New Roman"/>
          <w:i/>
          <w:iCs/>
          <w:sz w:val="24"/>
          <w:szCs w:val="24"/>
        </w:rPr>
        <w:t>22</w:t>
      </w:r>
      <w:r w:rsidRPr="004045C9">
        <w:rPr>
          <w:rFonts w:ascii="Times New Roman" w:eastAsia="Times New Roman" w:hAnsi="Times New Roman" w:cs="Times New Roman"/>
          <w:sz w:val="24"/>
          <w:szCs w:val="24"/>
        </w:rPr>
        <w:t>(3), pp.379-386.</w:t>
      </w:r>
      <w:hyperlink r:id="rId45">
        <w:r w:rsidRPr="004045C9">
          <w:rPr>
            <w:rFonts w:ascii="Times New Roman" w:eastAsia="Times New Roman" w:hAnsi="Times New Roman" w:cs="Times New Roman"/>
            <w:sz w:val="24"/>
            <w:szCs w:val="24"/>
          </w:rPr>
          <w:t xml:space="preserve"> </w:t>
        </w:r>
      </w:hyperlink>
      <w:hyperlink r:id="rId46">
        <w:r w:rsidRPr="004045C9">
          <w:rPr>
            <w:rFonts w:ascii="Times New Roman" w:eastAsia="Times New Roman" w:hAnsi="Times New Roman" w:cs="Times New Roman"/>
            <w:color w:val="1155CC"/>
            <w:sz w:val="24"/>
            <w:szCs w:val="24"/>
            <w:u w:val="single"/>
          </w:rPr>
          <w:t>https://doi.org/10.1080/15623599.2019.1624678</w:t>
        </w:r>
      </w:hyperlink>
    </w:p>
    <w:p w14:paraId="458E5482" w14:textId="77777777" w:rsidR="007655ED" w:rsidRDefault="007655ED" w:rsidP="004045C9">
      <w:pPr>
        <w:spacing w:line="360" w:lineRule="auto"/>
        <w:jc w:val="both"/>
        <w:rPr>
          <w:rFonts w:ascii="Times New Roman" w:eastAsia="Times New Roman" w:hAnsi="Times New Roman" w:cs="Times New Roman"/>
          <w:color w:val="1155CC"/>
          <w:sz w:val="24"/>
          <w:szCs w:val="24"/>
          <w:u w:val="single"/>
        </w:rPr>
      </w:pPr>
      <w:r w:rsidRPr="004045C9">
        <w:rPr>
          <w:rFonts w:ascii="Times New Roman" w:eastAsia="Times New Roman" w:hAnsi="Times New Roman" w:cs="Times New Roman"/>
          <w:sz w:val="24"/>
          <w:szCs w:val="24"/>
        </w:rPr>
        <w:t xml:space="preserve">Wang, R., (2022). Organizational commitment in the nonprofit sector and the underlying impact of stakeholders and organizational support. </w:t>
      </w:r>
      <w:r w:rsidRPr="004045C9">
        <w:rPr>
          <w:rFonts w:ascii="Times New Roman" w:eastAsia="Times New Roman" w:hAnsi="Times New Roman" w:cs="Times New Roman"/>
          <w:i/>
          <w:iCs/>
          <w:sz w:val="24"/>
          <w:szCs w:val="24"/>
        </w:rPr>
        <w:t>VOLUNTAS: International Journal of Voluntary and Nonprofit Organizations</w:t>
      </w:r>
      <w:r w:rsidRPr="004045C9">
        <w:rPr>
          <w:rFonts w:ascii="Times New Roman" w:eastAsia="Times New Roman" w:hAnsi="Times New Roman" w:cs="Times New Roman"/>
          <w:sz w:val="24"/>
          <w:szCs w:val="24"/>
        </w:rPr>
        <w:t xml:space="preserve">, </w:t>
      </w:r>
      <w:r w:rsidRPr="004045C9">
        <w:rPr>
          <w:rFonts w:ascii="Times New Roman" w:eastAsia="Times New Roman" w:hAnsi="Times New Roman" w:cs="Times New Roman"/>
          <w:i/>
          <w:iCs/>
          <w:sz w:val="24"/>
          <w:szCs w:val="24"/>
        </w:rPr>
        <w:t>33</w:t>
      </w:r>
      <w:r w:rsidRPr="004045C9">
        <w:rPr>
          <w:rFonts w:ascii="Times New Roman" w:eastAsia="Times New Roman" w:hAnsi="Times New Roman" w:cs="Times New Roman"/>
          <w:sz w:val="24"/>
          <w:szCs w:val="24"/>
        </w:rPr>
        <w:t>(3), pp.538-549.</w:t>
      </w:r>
      <w:hyperlink r:id="rId47">
        <w:r w:rsidRPr="004045C9">
          <w:rPr>
            <w:rFonts w:ascii="Times New Roman" w:eastAsia="Times New Roman" w:hAnsi="Times New Roman" w:cs="Times New Roman"/>
            <w:sz w:val="24"/>
            <w:szCs w:val="24"/>
          </w:rPr>
          <w:t xml:space="preserve"> </w:t>
        </w:r>
      </w:hyperlink>
      <w:hyperlink r:id="rId48">
        <w:r w:rsidRPr="004045C9">
          <w:rPr>
            <w:rFonts w:ascii="Times New Roman" w:eastAsia="Times New Roman" w:hAnsi="Times New Roman" w:cs="Times New Roman"/>
            <w:color w:val="1155CC"/>
            <w:sz w:val="24"/>
            <w:szCs w:val="24"/>
            <w:u w:val="single"/>
          </w:rPr>
          <w:t>https://doi.org/10.1007/s11266-021-00336-8</w:t>
        </w:r>
      </w:hyperlink>
    </w:p>
    <w:p w14:paraId="458E5483" w14:textId="77777777" w:rsidR="00E35BCC" w:rsidRDefault="00E35BCC">
      <w:pPr>
        <w:spacing w:line="360" w:lineRule="auto"/>
        <w:jc w:val="both"/>
        <w:rPr>
          <w:rFonts w:ascii="Times New Roman" w:eastAsia="Times New Roman" w:hAnsi="Times New Roman" w:cs="Times New Roman"/>
          <w:sz w:val="24"/>
          <w:szCs w:val="24"/>
        </w:rPr>
      </w:pPr>
    </w:p>
    <w:p w14:paraId="458E5484" w14:textId="77777777" w:rsidR="00E35BCC" w:rsidRDefault="00E35BCC">
      <w:pPr>
        <w:spacing w:line="360" w:lineRule="auto"/>
        <w:jc w:val="both"/>
        <w:rPr>
          <w:rFonts w:ascii="Times New Roman" w:eastAsia="Times New Roman" w:hAnsi="Times New Roman" w:cs="Times New Roman"/>
          <w:sz w:val="24"/>
          <w:szCs w:val="24"/>
        </w:rPr>
      </w:pPr>
    </w:p>
    <w:sectPr w:rsidR="00E35BCC">
      <w:headerReference w:type="even" r:id="rId49"/>
      <w:headerReference w:type="default" r:id="rId50"/>
      <w:footerReference w:type="even" r:id="rId51"/>
      <w:footerReference w:type="default" r:id="rId52"/>
      <w:headerReference w:type="first" r:id="rId53"/>
      <w:footerReference w:type="first" r:id="rId54"/>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89121" w14:textId="77777777" w:rsidR="001A3B5F" w:rsidRDefault="001A3B5F">
      <w:pPr>
        <w:spacing w:line="240" w:lineRule="auto"/>
      </w:pPr>
      <w:r>
        <w:separator/>
      </w:r>
    </w:p>
  </w:endnote>
  <w:endnote w:type="continuationSeparator" w:id="0">
    <w:p w14:paraId="1C8D67C3" w14:textId="77777777" w:rsidR="001A3B5F" w:rsidRDefault="001A3B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644FA96-9CC4-4B58-A64F-2F8CFF3321EE}"/>
  </w:font>
  <w:font w:name="Cambria">
    <w:panose1 w:val="02040503050406030204"/>
    <w:charset w:val="00"/>
    <w:family w:val="roman"/>
    <w:pitch w:val="variable"/>
    <w:sig w:usb0="E00006FF" w:usb1="420024FF" w:usb2="02000000" w:usb3="00000000" w:csb0="0000019F" w:csb1="00000000"/>
    <w:embedRegular r:id="rId2" w:fontKey="{0C4D82E9-CB7B-4C6B-8021-F6F04B682A28}"/>
    <w:embedBold r:id="rId3" w:fontKey="{4428446E-7E2C-49EE-B6E8-1F03E193B3E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674FB" w14:textId="77777777" w:rsidR="004440B9" w:rsidRDefault="004440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E54A5" w14:textId="77777777" w:rsidR="00E35BCC" w:rsidRDefault="00DF4501">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3A4015">
      <w:rPr>
        <w:rFonts w:ascii="Times New Roman" w:eastAsia="Times New Roman" w:hAnsi="Times New Roman" w:cs="Times New Roman"/>
        <w:noProof/>
        <w:sz w:val="20"/>
        <w:szCs w:val="20"/>
      </w:rPr>
      <w:t>30</w:t>
    </w:r>
    <w:r>
      <w:rPr>
        <w:rFonts w:ascii="Times New Roman" w:eastAsia="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E54A6" w14:textId="77777777" w:rsidR="00E35BCC" w:rsidRDefault="00E35B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78A3D" w14:textId="77777777" w:rsidR="001A3B5F" w:rsidRDefault="001A3B5F">
      <w:pPr>
        <w:spacing w:line="240" w:lineRule="auto"/>
      </w:pPr>
      <w:r>
        <w:separator/>
      </w:r>
    </w:p>
  </w:footnote>
  <w:footnote w:type="continuationSeparator" w:id="0">
    <w:p w14:paraId="73E5F865" w14:textId="77777777" w:rsidR="001A3B5F" w:rsidRDefault="001A3B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26A3D" w14:textId="77777777" w:rsidR="004440B9" w:rsidRDefault="004440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3BD53" w14:textId="77777777" w:rsidR="004440B9" w:rsidRDefault="004440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D90BD" w14:textId="73474A94" w:rsidR="004440B9" w:rsidRDefault="00E754DB">
    <w:pPr>
      <w:pStyle w:val="Header"/>
    </w:pPr>
    <w:r>
      <w:rPr>
        <w:noProof/>
      </w:rPr>
      <w:drawing>
        <wp:inline distT="0" distB="0" distL="0" distR="0" wp14:anchorId="07B7B9E0" wp14:editId="06A8B12F">
          <wp:extent cx="3250406" cy="1733550"/>
          <wp:effectExtent l="0" t="0" r="7620" b="0"/>
          <wp:docPr id="276802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3345" cy="174578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5D5897"/>
    <w:multiLevelType w:val="multilevel"/>
    <w:tmpl w:val="AE9665A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737094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BCC"/>
    <w:rsid w:val="00046C02"/>
    <w:rsid w:val="00071BDD"/>
    <w:rsid w:val="00156BF8"/>
    <w:rsid w:val="001A3B5F"/>
    <w:rsid w:val="001B5274"/>
    <w:rsid w:val="001D17FB"/>
    <w:rsid w:val="00226C37"/>
    <w:rsid w:val="00381244"/>
    <w:rsid w:val="003A31C3"/>
    <w:rsid w:val="003A4015"/>
    <w:rsid w:val="004045C9"/>
    <w:rsid w:val="0042042C"/>
    <w:rsid w:val="004440B9"/>
    <w:rsid w:val="00447BE9"/>
    <w:rsid w:val="004B79AC"/>
    <w:rsid w:val="004F5C2F"/>
    <w:rsid w:val="005533F3"/>
    <w:rsid w:val="00604094"/>
    <w:rsid w:val="00676851"/>
    <w:rsid w:val="007462A0"/>
    <w:rsid w:val="007568E6"/>
    <w:rsid w:val="007655ED"/>
    <w:rsid w:val="00777986"/>
    <w:rsid w:val="007E6347"/>
    <w:rsid w:val="00865D7D"/>
    <w:rsid w:val="00875738"/>
    <w:rsid w:val="008B6503"/>
    <w:rsid w:val="008F3CBB"/>
    <w:rsid w:val="009E43AD"/>
    <w:rsid w:val="00A13F4D"/>
    <w:rsid w:val="00AC6079"/>
    <w:rsid w:val="00AD2CD3"/>
    <w:rsid w:val="00B37CD2"/>
    <w:rsid w:val="00B71236"/>
    <w:rsid w:val="00BD3017"/>
    <w:rsid w:val="00C438F8"/>
    <w:rsid w:val="00C6747D"/>
    <w:rsid w:val="00D33142"/>
    <w:rsid w:val="00D56EF7"/>
    <w:rsid w:val="00D62149"/>
    <w:rsid w:val="00DA1B90"/>
    <w:rsid w:val="00DF4501"/>
    <w:rsid w:val="00E35BCC"/>
    <w:rsid w:val="00E754DB"/>
    <w:rsid w:val="00EF0349"/>
    <w:rsid w:val="00FB0EA0"/>
    <w:rsid w:val="00FC0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E5351"/>
  <w15:docId w15:val="{B43532D5-FDB2-43D5-AE05-BCC24C164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rsid w:val="005533F3"/>
    <w:pPr>
      <w:keepNext/>
      <w:keepLines/>
      <w:spacing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3A31C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A31C3"/>
    <w:pPr>
      <w:spacing w:after="100"/>
    </w:pPr>
  </w:style>
  <w:style w:type="character" w:styleId="Hyperlink">
    <w:name w:val="Hyperlink"/>
    <w:basedOn w:val="DefaultParagraphFont"/>
    <w:uiPriority w:val="99"/>
    <w:unhideWhenUsed/>
    <w:rsid w:val="003A31C3"/>
    <w:rPr>
      <w:color w:val="0000FF" w:themeColor="hyperlink"/>
      <w:u w:val="single"/>
    </w:rPr>
  </w:style>
  <w:style w:type="paragraph" w:styleId="ListParagraph">
    <w:name w:val="List Paragraph"/>
    <w:basedOn w:val="Normal"/>
    <w:uiPriority w:val="34"/>
    <w:qFormat/>
    <w:rsid w:val="007655ED"/>
    <w:pPr>
      <w:ind w:left="720"/>
      <w:contextualSpacing/>
    </w:pPr>
  </w:style>
  <w:style w:type="paragraph" w:styleId="NoSpacing">
    <w:name w:val="No Spacing"/>
    <w:uiPriority w:val="1"/>
    <w:qFormat/>
    <w:rsid w:val="007462A0"/>
    <w:pPr>
      <w:spacing w:line="360" w:lineRule="auto"/>
      <w:jc w:val="both"/>
    </w:pPr>
    <w:rPr>
      <w:rFonts w:ascii="Times New Roman" w:hAnsi="Times New Roman"/>
      <w:color w:val="000000" w:themeColor="text1"/>
      <w:sz w:val="24"/>
    </w:rPr>
  </w:style>
  <w:style w:type="table" w:styleId="TableGrid">
    <w:name w:val="Table Grid"/>
    <w:basedOn w:val="TableNormal"/>
    <w:uiPriority w:val="39"/>
    <w:rsid w:val="007462A0"/>
    <w:pPr>
      <w:spacing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5533F3"/>
    <w:pPr>
      <w:spacing w:after="100"/>
      <w:ind w:left="220"/>
    </w:pPr>
  </w:style>
  <w:style w:type="paragraph" w:styleId="Header">
    <w:name w:val="header"/>
    <w:basedOn w:val="Normal"/>
    <w:link w:val="HeaderChar"/>
    <w:uiPriority w:val="99"/>
    <w:unhideWhenUsed/>
    <w:rsid w:val="004440B9"/>
    <w:pPr>
      <w:tabs>
        <w:tab w:val="center" w:pos="4513"/>
        <w:tab w:val="right" w:pos="9026"/>
      </w:tabs>
      <w:spacing w:line="240" w:lineRule="auto"/>
    </w:pPr>
  </w:style>
  <w:style w:type="character" w:customStyle="1" w:styleId="HeaderChar">
    <w:name w:val="Header Char"/>
    <w:basedOn w:val="DefaultParagraphFont"/>
    <w:link w:val="Header"/>
    <w:uiPriority w:val="99"/>
    <w:rsid w:val="004440B9"/>
  </w:style>
  <w:style w:type="paragraph" w:styleId="Footer">
    <w:name w:val="footer"/>
    <w:basedOn w:val="Normal"/>
    <w:link w:val="FooterChar"/>
    <w:uiPriority w:val="99"/>
    <w:unhideWhenUsed/>
    <w:rsid w:val="004440B9"/>
    <w:pPr>
      <w:tabs>
        <w:tab w:val="center" w:pos="4513"/>
        <w:tab w:val="right" w:pos="9026"/>
      </w:tabs>
      <w:spacing w:line="240" w:lineRule="auto"/>
    </w:pPr>
  </w:style>
  <w:style w:type="character" w:customStyle="1" w:styleId="FooterChar">
    <w:name w:val="Footer Char"/>
    <w:basedOn w:val="DefaultParagraphFont"/>
    <w:link w:val="Footer"/>
    <w:uiPriority w:val="99"/>
    <w:rsid w:val="00444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gov.uk/government/publications/dft-annual-report-and-accounts-2024-to-2025/department-for-transport-annual-report-and-accounts-2024-to-2025-html-version" TargetMode="External"/><Relationship Id="rId39" Type="http://schemas.openxmlformats.org/officeDocument/2006/relationships/hyperlink" Target="https://doi.org/10.1080/13467581.2021.1905647" TargetMode="External"/><Relationship Id="rId21" Type="http://schemas.openxmlformats.org/officeDocument/2006/relationships/image" Target="media/image14.png"/><Relationship Id="rId34" Type="http://schemas.openxmlformats.org/officeDocument/2006/relationships/hyperlink" Target="https://doi.org/10.1080/1554480X.2022.2164500" TargetMode="External"/><Relationship Id="rId42" Type="http://schemas.openxmlformats.org/officeDocument/2006/relationships/hyperlink" Target="https://doi.org/10.70517/ijhsa46329" TargetMode="External"/><Relationship Id="rId47" Type="http://schemas.openxmlformats.org/officeDocument/2006/relationships/hyperlink" Target="https://doi.org/10.1007/s11266-021-00336-8"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3390/su16104094" TargetMode="External"/><Relationship Id="rId11" Type="http://schemas.openxmlformats.org/officeDocument/2006/relationships/image" Target="media/image4.png"/><Relationship Id="rId24" Type="http://schemas.openxmlformats.org/officeDocument/2006/relationships/hyperlink" Target="https://doi.org/10.3390/su13169274" TargetMode="External"/><Relationship Id="rId32" Type="http://schemas.openxmlformats.org/officeDocument/2006/relationships/hyperlink" Target="https://doi.org/10.3390/engproc2023044002" TargetMode="External"/><Relationship Id="rId37" Type="http://schemas.openxmlformats.org/officeDocument/2006/relationships/hyperlink" Target="https://doi.org/10.30574/wjarr.2025.25.1.0193" TargetMode="External"/><Relationship Id="rId40" Type="http://schemas.openxmlformats.org/officeDocument/2006/relationships/hyperlink" Target="https://salford-repository.worktribe.com/file/2714805/1/Published%20Version" TargetMode="External"/><Relationship Id="rId45" Type="http://schemas.openxmlformats.org/officeDocument/2006/relationships/hyperlink" Target="https://doi.org/10.1080/15623599.2019.1624678" TargetMode="External"/><Relationship Id="rId53"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3390/buildings15030347" TargetMode="External"/><Relationship Id="rId44" Type="http://schemas.openxmlformats.org/officeDocument/2006/relationships/hyperlink" Target="https://papers.ssrn.com/sol3/papers.cfm?abstract_id=4862219"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gov.uk/government/publications/dft-annual-report-and-accounts-2024-to-2025/department-for-transport-annual-report-and-accounts-2024-to-2025-html-version" TargetMode="External"/><Relationship Id="rId30" Type="http://schemas.openxmlformats.org/officeDocument/2006/relationships/hyperlink" Target="https://doi.org/10.3390/buildings15030347" TargetMode="External"/><Relationship Id="rId35" Type="http://schemas.openxmlformats.org/officeDocument/2006/relationships/hyperlink" Target="https://doi.org/10.1080/1554480X.2022.2164500" TargetMode="External"/><Relationship Id="rId43" Type="http://schemas.openxmlformats.org/officeDocument/2006/relationships/hyperlink" Target="https://www.emerald.com/jfmpc/article/27/2/141/227153" TargetMode="External"/><Relationship Id="rId48" Type="http://schemas.openxmlformats.org/officeDocument/2006/relationships/hyperlink" Target="https://doi.org/10.1007/s11266-021-00336-8"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gov.uk/government/publications/dft-annual-report-and-accounts-2024-to-2025/department-for-transport-annual-report-and-accounts-2024-to-2025-html-version" TargetMode="External"/><Relationship Id="rId33" Type="http://schemas.openxmlformats.org/officeDocument/2006/relationships/hyperlink" Target="https://doi.org/10.3390/engproc2023044002" TargetMode="External"/><Relationship Id="rId38" Type="http://schemas.openxmlformats.org/officeDocument/2006/relationships/hyperlink" Target="https://doi.org/10.1080/13467581.2021.1905647" TargetMode="External"/><Relationship Id="rId46" Type="http://schemas.openxmlformats.org/officeDocument/2006/relationships/hyperlink" Target="https://doi.org/10.1080/15623599.2019.1624678" TargetMode="External"/><Relationship Id="rId20" Type="http://schemas.openxmlformats.org/officeDocument/2006/relationships/image" Target="media/image13.png"/><Relationship Id="rId41" Type="http://schemas.openxmlformats.org/officeDocument/2006/relationships/hyperlink" Target="https://doi.org/10.70517/ijhsa46329"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3390/su13169274" TargetMode="External"/><Relationship Id="rId28" Type="http://schemas.openxmlformats.org/officeDocument/2006/relationships/hyperlink" Target="https://doi.org/10.3390/su16104094" TargetMode="External"/><Relationship Id="rId36" Type="http://schemas.openxmlformats.org/officeDocument/2006/relationships/hyperlink" Target="https://doi.org/10.30574/wjarr.2025.25.1.0193" TargetMode="External"/><Relationship Id="rId4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3.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F6647-7F5E-4F7D-8F94-E594E3178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5389</Words>
  <Characters>30718</Characters>
  <Application>Microsoft Office Word</Application>
  <DocSecurity>0</DocSecurity>
  <Lines>255</Lines>
  <Paragraphs>72</Paragraphs>
  <ScaleCrop>false</ScaleCrop>
  <Company/>
  <LinksUpToDate>false</LinksUpToDate>
  <CharactersWithSpaces>36035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fratczak</dc:creator>
  <cp:lastModifiedBy>Daniel Mariusz Fratczak (2424154)</cp:lastModifiedBy>
  <cp:revision>2</cp:revision>
  <dcterms:created xsi:type="dcterms:W3CDTF">2026-08-09T08:08:00Z</dcterms:created>
  <dcterms:modified xsi:type="dcterms:W3CDTF">2026-08-09T08:08:00Z</dcterms:modified>
</cp:coreProperties>
</file>