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359942657"/>
        <w:docPartObj>
          <w:docPartGallery w:val="Cover Pages"/>
          <w:docPartUnique/>
        </w:docPartObj>
      </w:sdtPr>
      <w:sdtEndPr>
        <w:rPr>
          <w:rFonts w:ascii="Helvetica Neue" w:hAnsi="Helvetica Neue"/>
          <w:color w:val="000000"/>
        </w:rPr>
      </w:sdtEndPr>
      <w:sdtContent>
        <w:p w14:paraId="659C80F6" w14:textId="2175F375" w:rsidR="00EB2795" w:rsidRDefault="00EB2795"/>
        <w:p w14:paraId="4509A00D" w14:textId="4171A5C9" w:rsidR="00EB2795" w:rsidRDefault="00EB2795"/>
        <w:p w14:paraId="3FF1F313" w14:textId="3A9935D7" w:rsidR="00EB2795" w:rsidRDefault="00EB2795"/>
        <w:p w14:paraId="22B339B2" w14:textId="6B83E33E" w:rsidR="00EB2795" w:rsidRDefault="00EB2795"/>
        <w:p w14:paraId="3DB1AC5F" w14:textId="642E933F" w:rsidR="00473EEB" w:rsidRDefault="00473EEB"/>
        <w:p w14:paraId="69D3D6D0" w14:textId="7EE4DE39" w:rsidR="00473EEB" w:rsidRDefault="00473EEB"/>
        <w:p w14:paraId="2D2E29CB" w14:textId="5F06189A" w:rsidR="00473EEB" w:rsidRDefault="00473EEB"/>
        <w:p w14:paraId="07EAAD35" w14:textId="510374E3" w:rsidR="00473EEB" w:rsidRDefault="00473EEB"/>
        <w:p w14:paraId="0CA80FDF" w14:textId="2675849A" w:rsidR="00473EEB" w:rsidRDefault="00473EEB"/>
        <w:p w14:paraId="056CD054" w14:textId="3A80EBD3" w:rsidR="00473EEB" w:rsidRDefault="00473EEB"/>
        <w:p w14:paraId="7EE3D82A" w14:textId="05E8AD49" w:rsidR="00473EEB" w:rsidRDefault="00473EEB"/>
        <w:p w14:paraId="4A4C7DE5" w14:textId="77777777" w:rsidR="00473EEB" w:rsidRDefault="00473EEB"/>
        <w:p w14:paraId="6AB9F1BA" w14:textId="1784DFD5" w:rsidR="00EB2795" w:rsidRDefault="00EB2795"/>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B2795" w:rsidRPr="00A406E5" w14:paraId="68BBD1DD" w14:textId="77777777" w:rsidTr="00EB2795">
            <w:tc>
              <w:tcPr>
                <w:tcW w:w="2093" w:type="dxa"/>
                <w:shd w:val="pct15" w:color="auto" w:fill="auto"/>
              </w:tcPr>
              <w:p w14:paraId="400C5301"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3D92DF2" w14:textId="311E95EA" w:rsidR="00EB2795" w:rsidRPr="00A406E5" w:rsidRDefault="00432F1F" w:rsidP="00733E5C">
                <w:pPr>
                  <w:spacing w:before="120" w:after="120"/>
                  <w:jc w:val="both"/>
                  <w:rPr>
                    <w:rFonts w:ascii="Arial" w:hAnsi="Arial" w:cs="Arial"/>
                    <w:b/>
                    <w:sz w:val="22"/>
                    <w:szCs w:val="22"/>
                  </w:rPr>
                </w:pPr>
                <w:r>
                  <w:rPr>
                    <w:rFonts w:ascii="Arial" w:hAnsi="Arial" w:cs="Arial"/>
                    <w:b/>
                    <w:sz w:val="22"/>
                    <w:szCs w:val="22"/>
                  </w:rPr>
                  <w:t>Marjorie Klopper</w:t>
                </w:r>
              </w:p>
            </w:tc>
            <w:tc>
              <w:tcPr>
                <w:tcW w:w="2268" w:type="dxa"/>
                <w:shd w:val="clear" w:color="auto" w:fill="D9D9D9"/>
              </w:tcPr>
              <w:p w14:paraId="2DC47BED"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5D2F2DC" w14:textId="4A93346C" w:rsidR="00EB2795" w:rsidRPr="00A406E5" w:rsidRDefault="001C4033" w:rsidP="00733E5C">
                <w:pPr>
                  <w:spacing w:before="120" w:after="120"/>
                  <w:jc w:val="both"/>
                  <w:rPr>
                    <w:rFonts w:ascii="Arial" w:hAnsi="Arial" w:cs="Arial"/>
                    <w:b/>
                    <w:sz w:val="22"/>
                    <w:szCs w:val="22"/>
                  </w:rPr>
                </w:pPr>
                <w:r w:rsidRPr="001C4033">
                  <w:rPr>
                    <w:rFonts w:ascii="Arial" w:hAnsi="Arial" w:cs="Arial"/>
                    <w:b/>
                    <w:sz w:val="22"/>
                    <w:szCs w:val="22"/>
                  </w:rPr>
                  <w:t>1815039</w:t>
                </w:r>
              </w:p>
            </w:tc>
          </w:tr>
          <w:tr w:rsidR="00EB2795" w:rsidRPr="00A406E5" w14:paraId="3F31AA3A" w14:textId="77777777" w:rsidTr="00EB2795">
            <w:tc>
              <w:tcPr>
                <w:tcW w:w="2093" w:type="dxa"/>
                <w:shd w:val="pct15" w:color="auto" w:fill="auto"/>
              </w:tcPr>
              <w:p w14:paraId="086EF35D"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7AF5BA"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MBA</w:t>
                </w:r>
              </w:p>
            </w:tc>
          </w:tr>
          <w:tr w:rsidR="00EB2795" w:rsidRPr="00A406E5" w14:paraId="33EF3BEE" w14:textId="77777777" w:rsidTr="00EB2795">
            <w:tc>
              <w:tcPr>
                <w:tcW w:w="2093" w:type="dxa"/>
                <w:shd w:val="pct15" w:color="auto" w:fill="auto"/>
              </w:tcPr>
              <w:p w14:paraId="6F5C3BC0"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6D15EF"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Global Business Challenges</w:t>
                </w:r>
              </w:p>
            </w:tc>
          </w:tr>
          <w:tr w:rsidR="00EB2795" w:rsidRPr="00A406E5" w14:paraId="4F656113" w14:textId="77777777" w:rsidTr="00EB2795">
            <w:tc>
              <w:tcPr>
                <w:tcW w:w="2093" w:type="dxa"/>
                <w:shd w:val="pct15" w:color="auto" w:fill="auto"/>
              </w:tcPr>
              <w:p w14:paraId="7BDAE596"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A69A50" w14:textId="77777777" w:rsidR="00EB2795" w:rsidRPr="00BE6A10" w:rsidRDefault="00EB2795" w:rsidP="00733E5C">
                <w:pPr>
                  <w:spacing w:before="120" w:after="120"/>
                  <w:jc w:val="both"/>
                  <w:rPr>
                    <w:rFonts w:ascii="Arial" w:hAnsi="Arial" w:cs="Arial"/>
                    <w:b/>
                    <w:sz w:val="22"/>
                    <w:szCs w:val="22"/>
                  </w:rPr>
                </w:pPr>
                <w:r w:rsidRPr="00BE6A10">
                  <w:rPr>
                    <w:rFonts w:ascii="Arial" w:hAnsi="Arial" w:cs="Arial"/>
                    <w:b/>
                    <w:sz w:val="22"/>
                    <w:szCs w:val="22"/>
                  </w:rPr>
                  <w:t>BMMB7006D</w:t>
                </w:r>
              </w:p>
            </w:tc>
            <w:tc>
              <w:tcPr>
                <w:tcW w:w="2268" w:type="dxa"/>
                <w:shd w:val="clear" w:color="auto" w:fill="D9D9D9"/>
              </w:tcPr>
              <w:p w14:paraId="6D7ABB69" w14:textId="77777777" w:rsidR="00EB2795" w:rsidRPr="004D5E9B" w:rsidRDefault="00EB2795" w:rsidP="00733E5C">
                <w:pPr>
                  <w:pStyle w:val="Heading2"/>
                  <w:rPr>
                    <w:rFonts w:ascii="Arial" w:hAnsi="Arial" w:cs="Arial"/>
                    <w:sz w:val="22"/>
                    <w:szCs w:val="22"/>
                  </w:rPr>
                </w:pPr>
                <w:bookmarkStart w:id="1" w:name="_Toc9777449"/>
                <w:r w:rsidRPr="00A406E5">
                  <w:rPr>
                    <w:rFonts w:ascii="Arial" w:hAnsi="Arial" w:cs="Arial"/>
                    <w:sz w:val="22"/>
                    <w:szCs w:val="22"/>
                  </w:rPr>
                  <w:t>Contribution to Overall Module Assessment (%):</w:t>
                </w:r>
                <w:bookmarkEnd w:id="1"/>
              </w:p>
            </w:tc>
            <w:tc>
              <w:tcPr>
                <w:tcW w:w="2268" w:type="dxa"/>
              </w:tcPr>
              <w:p w14:paraId="1874AEDF" w14:textId="77777777" w:rsidR="00EB2795" w:rsidRPr="00A406E5" w:rsidRDefault="00EB2795" w:rsidP="00733E5C">
                <w:pPr>
                  <w:spacing w:before="120" w:after="120"/>
                  <w:jc w:val="both"/>
                  <w:rPr>
                    <w:rFonts w:ascii="Arial" w:hAnsi="Arial" w:cs="Arial"/>
                    <w:b/>
                    <w:sz w:val="22"/>
                    <w:szCs w:val="22"/>
                  </w:rPr>
                </w:pPr>
              </w:p>
            </w:tc>
          </w:tr>
          <w:tr w:rsidR="00EB2795" w:rsidRPr="00A406E5" w14:paraId="638F4AE6" w14:textId="77777777" w:rsidTr="00EB2795">
            <w:tc>
              <w:tcPr>
                <w:tcW w:w="2093" w:type="dxa"/>
                <w:shd w:val="pct15" w:color="auto" w:fill="auto"/>
              </w:tcPr>
              <w:p w14:paraId="7F49FB5A"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43CA9A6"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Dr Sandra Dettmer</w:t>
                </w:r>
              </w:p>
            </w:tc>
            <w:tc>
              <w:tcPr>
                <w:tcW w:w="2268" w:type="dxa"/>
                <w:shd w:val="clear" w:color="auto" w:fill="D9D9D9"/>
              </w:tcPr>
              <w:p w14:paraId="36452C2F"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BCC99D"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Anthony Burns</w:t>
                </w:r>
              </w:p>
            </w:tc>
          </w:tr>
          <w:tr w:rsidR="00EB2795" w:rsidRPr="00A406E5" w14:paraId="265FAF10" w14:textId="77777777" w:rsidTr="00EB2795">
            <w:tc>
              <w:tcPr>
                <w:tcW w:w="2093" w:type="dxa"/>
                <w:shd w:val="pct15" w:color="auto" w:fill="auto"/>
              </w:tcPr>
              <w:p w14:paraId="0B39429C"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BD011D"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 xml:space="preserve">Global Challenges </w:t>
                </w:r>
              </w:p>
            </w:tc>
            <w:tc>
              <w:tcPr>
                <w:tcW w:w="2268" w:type="dxa"/>
                <w:shd w:val="pct15" w:color="auto" w:fill="auto"/>
              </w:tcPr>
              <w:p w14:paraId="23E06FFB"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34BDBB"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5000</w:t>
                </w:r>
              </w:p>
            </w:tc>
          </w:tr>
          <w:tr w:rsidR="00EB2795" w:rsidRPr="00A406E5" w14:paraId="5A34383D" w14:textId="77777777" w:rsidTr="00473EEB">
            <w:trPr>
              <w:trHeight w:val="1166"/>
            </w:trPr>
            <w:tc>
              <w:tcPr>
                <w:tcW w:w="2093" w:type="dxa"/>
                <w:shd w:val="pct15" w:color="auto" w:fill="auto"/>
              </w:tcPr>
              <w:p w14:paraId="3FCBC3AB"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71E3C35"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27</w:t>
                </w:r>
                <w:r w:rsidRPr="009847AC">
                  <w:rPr>
                    <w:rFonts w:ascii="Arial" w:hAnsi="Arial" w:cs="Arial"/>
                    <w:b/>
                    <w:sz w:val="22"/>
                    <w:szCs w:val="22"/>
                    <w:vertAlign w:val="superscript"/>
                  </w:rPr>
                  <w:t>th</w:t>
                </w:r>
                <w:r>
                  <w:rPr>
                    <w:rFonts w:ascii="Arial" w:hAnsi="Arial" w:cs="Arial"/>
                    <w:b/>
                    <w:sz w:val="22"/>
                    <w:szCs w:val="22"/>
                  </w:rPr>
                  <w:t xml:space="preserve"> May 2019</w:t>
                </w:r>
              </w:p>
            </w:tc>
            <w:tc>
              <w:tcPr>
                <w:tcW w:w="2268" w:type="dxa"/>
                <w:shd w:val="pct15" w:color="auto" w:fill="auto"/>
              </w:tcPr>
              <w:p w14:paraId="2DF882DD" w14:textId="77777777" w:rsidR="00EB2795" w:rsidRPr="00A406E5" w:rsidRDefault="00EB2795" w:rsidP="00733E5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1C1284F" w14:textId="77777777" w:rsidR="00EB2795" w:rsidRPr="00A406E5" w:rsidRDefault="00EB2795" w:rsidP="00733E5C">
                <w:pPr>
                  <w:spacing w:before="120" w:after="120"/>
                  <w:jc w:val="both"/>
                  <w:rPr>
                    <w:rFonts w:ascii="Arial" w:hAnsi="Arial" w:cs="Arial"/>
                    <w:b/>
                    <w:sz w:val="22"/>
                    <w:szCs w:val="22"/>
                  </w:rPr>
                </w:pPr>
                <w:r>
                  <w:rPr>
                    <w:rFonts w:ascii="Arial" w:hAnsi="Arial" w:cs="Arial"/>
                    <w:b/>
                    <w:sz w:val="22"/>
                    <w:szCs w:val="22"/>
                  </w:rPr>
                  <w:t>25</w:t>
                </w:r>
                <w:r w:rsidRPr="000E3712">
                  <w:rPr>
                    <w:rFonts w:ascii="Arial" w:hAnsi="Arial" w:cs="Arial"/>
                    <w:b/>
                    <w:sz w:val="22"/>
                    <w:szCs w:val="22"/>
                    <w:vertAlign w:val="superscript"/>
                  </w:rPr>
                  <w:t>th</w:t>
                </w:r>
                <w:r>
                  <w:rPr>
                    <w:rFonts w:ascii="Arial" w:hAnsi="Arial" w:cs="Arial"/>
                    <w:b/>
                    <w:sz w:val="22"/>
                    <w:szCs w:val="22"/>
                  </w:rPr>
                  <w:t xml:space="preserve"> June 2019</w:t>
                </w:r>
              </w:p>
            </w:tc>
          </w:tr>
        </w:tbl>
        <w:p w14:paraId="6C07FAB8" w14:textId="7C318A9B" w:rsidR="00525363" w:rsidRDefault="00525363"/>
        <w:p w14:paraId="553E7B81" w14:textId="0292611D" w:rsidR="00C76503" w:rsidRDefault="00C76503">
          <w:pPr>
            <w:rPr>
              <w:rFonts w:ascii="Helvetica Neue" w:hAnsi="Helvetica Neue"/>
              <w:color w:val="000000"/>
            </w:rPr>
          </w:pPr>
        </w:p>
        <w:p w14:paraId="44A441F8" w14:textId="6C8395EB" w:rsidR="00312AAA" w:rsidRDefault="00312AAA">
          <w:pPr>
            <w:rPr>
              <w:rFonts w:ascii="Helvetica Neue" w:hAnsi="Helvetica Neue"/>
              <w:color w:val="000000"/>
            </w:rPr>
          </w:pPr>
        </w:p>
        <w:p w14:paraId="0F1B4C83" w14:textId="2553060C" w:rsidR="00312AAA" w:rsidRDefault="00312AAA">
          <w:pPr>
            <w:rPr>
              <w:rFonts w:ascii="Helvetica Neue" w:hAnsi="Helvetica Neue"/>
              <w:color w:val="000000"/>
            </w:rPr>
          </w:pPr>
        </w:p>
        <w:p w14:paraId="7D1BC6A2" w14:textId="2DA0319C" w:rsidR="00312AAA" w:rsidRDefault="00312AAA">
          <w:pPr>
            <w:rPr>
              <w:rFonts w:ascii="Helvetica Neue" w:hAnsi="Helvetica Neue"/>
              <w:color w:val="000000"/>
            </w:rPr>
          </w:pPr>
        </w:p>
        <w:p w14:paraId="759BF1C7" w14:textId="7A9763C3" w:rsidR="00312AAA" w:rsidRDefault="00312AAA">
          <w:pPr>
            <w:rPr>
              <w:rFonts w:ascii="Helvetica Neue" w:hAnsi="Helvetica Neue"/>
              <w:color w:val="000000"/>
            </w:rPr>
          </w:pPr>
        </w:p>
        <w:p w14:paraId="1CDB3571" w14:textId="209DDE6F" w:rsidR="00312AAA" w:rsidRDefault="00312AAA">
          <w:pPr>
            <w:rPr>
              <w:rFonts w:ascii="Helvetica Neue" w:hAnsi="Helvetica Neue"/>
              <w:color w:val="000000"/>
            </w:rPr>
          </w:pPr>
        </w:p>
        <w:p w14:paraId="636B0C82" w14:textId="1CCBBC4F" w:rsidR="00312AAA" w:rsidRDefault="00312AAA">
          <w:pPr>
            <w:rPr>
              <w:rFonts w:ascii="Helvetica Neue" w:hAnsi="Helvetica Neue"/>
              <w:color w:val="000000"/>
            </w:rPr>
          </w:pPr>
        </w:p>
        <w:p w14:paraId="4F03D773" w14:textId="616D2BD2" w:rsidR="00312AAA" w:rsidRDefault="00312AAA">
          <w:pPr>
            <w:rPr>
              <w:rFonts w:ascii="Helvetica Neue" w:hAnsi="Helvetica Neue"/>
              <w:color w:val="000000"/>
            </w:rPr>
          </w:pPr>
        </w:p>
        <w:p w14:paraId="3436F759" w14:textId="3BBBE5ED" w:rsidR="00312AAA" w:rsidRDefault="00312AAA">
          <w:pPr>
            <w:rPr>
              <w:rFonts w:ascii="Helvetica Neue" w:hAnsi="Helvetica Neue"/>
              <w:color w:val="000000"/>
            </w:rPr>
          </w:pPr>
        </w:p>
        <w:p w14:paraId="327091B6" w14:textId="2392BA14" w:rsidR="00312AAA" w:rsidRDefault="00312AAA">
          <w:pPr>
            <w:rPr>
              <w:rFonts w:ascii="Helvetica Neue" w:hAnsi="Helvetica Neue"/>
              <w:color w:val="000000"/>
            </w:rPr>
          </w:pPr>
        </w:p>
        <w:p w14:paraId="4EF94544" w14:textId="4BE31DCA" w:rsidR="00312AAA" w:rsidRDefault="00312AAA">
          <w:pPr>
            <w:rPr>
              <w:rFonts w:ascii="Helvetica Neue" w:hAnsi="Helvetica Neue"/>
              <w:color w:val="000000"/>
            </w:rPr>
          </w:pPr>
        </w:p>
        <w:p w14:paraId="62FAB149" w14:textId="467034BB" w:rsidR="00312AAA" w:rsidRDefault="00312AAA">
          <w:pPr>
            <w:rPr>
              <w:rFonts w:ascii="Helvetica Neue" w:hAnsi="Helvetica Neue"/>
              <w:color w:val="000000"/>
            </w:rPr>
          </w:pPr>
        </w:p>
        <w:p w14:paraId="59A3C366" w14:textId="7A8BF53F" w:rsidR="00312AAA" w:rsidRDefault="00312AAA">
          <w:pPr>
            <w:rPr>
              <w:rFonts w:ascii="Helvetica Neue" w:hAnsi="Helvetica Neue"/>
              <w:color w:val="000000"/>
            </w:rPr>
          </w:pPr>
        </w:p>
        <w:p w14:paraId="664C5FE1" w14:textId="1B072D75" w:rsidR="00312AAA" w:rsidRDefault="00312AAA">
          <w:pPr>
            <w:rPr>
              <w:rFonts w:ascii="Helvetica Neue" w:hAnsi="Helvetica Neue"/>
              <w:color w:val="000000"/>
            </w:rPr>
          </w:pPr>
        </w:p>
        <w:p w14:paraId="7D67987F" w14:textId="0A524CC8" w:rsidR="00312AAA" w:rsidRDefault="00312AAA">
          <w:pPr>
            <w:rPr>
              <w:rFonts w:ascii="Helvetica Neue" w:hAnsi="Helvetica Neue"/>
              <w:color w:val="000000"/>
            </w:rPr>
          </w:pPr>
        </w:p>
        <w:p w14:paraId="125845E3" w14:textId="5F7DD5E7" w:rsidR="00312AAA" w:rsidRDefault="00312AAA">
          <w:pPr>
            <w:rPr>
              <w:rFonts w:ascii="Helvetica Neue" w:hAnsi="Helvetica Neue"/>
              <w:color w:val="000000"/>
            </w:rPr>
          </w:pPr>
        </w:p>
        <w:p w14:paraId="7983E0D9" w14:textId="5355CE2E" w:rsidR="00312AAA" w:rsidRDefault="00312AAA">
          <w:pPr>
            <w:rPr>
              <w:rFonts w:ascii="Helvetica Neue" w:hAnsi="Helvetica Neue"/>
              <w:color w:val="000000"/>
            </w:rPr>
          </w:pPr>
        </w:p>
        <w:p w14:paraId="760AB0AA" w14:textId="77777777" w:rsidR="00312AAA" w:rsidRDefault="00312AAA">
          <w:pPr>
            <w:rPr>
              <w:rFonts w:ascii="Helvetica Neue" w:hAnsi="Helvetica Neue"/>
              <w:color w:val="000000"/>
            </w:rPr>
          </w:pPr>
        </w:p>
        <w:p w14:paraId="33FCCA90" w14:textId="26B55AB1" w:rsidR="00E32C0E" w:rsidRDefault="00E32C0E" w:rsidP="00E32C0E">
          <w:pPr>
            <w:pStyle w:val="Heading2"/>
          </w:pPr>
          <w:r>
            <w:lastRenderedPageBreak/>
            <w:t>Table of Contents</w:t>
          </w:r>
        </w:p>
        <w:p w14:paraId="1664F1D9" w14:textId="6C07A3DA" w:rsidR="00015A2F" w:rsidRDefault="00015A2F" w:rsidP="00E32C0E">
          <w:pPr>
            <w:pStyle w:val="Heading2"/>
          </w:pPr>
          <w:r>
            <w:tab/>
          </w:r>
          <w:r>
            <w:tab/>
          </w:r>
          <w:r>
            <w:tab/>
          </w:r>
          <w:r>
            <w:tab/>
          </w:r>
          <w:r>
            <w:tab/>
          </w:r>
          <w:r>
            <w:tab/>
          </w:r>
          <w:r>
            <w:tab/>
          </w:r>
          <w:r>
            <w:tab/>
          </w:r>
          <w:r>
            <w:tab/>
          </w:r>
          <w:r>
            <w:tab/>
          </w:r>
          <w:r>
            <w:tab/>
          </w:r>
          <w:r w:rsidR="00DE69B9">
            <w:t>Page</w:t>
          </w:r>
        </w:p>
        <w:p w14:paraId="0F5F67EA" w14:textId="496350DF" w:rsidR="00E32C0E" w:rsidRDefault="00730CE6" w:rsidP="00EC6262">
          <w:pPr>
            <w:rPr>
              <w:b/>
              <w:color w:val="000000"/>
            </w:rPr>
          </w:pPr>
          <w:r w:rsidRPr="00EC6262">
            <w:rPr>
              <w:b/>
              <w:color w:val="000000"/>
            </w:rPr>
            <w:t>Cover Page</w:t>
          </w:r>
          <w:r w:rsidR="002B2BA3">
            <w:rPr>
              <w:b/>
              <w:color w:val="000000"/>
            </w:rPr>
            <w:tab/>
          </w:r>
          <w:r w:rsidR="002B2BA3">
            <w:rPr>
              <w:b/>
              <w:color w:val="000000"/>
            </w:rPr>
            <w:tab/>
          </w:r>
          <w:r w:rsidR="002B2BA3">
            <w:rPr>
              <w:b/>
              <w:color w:val="000000"/>
            </w:rPr>
            <w:tab/>
          </w:r>
          <w:r w:rsidR="002B2BA3">
            <w:rPr>
              <w:b/>
              <w:color w:val="000000"/>
            </w:rPr>
            <w:tab/>
          </w:r>
          <w:r w:rsidR="00015A2F">
            <w:rPr>
              <w:b/>
              <w:color w:val="000000"/>
            </w:rPr>
            <w:t xml:space="preserve">…………………………………………… </w:t>
          </w:r>
          <w:r w:rsidR="00015A2F">
            <w:rPr>
              <w:b/>
              <w:color w:val="000000"/>
            </w:rPr>
            <w:tab/>
            <w:t>1.</w:t>
          </w:r>
        </w:p>
        <w:p w14:paraId="02226830" w14:textId="77777777" w:rsidR="005E37F1" w:rsidRPr="00EC6262" w:rsidRDefault="005E37F1" w:rsidP="00EC6262">
          <w:pPr>
            <w:rPr>
              <w:rFonts w:ascii="Helvetica Neue" w:hAnsi="Helvetica Neue"/>
              <w:color w:val="000000"/>
            </w:rPr>
          </w:pPr>
        </w:p>
        <w:p w14:paraId="489E23AA" w14:textId="7D039F7F" w:rsidR="00DE69B9" w:rsidRDefault="00730CE6" w:rsidP="00EC6262">
          <w:pPr>
            <w:rPr>
              <w:b/>
              <w:color w:val="000000"/>
            </w:rPr>
          </w:pPr>
          <w:r w:rsidRPr="00EC6262">
            <w:rPr>
              <w:b/>
              <w:color w:val="000000"/>
            </w:rPr>
            <w:t>Table of Contents</w:t>
          </w:r>
          <w:r w:rsidR="00DE69B9">
            <w:rPr>
              <w:b/>
              <w:color w:val="000000"/>
            </w:rPr>
            <w:tab/>
          </w:r>
          <w:r w:rsidR="00DE69B9">
            <w:rPr>
              <w:b/>
              <w:color w:val="000000"/>
            </w:rPr>
            <w:tab/>
          </w:r>
          <w:r w:rsidR="00DE69B9">
            <w:rPr>
              <w:b/>
              <w:color w:val="000000"/>
            </w:rPr>
            <w:tab/>
            <w:t>……………………………………………</w:t>
          </w:r>
          <w:r w:rsidR="00DE69B9">
            <w:rPr>
              <w:b/>
              <w:color w:val="000000"/>
            </w:rPr>
            <w:tab/>
            <w:t>2.</w:t>
          </w:r>
        </w:p>
        <w:p w14:paraId="0F0AD5D6" w14:textId="77777777" w:rsidR="005E37F1" w:rsidRPr="00DE69B9" w:rsidRDefault="005E37F1" w:rsidP="00EC6262">
          <w:pPr>
            <w:rPr>
              <w:b/>
              <w:color w:val="000000"/>
            </w:rPr>
          </w:pPr>
        </w:p>
        <w:p w14:paraId="18F8D02F" w14:textId="2DBA1F2D" w:rsidR="00EC6262" w:rsidRDefault="00794108" w:rsidP="00EC6262">
          <w:pPr>
            <w:rPr>
              <w:b/>
              <w:color w:val="000000"/>
            </w:rPr>
          </w:pPr>
          <w:r w:rsidRPr="00EC6262">
            <w:rPr>
              <w:b/>
              <w:color w:val="000000"/>
            </w:rPr>
            <w:t>Executive Summar</w:t>
          </w:r>
          <w:r w:rsidR="005A2466" w:rsidRPr="00EC6262">
            <w:rPr>
              <w:b/>
              <w:color w:val="000000"/>
            </w:rPr>
            <w:t>y</w:t>
          </w:r>
          <w:r w:rsidR="00DE69B9">
            <w:rPr>
              <w:b/>
              <w:color w:val="000000"/>
            </w:rPr>
            <w:tab/>
          </w:r>
          <w:r w:rsidR="00DE69B9">
            <w:rPr>
              <w:b/>
              <w:color w:val="000000"/>
            </w:rPr>
            <w:tab/>
          </w:r>
          <w:r w:rsidR="00DE69B9">
            <w:rPr>
              <w:b/>
              <w:color w:val="000000"/>
            </w:rPr>
            <w:tab/>
            <w:t>……………………………………………</w:t>
          </w:r>
          <w:r w:rsidR="00DE69B9">
            <w:rPr>
              <w:b/>
              <w:color w:val="000000"/>
            </w:rPr>
            <w:tab/>
            <w:t>3.</w:t>
          </w:r>
        </w:p>
        <w:p w14:paraId="584AD02C" w14:textId="77777777" w:rsidR="005E37F1" w:rsidRDefault="005E37F1" w:rsidP="00EC6262">
          <w:pPr>
            <w:rPr>
              <w:rFonts w:ascii="Helvetica Neue" w:hAnsi="Helvetica Neue"/>
              <w:color w:val="000000"/>
            </w:rPr>
          </w:pPr>
        </w:p>
        <w:p w14:paraId="155A00DA" w14:textId="4921051F" w:rsidR="00420041" w:rsidRDefault="005A2466" w:rsidP="00EC6262">
          <w:pPr>
            <w:rPr>
              <w:b/>
              <w:color w:val="000000"/>
            </w:rPr>
          </w:pPr>
          <w:r w:rsidRPr="00EC6262">
            <w:rPr>
              <w:b/>
              <w:color w:val="000000"/>
            </w:rPr>
            <w:t>Global PESTLE Analysis</w:t>
          </w:r>
          <w:r w:rsidR="00DE69B9">
            <w:rPr>
              <w:b/>
              <w:color w:val="000000"/>
            </w:rPr>
            <w:tab/>
          </w:r>
          <w:r w:rsidR="00DE69B9">
            <w:rPr>
              <w:b/>
              <w:color w:val="000000"/>
            </w:rPr>
            <w:tab/>
            <w:t>……………………………………………</w:t>
          </w:r>
          <w:r w:rsidR="00DE69B9">
            <w:rPr>
              <w:b/>
              <w:color w:val="000000"/>
            </w:rPr>
            <w:tab/>
            <w:t>4.</w:t>
          </w:r>
        </w:p>
        <w:p w14:paraId="12CE47A3" w14:textId="77777777" w:rsidR="005E37F1" w:rsidRPr="00EC6262" w:rsidRDefault="005E37F1" w:rsidP="00EC6262">
          <w:pPr>
            <w:rPr>
              <w:rFonts w:ascii="Helvetica Neue" w:hAnsi="Helvetica Neue"/>
              <w:color w:val="000000"/>
            </w:rPr>
          </w:pPr>
        </w:p>
        <w:p w14:paraId="5F3EA458" w14:textId="0E9EF5BC" w:rsidR="003D24C5" w:rsidRDefault="003D24C5" w:rsidP="00EC6262">
          <w:pPr>
            <w:rPr>
              <w:b/>
              <w:color w:val="000000"/>
            </w:rPr>
          </w:pPr>
          <w:r w:rsidRPr="00EC6262">
            <w:rPr>
              <w:b/>
              <w:color w:val="000000"/>
            </w:rPr>
            <w:t>Trade Theories</w:t>
          </w:r>
          <w:r w:rsidR="00DE69B9">
            <w:rPr>
              <w:b/>
              <w:color w:val="000000"/>
            </w:rPr>
            <w:tab/>
          </w:r>
          <w:r w:rsidR="00DE69B9">
            <w:rPr>
              <w:b/>
              <w:color w:val="000000"/>
            </w:rPr>
            <w:tab/>
          </w:r>
          <w:r w:rsidR="00DE69B9">
            <w:rPr>
              <w:b/>
              <w:color w:val="000000"/>
            </w:rPr>
            <w:tab/>
            <w:t>……………………………………………</w:t>
          </w:r>
          <w:r w:rsidR="00DE69B9">
            <w:rPr>
              <w:b/>
              <w:color w:val="000000"/>
            </w:rPr>
            <w:tab/>
          </w:r>
          <w:r w:rsidR="00E92B6C">
            <w:rPr>
              <w:b/>
              <w:color w:val="000000"/>
            </w:rPr>
            <w:t>6.</w:t>
          </w:r>
        </w:p>
        <w:p w14:paraId="0345E5A6" w14:textId="77777777" w:rsidR="005E37F1" w:rsidRPr="00EC6262" w:rsidRDefault="005E37F1" w:rsidP="00EC6262">
          <w:pPr>
            <w:rPr>
              <w:rFonts w:ascii="Helvetica Neue" w:hAnsi="Helvetica Neue"/>
              <w:color w:val="000000"/>
            </w:rPr>
          </w:pPr>
        </w:p>
        <w:p w14:paraId="7BB5A96A" w14:textId="2B87B532" w:rsidR="003D24C5" w:rsidRDefault="00174769" w:rsidP="00EC6262">
          <w:pPr>
            <w:rPr>
              <w:b/>
              <w:color w:val="000000"/>
            </w:rPr>
          </w:pPr>
          <w:r w:rsidRPr="00EC6262">
            <w:rPr>
              <w:b/>
              <w:color w:val="000000"/>
            </w:rPr>
            <w:t>Global Pharmaceutical Market</w:t>
          </w:r>
          <w:r w:rsidR="00E92B6C">
            <w:rPr>
              <w:b/>
              <w:color w:val="000000"/>
            </w:rPr>
            <w:tab/>
            <w:t>……………………………………………</w:t>
          </w:r>
          <w:r w:rsidR="00E92B6C">
            <w:rPr>
              <w:b/>
              <w:color w:val="000000"/>
            </w:rPr>
            <w:tab/>
          </w:r>
          <w:r w:rsidR="00A41DD7">
            <w:rPr>
              <w:b/>
              <w:color w:val="000000"/>
            </w:rPr>
            <w:t>8.</w:t>
          </w:r>
        </w:p>
        <w:p w14:paraId="103F193C" w14:textId="77777777" w:rsidR="005E37F1" w:rsidRPr="00EC6262" w:rsidRDefault="005E37F1" w:rsidP="00EC6262">
          <w:pPr>
            <w:rPr>
              <w:rFonts w:ascii="Helvetica Neue" w:hAnsi="Helvetica Neue"/>
              <w:color w:val="000000"/>
            </w:rPr>
          </w:pPr>
        </w:p>
        <w:p w14:paraId="1A90779E" w14:textId="5FB7C3A6" w:rsidR="00420ECB" w:rsidRDefault="005F4877" w:rsidP="00EC6262">
          <w:pPr>
            <w:rPr>
              <w:b/>
              <w:color w:val="000000"/>
            </w:rPr>
          </w:pPr>
          <w:r>
            <w:rPr>
              <w:b/>
              <w:color w:val="000000"/>
            </w:rPr>
            <w:t xml:space="preserve">Five Forces </w:t>
          </w:r>
          <w:r w:rsidR="00420ECB" w:rsidRPr="00EC6262">
            <w:rPr>
              <w:b/>
              <w:color w:val="000000"/>
            </w:rPr>
            <w:t>Analysis</w:t>
          </w:r>
          <w:r w:rsidR="00A41DD7">
            <w:rPr>
              <w:b/>
              <w:color w:val="000000"/>
            </w:rPr>
            <w:tab/>
          </w:r>
          <w:r w:rsidR="00A41DD7">
            <w:rPr>
              <w:b/>
              <w:color w:val="000000"/>
            </w:rPr>
            <w:tab/>
          </w:r>
          <w:r w:rsidR="00A41DD7">
            <w:rPr>
              <w:b/>
              <w:color w:val="000000"/>
            </w:rPr>
            <w:tab/>
            <w:t>……………………………………………</w:t>
          </w:r>
          <w:r w:rsidR="00A41DD7">
            <w:rPr>
              <w:b/>
              <w:color w:val="000000"/>
            </w:rPr>
            <w:tab/>
            <w:t>9.</w:t>
          </w:r>
        </w:p>
        <w:p w14:paraId="27D9A1A1" w14:textId="77777777" w:rsidR="005E37F1" w:rsidRPr="00EC6262" w:rsidRDefault="005E37F1" w:rsidP="00EC6262">
          <w:pPr>
            <w:rPr>
              <w:rFonts w:ascii="Helvetica Neue" w:hAnsi="Helvetica Neue"/>
              <w:color w:val="000000"/>
            </w:rPr>
          </w:pPr>
        </w:p>
        <w:p w14:paraId="000BDF7B" w14:textId="631A6DA9" w:rsidR="003A692C" w:rsidRDefault="00253AC6" w:rsidP="00EC6262">
          <w:pPr>
            <w:rPr>
              <w:b/>
              <w:color w:val="000000"/>
            </w:rPr>
          </w:pPr>
          <w:r>
            <w:rPr>
              <w:b/>
              <w:color w:val="000000"/>
            </w:rPr>
            <w:t>Research and Development</w:t>
          </w:r>
          <w:r>
            <w:rPr>
              <w:b/>
              <w:color w:val="000000"/>
            </w:rPr>
            <w:tab/>
          </w:r>
          <w:r>
            <w:rPr>
              <w:b/>
              <w:color w:val="000000"/>
            </w:rPr>
            <w:tab/>
          </w:r>
          <w:r w:rsidR="006030D4">
            <w:rPr>
              <w:b/>
              <w:color w:val="000000"/>
            </w:rPr>
            <w:t>……………………………………………</w:t>
          </w:r>
          <w:r w:rsidR="006030D4">
            <w:rPr>
              <w:b/>
              <w:color w:val="000000"/>
            </w:rPr>
            <w:tab/>
          </w:r>
          <w:r w:rsidR="001D1028">
            <w:rPr>
              <w:b/>
              <w:color w:val="000000"/>
            </w:rPr>
            <w:t>12.</w:t>
          </w:r>
        </w:p>
        <w:p w14:paraId="07EDD3E0" w14:textId="77777777" w:rsidR="005E37F1" w:rsidRPr="00EC6262" w:rsidRDefault="005E37F1" w:rsidP="00EC6262">
          <w:pPr>
            <w:rPr>
              <w:rFonts w:ascii="Helvetica Neue" w:hAnsi="Helvetica Neue"/>
              <w:color w:val="000000"/>
            </w:rPr>
          </w:pPr>
        </w:p>
        <w:p w14:paraId="12A44D96" w14:textId="49E5E5EE" w:rsidR="003A692C" w:rsidRDefault="003A692C" w:rsidP="00EC6262">
          <w:pPr>
            <w:rPr>
              <w:b/>
              <w:color w:val="000000"/>
            </w:rPr>
          </w:pPr>
          <w:r w:rsidRPr="00EC6262">
            <w:rPr>
              <w:b/>
              <w:color w:val="000000"/>
            </w:rPr>
            <w:t>Supply Chain Logistics</w:t>
          </w:r>
          <w:r w:rsidR="001D1028">
            <w:rPr>
              <w:b/>
              <w:color w:val="000000"/>
            </w:rPr>
            <w:tab/>
          </w:r>
          <w:r w:rsidR="001D1028">
            <w:rPr>
              <w:b/>
              <w:color w:val="000000"/>
            </w:rPr>
            <w:tab/>
            <w:t>……………………………………………</w:t>
          </w:r>
          <w:r w:rsidR="001D1028">
            <w:rPr>
              <w:b/>
              <w:color w:val="000000"/>
            </w:rPr>
            <w:tab/>
            <w:t>13.</w:t>
          </w:r>
        </w:p>
        <w:p w14:paraId="13B2C616" w14:textId="77777777" w:rsidR="005E37F1" w:rsidRPr="00EC6262" w:rsidRDefault="005E37F1" w:rsidP="00EC6262">
          <w:pPr>
            <w:rPr>
              <w:rFonts w:ascii="Helvetica Neue" w:hAnsi="Helvetica Neue"/>
              <w:color w:val="000000"/>
            </w:rPr>
          </w:pPr>
        </w:p>
        <w:p w14:paraId="4E32919D" w14:textId="436250D1" w:rsidR="003A692C" w:rsidRDefault="003A692C" w:rsidP="00EC6262">
          <w:pPr>
            <w:rPr>
              <w:b/>
              <w:color w:val="000000"/>
            </w:rPr>
          </w:pPr>
          <w:r w:rsidRPr="00EC6262">
            <w:rPr>
              <w:b/>
              <w:color w:val="000000"/>
            </w:rPr>
            <w:t>Conclusion</w:t>
          </w:r>
          <w:r w:rsidR="008161F2">
            <w:rPr>
              <w:b/>
              <w:color w:val="000000"/>
            </w:rPr>
            <w:tab/>
          </w:r>
          <w:r w:rsidR="008161F2">
            <w:rPr>
              <w:b/>
              <w:color w:val="000000"/>
            </w:rPr>
            <w:tab/>
          </w:r>
          <w:r w:rsidR="008161F2">
            <w:rPr>
              <w:b/>
              <w:color w:val="000000"/>
            </w:rPr>
            <w:tab/>
          </w:r>
          <w:r w:rsidR="008161F2">
            <w:rPr>
              <w:b/>
              <w:color w:val="000000"/>
            </w:rPr>
            <w:tab/>
            <w:t>……………………………………………</w:t>
          </w:r>
          <w:r w:rsidR="008161F2">
            <w:rPr>
              <w:b/>
              <w:color w:val="000000"/>
            </w:rPr>
            <w:tab/>
            <w:t>15.</w:t>
          </w:r>
        </w:p>
        <w:p w14:paraId="2DC34D60" w14:textId="387C217C" w:rsidR="00C87ACE" w:rsidRDefault="00C87ACE" w:rsidP="00EC6262">
          <w:pPr>
            <w:rPr>
              <w:b/>
              <w:color w:val="000000"/>
            </w:rPr>
          </w:pPr>
        </w:p>
        <w:p w14:paraId="0D1D6213" w14:textId="6DEED4D2" w:rsidR="00C87ACE" w:rsidRDefault="00C87ACE" w:rsidP="00EC6262">
          <w:pPr>
            <w:rPr>
              <w:b/>
              <w:color w:val="000000"/>
            </w:rPr>
          </w:pPr>
          <w:r>
            <w:rPr>
              <w:b/>
              <w:color w:val="000000"/>
            </w:rPr>
            <w:t>US China Trade War</w:t>
          </w:r>
          <w:r>
            <w:rPr>
              <w:b/>
              <w:color w:val="000000"/>
            </w:rPr>
            <w:tab/>
          </w:r>
          <w:r>
            <w:rPr>
              <w:b/>
              <w:color w:val="000000"/>
            </w:rPr>
            <w:tab/>
          </w:r>
          <w:r w:rsidR="003D541E">
            <w:rPr>
              <w:b/>
              <w:color w:val="000000"/>
            </w:rPr>
            <w:t>……………………………………………</w:t>
          </w:r>
          <w:r w:rsidR="003D541E">
            <w:rPr>
              <w:b/>
              <w:color w:val="000000"/>
            </w:rPr>
            <w:tab/>
            <w:t>16.</w:t>
          </w:r>
        </w:p>
        <w:p w14:paraId="000E66D8" w14:textId="77777777" w:rsidR="005E37F1" w:rsidRPr="00EC6262" w:rsidRDefault="005E37F1" w:rsidP="00EC6262">
          <w:pPr>
            <w:rPr>
              <w:rFonts w:ascii="Helvetica Neue" w:hAnsi="Helvetica Neue"/>
              <w:color w:val="000000"/>
            </w:rPr>
          </w:pPr>
        </w:p>
        <w:p w14:paraId="1AC70093" w14:textId="5FD2A58A" w:rsidR="00AA01D4" w:rsidRPr="00EC6262" w:rsidRDefault="00AA01D4" w:rsidP="00EC6262">
          <w:pPr>
            <w:rPr>
              <w:rFonts w:ascii="Helvetica Neue" w:hAnsi="Helvetica Neue"/>
              <w:color w:val="000000"/>
            </w:rPr>
          </w:pPr>
          <w:r w:rsidRPr="00EC6262">
            <w:rPr>
              <w:b/>
              <w:color w:val="000000"/>
            </w:rPr>
            <w:t>References</w:t>
          </w:r>
          <w:r w:rsidR="008161F2">
            <w:rPr>
              <w:b/>
              <w:color w:val="000000"/>
            </w:rPr>
            <w:tab/>
          </w:r>
          <w:r w:rsidR="008161F2">
            <w:rPr>
              <w:b/>
              <w:color w:val="000000"/>
            </w:rPr>
            <w:tab/>
          </w:r>
          <w:r w:rsidR="008161F2">
            <w:rPr>
              <w:b/>
              <w:color w:val="000000"/>
            </w:rPr>
            <w:tab/>
          </w:r>
          <w:r w:rsidR="008161F2">
            <w:rPr>
              <w:b/>
              <w:color w:val="000000"/>
            </w:rPr>
            <w:tab/>
            <w:t>……………………………………………</w:t>
          </w:r>
          <w:r w:rsidR="005E37F1">
            <w:rPr>
              <w:b/>
              <w:color w:val="000000"/>
            </w:rPr>
            <w:tab/>
            <w:t>1</w:t>
          </w:r>
          <w:r w:rsidR="003D541E">
            <w:rPr>
              <w:b/>
              <w:color w:val="000000"/>
            </w:rPr>
            <w:t>8</w:t>
          </w:r>
          <w:r w:rsidR="005E37F1">
            <w:rPr>
              <w:b/>
              <w:color w:val="000000"/>
            </w:rPr>
            <w:t>.</w:t>
          </w:r>
        </w:p>
        <w:p w14:paraId="51C9AB5B" w14:textId="77777777" w:rsidR="00420041" w:rsidRPr="000C40B4" w:rsidRDefault="00420041" w:rsidP="000C40B4">
          <w:pPr>
            <w:rPr>
              <w:rFonts w:ascii="Helvetica Neue" w:hAnsi="Helvetica Neue"/>
              <w:color w:val="000000"/>
            </w:rPr>
          </w:pPr>
        </w:p>
        <w:p w14:paraId="697CF045" w14:textId="77777777" w:rsidR="00E32C0E" w:rsidRDefault="00E32C0E" w:rsidP="00E32C0E">
          <w:pPr>
            <w:pStyle w:val="Heading2"/>
          </w:pPr>
        </w:p>
        <w:p w14:paraId="29FF4520" w14:textId="77777777" w:rsidR="0019552C" w:rsidRDefault="0019552C">
          <w:pPr>
            <w:rPr>
              <w:rFonts w:ascii="Helvetica Neue" w:hAnsi="Helvetica Neue"/>
              <w:color w:val="000000"/>
            </w:rPr>
          </w:pPr>
        </w:p>
        <w:p w14:paraId="117009B8" w14:textId="77777777" w:rsidR="00C76503" w:rsidRDefault="00C76503">
          <w:pPr>
            <w:rPr>
              <w:rFonts w:ascii="Helvetica Neue" w:hAnsi="Helvetica Neue"/>
              <w:color w:val="000000"/>
            </w:rPr>
          </w:pPr>
        </w:p>
        <w:p w14:paraId="13FF4057" w14:textId="77777777" w:rsidR="00C76503" w:rsidRDefault="00C76503">
          <w:pPr>
            <w:rPr>
              <w:rFonts w:ascii="Helvetica Neue" w:hAnsi="Helvetica Neue"/>
              <w:color w:val="000000"/>
            </w:rPr>
          </w:pPr>
        </w:p>
        <w:p w14:paraId="2CCA4D29" w14:textId="77777777" w:rsidR="00C76503" w:rsidRDefault="00C76503">
          <w:pPr>
            <w:rPr>
              <w:rFonts w:ascii="Helvetica Neue" w:hAnsi="Helvetica Neue"/>
              <w:color w:val="000000"/>
            </w:rPr>
          </w:pPr>
        </w:p>
        <w:p w14:paraId="3BF6F305" w14:textId="77777777" w:rsidR="00C76503" w:rsidRDefault="00C76503">
          <w:pPr>
            <w:rPr>
              <w:rFonts w:ascii="Helvetica Neue" w:hAnsi="Helvetica Neue"/>
              <w:color w:val="000000"/>
            </w:rPr>
          </w:pPr>
        </w:p>
        <w:p w14:paraId="275D5B9A" w14:textId="77777777" w:rsidR="00C76503" w:rsidRDefault="00C76503">
          <w:pPr>
            <w:rPr>
              <w:rFonts w:ascii="Helvetica Neue" w:hAnsi="Helvetica Neue"/>
              <w:color w:val="000000"/>
            </w:rPr>
          </w:pPr>
        </w:p>
        <w:p w14:paraId="027D63C0" w14:textId="77777777" w:rsidR="00C76503" w:rsidRDefault="00C76503">
          <w:pPr>
            <w:rPr>
              <w:rFonts w:ascii="Helvetica Neue" w:hAnsi="Helvetica Neue"/>
              <w:color w:val="000000"/>
            </w:rPr>
          </w:pPr>
        </w:p>
        <w:p w14:paraId="071E964C" w14:textId="77777777" w:rsidR="00C76503" w:rsidRDefault="00C76503">
          <w:pPr>
            <w:rPr>
              <w:rFonts w:ascii="Helvetica Neue" w:hAnsi="Helvetica Neue"/>
              <w:color w:val="000000"/>
            </w:rPr>
          </w:pPr>
        </w:p>
        <w:p w14:paraId="1BBA21A4" w14:textId="77777777" w:rsidR="00C76503" w:rsidRDefault="00C76503">
          <w:pPr>
            <w:rPr>
              <w:rFonts w:ascii="Helvetica Neue" w:hAnsi="Helvetica Neue"/>
              <w:color w:val="000000"/>
            </w:rPr>
          </w:pPr>
        </w:p>
        <w:p w14:paraId="5148205E" w14:textId="77777777" w:rsidR="00C76503" w:rsidRDefault="00C76503">
          <w:pPr>
            <w:rPr>
              <w:rFonts w:ascii="Helvetica Neue" w:hAnsi="Helvetica Neue"/>
              <w:color w:val="000000"/>
            </w:rPr>
          </w:pPr>
        </w:p>
        <w:p w14:paraId="633E1F86" w14:textId="77777777" w:rsidR="00C76503" w:rsidRDefault="00C76503">
          <w:pPr>
            <w:rPr>
              <w:rFonts w:ascii="Helvetica Neue" w:hAnsi="Helvetica Neue"/>
              <w:color w:val="000000"/>
            </w:rPr>
          </w:pPr>
        </w:p>
        <w:p w14:paraId="436DA8FB" w14:textId="77777777" w:rsidR="00C76503" w:rsidRDefault="00C76503">
          <w:pPr>
            <w:rPr>
              <w:rFonts w:ascii="Helvetica Neue" w:hAnsi="Helvetica Neue"/>
              <w:color w:val="000000"/>
            </w:rPr>
          </w:pPr>
        </w:p>
        <w:p w14:paraId="3636D17C" w14:textId="77777777" w:rsidR="00C76503" w:rsidRDefault="00C76503">
          <w:pPr>
            <w:rPr>
              <w:rFonts w:ascii="Helvetica Neue" w:hAnsi="Helvetica Neue"/>
              <w:color w:val="000000"/>
            </w:rPr>
          </w:pPr>
        </w:p>
        <w:p w14:paraId="170B933C" w14:textId="77777777" w:rsidR="00C76503" w:rsidRDefault="00C76503">
          <w:pPr>
            <w:rPr>
              <w:rFonts w:ascii="Helvetica Neue" w:hAnsi="Helvetica Neue"/>
              <w:color w:val="000000"/>
            </w:rPr>
          </w:pPr>
        </w:p>
        <w:p w14:paraId="7EE118CD" w14:textId="77777777" w:rsidR="00C76503" w:rsidRDefault="00C76503">
          <w:pPr>
            <w:rPr>
              <w:rFonts w:ascii="Helvetica Neue" w:hAnsi="Helvetica Neue"/>
              <w:color w:val="000000"/>
            </w:rPr>
          </w:pPr>
        </w:p>
        <w:p w14:paraId="11B984D1" w14:textId="77777777" w:rsidR="00F94CE4" w:rsidRDefault="00F94CE4" w:rsidP="002057F6">
          <w:pPr>
            <w:rPr>
              <w:rFonts w:ascii="Helvetica Neue" w:hAnsi="Helvetica Neue"/>
              <w:color w:val="000000"/>
            </w:rPr>
          </w:pPr>
        </w:p>
        <w:p w14:paraId="01F667ED" w14:textId="5D5B46D7" w:rsidR="00AA01D4" w:rsidRDefault="00A3234D" w:rsidP="002057F6">
          <w:pPr>
            <w:rPr>
              <w:rFonts w:ascii="Helvetica Neue" w:hAnsi="Helvetica Neue"/>
              <w:color w:val="000000"/>
            </w:rPr>
          </w:pPr>
        </w:p>
      </w:sdtContent>
    </w:sdt>
    <w:p w14:paraId="4D3361B0" w14:textId="5E1D181B" w:rsidR="00C5690B" w:rsidRPr="006B30EC" w:rsidRDefault="00B04DE1" w:rsidP="006B30EC">
      <w:pPr>
        <w:pStyle w:val="Heading2"/>
        <w:rPr>
          <w:rFonts w:ascii="Helvetica Neue" w:hAnsi="Helvetica Neue"/>
        </w:rPr>
      </w:pPr>
      <w:r w:rsidRPr="00C5690B">
        <w:lastRenderedPageBreak/>
        <w:t>Executive Summary</w:t>
      </w:r>
    </w:p>
    <w:p w14:paraId="31FA54D6" w14:textId="2B8CA219" w:rsidR="002057F6" w:rsidRPr="0089449F" w:rsidRDefault="002057F6" w:rsidP="002057F6">
      <w:pPr>
        <w:rPr>
          <w:color w:val="000000"/>
        </w:rPr>
      </w:pPr>
      <w:r w:rsidRPr="0089449F">
        <w:rPr>
          <w:color w:val="000000"/>
        </w:rPr>
        <w:t>Sun Pharmaceutical  Industries Ltd. is the 5th largest speciality generic company in the world. It is ranked 5th in the United States and is the largest Indian company in the country. It is the number one pharma company in India and is one of the largest Indian companies in emerging markets while expanding its presence in Europe. Sun Pharma has 42 manufacturing facilities around the world. It has a marketing presence in over 100 countries and sells a portfolio of more than 2000 products across the globe while employing 32,000+ employees.</w:t>
      </w:r>
    </w:p>
    <w:p w14:paraId="6B955461" w14:textId="04A5FFD1" w:rsidR="002057F6" w:rsidRDefault="002057F6" w:rsidP="002057F6">
      <w:pPr>
        <w:rPr>
          <w:color w:val="000000"/>
        </w:rPr>
      </w:pPr>
      <w:r w:rsidRPr="0089449F">
        <w:rPr>
          <w:color w:val="000000"/>
        </w:rPr>
        <w:t>Regarding quality compliance, it has multiple facilities approved by various regulatory authorities across the world, including USFDA (United States Food and Drug Administration). Research and development and manufacturing capabilities include dosage forms like injectables, sprays, ointments, creams, liquids, tablets and capsules. The addressable segment includes speciality products, branded generics, complex generics, pure generics &amp; APIs (active pharmaceutical ingredients).  Below is a summary of the long term strategic growth strategies for Sun.</w:t>
      </w:r>
    </w:p>
    <w:p w14:paraId="6F53A6E7" w14:textId="77777777" w:rsidR="007661E4" w:rsidRPr="0089449F" w:rsidRDefault="007661E4" w:rsidP="002057F6">
      <w:pPr>
        <w:rPr>
          <w:color w:val="000000"/>
        </w:rPr>
      </w:pPr>
    </w:p>
    <w:p w14:paraId="6A1B2556" w14:textId="109DE6AB" w:rsidR="00675981" w:rsidRPr="00B7546D" w:rsidRDefault="00675981" w:rsidP="0048394E">
      <w:pPr>
        <w:rPr>
          <w:color w:val="000000"/>
        </w:rPr>
      </w:pPr>
      <w:r w:rsidRPr="00B7546D">
        <w:rPr>
          <w:noProof/>
          <w:color w:val="000000"/>
        </w:rPr>
        <w:drawing>
          <wp:inline distT="0" distB="0" distL="0" distR="0" wp14:anchorId="4A1FD196" wp14:editId="28908913">
            <wp:extent cx="3377060" cy="2344848"/>
            <wp:effectExtent l="0" t="0" r="127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23272" cy="2376935"/>
                    </a:xfrm>
                    <a:prstGeom prst="rect">
                      <a:avLst/>
                    </a:prstGeom>
                  </pic:spPr>
                </pic:pic>
              </a:graphicData>
            </a:graphic>
          </wp:inline>
        </w:drawing>
      </w:r>
    </w:p>
    <w:p w14:paraId="14A6EA71" w14:textId="627CACFE" w:rsidR="009F1886" w:rsidRPr="00B7546D" w:rsidRDefault="009F1886" w:rsidP="0048394E">
      <w:pPr>
        <w:rPr>
          <w:color w:val="000000"/>
        </w:rPr>
      </w:pPr>
    </w:p>
    <w:p w14:paraId="16E709CF" w14:textId="7A97597C" w:rsidR="00AE447D" w:rsidRDefault="00AE447D" w:rsidP="00AE447D">
      <w:pPr>
        <w:rPr>
          <w:color w:val="000000"/>
        </w:rPr>
      </w:pPr>
      <w:r w:rsidRPr="0089449F">
        <w:rPr>
          <w:color w:val="000000"/>
        </w:rPr>
        <w:t>As can be seen by the summary of the financials for 2018/19 Sun Pharma earnings have declined primarily due to a decline in the US business.</w:t>
      </w:r>
    </w:p>
    <w:p w14:paraId="1B50EC46" w14:textId="77777777" w:rsidR="006B30EC" w:rsidRPr="0089449F" w:rsidRDefault="006B30EC" w:rsidP="00AE447D">
      <w:pPr>
        <w:rPr>
          <w:color w:val="000000"/>
        </w:rPr>
      </w:pPr>
    </w:p>
    <w:p w14:paraId="42C242B2" w14:textId="00FE4C47" w:rsidR="000D58EC" w:rsidRPr="00B7546D" w:rsidRDefault="000D58EC" w:rsidP="0048394E">
      <w:pPr>
        <w:rPr>
          <w:color w:val="000000"/>
        </w:rPr>
      </w:pPr>
      <w:r w:rsidRPr="00B7546D">
        <w:rPr>
          <w:noProof/>
          <w:color w:val="000000"/>
        </w:rPr>
        <w:drawing>
          <wp:inline distT="0" distB="0" distL="0" distR="0" wp14:anchorId="4F850CFA" wp14:editId="3731038F">
            <wp:extent cx="3829948" cy="2670773"/>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84822" cy="2709039"/>
                    </a:xfrm>
                    <a:prstGeom prst="rect">
                      <a:avLst/>
                    </a:prstGeom>
                  </pic:spPr>
                </pic:pic>
              </a:graphicData>
            </a:graphic>
          </wp:inline>
        </w:drawing>
      </w:r>
    </w:p>
    <w:p w14:paraId="4A801CF6" w14:textId="77777777" w:rsidR="00F94CE4" w:rsidRDefault="0048394E" w:rsidP="00F94CE4">
      <w:pPr>
        <w:rPr>
          <w:color w:val="000000" w:themeColor="text1"/>
        </w:rPr>
      </w:pPr>
      <w:r w:rsidRPr="00B7546D">
        <w:rPr>
          <w:color w:val="000000"/>
        </w:rPr>
        <w:t>(</w:t>
      </w:r>
      <w:r w:rsidR="00315D08" w:rsidRPr="00B7546D">
        <w:rPr>
          <w:color w:val="000000" w:themeColor="text1"/>
          <w:lang w:val="en-US"/>
        </w:rPr>
        <w:t>Investor Presentation – February 2019</w:t>
      </w:r>
      <w:r w:rsidRPr="00B7546D">
        <w:rPr>
          <w:color w:val="000000" w:themeColor="text1"/>
        </w:rPr>
        <w:t xml:space="preserve"> </w:t>
      </w:r>
      <w:hyperlink r:id="rId9" w:history="1">
        <w:r w:rsidR="00DE69B9" w:rsidRPr="0035785E">
          <w:rPr>
            <w:rStyle w:val="Hyperlink"/>
          </w:rPr>
          <w:t>www.sunpharma.com</w:t>
        </w:r>
      </w:hyperlink>
      <w:r w:rsidRPr="00B7546D">
        <w:rPr>
          <w:color w:val="000000" w:themeColor="text1"/>
        </w:rPr>
        <w:t>)</w:t>
      </w:r>
    </w:p>
    <w:p w14:paraId="51FC7845" w14:textId="1060C47B" w:rsidR="00D9321E" w:rsidRPr="00F94CE4" w:rsidRDefault="00444FA5" w:rsidP="00F94CE4">
      <w:pPr>
        <w:pStyle w:val="Heading2"/>
        <w:rPr>
          <w:color w:val="000000" w:themeColor="text1"/>
        </w:rPr>
      </w:pPr>
      <w:r w:rsidRPr="00D9321E">
        <w:lastRenderedPageBreak/>
        <w:t>Global PESTLE Analysis</w:t>
      </w:r>
    </w:p>
    <w:p w14:paraId="7F67D4EF" w14:textId="77777777" w:rsidR="00444FA5" w:rsidRPr="006B30EC" w:rsidRDefault="00444FA5" w:rsidP="00444FA5">
      <w:pPr>
        <w:rPr>
          <w:b/>
          <w:color w:val="000000"/>
        </w:rPr>
      </w:pPr>
      <w:r w:rsidRPr="006B30EC">
        <w:rPr>
          <w:b/>
          <w:color w:val="000000"/>
        </w:rPr>
        <w:t>Political</w:t>
      </w:r>
    </w:p>
    <w:p w14:paraId="4D60CF68" w14:textId="77777777" w:rsidR="00444FA5" w:rsidRPr="0089449F" w:rsidRDefault="00444FA5" w:rsidP="00444FA5">
      <w:pPr>
        <w:rPr>
          <w:color w:val="000000"/>
        </w:rPr>
      </w:pPr>
      <w:r w:rsidRPr="0089449F">
        <w:rPr>
          <w:color w:val="000000"/>
        </w:rPr>
        <w:t xml:space="preserve">While growth drive in the United States is (Financial - </w:t>
      </w:r>
      <w:proofErr w:type="spellStart"/>
      <w:r w:rsidRPr="0089449F">
        <w:rPr>
          <w:color w:val="000000"/>
        </w:rPr>
        <w:t>cbl.org.Ir</w:t>
      </w:r>
      <w:proofErr w:type="spellEnd"/>
      <w:r w:rsidRPr="0089449F">
        <w:rPr>
          <w:color w:val="000000"/>
        </w:rPr>
        <w:t xml:space="preserve">) projected to moderate as the effects of the fiscal stimulus fade, (US Growth To Remain Strong in 2018, Risks Rising for 2019) prolonged trade disputes could have significant </w:t>
      </w:r>
      <w:proofErr w:type="spellStart"/>
      <w:r w:rsidRPr="0089449F">
        <w:rPr>
          <w:color w:val="000000"/>
        </w:rPr>
        <w:t>spillovers</w:t>
      </w:r>
      <w:proofErr w:type="spellEnd"/>
      <w:r w:rsidRPr="0089449F">
        <w:rPr>
          <w:color w:val="000000"/>
        </w:rPr>
        <w:t xml:space="preserve"> on investment prospects. Commodity trade between the US and China has decreased by more than 15% since September 2018. Sun Pharma revenue contribution from the Us decreased by 34% from over 60% to the current contribution of 34%. Although not planned by Sun Pharma, this may mitigate the risk associated with the trade wars between the US and China and Russia. Economic activity in weaker confidence and prolonged uncertainty surrounding Brexit will dampen developments in Europe, which means Sun will continue to make slow progress in penetrating the European market. Sun products need to be registered by the regulatory board governing the European Union. Currently, the European Union uses one board. With Brexit looming, there is a risk that the regulations may change, delaying the registration of products further.</w:t>
      </w:r>
    </w:p>
    <w:p w14:paraId="1601A8EB" w14:textId="77777777" w:rsidR="00444FA5" w:rsidRPr="0089449F" w:rsidRDefault="00444FA5" w:rsidP="00444FA5">
      <w:pPr>
        <w:rPr>
          <w:color w:val="000000"/>
        </w:rPr>
      </w:pPr>
    </w:p>
    <w:p w14:paraId="58B9F492" w14:textId="77777777" w:rsidR="00444FA5" w:rsidRPr="006B30EC" w:rsidRDefault="00444FA5" w:rsidP="00444FA5">
      <w:pPr>
        <w:rPr>
          <w:b/>
          <w:color w:val="000000"/>
        </w:rPr>
      </w:pPr>
      <w:r w:rsidRPr="006B30EC">
        <w:rPr>
          <w:b/>
          <w:color w:val="000000"/>
        </w:rPr>
        <w:t>Environmental</w:t>
      </w:r>
    </w:p>
    <w:p w14:paraId="70E85D87" w14:textId="77777777" w:rsidR="00444FA5" w:rsidRPr="0089449F" w:rsidRDefault="00444FA5" w:rsidP="00444FA5">
      <w:pPr>
        <w:rPr>
          <w:color w:val="000000"/>
        </w:rPr>
      </w:pPr>
      <w:r w:rsidRPr="0089449F">
        <w:rPr>
          <w:color w:val="000000"/>
        </w:rPr>
        <w:t xml:space="preserve">The higher frequency and intensity of natural disasters, reflecting the rising effects of climate change, especially in developing regions, have compounded economic risks further. Climate uncertainty poses an ever-expanding peril to the international economy. A harmonised, multi-cultural approach to global climate policy, including a price on carbon, is a critical aspect needed to address climate change. The level of CO2 is estimated to be one of the most significant increases ever in 2019.  Carbon pricing initiatives remain confined and splintered. Sun Pharma gets a large percentage of its API (active pharmaceutical ingredients) from China. Because of environmental challenges, it is not uncommon for the Chinese government to shut down factories because of pollution, which poses an ongoing threat to the supply of API for Sun’s drugs. </w:t>
      </w:r>
    </w:p>
    <w:p w14:paraId="1D58F1BE" w14:textId="77777777" w:rsidR="00444FA5" w:rsidRPr="0089449F" w:rsidRDefault="00444FA5" w:rsidP="00444FA5">
      <w:pPr>
        <w:rPr>
          <w:color w:val="000000"/>
        </w:rPr>
      </w:pPr>
      <w:r w:rsidRPr="0089449F">
        <w:rPr>
          <w:color w:val="000000"/>
        </w:rPr>
        <w:t xml:space="preserve">Economic risks are further compounded by the higher prevalence and ferocity of natural disasters, proving the increasing effects of climate change, especially in developing regions.  </w:t>
      </w:r>
    </w:p>
    <w:p w14:paraId="783EB680" w14:textId="77777777" w:rsidR="00444FA5" w:rsidRPr="0089449F" w:rsidRDefault="00444FA5" w:rsidP="00444FA5">
      <w:pPr>
        <w:rPr>
          <w:color w:val="000000"/>
        </w:rPr>
      </w:pPr>
    </w:p>
    <w:p w14:paraId="18EC3A59" w14:textId="77777777" w:rsidR="00444FA5" w:rsidRPr="006B30EC" w:rsidRDefault="00444FA5" w:rsidP="00444FA5">
      <w:pPr>
        <w:rPr>
          <w:b/>
          <w:color w:val="000000"/>
        </w:rPr>
      </w:pPr>
      <w:r w:rsidRPr="006B30EC">
        <w:rPr>
          <w:b/>
          <w:color w:val="000000"/>
        </w:rPr>
        <w:t>Economic</w:t>
      </w:r>
    </w:p>
    <w:p w14:paraId="398726E6" w14:textId="77777777" w:rsidR="00444FA5" w:rsidRPr="0089449F" w:rsidRDefault="00444FA5" w:rsidP="00444FA5">
      <w:pPr>
        <w:rPr>
          <w:color w:val="000000"/>
        </w:rPr>
      </w:pPr>
      <w:r w:rsidRPr="0089449F">
        <w:rPr>
          <w:color w:val="000000"/>
        </w:rPr>
        <w:t xml:space="preserve">Economic risks are further compounded by: </w:t>
      </w:r>
    </w:p>
    <w:p w14:paraId="10EC12BC" w14:textId="77777777" w:rsidR="00444FA5" w:rsidRPr="0089449F" w:rsidRDefault="00444FA5" w:rsidP="00444FA5">
      <w:pPr>
        <w:rPr>
          <w:color w:val="000000"/>
        </w:rPr>
      </w:pPr>
      <w:r w:rsidRPr="0089449F">
        <w:rPr>
          <w:color w:val="000000"/>
        </w:rPr>
        <w:t>The decrease in growth which has prompted a move towards more accommodating monetary policy postures across both developed and emerging economies. The short-term prospect for the global economy has decreased because of continually soaring unpredictability in the global policy climate and slower international trade activity. (WESP).  The growth predictions have decreased in all major developed countries and many developing territories, especially Southern Africa, Western Asia and Latin America and the Caribbean. (WESP) Since Sun Pharma has focussed its growth strategies on the emerging markets, this creates a barrier not foreseen two years ago. Growths in these regions were forecasted to grow in the double digits in previous forecasts.</w:t>
      </w:r>
    </w:p>
    <w:p w14:paraId="4B976D38" w14:textId="77777777" w:rsidR="00444FA5" w:rsidRPr="0089449F" w:rsidRDefault="00444FA5" w:rsidP="00444FA5">
      <w:pPr>
        <w:rPr>
          <w:color w:val="000000"/>
        </w:rPr>
      </w:pPr>
      <w:r w:rsidRPr="0089449F">
        <w:rPr>
          <w:color w:val="000000"/>
        </w:rPr>
        <w:t>While many countries are adopting easier fiscal insurance stances to boost growth, their power to introduce better motivational methods to prevent a steeper and longer downturn is finite.</w:t>
      </w:r>
    </w:p>
    <w:p w14:paraId="0B45DCA8" w14:textId="77777777" w:rsidR="00444FA5" w:rsidRPr="0089449F" w:rsidRDefault="00444FA5" w:rsidP="00444FA5">
      <w:pPr>
        <w:rPr>
          <w:color w:val="000000"/>
        </w:rPr>
      </w:pPr>
      <w:r w:rsidRPr="0089449F">
        <w:rPr>
          <w:color w:val="000000"/>
        </w:rPr>
        <w:t>In the second half of 2018, many sizeable developing and evolving countries gross fixed capital formation growth decreased.</w:t>
      </w:r>
    </w:p>
    <w:p w14:paraId="122ECE4F" w14:textId="77777777" w:rsidR="00444FA5" w:rsidRPr="0089449F" w:rsidRDefault="00444FA5" w:rsidP="00444FA5">
      <w:pPr>
        <w:rPr>
          <w:color w:val="000000"/>
        </w:rPr>
      </w:pPr>
      <w:r w:rsidRPr="0089449F">
        <w:rPr>
          <w:color w:val="000000"/>
        </w:rPr>
        <w:t xml:space="preserve">The scope for least developed countries (LDCs) has weakened. They increased by 4.8 per cent in 2018, but GDP growth is projected to decline to 4.6 per cent in 2019, way below the </w:t>
      </w:r>
      <w:r w:rsidRPr="0089449F">
        <w:rPr>
          <w:color w:val="000000"/>
        </w:rPr>
        <w:lastRenderedPageBreak/>
        <w:t>SDG target of 7 per cent. These countries are already affected by severe poverty, and the forecasts threaten to increase the gap between them and developed countries even more.</w:t>
      </w:r>
    </w:p>
    <w:p w14:paraId="28AD65CC" w14:textId="77777777" w:rsidR="00444FA5" w:rsidRPr="0089449F" w:rsidRDefault="00444FA5" w:rsidP="00444FA5">
      <w:pPr>
        <w:rPr>
          <w:color w:val="000000"/>
        </w:rPr>
      </w:pPr>
      <w:r w:rsidRPr="0089449F">
        <w:rPr>
          <w:color w:val="000000"/>
        </w:rPr>
        <w:t>Recent monetary policy shifts in advanced economies may increase debt accumulation and financial jeopardy. (WESP) With debt increasing, investment and spend will adversely affect the pharmaceutical industry and is likely to drive prices down even further.</w:t>
      </w:r>
    </w:p>
    <w:p w14:paraId="1F270653" w14:textId="77777777" w:rsidR="00444FA5" w:rsidRPr="0089449F" w:rsidRDefault="00444FA5" w:rsidP="00444FA5">
      <w:pPr>
        <w:rPr>
          <w:color w:val="000000"/>
        </w:rPr>
      </w:pPr>
      <w:r w:rsidRPr="0089449F">
        <w:rPr>
          <w:color w:val="000000"/>
        </w:rPr>
        <w:t>The forecast for Africa is still challenging. Growth is predicted to increase, but the region faces difficulties in embarking on a robust and sustained growth trajectory. The projected GDP growth is at 3.2 per cent in 2019 and 3.7 per cent in 2020, after an estimated increase of only 2.7 per cent in 2018. In South Africa’s case, it has been political turmoil, instability in the mining sector, slow economic growth and the devaluating Rand that caused the downgrading by Standard and Poor’s credit rating for South Africa to BBB- with a negative outlook. This rating signals to potential investors that there is a risk involved because SAs debt has increased. The government might not have the money to pay back what it has borrowed.</w:t>
      </w:r>
    </w:p>
    <w:p w14:paraId="372A4F02" w14:textId="77777777" w:rsidR="00444FA5" w:rsidRPr="0089449F" w:rsidRDefault="00444FA5" w:rsidP="00444FA5">
      <w:pPr>
        <w:rPr>
          <w:color w:val="000000"/>
        </w:rPr>
      </w:pPr>
      <w:r w:rsidRPr="0089449F">
        <w:rPr>
          <w:color w:val="000000"/>
        </w:rPr>
        <w:t>Despite elevated external headwinds, the growth outlook in East Asia remains robust, supported by accommodative policies in most economies. GDP growth is projected to moderate slightly from 5.8 per cent in 2018 to 5.5 per cent in both 2019 and 2020. South Asia remains on a healthy growth path, even as growth projections are adjusted downward. Following growth of 5.7 per cent in 2018, GDP growth in South Asia is projected to drop to 5.0 per cent in 2019 and to recover to 5.8 per cent in 2020. The economic outlook for Western Asia has weakened, resulting in the downgraded growth forecast. Aggregate regional GDP is projected to expand by 1.7 per cent in 2019 and 2.6 per cent in 2020, after an estimated expansion of 2.6 per cent in 2018. Sun Pharma has invested heavily in India, and Asia and growths revenue are generally reasonable. Latin America has shown particularly high returns for Sun Pharma. Economic expansion in Latin America and the Caribbean is expected to pick up slowly, yet the risks point to the downside due to external and domestic factors. GDP is forecast to expand by only 1.1 per cent in 2019 and 2.0 per cent in 2020, following growth of 0.9 per cent in 2018.</w:t>
      </w:r>
    </w:p>
    <w:p w14:paraId="6D25C3AF" w14:textId="77777777" w:rsidR="00444FA5" w:rsidRPr="0089449F" w:rsidRDefault="00444FA5" w:rsidP="00444FA5">
      <w:pPr>
        <w:rPr>
          <w:color w:val="000000"/>
        </w:rPr>
      </w:pPr>
    </w:p>
    <w:p w14:paraId="5CD1071C" w14:textId="77777777" w:rsidR="00444FA5" w:rsidRPr="006B30EC" w:rsidRDefault="00444FA5" w:rsidP="00444FA5">
      <w:pPr>
        <w:rPr>
          <w:b/>
          <w:color w:val="000000"/>
        </w:rPr>
      </w:pPr>
      <w:r w:rsidRPr="006B30EC">
        <w:rPr>
          <w:b/>
          <w:color w:val="000000"/>
        </w:rPr>
        <w:t>Social</w:t>
      </w:r>
    </w:p>
    <w:p w14:paraId="5A0AA4CC" w14:textId="77777777" w:rsidR="00444FA5" w:rsidRPr="0089449F" w:rsidRDefault="00444FA5" w:rsidP="00444FA5">
      <w:pPr>
        <w:rPr>
          <w:color w:val="000000"/>
        </w:rPr>
      </w:pPr>
      <w:r w:rsidRPr="0089449F">
        <w:rPr>
          <w:color w:val="000000"/>
        </w:rPr>
        <w:t>The macroeconomic outlook is deteriorating, placing pressure on any advances towards eliminating poverty and the 2030 Agenda for Sustainable Development.</w:t>
      </w:r>
    </w:p>
    <w:p w14:paraId="656107F7" w14:textId="77777777" w:rsidR="00444FA5" w:rsidRPr="0089449F" w:rsidRDefault="00444FA5" w:rsidP="00444FA5">
      <w:pPr>
        <w:rPr>
          <w:color w:val="000000"/>
        </w:rPr>
      </w:pPr>
      <w:r w:rsidRPr="0089449F">
        <w:rPr>
          <w:color w:val="000000"/>
        </w:rPr>
        <w:t>Future poverty contraction, especially in Africa and South Asia, depends primarily on increasing the capacity for viable urbanisation. With the gap between the rich and the poor growing, the potential for growth in pharmaceutical sales is a threat. The number of displaced people, including refugees as well as being internally displaced, as a result of conflict, is approximated to have carried on increasing in 2018. Crime follows the displaced people, which places an extra burden on governments reputation for investment. Many countries in sub-Saharan Africa and Latin America have seen poverty levels increase since 2014.</w:t>
      </w:r>
    </w:p>
    <w:p w14:paraId="567B711C" w14:textId="210BBA82" w:rsidR="00444FA5" w:rsidRDefault="00444FA5" w:rsidP="00444FA5">
      <w:pPr>
        <w:rPr>
          <w:color w:val="000000"/>
        </w:rPr>
      </w:pPr>
      <w:r w:rsidRPr="0089449F">
        <w:rPr>
          <w:color w:val="000000"/>
        </w:rPr>
        <w:t>While rural-urban poverty gaps are narrowing amid rapid urbanisation, the rural poor still account for almost 80 per cent of the poor worldwide. Unemployment in many countries is a huge problem contributing to poverty and holding back progress in skills development.</w:t>
      </w:r>
    </w:p>
    <w:p w14:paraId="59FED36F" w14:textId="20022ABC" w:rsidR="00FD281A" w:rsidRDefault="00FD281A" w:rsidP="00444FA5">
      <w:pPr>
        <w:rPr>
          <w:color w:val="000000"/>
        </w:rPr>
      </w:pPr>
    </w:p>
    <w:p w14:paraId="0E2E26DF" w14:textId="0F263F16" w:rsidR="00FD281A" w:rsidRDefault="00FD281A" w:rsidP="00444FA5">
      <w:pPr>
        <w:rPr>
          <w:b/>
          <w:color w:val="000000"/>
        </w:rPr>
      </w:pPr>
      <w:r w:rsidRPr="00FD281A">
        <w:rPr>
          <w:b/>
          <w:color w:val="000000"/>
        </w:rPr>
        <w:t>Legal</w:t>
      </w:r>
    </w:p>
    <w:p w14:paraId="494EFB6B" w14:textId="2E2631E5" w:rsidR="00FD281A" w:rsidRPr="00FD281A" w:rsidRDefault="00FD281A" w:rsidP="00444FA5">
      <w:pPr>
        <w:rPr>
          <w:color w:val="000000"/>
        </w:rPr>
      </w:pPr>
      <w:r w:rsidRPr="00FD281A">
        <w:rPr>
          <w:color w:val="000000"/>
        </w:rPr>
        <w:t>Regulations</w:t>
      </w:r>
      <w:r>
        <w:rPr>
          <w:color w:val="000000"/>
        </w:rPr>
        <w:t xml:space="preserve"> for the pharmaceutical industry are very high due to the nature of the products being sold. </w:t>
      </w:r>
      <w:r w:rsidR="00264BCA">
        <w:rPr>
          <w:color w:val="000000"/>
        </w:rPr>
        <w:t xml:space="preserve">This does make the barriers to entrance very difficult to overcome and it is very expensive and time consuming to ensure compliance </w:t>
      </w:r>
      <w:r w:rsidR="00BD6677">
        <w:rPr>
          <w:color w:val="000000"/>
        </w:rPr>
        <w:t xml:space="preserve">is adhered to. The high level of scientific skill required adds to the cost but does lower the risk of </w:t>
      </w:r>
      <w:proofErr w:type="spellStart"/>
      <w:r w:rsidR="00BD6677">
        <w:rPr>
          <w:color w:val="000000"/>
        </w:rPr>
        <w:t>enfringement</w:t>
      </w:r>
      <w:proofErr w:type="spellEnd"/>
      <w:r w:rsidR="00BD6677">
        <w:rPr>
          <w:color w:val="000000"/>
        </w:rPr>
        <w:t>.</w:t>
      </w:r>
    </w:p>
    <w:p w14:paraId="52F68AEF" w14:textId="544AB27A" w:rsidR="00D97044" w:rsidRDefault="00D97044" w:rsidP="0048394E">
      <w:pPr>
        <w:rPr>
          <w:color w:val="000000"/>
        </w:rPr>
      </w:pPr>
    </w:p>
    <w:p w14:paraId="766ED397" w14:textId="77777777" w:rsidR="00CD2347" w:rsidRPr="0089449F" w:rsidRDefault="00CD2347" w:rsidP="006B30EC">
      <w:pPr>
        <w:pStyle w:val="Heading2"/>
      </w:pPr>
      <w:r w:rsidRPr="0089449F">
        <w:lastRenderedPageBreak/>
        <w:t>Trade Theories</w:t>
      </w:r>
    </w:p>
    <w:p w14:paraId="14B84570" w14:textId="343F7D50" w:rsidR="00CD2347" w:rsidRDefault="00CD2347" w:rsidP="00CD2347">
      <w:pPr>
        <w:rPr>
          <w:color w:val="000000"/>
        </w:rPr>
      </w:pPr>
      <w:r w:rsidRPr="0089449F">
        <w:rPr>
          <w:color w:val="000000"/>
        </w:rPr>
        <w:t>Before moving on to the pharmaceutical market, it is essential to discuss the different trade theories on international trade. Trade is the exchange of goods and services between two parties. (Businesses or individuals) International trade is the same thing, except it involves two countries. All businesses function to benefit from the profit made. As the business has developed several policies, theories and strategies have become part of international trade, and they are made up of classic country based theories and modern firm-based theories. Classical theories include Mercantilism, Absolute Advantage, Comparative Advantage and Heckscher-Ohlin theory. Modern Firm-based theories include Country Similarity, Product Life Cycle, Global Strategic Rivalry and Porters National Competitive Advantage.</w:t>
      </w:r>
    </w:p>
    <w:p w14:paraId="02B748AC" w14:textId="77777777" w:rsidR="002E47F5" w:rsidRPr="0089449F" w:rsidRDefault="002E47F5" w:rsidP="00CD2347">
      <w:pPr>
        <w:rPr>
          <w:color w:val="000000"/>
        </w:rPr>
      </w:pPr>
    </w:p>
    <w:p w14:paraId="7C4C9DA5" w14:textId="77777777" w:rsidR="00CD2347" w:rsidRPr="0089449F" w:rsidRDefault="00CD2347" w:rsidP="00CD2347">
      <w:pPr>
        <w:rPr>
          <w:color w:val="000000"/>
        </w:rPr>
      </w:pPr>
      <w:r w:rsidRPr="002E47F5">
        <w:rPr>
          <w:b/>
          <w:color w:val="000000"/>
        </w:rPr>
        <w:t>Mercantilism:</w:t>
      </w:r>
      <w:r w:rsidRPr="0089449F">
        <w:rPr>
          <w:color w:val="000000"/>
        </w:rPr>
        <w:t xml:space="preserve"> states that a countries wealth is based on the amount of silver and gold it owns. They believed the country should export as much as possible and import as little as possible so that one could hold a surplus of gold and silver. In this way, the exports were more valuable than the imports, and the country could avoid a trade deficit. Today, this strategy is called protectionism.</w:t>
      </w:r>
    </w:p>
    <w:p w14:paraId="2248B97B" w14:textId="77777777" w:rsidR="00CD2347" w:rsidRPr="0089449F" w:rsidRDefault="00CD2347" w:rsidP="00CD2347">
      <w:pPr>
        <w:rPr>
          <w:color w:val="000000"/>
        </w:rPr>
      </w:pPr>
      <w:r w:rsidRPr="002E47F5">
        <w:rPr>
          <w:b/>
          <w:color w:val="000000"/>
        </w:rPr>
        <w:t>Absolute advantage</w:t>
      </w:r>
      <w:r w:rsidRPr="0089449F">
        <w:rPr>
          <w:color w:val="000000"/>
        </w:rPr>
        <w:t xml:space="preserve"> focussed on a country producing goods more efficiently than the opposing nation. Adam Smith argued that if one country could produce the goods cheaper and/or faster than the other country, it had an absolute advantage. In this way, the country could specialise and become skilled at producing that good while the other country could specialise in something else it was better at producing. The people of both countries would, therefore, improve their standard of living.</w:t>
      </w:r>
    </w:p>
    <w:p w14:paraId="5B0064F2" w14:textId="77777777" w:rsidR="00CD2347" w:rsidRPr="0089449F" w:rsidRDefault="00CD2347" w:rsidP="00CD2347">
      <w:pPr>
        <w:rPr>
          <w:color w:val="000000"/>
        </w:rPr>
      </w:pPr>
      <w:r w:rsidRPr="002E47F5">
        <w:rPr>
          <w:b/>
          <w:color w:val="000000"/>
        </w:rPr>
        <w:t>Comparative advantage</w:t>
      </w:r>
      <w:r w:rsidRPr="0089449F">
        <w:rPr>
          <w:color w:val="000000"/>
        </w:rPr>
        <w:t xml:space="preserve"> was challenged by David Ricardo, who argued that one country might be better at producing all goods, and therefore, the second country would be at a disadvantage. He argued that even if country B did not have an absolute advantage, it could still produce the goods better and more efficiently than it produced other goods. If country B had to give up two bags of wheat to produce ten bunches of bananas, then it had a comparative advantage in producing only bananas. Country A may have to give up six bags of wheat to produce four bunches of bananas so it would make sense for country A to produce wheat. Each country would focus on producing the goods for it needed to make the least sacrifice.</w:t>
      </w:r>
    </w:p>
    <w:p w14:paraId="392D79C5" w14:textId="77777777" w:rsidR="00CD2347" w:rsidRPr="0089449F" w:rsidRDefault="00CD2347" w:rsidP="00CD2347">
      <w:pPr>
        <w:rPr>
          <w:color w:val="000000"/>
        </w:rPr>
      </w:pPr>
      <w:r w:rsidRPr="002E47F5">
        <w:rPr>
          <w:b/>
          <w:color w:val="000000"/>
        </w:rPr>
        <w:t>Heckscher-Ohlin</w:t>
      </w:r>
      <w:r w:rsidRPr="0089449F">
        <w:rPr>
          <w:color w:val="000000"/>
        </w:rPr>
        <w:t xml:space="preserve"> theory focussed on what factors the country had in excesses like labour, land and capital so a country would supply and export goods that required resources or factors that were in high supply and therefore the goods would be cheaper to produce. The country would, in turn, import goods it required that were in high demand, but where its resources were in short supply. In this way both countries would benefit from more goods and lifestyles would improve.</w:t>
      </w:r>
    </w:p>
    <w:p w14:paraId="20A55CF3" w14:textId="77777777" w:rsidR="00CD2347" w:rsidRPr="0089449F" w:rsidRDefault="00CD2347" w:rsidP="00CD2347">
      <w:pPr>
        <w:rPr>
          <w:color w:val="000000"/>
        </w:rPr>
      </w:pPr>
      <w:r w:rsidRPr="002E47F5">
        <w:rPr>
          <w:b/>
          <w:color w:val="000000"/>
        </w:rPr>
        <w:t>Country similarity</w:t>
      </w:r>
      <w:r w:rsidRPr="0089449F">
        <w:rPr>
          <w:color w:val="000000"/>
        </w:rPr>
        <w:t xml:space="preserve"> means that consumers that are the same or similar in the two countries would have similar preferences. Country A would first produce goods for domestic trade and then export to a similar country with similar per capita incomes. Country B would do the same with other products, and both countries would have more products.</w:t>
      </w:r>
    </w:p>
    <w:p w14:paraId="02EB9CB7" w14:textId="77777777" w:rsidR="00CD2347" w:rsidRPr="0089449F" w:rsidRDefault="00CD2347" w:rsidP="00CD2347">
      <w:pPr>
        <w:rPr>
          <w:color w:val="000000"/>
        </w:rPr>
      </w:pPr>
      <w:r w:rsidRPr="0089449F">
        <w:rPr>
          <w:color w:val="000000"/>
        </w:rPr>
        <w:t>Product Life Cycle says that there are three phases to a product life cycle: a new product, mature product and a standardised or commoditised product. So the country would produce new products for domestic use and only export them once they were mature or standardised, which gives the innovator company an advantage over other countries. Today, innovation and new products take place all over the world, depending on what skills or resources are required and where they are found.</w:t>
      </w:r>
    </w:p>
    <w:p w14:paraId="23E7C211" w14:textId="77777777" w:rsidR="00CD2347" w:rsidRPr="0089449F" w:rsidRDefault="00CD2347" w:rsidP="00CD2347">
      <w:pPr>
        <w:rPr>
          <w:color w:val="000000"/>
        </w:rPr>
      </w:pPr>
      <w:r w:rsidRPr="002E47F5">
        <w:rPr>
          <w:b/>
          <w:color w:val="000000"/>
        </w:rPr>
        <w:t>Global Strategic Rivalry</w:t>
      </w:r>
      <w:r w:rsidRPr="0089449F">
        <w:rPr>
          <w:color w:val="000000"/>
        </w:rPr>
        <w:t xml:space="preserve"> focusses on MNC’s and the effort it takes for them to gain a competitive advantage which they can sustain through barriers to entry, which prevent a new </w:t>
      </w:r>
      <w:r w:rsidRPr="0089449F">
        <w:rPr>
          <w:color w:val="000000"/>
        </w:rPr>
        <w:lastRenderedPageBreak/>
        <w:t>competitor from entering the market. Examples of barriers to entry are the ownership of IP, unique processes, as well as the depth of experience in the industry, control of resources or raw materials, research and development.</w:t>
      </w:r>
    </w:p>
    <w:p w14:paraId="0D0CD8C1" w14:textId="77777777" w:rsidR="00CD2347" w:rsidRPr="0089449F" w:rsidRDefault="00CD2347" w:rsidP="00CD2347">
      <w:pPr>
        <w:rPr>
          <w:color w:val="000000"/>
        </w:rPr>
      </w:pPr>
      <w:r w:rsidRPr="002E47F5">
        <w:rPr>
          <w:b/>
          <w:color w:val="000000"/>
        </w:rPr>
        <w:t>Porters National Competitive Advantage</w:t>
      </w:r>
      <w:r w:rsidRPr="0089449F">
        <w:rPr>
          <w:color w:val="000000"/>
        </w:rPr>
        <w:t xml:space="preserve"> theory says that industry competitiveness depends on the ability to innovate and upgrade. Because of pressure and challenge, companies gain an advantage against their competitors. They benefit from having strong domestic rivals, aggressive home-based suppliers, and demanding local customers. Labour costs, interest rates, exchange rates, and economies of scale are the most robust components of competitiveness. Companies merge, form alliances and strategic partnerships, collaborate and operate in almost all countries around the world. Managers lobby for more government support for their industries. Governments employ various policies intended to promote national competitiveness—from efforts to manage exchange rates to new measures to manage trade to policies to relax antitrust—which usually end up only undermining it. </w:t>
      </w:r>
    </w:p>
    <w:p w14:paraId="40E40EAC" w14:textId="77777777" w:rsidR="00CD2347" w:rsidRPr="0089449F" w:rsidRDefault="00CD2347" w:rsidP="00CD2347">
      <w:pPr>
        <w:rPr>
          <w:color w:val="000000"/>
        </w:rPr>
      </w:pPr>
      <w:r w:rsidRPr="0089449F">
        <w:rPr>
          <w:color w:val="000000"/>
        </w:rPr>
        <w:t>(https://2012books.lardbucket.org/books/challenges-and-opportunities-in-international-business/s06-01-what-is-international-trade-th.html}</w:t>
      </w:r>
    </w:p>
    <w:p w14:paraId="0813BCEC" w14:textId="77777777" w:rsidR="00CD2347" w:rsidRPr="0089449F" w:rsidRDefault="00CD2347" w:rsidP="00CD2347">
      <w:pPr>
        <w:rPr>
          <w:color w:val="000000"/>
        </w:rPr>
      </w:pPr>
      <w:r w:rsidRPr="0089449F">
        <w:rPr>
          <w:color w:val="000000"/>
        </w:rPr>
        <w:t>https://hbr.org/1990/03/the-competitive-advantage-of-nations</w:t>
      </w:r>
    </w:p>
    <w:p w14:paraId="545C2684" w14:textId="08A8F2AC" w:rsidR="0025688B" w:rsidRPr="00B7546D" w:rsidRDefault="0025688B" w:rsidP="0048394E">
      <w:pPr>
        <w:rPr>
          <w:b/>
          <w:color w:val="000000"/>
        </w:rPr>
      </w:pPr>
    </w:p>
    <w:p w14:paraId="54725F8A" w14:textId="68B9BE4E" w:rsidR="00031457" w:rsidRDefault="00031457" w:rsidP="0048394E">
      <w:pPr>
        <w:rPr>
          <w:b/>
          <w:color w:val="000000"/>
        </w:rPr>
      </w:pPr>
    </w:p>
    <w:p w14:paraId="38C69A37" w14:textId="36170EB1" w:rsidR="006B30EC" w:rsidRDefault="006B30EC" w:rsidP="0048394E">
      <w:pPr>
        <w:rPr>
          <w:b/>
          <w:color w:val="000000"/>
        </w:rPr>
      </w:pPr>
    </w:p>
    <w:p w14:paraId="2D9B668E" w14:textId="3DBA2FA6" w:rsidR="006B30EC" w:rsidRDefault="006B30EC" w:rsidP="0048394E">
      <w:pPr>
        <w:rPr>
          <w:b/>
          <w:color w:val="000000"/>
        </w:rPr>
      </w:pPr>
    </w:p>
    <w:p w14:paraId="2AC2D9E2" w14:textId="102D8022" w:rsidR="006B30EC" w:rsidRDefault="006B30EC" w:rsidP="0048394E">
      <w:pPr>
        <w:rPr>
          <w:b/>
          <w:color w:val="000000"/>
        </w:rPr>
      </w:pPr>
    </w:p>
    <w:p w14:paraId="3C994156" w14:textId="5E6C67CB" w:rsidR="006B30EC" w:rsidRDefault="006B30EC" w:rsidP="0048394E">
      <w:pPr>
        <w:rPr>
          <w:b/>
          <w:color w:val="000000"/>
        </w:rPr>
      </w:pPr>
    </w:p>
    <w:p w14:paraId="7FD6B1A1" w14:textId="6A697A5A" w:rsidR="006B30EC" w:rsidRDefault="006B30EC" w:rsidP="0048394E">
      <w:pPr>
        <w:rPr>
          <w:b/>
          <w:color w:val="000000"/>
        </w:rPr>
      </w:pPr>
    </w:p>
    <w:p w14:paraId="6B87BB1D" w14:textId="5122415E" w:rsidR="006B30EC" w:rsidRDefault="006B30EC" w:rsidP="0048394E">
      <w:pPr>
        <w:rPr>
          <w:b/>
          <w:color w:val="000000"/>
        </w:rPr>
      </w:pPr>
    </w:p>
    <w:p w14:paraId="2A329A7A" w14:textId="725D004D" w:rsidR="006B30EC" w:rsidRDefault="006B30EC" w:rsidP="0048394E">
      <w:pPr>
        <w:rPr>
          <w:b/>
          <w:color w:val="000000"/>
        </w:rPr>
      </w:pPr>
    </w:p>
    <w:p w14:paraId="74E17CD6" w14:textId="097F091E" w:rsidR="006B30EC" w:rsidRDefault="006B30EC" w:rsidP="0048394E">
      <w:pPr>
        <w:rPr>
          <w:b/>
          <w:color w:val="000000"/>
        </w:rPr>
      </w:pPr>
    </w:p>
    <w:p w14:paraId="698D829C" w14:textId="74D89C25" w:rsidR="006B30EC" w:rsidRDefault="006B30EC" w:rsidP="0048394E">
      <w:pPr>
        <w:rPr>
          <w:b/>
          <w:color w:val="000000"/>
        </w:rPr>
      </w:pPr>
    </w:p>
    <w:p w14:paraId="34EB32D9" w14:textId="3E0A8EF7" w:rsidR="006B30EC" w:rsidRDefault="006B30EC" w:rsidP="0048394E">
      <w:pPr>
        <w:rPr>
          <w:b/>
          <w:color w:val="000000"/>
        </w:rPr>
      </w:pPr>
    </w:p>
    <w:p w14:paraId="361B754B" w14:textId="566F96BC" w:rsidR="006B30EC" w:rsidRDefault="006B30EC" w:rsidP="0048394E">
      <w:pPr>
        <w:rPr>
          <w:b/>
          <w:color w:val="000000"/>
        </w:rPr>
      </w:pPr>
    </w:p>
    <w:p w14:paraId="11F697FF" w14:textId="3C31C21E" w:rsidR="006B30EC" w:rsidRDefault="006B30EC" w:rsidP="0048394E">
      <w:pPr>
        <w:rPr>
          <w:b/>
          <w:color w:val="000000"/>
        </w:rPr>
      </w:pPr>
    </w:p>
    <w:p w14:paraId="5BF0C061" w14:textId="3E112E04" w:rsidR="006B30EC" w:rsidRDefault="006B30EC" w:rsidP="0048394E">
      <w:pPr>
        <w:rPr>
          <w:b/>
          <w:color w:val="000000"/>
        </w:rPr>
      </w:pPr>
    </w:p>
    <w:p w14:paraId="341F350F" w14:textId="2C433F9E" w:rsidR="006B30EC" w:rsidRDefault="006B30EC" w:rsidP="0048394E">
      <w:pPr>
        <w:rPr>
          <w:b/>
          <w:color w:val="000000"/>
        </w:rPr>
      </w:pPr>
    </w:p>
    <w:p w14:paraId="2AEC4899" w14:textId="45A9D1E6" w:rsidR="006B30EC" w:rsidRDefault="006B30EC" w:rsidP="0048394E">
      <w:pPr>
        <w:rPr>
          <w:b/>
          <w:color w:val="000000"/>
        </w:rPr>
      </w:pPr>
    </w:p>
    <w:p w14:paraId="1EE646DD" w14:textId="03394BC1" w:rsidR="006B30EC" w:rsidRDefault="006B30EC" w:rsidP="0048394E">
      <w:pPr>
        <w:rPr>
          <w:b/>
          <w:color w:val="000000"/>
        </w:rPr>
      </w:pPr>
    </w:p>
    <w:p w14:paraId="481BD8D2" w14:textId="6F59C27C" w:rsidR="006B30EC" w:rsidRDefault="006B30EC" w:rsidP="0048394E">
      <w:pPr>
        <w:rPr>
          <w:b/>
          <w:color w:val="000000"/>
        </w:rPr>
      </w:pPr>
    </w:p>
    <w:p w14:paraId="618709DA" w14:textId="1491E550" w:rsidR="006B30EC" w:rsidRDefault="006B30EC" w:rsidP="0048394E">
      <w:pPr>
        <w:rPr>
          <w:b/>
          <w:color w:val="000000"/>
        </w:rPr>
      </w:pPr>
    </w:p>
    <w:p w14:paraId="3C16DDDE" w14:textId="544A6324" w:rsidR="006B30EC" w:rsidRDefault="006B30EC" w:rsidP="0048394E">
      <w:pPr>
        <w:rPr>
          <w:b/>
          <w:color w:val="000000"/>
        </w:rPr>
      </w:pPr>
    </w:p>
    <w:p w14:paraId="44CA3F95" w14:textId="1DF6195D" w:rsidR="006B30EC" w:rsidRDefault="006B30EC" w:rsidP="0048394E">
      <w:pPr>
        <w:rPr>
          <w:b/>
          <w:color w:val="000000"/>
        </w:rPr>
      </w:pPr>
    </w:p>
    <w:p w14:paraId="0537BD49" w14:textId="46654B59" w:rsidR="006B30EC" w:rsidRDefault="006B30EC" w:rsidP="0048394E">
      <w:pPr>
        <w:rPr>
          <w:b/>
          <w:color w:val="000000"/>
        </w:rPr>
      </w:pPr>
    </w:p>
    <w:p w14:paraId="37086728" w14:textId="586A2A7E" w:rsidR="006B30EC" w:rsidRDefault="006B30EC" w:rsidP="0048394E">
      <w:pPr>
        <w:rPr>
          <w:b/>
          <w:color w:val="000000"/>
        </w:rPr>
      </w:pPr>
    </w:p>
    <w:p w14:paraId="7BED101E" w14:textId="509041C3" w:rsidR="006B30EC" w:rsidRDefault="006B30EC" w:rsidP="0048394E">
      <w:pPr>
        <w:rPr>
          <w:b/>
          <w:color w:val="000000"/>
        </w:rPr>
      </w:pPr>
    </w:p>
    <w:p w14:paraId="4937C136" w14:textId="7AFC199E" w:rsidR="006B30EC" w:rsidRDefault="006B30EC" w:rsidP="0048394E">
      <w:pPr>
        <w:rPr>
          <w:b/>
          <w:color w:val="000000"/>
        </w:rPr>
      </w:pPr>
    </w:p>
    <w:p w14:paraId="346FBCE8" w14:textId="3DAEE985" w:rsidR="006B30EC" w:rsidRDefault="006B30EC" w:rsidP="0048394E">
      <w:pPr>
        <w:rPr>
          <w:b/>
          <w:color w:val="000000"/>
        </w:rPr>
      </w:pPr>
    </w:p>
    <w:p w14:paraId="7A4179F7" w14:textId="3CF0F317" w:rsidR="006B30EC" w:rsidRDefault="006B30EC" w:rsidP="0048394E">
      <w:pPr>
        <w:rPr>
          <w:b/>
          <w:color w:val="000000"/>
        </w:rPr>
      </w:pPr>
    </w:p>
    <w:p w14:paraId="02AA84AA" w14:textId="62B00FEC" w:rsidR="006B30EC" w:rsidRDefault="006B30EC" w:rsidP="0048394E">
      <w:pPr>
        <w:rPr>
          <w:b/>
          <w:color w:val="000000"/>
        </w:rPr>
      </w:pPr>
    </w:p>
    <w:p w14:paraId="175FCA59" w14:textId="50E27B3E" w:rsidR="006B30EC" w:rsidRDefault="006B30EC" w:rsidP="0048394E">
      <w:pPr>
        <w:rPr>
          <w:b/>
          <w:color w:val="000000"/>
        </w:rPr>
      </w:pPr>
    </w:p>
    <w:p w14:paraId="1B9EDB3C" w14:textId="384D3AE1" w:rsidR="006B30EC" w:rsidRDefault="006B30EC" w:rsidP="0048394E">
      <w:pPr>
        <w:rPr>
          <w:b/>
          <w:color w:val="000000"/>
        </w:rPr>
      </w:pPr>
    </w:p>
    <w:p w14:paraId="05D8986B" w14:textId="615BE9B5" w:rsidR="006B30EC" w:rsidRDefault="006B30EC" w:rsidP="0048394E">
      <w:pPr>
        <w:rPr>
          <w:b/>
          <w:color w:val="000000"/>
        </w:rPr>
      </w:pPr>
    </w:p>
    <w:p w14:paraId="1E219E5F" w14:textId="0AC55F48" w:rsidR="006B30EC" w:rsidRDefault="006B30EC" w:rsidP="0048394E">
      <w:pPr>
        <w:rPr>
          <w:b/>
          <w:color w:val="000000"/>
        </w:rPr>
      </w:pPr>
    </w:p>
    <w:p w14:paraId="5877B0AA" w14:textId="77777777" w:rsidR="00326511" w:rsidRPr="0089449F" w:rsidRDefault="00326511" w:rsidP="006B30EC">
      <w:pPr>
        <w:pStyle w:val="Heading2"/>
      </w:pPr>
      <w:r w:rsidRPr="0089449F">
        <w:lastRenderedPageBreak/>
        <w:t>GLOBAL PHARMACEUTICAL MARKET</w:t>
      </w:r>
    </w:p>
    <w:p w14:paraId="02C15283" w14:textId="77777777" w:rsidR="00326511" w:rsidRPr="0089449F" w:rsidRDefault="00326511" w:rsidP="00326511">
      <w:pPr>
        <w:rPr>
          <w:color w:val="000000"/>
        </w:rPr>
      </w:pPr>
    </w:p>
    <w:p w14:paraId="4D871C84" w14:textId="77777777" w:rsidR="00326511" w:rsidRPr="006B30EC" w:rsidRDefault="00326511" w:rsidP="00326511">
      <w:pPr>
        <w:rPr>
          <w:b/>
          <w:color w:val="000000"/>
        </w:rPr>
      </w:pPr>
      <w:r w:rsidRPr="006B30EC">
        <w:rPr>
          <w:b/>
          <w:color w:val="000000"/>
        </w:rPr>
        <w:t>Market definition</w:t>
      </w:r>
    </w:p>
    <w:p w14:paraId="535DE53F" w14:textId="77777777" w:rsidR="00326511" w:rsidRPr="0089449F" w:rsidRDefault="00326511" w:rsidP="00326511">
      <w:pPr>
        <w:rPr>
          <w:color w:val="000000"/>
        </w:rPr>
      </w:pPr>
      <w:r w:rsidRPr="0089449F">
        <w:rPr>
          <w:color w:val="000000"/>
        </w:rPr>
        <w:t>The pharmaceuticals market is made up of ethical drugs only and does not include consumer health-care or animal health-care.  The global market includes North America, including Canada and Mexico,  South America, Europe, Asia-Pacific, Middle East, South Africa and Nigeria.</w:t>
      </w:r>
    </w:p>
    <w:p w14:paraId="543084F1" w14:textId="77777777" w:rsidR="00326511" w:rsidRPr="0089449F" w:rsidRDefault="00326511" w:rsidP="00326511">
      <w:pPr>
        <w:rPr>
          <w:color w:val="000000"/>
        </w:rPr>
      </w:pPr>
    </w:p>
    <w:p w14:paraId="6468F055" w14:textId="77777777" w:rsidR="00326511" w:rsidRPr="006B30EC" w:rsidRDefault="00326511" w:rsidP="00326511">
      <w:pPr>
        <w:rPr>
          <w:b/>
          <w:color w:val="000000"/>
        </w:rPr>
      </w:pPr>
      <w:r w:rsidRPr="006B30EC">
        <w:rPr>
          <w:b/>
          <w:color w:val="000000"/>
        </w:rPr>
        <w:t>Market Analysis</w:t>
      </w:r>
    </w:p>
    <w:p w14:paraId="28D8E477" w14:textId="77777777" w:rsidR="00326511" w:rsidRPr="0089449F" w:rsidRDefault="00326511" w:rsidP="00326511">
      <w:pPr>
        <w:rPr>
          <w:color w:val="000000"/>
        </w:rPr>
      </w:pPr>
      <w:r w:rsidRPr="0089449F">
        <w:rPr>
          <w:color w:val="000000"/>
        </w:rPr>
        <w:t xml:space="preserve">The global market is demonstrating strong growth, which is driven by the surge in spending on pharmaceutical medicines in the emerging markets. </w:t>
      </w:r>
    </w:p>
    <w:p w14:paraId="23C17F2D" w14:textId="77777777" w:rsidR="00326511" w:rsidRPr="0089449F" w:rsidRDefault="00326511" w:rsidP="00326511">
      <w:pPr>
        <w:rPr>
          <w:color w:val="000000"/>
        </w:rPr>
      </w:pPr>
      <w:r w:rsidRPr="0089449F">
        <w:rPr>
          <w:color w:val="000000"/>
        </w:rPr>
        <w:t>The revenue for the global pharmaceutical market was $1,111.8m in 2018, with a compound annual growth rate (CAGR) of 4.5% between 2014 and 2018. The Asia-Pacific and US markets grew with CAGRs of 6.5% and 4.5% respectively, over the same period.  The United States, China, and Japan are the most critical global pharmaceutical markets, followed by the four largest European markets: Germany, France, Spain, and Italy. China growth is faster than any other country. For the pharmaceutical market, this presents a substantial opportunity for expansion into China while continuing to invest in the US, although the trade war with China and Russia to contribute to a level of risk. Growth in European countries has slowed down due to the nature of the current health care spending culture, which will further slowdown Sun’s penetration into this market. The ageing population in Japan is likely to support growth in the future due to the chronic diseases associated with ageing. The Japanese market presents an opportunity, but it is not easy to penetrate because of the strict regulations and complex distribution systems.</w:t>
      </w:r>
    </w:p>
    <w:p w14:paraId="5138A1EF" w14:textId="77777777" w:rsidR="00326511" w:rsidRPr="0089449F" w:rsidRDefault="00326511" w:rsidP="00326511">
      <w:pPr>
        <w:rPr>
          <w:color w:val="000000"/>
        </w:rPr>
      </w:pPr>
      <w:r w:rsidRPr="0089449F">
        <w:rPr>
          <w:color w:val="000000"/>
        </w:rPr>
        <w:t xml:space="preserve">The US is an alluring market for new drugs since it is the largest market with consistent growth. Although the US has a free market approach, there has been a slow drive to force pharmaceutical prices down. The US has clamped down on manufacturing regulations of all importers of pharmaceuticals. The US FDA has banned several Indian companies from importing pharmaceuticals until they have met the FDA  production standards.  Europe has experienced marginal growths due to the ageing market and an increase in chronic diseases, forcing health care providers to drive costs down to balance sustainable access to innovative and new medicines with the rising costs of health-care on countries budgets. Brexit in the UK has put a stall on investment. The collapse of the pound has increased exports, but there is uncertainty about the future of its economy. The demise of the pound has meant that some European countries like the Netherlands medicines are more affordable since the EU uses UK prices as a reference base.  </w:t>
      </w:r>
    </w:p>
    <w:p w14:paraId="04A93DB2" w14:textId="77777777" w:rsidR="00326511" w:rsidRPr="0089449F" w:rsidRDefault="00326511" w:rsidP="00326511">
      <w:pPr>
        <w:rPr>
          <w:color w:val="000000"/>
        </w:rPr>
      </w:pPr>
      <w:r w:rsidRPr="0089449F">
        <w:rPr>
          <w:color w:val="000000"/>
        </w:rPr>
        <w:t>The performance of the global market is expected to improve from 2018 to 2023 to a CAGR of 5.7%, bringing the value of the market to $1 469.8m by the end of 2023. The Asia-Pacific and US markets will grow by CAGR’s of  9% and 4.3% respectively over the same period. Asia-Pacific markets are performing particularly well for Sun Pharma.</w:t>
      </w:r>
    </w:p>
    <w:p w14:paraId="6BB09068" w14:textId="77777777" w:rsidR="00326511" w:rsidRPr="0089449F" w:rsidRDefault="00326511" w:rsidP="00326511">
      <w:pPr>
        <w:rPr>
          <w:color w:val="000000"/>
        </w:rPr>
      </w:pPr>
      <w:r w:rsidRPr="0089449F">
        <w:rPr>
          <w:color w:val="000000"/>
        </w:rPr>
        <w:t>(Global Pharmaceuticals - MarketLine Industry Profile https://advantage-marketline-</w:t>
      </w:r>
    </w:p>
    <w:p w14:paraId="6FA0CF34" w14:textId="77777777" w:rsidR="00326511" w:rsidRPr="0089449F" w:rsidRDefault="00326511" w:rsidP="00326511">
      <w:pPr>
        <w:rPr>
          <w:color w:val="000000"/>
        </w:rPr>
      </w:pPr>
      <w:r w:rsidRPr="0089449F">
        <w:rPr>
          <w:color w:val="000000"/>
        </w:rPr>
        <w:t>com.ezproxy.uwtsd.ac.uk/Product?ptype=Industries&amp;pid=MLIP2896-0009).</w:t>
      </w:r>
    </w:p>
    <w:p w14:paraId="0739ED9D" w14:textId="6198F971" w:rsidR="00326511" w:rsidRDefault="00326511" w:rsidP="00326511">
      <w:pPr>
        <w:rPr>
          <w:color w:val="000000"/>
        </w:rPr>
      </w:pPr>
    </w:p>
    <w:p w14:paraId="44A63E7D" w14:textId="38B82477" w:rsidR="006B30EC" w:rsidRDefault="006B30EC" w:rsidP="00326511">
      <w:pPr>
        <w:rPr>
          <w:color w:val="000000"/>
        </w:rPr>
      </w:pPr>
    </w:p>
    <w:p w14:paraId="0B5BC805" w14:textId="5B1512AD" w:rsidR="006B30EC" w:rsidRDefault="006B30EC" w:rsidP="00326511">
      <w:pPr>
        <w:rPr>
          <w:color w:val="000000"/>
        </w:rPr>
      </w:pPr>
    </w:p>
    <w:p w14:paraId="527A4CCA" w14:textId="38E0C856" w:rsidR="006B30EC" w:rsidRDefault="006B30EC" w:rsidP="00326511">
      <w:pPr>
        <w:rPr>
          <w:color w:val="000000"/>
        </w:rPr>
      </w:pPr>
    </w:p>
    <w:p w14:paraId="227254C0" w14:textId="172A047F" w:rsidR="006B30EC" w:rsidRDefault="006B30EC" w:rsidP="00326511">
      <w:pPr>
        <w:rPr>
          <w:color w:val="000000"/>
        </w:rPr>
      </w:pPr>
    </w:p>
    <w:p w14:paraId="41FB3F33" w14:textId="5EB450CE" w:rsidR="006B30EC" w:rsidRDefault="006B30EC" w:rsidP="00326511">
      <w:pPr>
        <w:rPr>
          <w:color w:val="000000"/>
        </w:rPr>
      </w:pPr>
    </w:p>
    <w:p w14:paraId="468CE167" w14:textId="77777777" w:rsidR="006B30EC" w:rsidRPr="0089449F" w:rsidRDefault="006B30EC" w:rsidP="00326511">
      <w:pPr>
        <w:rPr>
          <w:color w:val="000000"/>
        </w:rPr>
      </w:pPr>
    </w:p>
    <w:p w14:paraId="545D4CEB" w14:textId="77777777" w:rsidR="00326511" w:rsidRPr="0089449F" w:rsidRDefault="00326511" w:rsidP="006B30EC">
      <w:pPr>
        <w:pStyle w:val="Heading2"/>
      </w:pPr>
      <w:r w:rsidRPr="0089449F">
        <w:lastRenderedPageBreak/>
        <w:t>Five Forces Analysis</w:t>
      </w:r>
    </w:p>
    <w:p w14:paraId="1A5CA5A5" w14:textId="77777777" w:rsidR="00326511" w:rsidRPr="0089449F" w:rsidRDefault="00326511" w:rsidP="00326511">
      <w:pPr>
        <w:rPr>
          <w:color w:val="000000"/>
        </w:rPr>
      </w:pPr>
      <w:r w:rsidRPr="0089449F">
        <w:rPr>
          <w:color w:val="000000"/>
        </w:rPr>
        <w:t xml:space="preserve">The rivalry is intense because of large scale global companies as well as smaller generics competitors battling for approvals of medicines in a profitable market. Some countries put generic product registrations on “fast track” in order to increase competitivity and drive prices down. Legal and regulatory authorities make the entry into the market more difficult for originator products because the clinical study requirements for new molecules is strict, and therefore, the buying power is high. </w:t>
      </w:r>
    </w:p>
    <w:p w14:paraId="6F4B6F59" w14:textId="77777777" w:rsidR="00326511" w:rsidRPr="0089449F" w:rsidRDefault="00326511" w:rsidP="00326511">
      <w:pPr>
        <w:rPr>
          <w:color w:val="000000"/>
        </w:rPr>
      </w:pPr>
      <w:r w:rsidRPr="0089449F">
        <w:rPr>
          <w:color w:val="000000"/>
        </w:rPr>
        <w:t xml:space="preserve">Both the public and private sectors of most countries provide health-care. Pricing is controlled by the government or the medical funders, which means that pharmaceutical companies have minimal control over the pricing of their products. </w:t>
      </w:r>
    </w:p>
    <w:p w14:paraId="5EFA7181" w14:textId="099C9E75" w:rsidR="00CC0641" w:rsidRPr="00B7546D" w:rsidRDefault="00CC0641" w:rsidP="007913C8">
      <w:pPr>
        <w:autoSpaceDE w:val="0"/>
        <w:autoSpaceDN w:val="0"/>
        <w:adjustRightInd w:val="0"/>
        <w:rPr>
          <w:color w:val="000000"/>
        </w:rPr>
      </w:pPr>
    </w:p>
    <w:p w14:paraId="088AE757" w14:textId="77777777" w:rsidR="00344B78" w:rsidRPr="00B7546D" w:rsidRDefault="00344B78" w:rsidP="007913C8">
      <w:pPr>
        <w:autoSpaceDE w:val="0"/>
        <w:autoSpaceDN w:val="0"/>
        <w:adjustRightInd w:val="0"/>
        <w:rPr>
          <w:color w:val="000000"/>
        </w:rPr>
      </w:pPr>
    </w:p>
    <w:p w14:paraId="035A7E77" w14:textId="0FBE35D8" w:rsidR="00CC0641" w:rsidRPr="00B7546D" w:rsidRDefault="00CC0641" w:rsidP="007913C8">
      <w:pPr>
        <w:autoSpaceDE w:val="0"/>
        <w:autoSpaceDN w:val="0"/>
        <w:adjustRightInd w:val="0"/>
        <w:rPr>
          <w:color w:val="000000"/>
        </w:rPr>
      </w:pPr>
      <w:r w:rsidRPr="00B7546D">
        <w:rPr>
          <w:noProof/>
          <w:color w:val="000000"/>
        </w:rPr>
        <w:drawing>
          <wp:inline distT="0" distB="0" distL="0" distR="0" wp14:anchorId="3F2AD41B" wp14:editId="13A08294">
            <wp:extent cx="2856920" cy="2647244"/>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77501" cy="2666314"/>
                    </a:xfrm>
                    <a:prstGeom prst="rect">
                      <a:avLst/>
                    </a:prstGeom>
                  </pic:spPr>
                </pic:pic>
              </a:graphicData>
            </a:graphic>
          </wp:inline>
        </w:drawing>
      </w:r>
    </w:p>
    <w:p w14:paraId="0C4CE86F" w14:textId="7C7A637B" w:rsidR="00EA5EA1" w:rsidRPr="00B7546D" w:rsidRDefault="00EA5EA1" w:rsidP="007913C8">
      <w:pPr>
        <w:autoSpaceDE w:val="0"/>
        <w:autoSpaceDN w:val="0"/>
        <w:adjustRightInd w:val="0"/>
        <w:rPr>
          <w:color w:val="000000"/>
        </w:rPr>
      </w:pPr>
    </w:p>
    <w:p w14:paraId="543282AD" w14:textId="77777777" w:rsidR="00E40856" w:rsidRPr="0089449F" w:rsidRDefault="00E40856" w:rsidP="00E40856">
      <w:pPr>
        <w:rPr>
          <w:color w:val="000000"/>
        </w:rPr>
      </w:pPr>
      <w:r w:rsidRPr="0089449F">
        <w:rPr>
          <w:color w:val="000000"/>
        </w:rPr>
        <w:t>As can be seen by the Five Forces That Shape Industry from Porter, and relating to the discussion above, the bargaining power of buyers, new entrants and the threat of substitutes products is high in the pharmaceutical industry.</w:t>
      </w:r>
    </w:p>
    <w:p w14:paraId="3B44CC82" w14:textId="77777777" w:rsidR="0025688B" w:rsidRPr="00B7546D" w:rsidRDefault="0025688B" w:rsidP="007913C8">
      <w:pPr>
        <w:autoSpaceDE w:val="0"/>
        <w:autoSpaceDN w:val="0"/>
        <w:adjustRightInd w:val="0"/>
        <w:rPr>
          <w:color w:val="000000"/>
        </w:rPr>
      </w:pPr>
    </w:p>
    <w:p w14:paraId="6A427D7C" w14:textId="50DECD69" w:rsidR="00EE7BE4" w:rsidRPr="00B7546D" w:rsidRDefault="00EE7BE4" w:rsidP="007913C8">
      <w:pPr>
        <w:autoSpaceDE w:val="0"/>
        <w:autoSpaceDN w:val="0"/>
        <w:adjustRightInd w:val="0"/>
        <w:rPr>
          <w:color w:val="000000"/>
        </w:rPr>
      </w:pPr>
      <w:r w:rsidRPr="00B7546D">
        <w:rPr>
          <w:noProof/>
          <w:color w:val="000000"/>
        </w:rPr>
        <w:drawing>
          <wp:inline distT="0" distB="0" distL="0" distR="0" wp14:anchorId="7AA06E51" wp14:editId="08228C6B">
            <wp:extent cx="3889022" cy="2160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01352" cy="2167370"/>
                    </a:xfrm>
                    <a:prstGeom prst="rect">
                      <a:avLst/>
                    </a:prstGeom>
                  </pic:spPr>
                </pic:pic>
              </a:graphicData>
            </a:graphic>
          </wp:inline>
        </w:drawing>
      </w:r>
    </w:p>
    <w:p w14:paraId="04F5FA70" w14:textId="77777777" w:rsidR="00A60F7A" w:rsidRPr="0089449F" w:rsidRDefault="00A60F7A" w:rsidP="00A60F7A">
      <w:pPr>
        <w:rPr>
          <w:color w:val="000000"/>
        </w:rPr>
      </w:pPr>
      <w:r w:rsidRPr="0089449F">
        <w:rPr>
          <w:color w:val="000000"/>
        </w:rPr>
        <w:t>The forces driving competition include buyer power, substitutes, new entrants and the level of rivalry amongst competitors.</w:t>
      </w:r>
    </w:p>
    <w:p w14:paraId="0FBDADB7" w14:textId="050EE82C" w:rsidR="00EE7BE4" w:rsidRPr="00B7546D" w:rsidRDefault="00EE7BE4" w:rsidP="007913C8">
      <w:pPr>
        <w:autoSpaceDE w:val="0"/>
        <w:autoSpaceDN w:val="0"/>
        <w:adjustRightInd w:val="0"/>
        <w:rPr>
          <w:color w:val="000000"/>
        </w:rPr>
      </w:pPr>
    </w:p>
    <w:p w14:paraId="27ED96D5" w14:textId="36C5E40A" w:rsidR="00B26406" w:rsidRPr="00B7546D" w:rsidRDefault="00B26406" w:rsidP="007913C8">
      <w:pPr>
        <w:autoSpaceDE w:val="0"/>
        <w:autoSpaceDN w:val="0"/>
        <w:adjustRightInd w:val="0"/>
        <w:rPr>
          <w:color w:val="000000"/>
        </w:rPr>
      </w:pPr>
    </w:p>
    <w:p w14:paraId="60CA15B8" w14:textId="77777777" w:rsidR="00B26406" w:rsidRPr="00B7546D" w:rsidRDefault="00B26406" w:rsidP="007913C8">
      <w:pPr>
        <w:autoSpaceDE w:val="0"/>
        <w:autoSpaceDN w:val="0"/>
        <w:adjustRightInd w:val="0"/>
        <w:rPr>
          <w:color w:val="000000"/>
        </w:rPr>
      </w:pPr>
    </w:p>
    <w:p w14:paraId="4AA60F9A" w14:textId="77777777" w:rsidR="00B26406" w:rsidRPr="00B7546D" w:rsidRDefault="00B26406" w:rsidP="007913C8">
      <w:pPr>
        <w:autoSpaceDE w:val="0"/>
        <w:autoSpaceDN w:val="0"/>
        <w:adjustRightInd w:val="0"/>
        <w:rPr>
          <w:color w:val="000000"/>
        </w:rPr>
      </w:pPr>
    </w:p>
    <w:p w14:paraId="33A407A4" w14:textId="77777777" w:rsidR="00B26406" w:rsidRPr="00B7546D" w:rsidRDefault="00DF72C1" w:rsidP="007913C8">
      <w:pPr>
        <w:autoSpaceDE w:val="0"/>
        <w:autoSpaceDN w:val="0"/>
        <w:adjustRightInd w:val="0"/>
        <w:rPr>
          <w:color w:val="000000"/>
        </w:rPr>
      </w:pPr>
      <w:r w:rsidRPr="00B7546D">
        <w:rPr>
          <w:noProof/>
          <w:color w:val="000000"/>
        </w:rPr>
        <w:drawing>
          <wp:inline distT="0" distB="0" distL="0" distR="0" wp14:anchorId="1EBF621C" wp14:editId="49BB12F0">
            <wp:extent cx="3873477" cy="2156178"/>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94564" cy="2167916"/>
                    </a:xfrm>
                    <a:prstGeom prst="rect">
                      <a:avLst/>
                    </a:prstGeom>
                  </pic:spPr>
                </pic:pic>
              </a:graphicData>
            </a:graphic>
          </wp:inline>
        </w:drawing>
      </w:r>
    </w:p>
    <w:p w14:paraId="553A7689" w14:textId="53C6AF72" w:rsidR="00B26406" w:rsidRPr="00B7546D" w:rsidRDefault="00B26406" w:rsidP="007913C8">
      <w:pPr>
        <w:autoSpaceDE w:val="0"/>
        <w:autoSpaceDN w:val="0"/>
        <w:adjustRightInd w:val="0"/>
        <w:rPr>
          <w:color w:val="000000"/>
        </w:rPr>
      </w:pPr>
      <w:r w:rsidRPr="0089449F">
        <w:rPr>
          <w:color w:val="000000"/>
        </w:rPr>
        <w:t xml:space="preserve">The drivers of buyer power include buyer independence, buyer size, financial muscle, low-cost switching </w:t>
      </w:r>
      <w:r w:rsidR="00D42C68">
        <w:rPr>
          <w:color w:val="000000"/>
        </w:rPr>
        <w:t xml:space="preserve">and </w:t>
      </w:r>
      <w:r w:rsidRPr="0089449F">
        <w:rPr>
          <w:color w:val="000000"/>
        </w:rPr>
        <w:t>oligopsony threat tendency to switch.</w:t>
      </w:r>
    </w:p>
    <w:p w14:paraId="0C246D84" w14:textId="77777777" w:rsidR="00B26406" w:rsidRPr="00B7546D" w:rsidRDefault="00B26406" w:rsidP="007913C8">
      <w:pPr>
        <w:autoSpaceDE w:val="0"/>
        <w:autoSpaceDN w:val="0"/>
        <w:adjustRightInd w:val="0"/>
        <w:rPr>
          <w:color w:val="000000"/>
        </w:rPr>
      </w:pPr>
    </w:p>
    <w:p w14:paraId="400C517F" w14:textId="3EE256B0" w:rsidR="000524FC" w:rsidRPr="00B7546D" w:rsidRDefault="000524FC" w:rsidP="007913C8">
      <w:pPr>
        <w:autoSpaceDE w:val="0"/>
        <w:autoSpaceDN w:val="0"/>
        <w:adjustRightInd w:val="0"/>
        <w:rPr>
          <w:color w:val="000000"/>
        </w:rPr>
      </w:pPr>
      <w:r w:rsidRPr="00B7546D">
        <w:rPr>
          <w:noProof/>
          <w:color w:val="000000"/>
        </w:rPr>
        <w:drawing>
          <wp:inline distT="0" distB="0" distL="0" distR="0" wp14:anchorId="63E0FDC0" wp14:editId="2F1F5DE1">
            <wp:extent cx="3854972" cy="22352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70991" cy="2244488"/>
                    </a:xfrm>
                    <a:prstGeom prst="rect">
                      <a:avLst/>
                    </a:prstGeom>
                  </pic:spPr>
                </pic:pic>
              </a:graphicData>
            </a:graphic>
          </wp:inline>
        </w:drawing>
      </w:r>
    </w:p>
    <w:p w14:paraId="5C53060D" w14:textId="77777777" w:rsidR="00680BBF" w:rsidRPr="0089449F" w:rsidRDefault="00680BBF" w:rsidP="00680BBF">
      <w:pPr>
        <w:rPr>
          <w:color w:val="000000"/>
        </w:rPr>
      </w:pPr>
      <w:r w:rsidRPr="0089449F">
        <w:rPr>
          <w:color w:val="000000"/>
        </w:rPr>
        <w:t>Factors influencing the likelihood of new entrants include low-cost switching, market growth, accessibility of suppliers and accessibility of distribution.</w:t>
      </w:r>
    </w:p>
    <w:p w14:paraId="218D4A23" w14:textId="77777777" w:rsidR="00C62D19" w:rsidRPr="00B7546D" w:rsidRDefault="00C62D19" w:rsidP="007913C8">
      <w:pPr>
        <w:autoSpaceDE w:val="0"/>
        <w:autoSpaceDN w:val="0"/>
        <w:adjustRightInd w:val="0"/>
        <w:rPr>
          <w:color w:val="000000"/>
        </w:rPr>
      </w:pPr>
    </w:p>
    <w:p w14:paraId="6B3C0EB0" w14:textId="1E6BE30C" w:rsidR="007D430F" w:rsidRPr="0089449F" w:rsidRDefault="007D430F" w:rsidP="007D430F">
      <w:pPr>
        <w:rPr>
          <w:color w:val="000000"/>
        </w:rPr>
      </w:pPr>
      <w:r w:rsidRPr="0089449F">
        <w:rPr>
          <w:color w:val="000000"/>
        </w:rPr>
        <w:t xml:space="preserve">General taxation of individuals and businesses fund the public sector, while monthly deductions from private individuals salaries go towards private insurance. Some individuals pay for private health-care out of their own pockets or, if insured, they may have to co-pay for some medicines, procedures or hospital costs. Some countries make private health-care insurance mandatory, as the Netherlands does. With some insurers, patients pay up front for the costs of medicines, hospitalisation or procedures and claim back from insurers while other systems offer ‘free at the point of use’ systems for patients, as in the UK </w:t>
      </w:r>
      <w:r w:rsidR="007D293D">
        <w:rPr>
          <w:color w:val="000000"/>
        </w:rPr>
        <w:t xml:space="preserve">. </w:t>
      </w:r>
      <w:r w:rsidRPr="0089449F">
        <w:rPr>
          <w:color w:val="000000"/>
        </w:rPr>
        <w:t xml:space="preserve">The health care system, being integrated, plays a critical role in buying power. A central body, the National Institute for Health and Care Excellence (NICE), buys drugs developed for the National Health System in the UK </w:t>
      </w:r>
      <w:r w:rsidR="007D293D">
        <w:rPr>
          <w:color w:val="000000"/>
        </w:rPr>
        <w:t xml:space="preserve">. </w:t>
      </w:r>
      <w:r w:rsidRPr="0089449F">
        <w:rPr>
          <w:color w:val="000000"/>
        </w:rPr>
        <w:t>The manufacturer, therefore, will set prices according to what NICE considers is financially sustainable for the NHS based on its health economic evaluation. Healthcare policy-makers and payers are increasingly mandating or influencing what doctors can prescribe taking power out of the hands of the doctors.</w:t>
      </w:r>
    </w:p>
    <w:p w14:paraId="7A0C717E" w14:textId="77777777" w:rsidR="007D430F" w:rsidRPr="0089449F" w:rsidRDefault="007D430F" w:rsidP="007D430F">
      <w:pPr>
        <w:rPr>
          <w:color w:val="000000"/>
        </w:rPr>
      </w:pPr>
      <w:r w:rsidRPr="0089449F">
        <w:rPr>
          <w:color w:val="000000"/>
        </w:rPr>
        <w:t xml:space="preserve">The American system is not integrated, which means that therapies and access to health-care are negotiated by Pharmacy Benefit Managers who act on behalf of the health care plans. </w:t>
      </w:r>
    </w:p>
    <w:p w14:paraId="4A6ADCD8" w14:textId="77777777" w:rsidR="007D430F" w:rsidRPr="0089449F" w:rsidRDefault="007D430F" w:rsidP="007D430F">
      <w:pPr>
        <w:rPr>
          <w:color w:val="000000"/>
        </w:rPr>
      </w:pPr>
      <w:r w:rsidRPr="0089449F">
        <w:rPr>
          <w:color w:val="000000"/>
        </w:rPr>
        <w:t xml:space="preserve">In Russia, drugs purchased from pharmacies are not covered or are only partly covered, which means out-of-pocket expenditure on drugs is a significant amount of private health </w:t>
      </w:r>
      <w:r w:rsidRPr="0089449F">
        <w:rPr>
          <w:color w:val="000000"/>
        </w:rPr>
        <w:lastRenderedPageBreak/>
        <w:t>care spending. The oligopsony status and price control of state policies and private sector institutions that purchase the medicines increase the buyer power.</w:t>
      </w:r>
    </w:p>
    <w:p w14:paraId="00A71DDE" w14:textId="77777777" w:rsidR="007D430F" w:rsidRPr="0089449F" w:rsidRDefault="007D430F" w:rsidP="007D430F">
      <w:pPr>
        <w:rPr>
          <w:color w:val="000000"/>
        </w:rPr>
      </w:pPr>
      <w:r w:rsidRPr="0089449F">
        <w:rPr>
          <w:color w:val="000000"/>
        </w:rPr>
        <w:t xml:space="preserve">Obtaining high-quality materials, equipment, personnel, and third-party clinical testing services are vital to the business of pharmaceutical companies. The regulators ensure that new drugs entering the market are safe and effective for patients. Non-drug therapies, like changes in diet, are substitutes for many drug therapies. </w:t>
      </w:r>
    </w:p>
    <w:p w14:paraId="2631877F" w14:textId="77777777" w:rsidR="007D430F" w:rsidRPr="0089449F" w:rsidRDefault="007D430F" w:rsidP="007D430F">
      <w:pPr>
        <w:rPr>
          <w:color w:val="000000"/>
        </w:rPr>
      </w:pPr>
      <w:r w:rsidRPr="0089449F">
        <w:rPr>
          <w:color w:val="000000"/>
        </w:rPr>
        <w:t>While originator drugs fall under patent protection, a cheaper generic may not enter the market. In recent times, many blockbuster products have lost their patents, meaning cheaper generics have entered the market, driving prices down. The “patent cliff” of major blockbusters is reaching its end, meaning generic companies need to find new strategies for growing their business. For originator products that do not have adequate generic drug competitors, they can continue selling with little or no competition. Some originator companies launch their own generic to protect their market share.</w:t>
      </w:r>
    </w:p>
    <w:p w14:paraId="5527CF4E" w14:textId="2DA9A58E" w:rsidR="007D430F" w:rsidRPr="0089449F" w:rsidRDefault="007D430F" w:rsidP="007D430F">
      <w:pPr>
        <w:rPr>
          <w:color w:val="000000"/>
        </w:rPr>
      </w:pPr>
      <w:r w:rsidRPr="0089449F">
        <w:rPr>
          <w:color w:val="000000"/>
        </w:rPr>
        <w:t xml:space="preserve">Medicines </w:t>
      </w:r>
      <w:r w:rsidR="00DC2D46">
        <w:rPr>
          <w:color w:val="000000"/>
        </w:rPr>
        <w:t>that a</w:t>
      </w:r>
      <w:r w:rsidRPr="0089449F">
        <w:rPr>
          <w:color w:val="000000"/>
        </w:rPr>
        <w:t>re most likely to grow in markets of the developing world, over the next 13 years, are highly varied. These countries have very different clinical and economic characteristics, health-care systems and attitudes towards the protection of intellectual property. Any company that wants to serve these markets successfully will, therefore, have to devise strategies tailored to their individual needs.</w:t>
      </w:r>
    </w:p>
    <w:p w14:paraId="592A5FE5" w14:textId="77777777" w:rsidR="0048394E" w:rsidRPr="00B7546D" w:rsidRDefault="0048394E" w:rsidP="0048394E">
      <w:pPr>
        <w:rPr>
          <w:color w:val="000000"/>
        </w:rPr>
      </w:pPr>
    </w:p>
    <w:p w14:paraId="16494FCC" w14:textId="77777777" w:rsidR="00875F87" w:rsidRPr="006B30EC" w:rsidRDefault="00875F87" w:rsidP="00875F87">
      <w:pPr>
        <w:rPr>
          <w:b/>
          <w:color w:val="000000"/>
        </w:rPr>
      </w:pPr>
      <w:r w:rsidRPr="006B30EC">
        <w:rPr>
          <w:b/>
          <w:color w:val="000000"/>
        </w:rPr>
        <w:t>Buyer Power</w:t>
      </w:r>
    </w:p>
    <w:p w14:paraId="4D42A853" w14:textId="77777777" w:rsidR="0038291E" w:rsidRPr="0089449F" w:rsidRDefault="0038291E" w:rsidP="0038291E">
      <w:pPr>
        <w:rPr>
          <w:color w:val="000000"/>
        </w:rPr>
      </w:pPr>
      <w:r w:rsidRPr="0089449F">
        <w:rPr>
          <w:color w:val="000000"/>
        </w:rPr>
        <w:t>Ageing populations have resulted in rising health-care costs, forcing governments to put pressure on lowering prices. Emerging markets are using more pharmaceutical medicines as the middle-class economies grow, and therefore, are becoming more critical for manufacturers. Some of the largest buyers in the global market include various central buying services in the countries, making up the largest buyers of pharmaceuticals, which gives them the power to negotiate the price. Independent pharmacies operate on a small scale and thus have less influence.</w:t>
      </w:r>
    </w:p>
    <w:p w14:paraId="11406759" w14:textId="77777777" w:rsidR="0038291E" w:rsidRPr="0089449F" w:rsidRDefault="0038291E" w:rsidP="0038291E">
      <w:pPr>
        <w:rPr>
          <w:color w:val="000000"/>
        </w:rPr>
      </w:pPr>
      <w:r w:rsidRPr="0089449F">
        <w:rPr>
          <w:color w:val="000000"/>
        </w:rPr>
        <w:t>Scheduling of pharmaceutical products is enforced according to various criteria imposed by the regulatory bodies and, except for over the counter (OTC) medicines, patients need a prescription from a doctor in order to purchase a drug. Other than the United States, manufacturers may not advertise prescription medicines directly to consumers. Below the line, marketing aimed at the professional medical fraternity forms the bulk of pharmaceutical advertising. Most medical conditions have several different molecules or combinations thereof which offer various points of differentiation like the ease of dosing, efficacy, low side effects and cost-effectiveness, for treatment, which weakens buying power. However, if the products are no longer under patent protection, there is a high level of generic competition, which increases buyer power.</w:t>
      </w:r>
    </w:p>
    <w:p w14:paraId="6EC98A16" w14:textId="77777777" w:rsidR="0038291E" w:rsidRPr="0089449F" w:rsidRDefault="0038291E" w:rsidP="0038291E">
      <w:pPr>
        <w:rPr>
          <w:color w:val="000000"/>
        </w:rPr>
      </w:pPr>
      <w:r w:rsidRPr="0089449F">
        <w:rPr>
          <w:color w:val="000000"/>
        </w:rPr>
        <w:t xml:space="preserve">Genetic and genomic research, giving rise to the possibility of personalised medicine, is also likely to decrease buyer power. </w:t>
      </w:r>
    </w:p>
    <w:p w14:paraId="44C35624" w14:textId="77777777" w:rsidR="0038291E" w:rsidRPr="0089449F" w:rsidRDefault="0038291E" w:rsidP="0038291E">
      <w:pPr>
        <w:rPr>
          <w:color w:val="000000"/>
        </w:rPr>
      </w:pPr>
      <w:r w:rsidRPr="0089449F">
        <w:rPr>
          <w:color w:val="000000"/>
        </w:rPr>
        <w:t xml:space="preserve">The public and private sectors of most countries provide Healthcare.  Pricing is controlled by the government or the medical funders, which means that the pharmaceutical companies have minimal control over the pricing of their products, therefore increasing buyer power. These may fund purchases directly, as does the National Health Service in the UK, or they may reimburse some or all of an end user’s initial purchase, which increases buyer power. Not only can such large purchasers exert monopsony market power, but also it is widespread for them to use one or more specific price control strategies. South Africa government, for example, uses single exit pricing (SEP) to control pricing in the private market. When launching a product, a company launches at a specific price. After that, the government dictates, once a year, what percentage price increase is taken on the product. The government uses a formula which includes the inflation rate and exchange rate to calculate the percentage. </w:t>
      </w:r>
      <w:r w:rsidRPr="0089449F">
        <w:rPr>
          <w:color w:val="000000"/>
        </w:rPr>
        <w:lastRenderedPageBreak/>
        <w:t>The percentage is applied to all pharmaceutical products, irrespective of the molecule, therapeutic category or dosage form. The industry has argued for years about the method used by the government as the percentage derived at, is usually lower than what the industry calculates. The medical insurances then set reimbursement pricing levels for molecules. They reimburse in full if the products are at or below the reimbursement price. If the medicine is above reimbursement price, the patient has to pay the difference out of pocket.</w:t>
      </w:r>
    </w:p>
    <w:p w14:paraId="14CC8F81" w14:textId="77777777" w:rsidR="0038291E" w:rsidRPr="0089449F" w:rsidRDefault="0038291E" w:rsidP="0038291E">
      <w:pPr>
        <w:rPr>
          <w:color w:val="000000"/>
        </w:rPr>
      </w:pPr>
      <w:r w:rsidRPr="0089449F">
        <w:rPr>
          <w:color w:val="000000"/>
        </w:rPr>
        <w:t xml:space="preserve">The government sector of South Africa operates on a tender basis. Products are selected based on the lowest price, BEE (Black Economic Empowerment) status of a company, and local manufacturing status. </w:t>
      </w:r>
    </w:p>
    <w:p w14:paraId="06A9F4F9" w14:textId="77777777" w:rsidR="0038291E" w:rsidRPr="0089449F" w:rsidRDefault="0038291E" w:rsidP="0038291E">
      <w:pPr>
        <w:rPr>
          <w:color w:val="000000"/>
        </w:rPr>
      </w:pPr>
      <w:r w:rsidRPr="0089449F">
        <w:rPr>
          <w:color w:val="000000"/>
        </w:rPr>
        <w:t xml:space="preserve">It is common for countries to use reference pricing as a measure to control prices. </w:t>
      </w:r>
    </w:p>
    <w:p w14:paraId="4127B545" w14:textId="77777777" w:rsidR="0038291E" w:rsidRPr="0089449F" w:rsidRDefault="0038291E" w:rsidP="0038291E">
      <w:pPr>
        <w:rPr>
          <w:color w:val="000000"/>
        </w:rPr>
      </w:pPr>
      <w:r w:rsidRPr="0089449F">
        <w:rPr>
          <w:color w:val="000000"/>
        </w:rPr>
        <w:t xml:space="preserve">One country will compare prices with several other countries that have a similar GDP per capita. If the countries being compared to have generics in their market, then this can be used to drive down the prices of originator products in the country doing the reference pricing. Application of a  similar strategy is used by comparing to countries that have a lower GDP per capita. </w:t>
      </w:r>
    </w:p>
    <w:p w14:paraId="2B61F67A" w14:textId="77777777" w:rsidR="0038291E" w:rsidRPr="0089449F" w:rsidRDefault="0038291E" w:rsidP="0038291E">
      <w:pPr>
        <w:rPr>
          <w:color w:val="000000"/>
        </w:rPr>
      </w:pPr>
      <w:r w:rsidRPr="0089449F">
        <w:rPr>
          <w:color w:val="000000"/>
        </w:rPr>
        <w:t>US and Germany are moving towards a value-based pricing system in which the price of drugs is based on health outcomes rather than development costs.</w:t>
      </w:r>
    </w:p>
    <w:p w14:paraId="68397B10" w14:textId="39EC20F8" w:rsidR="0038291E" w:rsidRDefault="0038291E" w:rsidP="0038291E">
      <w:pPr>
        <w:rPr>
          <w:color w:val="000000"/>
        </w:rPr>
      </w:pPr>
      <w:r w:rsidRPr="0089449F">
        <w:rPr>
          <w:color w:val="000000"/>
        </w:rPr>
        <w:t>Price-volume or profit controls are used where a company may only sell a certain number of drugs made from specific molecules, or a company may only make a certain amount of profit from a molecule. Import tariffs are also used to encourage manufacturers to locate the manufacturing plants in a given economy.</w:t>
      </w:r>
    </w:p>
    <w:p w14:paraId="32B9A3B6" w14:textId="48A7C013" w:rsidR="009F4EC1" w:rsidRPr="0089449F" w:rsidRDefault="00875991" w:rsidP="0038291E">
      <w:pPr>
        <w:rPr>
          <w:color w:val="000000"/>
        </w:rPr>
      </w:pPr>
      <w:r w:rsidRPr="0089449F">
        <w:rPr>
          <w:color w:val="000000"/>
        </w:rPr>
        <w:t>Because of the lack of research, the pharmaceutical industry in developing countries is unable to contribute significantly to global markets. Such as in the Indian context, Mahajan et al. (2015) observed that the pharmaceutical industry had capitalised mainly on its low-cost production of generic drugs and in the domestic market.</w:t>
      </w:r>
    </w:p>
    <w:p w14:paraId="2F2FCCBB" w14:textId="179021D9" w:rsidR="001A4503" w:rsidRDefault="001A4503" w:rsidP="0038291E">
      <w:pPr>
        <w:rPr>
          <w:color w:val="000000"/>
        </w:rPr>
      </w:pPr>
    </w:p>
    <w:p w14:paraId="5D8AD6D6" w14:textId="3B6C03C4" w:rsidR="00107E78" w:rsidRPr="00253AC6" w:rsidRDefault="00107E78" w:rsidP="00253AC6">
      <w:pPr>
        <w:pStyle w:val="Heading2"/>
      </w:pPr>
      <w:r>
        <w:t>Research and Development</w:t>
      </w:r>
    </w:p>
    <w:p w14:paraId="0F6F329D" w14:textId="143FBA8E" w:rsidR="00107E78" w:rsidRDefault="00107E78" w:rsidP="00107E78">
      <w:pPr>
        <w:rPr>
          <w:color w:val="000000"/>
        </w:rPr>
      </w:pPr>
      <w:r w:rsidRPr="0089449F">
        <w:rPr>
          <w:color w:val="000000"/>
        </w:rPr>
        <w:t>Research and development spending in 2017, in the pharmaceutical industry, totalled 165 billion US dollars globally. For comparison, R&amp;D expenditures amounted to 129 billion dollars in 2010. Pharmaceutical R&amp;D includes the thread from the original investigation of disease courses, the compound testing over pre-clinical, and all clinical trial stages. At a particular stage in the process -mostly during the pre-clinical phase – a governmental authority is involved (Global pharmaceutical R&amp;D spending 2010-2024) in overviewing, regulating, and ultimately approving the drug. (Statista.com). BIO published a study reporting that the average overall likelihood of approval (LOA) by FDA from Phase I was 9.6 per cent was a 1 in 10 chance. The rate is even lower for major disease areas like oncology. Phase II clinical programs continue to experience low success rates as well, with only 30.7 per cent of candidates advancing to Phase III, a slightly worse rate than it was a few years ago. (Ralf Huss). The industry needs to focus on ways to reduce the ongoing high failure rate, which contributes to the high cost of clinical trials. It also includes the expenditure of high cost and time in conducting clinical trials with a low success rate in product discovery and clinical development, generic competition at the end of product patent life followed by high uncertainties in demands and capacity planning (</w:t>
      </w:r>
      <w:proofErr w:type="spellStart"/>
      <w:r w:rsidRPr="0089449F">
        <w:rPr>
          <w:color w:val="000000"/>
        </w:rPr>
        <w:t>Lainez</w:t>
      </w:r>
      <w:proofErr w:type="spellEnd"/>
      <w:r w:rsidRPr="0089449F">
        <w:rPr>
          <w:color w:val="000000"/>
        </w:rPr>
        <w:t xml:space="preserve"> et al., 2012). </w:t>
      </w:r>
      <w:proofErr w:type="spellStart"/>
      <w:r w:rsidRPr="0089449F">
        <w:rPr>
          <w:color w:val="000000"/>
        </w:rPr>
        <w:t>Talias</w:t>
      </w:r>
      <w:proofErr w:type="spellEnd"/>
      <w:r w:rsidRPr="0089449F">
        <w:rPr>
          <w:color w:val="000000"/>
        </w:rPr>
        <w:t xml:space="preserve"> (2007) has observed that innovation rates in the industry have shown considerable decline because of the long-time of 15-30 years spent in the development of new drugs.</w:t>
      </w:r>
    </w:p>
    <w:p w14:paraId="6BE488CA" w14:textId="77777777" w:rsidR="001D1028" w:rsidRDefault="001D1028" w:rsidP="00107E78">
      <w:pPr>
        <w:rPr>
          <w:color w:val="000000"/>
        </w:rPr>
      </w:pPr>
    </w:p>
    <w:p w14:paraId="670C105D" w14:textId="55BEB678" w:rsidR="00A52C86" w:rsidRDefault="001A4503" w:rsidP="00A52C86">
      <w:pPr>
        <w:pStyle w:val="Heading2"/>
      </w:pPr>
      <w:r>
        <w:lastRenderedPageBreak/>
        <w:t>Supply Chain Logistics</w:t>
      </w:r>
    </w:p>
    <w:p w14:paraId="4F7D80FA" w14:textId="77777777" w:rsidR="00A52C86" w:rsidRPr="00B7546D" w:rsidRDefault="00A52C86" w:rsidP="00A52C86">
      <w:pPr>
        <w:rPr>
          <w:color w:val="000000"/>
        </w:rPr>
      </w:pPr>
      <w:r w:rsidRPr="0089449F">
        <w:rPr>
          <w:color w:val="000000"/>
        </w:rPr>
        <w:t xml:space="preserve">The supply chain for Pharmaceutical manufacturers begins with the manufacturer who sells to drug wholesalers, which then sell on to pharmacies or health-care institutions such as hospitals. </w:t>
      </w:r>
    </w:p>
    <w:p w14:paraId="3B1BB807" w14:textId="316FA848" w:rsidR="001A4503" w:rsidRDefault="001A4503" w:rsidP="0038291E">
      <w:pPr>
        <w:rPr>
          <w:color w:val="000000"/>
        </w:rPr>
      </w:pPr>
    </w:p>
    <w:p w14:paraId="08195C14" w14:textId="77777777" w:rsidR="001A4503" w:rsidRPr="00B7546D" w:rsidRDefault="001A4503" w:rsidP="001A4503">
      <w:pPr>
        <w:rPr>
          <w:b/>
          <w:color w:val="000000" w:themeColor="text1"/>
        </w:rPr>
      </w:pPr>
      <w:r w:rsidRPr="00B7546D">
        <w:rPr>
          <w:b/>
          <w:noProof/>
          <w:color w:val="000000" w:themeColor="text1"/>
        </w:rPr>
        <w:drawing>
          <wp:inline distT="0" distB="0" distL="0" distR="0" wp14:anchorId="7C0FFCD9" wp14:editId="0C641456">
            <wp:extent cx="4051891" cy="233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73928" cy="2349509"/>
                    </a:xfrm>
                    <a:prstGeom prst="rect">
                      <a:avLst/>
                    </a:prstGeom>
                  </pic:spPr>
                </pic:pic>
              </a:graphicData>
            </a:graphic>
          </wp:inline>
        </w:drawing>
      </w:r>
    </w:p>
    <w:p w14:paraId="4FEE17B3" w14:textId="7B2F1596" w:rsidR="001A4503" w:rsidRDefault="00A3234D" w:rsidP="001A4503">
      <w:pPr>
        <w:rPr>
          <w:rStyle w:val="Hyperlink"/>
          <w:color w:val="000000" w:themeColor="text1"/>
          <w:lang w:val="en-US"/>
        </w:rPr>
      </w:pPr>
      <w:hyperlink r:id="rId15" w:history="1">
        <w:r w:rsidR="001A4503" w:rsidRPr="00B7546D">
          <w:rPr>
            <w:rStyle w:val="Hyperlink"/>
            <w:color w:val="000000" w:themeColor="text1"/>
            <w:lang w:val="en-US"/>
          </w:rPr>
          <w:t>https://search-proquest-com.ezproxy.uwtsd.ac.uk/abicomplete/docview/304958491/fulltextPDF/759FB2F72B6E4D72PQ/1?accountid=130472</w:t>
        </w:r>
      </w:hyperlink>
    </w:p>
    <w:p w14:paraId="585C0B5C" w14:textId="5E2CA99A" w:rsidR="00A81E7D" w:rsidRDefault="00A81E7D" w:rsidP="001A4503">
      <w:pPr>
        <w:rPr>
          <w:rStyle w:val="Hyperlink"/>
          <w:color w:val="000000" w:themeColor="text1"/>
          <w:lang w:val="en-US"/>
        </w:rPr>
      </w:pPr>
    </w:p>
    <w:p w14:paraId="13BB8AA7" w14:textId="52C07AAD" w:rsidR="0025688B" w:rsidRDefault="00A81E7D" w:rsidP="0048394E">
      <w:pPr>
        <w:rPr>
          <w:color w:val="000000"/>
        </w:rPr>
      </w:pPr>
      <w:r w:rsidRPr="0089449F">
        <w:rPr>
          <w:color w:val="000000"/>
        </w:rPr>
        <w:t xml:space="preserve">Generic companies are finding the complexity of managing supply chains more difficult because of the extensive range of products in different formulations and therapeutic categories, short product life cycles, outsourcing, advances in information technology and globalisation. (Lee, 2002). </w:t>
      </w:r>
    </w:p>
    <w:p w14:paraId="3D2F30F7" w14:textId="77777777" w:rsidR="00A81E7D" w:rsidRPr="00B7546D" w:rsidRDefault="00A81E7D" w:rsidP="0048394E">
      <w:pPr>
        <w:rPr>
          <w:color w:val="000000"/>
        </w:rPr>
      </w:pPr>
    </w:p>
    <w:p w14:paraId="41BC6425" w14:textId="77777777" w:rsidR="00D879EE" w:rsidRPr="00B7546D" w:rsidRDefault="00D879EE" w:rsidP="0048394E">
      <w:pPr>
        <w:rPr>
          <w:color w:val="000000"/>
        </w:rPr>
      </w:pPr>
      <w:r w:rsidRPr="00B7546D">
        <w:rPr>
          <w:noProof/>
          <w:color w:val="000000"/>
        </w:rPr>
        <w:drawing>
          <wp:inline distT="0" distB="0" distL="0" distR="0" wp14:anchorId="0784E5E4" wp14:editId="6518CF0C">
            <wp:extent cx="4047067" cy="2991779"/>
            <wp:effectExtent l="0" t="0" r="444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65278" cy="3005241"/>
                    </a:xfrm>
                    <a:prstGeom prst="rect">
                      <a:avLst/>
                    </a:prstGeom>
                  </pic:spPr>
                </pic:pic>
              </a:graphicData>
            </a:graphic>
          </wp:inline>
        </w:drawing>
      </w:r>
    </w:p>
    <w:p w14:paraId="11CC3D03" w14:textId="77777777" w:rsidR="00D46587" w:rsidRPr="00B7546D" w:rsidRDefault="00A3234D" w:rsidP="00D46587">
      <w:pPr>
        <w:rPr>
          <w:color w:val="000000" w:themeColor="text1"/>
          <w:u w:val="thick" w:color="0000E9"/>
          <w:lang w:val="en-US"/>
        </w:rPr>
      </w:pPr>
      <w:hyperlink r:id="rId17" w:history="1">
        <w:r w:rsidR="00D46587" w:rsidRPr="00B7546D">
          <w:rPr>
            <w:rStyle w:val="Hyperlink"/>
            <w:color w:val="000000" w:themeColor="text1"/>
            <w:lang w:val="en-US"/>
          </w:rPr>
          <w:t>https://search-proquest-com.ezproxy.uwtsd.ac.uk/abicomplete/docview/304958491/fulltextPDF/759FB2F72B6E4D72PQ/1?accountid=130472</w:t>
        </w:r>
      </w:hyperlink>
    </w:p>
    <w:p w14:paraId="71F9744D" w14:textId="4F29230A" w:rsidR="00202E7C" w:rsidRDefault="00202E7C" w:rsidP="00202E7C">
      <w:pPr>
        <w:rPr>
          <w:color w:val="000000"/>
        </w:rPr>
      </w:pPr>
      <w:r w:rsidRPr="0089449F">
        <w:rPr>
          <w:color w:val="000000"/>
        </w:rPr>
        <w:lastRenderedPageBreak/>
        <w:t>If supply chains are not managed effectively and efficiently, it can be the demise of a pharmaceutical business.</w:t>
      </w:r>
    </w:p>
    <w:p w14:paraId="78322693" w14:textId="36FEBD7B" w:rsidR="00812745" w:rsidRDefault="00812745" w:rsidP="00202E7C">
      <w:pPr>
        <w:rPr>
          <w:color w:val="000000"/>
        </w:rPr>
      </w:pPr>
    </w:p>
    <w:p w14:paraId="1CBE09D4" w14:textId="1944ACDC" w:rsidR="00077C15" w:rsidRPr="0089449F" w:rsidRDefault="00077C15" w:rsidP="00077C15">
      <w:pPr>
        <w:rPr>
          <w:color w:val="000000"/>
        </w:rPr>
      </w:pPr>
      <w:r w:rsidRPr="0089449F">
        <w:rPr>
          <w:color w:val="000000"/>
        </w:rPr>
        <w:t xml:space="preserve">Insufficient funding, inability to forecast accurately, lack of incentives for maintaining stocks, inefficient distribution systems and pilferage of medicines for private resale have led to the low availability of cheap drugs that are essential for the primary health-care sector (WHO, 2009). </w:t>
      </w:r>
    </w:p>
    <w:p w14:paraId="418BDC23" w14:textId="77777777" w:rsidR="00077C15" w:rsidRPr="0089449F" w:rsidRDefault="00077C15" w:rsidP="00077C15">
      <w:pPr>
        <w:rPr>
          <w:color w:val="000000"/>
        </w:rPr>
      </w:pPr>
      <w:r w:rsidRPr="0089449F">
        <w:rPr>
          <w:color w:val="000000"/>
        </w:rPr>
        <w:t>Porter (1980) has considered input pricing, uncertainty in product demand, actions of competitors, actions of governmental bodies, bargaining power of suppliers and buyers, the threat of new drugs in the field and global economic dynamics as the significant challenges for the pharmaceutical industries.</w:t>
      </w:r>
    </w:p>
    <w:p w14:paraId="2D89078D" w14:textId="77777777" w:rsidR="00077C15" w:rsidRPr="0089449F" w:rsidRDefault="00077C15" w:rsidP="00077C15">
      <w:pPr>
        <w:rPr>
          <w:color w:val="000000"/>
        </w:rPr>
      </w:pPr>
      <w:proofErr w:type="spellStart"/>
      <w:r w:rsidRPr="0089449F">
        <w:rPr>
          <w:color w:val="000000"/>
        </w:rPr>
        <w:t>Bhakoo</w:t>
      </w:r>
      <w:proofErr w:type="spellEnd"/>
      <w:r w:rsidRPr="0089449F">
        <w:rPr>
          <w:color w:val="000000"/>
        </w:rPr>
        <w:t xml:space="preserve"> and Chan (2011) have considered a pharmaceutical supply chain more complicated because it needs the cooperation of different stakeholders such as pharmaceutical manufacturers, wholesalers, distributors, customers, information service providers and regulatory agencies.  </w:t>
      </w:r>
    </w:p>
    <w:p w14:paraId="7CF38815" w14:textId="77777777" w:rsidR="00077C15" w:rsidRPr="0089449F" w:rsidRDefault="00077C15" w:rsidP="00077C15">
      <w:pPr>
        <w:rPr>
          <w:color w:val="000000"/>
        </w:rPr>
      </w:pPr>
    </w:p>
    <w:p w14:paraId="25B881FF" w14:textId="77777777" w:rsidR="00077C15" w:rsidRPr="0089449F" w:rsidRDefault="00077C15" w:rsidP="00077C15">
      <w:pPr>
        <w:rPr>
          <w:color w:val="000000"/>
        </w:rPr>
      </w:pPr>
      <w:r w:rsidRPr="0089449F">
        <w:rPr>
          <w:color w:val="000000"/>
        </w:rPr>
        <w:t>Supply Chain Challenges:</w:t>
      </w:r>
    </w:p>
    <w:p w14:paraId="73BB35A2" w14:textId="65C8F3B0" w:rsidR="002F4F83" w:rsidRPr="00B7546D" w:rsidRDefault="002F4F83" w:rsidP="0048394E">
      <w:pPr>
        <w:rPr>
          <w:color w:val="000000"/>
        </w:rPr>
      </w:pPr>
      <w:r w:rsidRPr="00B7546D">
        <w:rPr>
          <w:noProof/>
          <w:color w:val="000000"/>
        </w:rPr>
        <w:drawing>
          <wp:inline distT="0" distB="0" distL="0" distR="0" wp14:anchorId="7994DDFA" wp14:editId="001CA3EA">
            <wp:extent cx="3720891" cy="2421467"/>
            <wp:effectExtent l="0" t="0" r="63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28642" cy="2426511"/>
                    </a:xfrm>
                    <a:prstGeom prst="rect">
                      <a:avLst/>
                    </a:prstGeom>
                  </pic:spPr>
                </pic:pic>
              </a:graphicData>
            </a:graphic>
          </wp:inline>
        </w:drawing>
      </w:r>
    </w:p>
    <w:p w14:paraId="6939A32B" w14:textId="5027A412" w:rsidR="002F4F83" w:rsidRPr="00B7546D" w:rsidRDefault="00A3234D" w:rsidP="0048394E">
      <w:pPr>
        <w:rPr>
          <w:color w:val="000000" w:themeColor="text1"/>
          <w:u w:val="thick"/>
          <w:lang w:val="en-US"/>
        </w:rPr>
      </w:pPr>
      <w:hyperlink r:id="rId19" w:history="1">
        <w:r w:rsidR="005B618F" w:rsidRPr="00B7546D">
          <w:rPr>
            <w:rStyle w:val="Hyperlink"/>
            <w:color w:val="000000" w:themeColor="text1"/>
            <w:lang w:val="en-US"/>
          </w:rPr>
          <w:t>https://search-proquest-com.ezproxy.uwtsd.ac.uk/abicomplete/docview/1826443566/fulltext/D98B55AE2EB74E86PQ/6?accountid=130472</w:t>
        </w:r>
      </w:hyperlink>
    </w:p>
    <w:p w14:paraId="5A5A5DB9" w14:textId="1BCE2DDE" w:rsidR="005B618F" w:rsidRPr="00B7546D" w:rsidRDefault="005B618F" w:rsidP="0048394E">
      <w:pPr>
        <w:rPr>
          <w:color w:val="000000"/>
          <w:u w:val="thick"/>
          <w:lang w:val="en-US"/>
        </w:rPr>
      </w:pPr>
    </w:p>
    <w:p w14:paraId="7ECBFD84" w14:textId="77777777" w:rsidR="0025688B" w:rsidRPr="00B7546D" w:rsidRDefault="0025688B" w:rsidP="0048394E">
      <w:pPr>
        <w:rPr>
          <w:color w:val="000000"/>
        </w:rPr>
      </w:pPr>
    </w:p>
    <w:p w14:paraId="169E78DC" w14:textId="6BC6A7B1" w:rsidR="00302129" w:rsidRPr="0089449F" w:rsidRDefault="00302129" w:rsidP="00302129">
      <w:pPr>
        <w:rPr>
          <w:color w:val="000000"/>
        </w:rPr>
      </w:pPr>
      <w:r w:rsidRPr="0089449F">
        <w:rPr>
          <w:color w:val="000000"/>
        </w:rPr>
        <w:t>Resources consist of factors related to assets of an organisation such as new product development (NPD) capabilities, new process development capabilities, capacity development and planning, plant and network</w:t>
      </w:r>
      <w:r w:rsidR="00173C87">
        <w:rPr>
          <w:color w:val="000000"/>
        </w:rPr>
        <w:t xml:space="preserve"> </w:t>
      </w:r>
      <w:r w:rsidRPr="0089449F">
        <w:rPr>
          <w:color w:val="000000"/>
        </w:rPr>
        <w:t>design, pipeline and development management, e-business capability. Also included are research and development capabilities and processes consisting of other value-adding activities such as inventory management, outsourcing logistics activities, reverse logistics processes, Lean manufacturing process, green SCM processes and quality management.</w:t>
      </w:r>
    </w:p>
    <w:p w14:paraId="588F577A" w14:textId="77777777" w:rsidR="00302129" w:rsidRPr="0089449F" w:rsidRDefault="00302129" w:rsidP="00302129">
      <w:pPr>
        <w:rPr>
          <w:color w:val="000000"/>
        </w:rPr>
      </w:pPr>
    </w:p>
    <w:p w14:paraId="0E1BCF12" w14:textId="19EB1FFC" w:rsidR="00302129" w:rsidRDefault="00302129" w:rsidP="00302129">
      <w:pPr>
        <w:rPr>
          <w:color w:val="000000"/>
        </w:rPr>
      </w:pPr>
    </w:p>
    <w:p w14:paraId="6C36B6CC" w14:textId="0A0FAF6B" w:rsidR="00942FB9" w:rsidRDefault="00942FB9" w:rsidP="00302129">
      <w:pPr>
        <w:rPr>
          <w:color w:val="000000"/>
        </w:rPr>
      </w:pPr>
    </w:p>
    <w:p w14:paraId="16C9405D" w14:textId="41B6F4DF" w:rsidR="00942FB9" w:rsidRDefault="00942FB9" w:rsidP="00302129">
      <w:pPr>
        <w:rPr>
          <w:color w:val="000000"/>
        </w:rPr>
      </w:pPr>
    </w:p>
    <w:p w14:paraId="22DCD49F" w14:textId="0CD5A7CA" w:rsidR="00942FB9" w:rsidRDefault="00942FB9" w:rsidP="00302129">
      <w:pPr>
        <w:rPr>
          <w:color w:val="000000"/>
        </w:rPr>
      </w:pPr>
    </w:p>
    <w:p w14:paraId="7B92A38E" w14:textId="4399811C" w:rsidR="00942FB9" w:rsidRDefault="00942FB9" w:rsidP="00302129">
      <w:pPr>
        <w:rPr>
          <w:color w:val="000000"/>
        </w:rPr>
      </w:pPr>
    </w:p>
    <w:p w14:paraId="72FAF931" w14:textId="77777777" w:rsidR="00942FB9" w:rsidRPr="0089449F" w:rsidRDefault="00942FB9" w:rsidP="00302129">
      <w:pPr>
        <w:rPr>
          <w:color w:val="000000"/>
        </w:rPr>
      </w:pPr>
    </w:p>
    <w:p w14:paraId="5BE3A0A8" w14:textId="77777777" w:rsidR="00302129" w:rsidRPr="0089449F" w:rsidRDefault="00302129" w:rsidP="00942FB9">
      <w:pPr>
        <w:pStyle w:val="Heading2"/>
      </w:pPr>
      <w:r w:rsidRPr="0089449F">
        <w:lastRenderedPageBreak/>
        <w:t>Conclusion</w:t>
      </w:r>
    </w:p>
    <w:p w14:paraId="469732EF" w14:textId="77777777" w:rsidR="00302129" w:rsidRPr="0089449F" w:rsidRDefault="00302129" w:rsidP="00302129">
      <w:pPr>
        <w:rPr>
          <w:color w:val="000000"/>
        </w:rPr>
      </w:pPr>
      <w:r w:rsidRPr="0089449F">
        <w:rPr>
          <w:color w:val="000000"/>
        </w:rPr>
        <w:t>Based on the discussion above, a suggestion for Sun Pharma would be to revise their manufacturing and supply chain systems and planning. Sun Pharma has made many acquisitions since it entered the market in 1983, as can be seen by the flow chart below:</w:t>
      </w:r>
    </w:p>
    <w:p w14:paraId="57C05F6C" w14:textId="77777777" w:rsidR="0025688B" w:rsidRPr="00B7546D" w:rsidRDefault="0025688B" w:rsidP="0048394E">
      <w:pPr>
        <w:rPr>
          <w:color w:val="000000"/>
        </w:rPr>
      </w:pPr>
    </w:p>
    <w:p w14:paraId="48E6DD01" w14:textId="1D974D9B" w:rsidR="007E54D7" w:rsidRPr="00B7546D" w:rsidRDefault="007E54D7" w:rsidP="0048394E">
      <w:pPr>
        <w:rPr>
          <w:color w:val="000000"/>
        </w:rPr>
      </w:pPr>
      <w:r w:rsidRPr="00B7546D">
        <w:rPr>
          <w:noProof/>
          <w:color w:val="000000"/>
        </w:rPr>
        <w:drawing>
          <wp:inline distT="0" distB="0" distL="0" distR="0" wp14:anchorId="2CCF6178" wp14:editId="2F139712">
            <wp:extent cx="5727700" cy="25882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2588260"/>
                    </a:xfrm>
                    <a:prstGeom prst="rect">
                      <a:avLst/>
                    </a:prstGeom>
                  </pic:spPr>
                </pic:pic>
              </a:graphicData>
            </a:graphic>
          </wp:inline>
        </w:drawing>
      </w:r>
    </w:p>
    <w:p w14:paraId="733B36D7" w14:textId="77777777" w:rsidR="0025688B" w:rsidRPr="00B7546D" w:rsidRDefault="0025688B" w:rsidP="0048394E">
      <w:pPr>
        <w:rPr>
          <w:color w:val="000000"/>
        </w:rPr>
      </w:pPr>
    </w:p>
    <w:p w14:paraId="2AC70B4F" w14:textId="77777777" w:rsidR="0025688B" w:rsidRPr="00B7546D" w:rsidRDefault="0025688B" w:rsidP="0048394E">
      <w:pPr>
        <w:rPr>
          <w:color w:val="000000"/>
        </w:rPr>
      </w:pPr>
    </w:p>
    <w:p w14:paraId="7143E6DC" w14:textId="77777777" w:rsidR="00EB3765" w:rsidRPr="0089449F" w:rsidRDefault="00EB3765" w:rsidP="00EB3765">
      <w:pPr>
        <w:rPr>
          <w:color w:val="000000"/>
        </w:rPr>
      </w:pPr>
      <w:r w:rsidRPr="0089449F">
        <w:rPr>
          <w:color w:val="000000"/>
        </w:rPr>
        <w:t xml:space="preserve">Sun has expanded at a rapid rate, both in value and in geographical reach. The variety of molecules and presentations is vast, which has made a consistent and reliable supply of medicines to all market extremely difficult to manage successfully. The US has forced manufacturers to upgrade their production facilities to meet global standards, and in particular, the US FDA requirements, which has entailed significant investments and long periods of out of stocks of many brands during the upgrade projects. Although the company has grown in value, it could have been better if the manufacturing and supply were managed effectively. In the current scenario, priorities are given to larger markets. Smaller markets manage to launch and penetrate the market successfully, only to suffer out of stocks. Moreover, they lose their initial absolute or competitive advantage in the market place. Because the competitive rivalry is so fierce, competitors take advantage of the opportunity to capitalise on the market share. Buyers do not take kindly to out of stock situations and thus will switch to competitors very quickly. Provided the competitor is consistent with stock supply; it is challenging to regain initial market shares since the power sits very firmly with the buyer. </w:t>
      </w:r>
    </w:p>
    <w:p w14:paraId="54FC8779" w14:textId="77777777" w:rsidR="00EB3765" w:rsidRPr="0089449F" w:rsidRDefault="00EB3765" w:rsidP="00EB3765">
      <w:pPr>
        <w:rPr>
          <w:color w:val="000000"/>
        </w:rPr>
      </w:pPr>
      <w:r w:rsidRPr="0089449F">
        <w:rPr>
          <w:color w:val="000000"/>
        </w:rPr>
        <w:t xml:space="preserve">The push and pull boundaries must be managed carefully, beginning with demand forecasting. Current demand forecasting is done using Excel spreadsheets, which is not an effective or reliable method of managing inventory. Future demand should be forecasted on historical patterns of demand. The marketing department should use sophisticated IT systems which do exist, to provide two-year aggregate demand forecast to the supply chain. Supply of and demand for a product should match appropriate quantities and timing of inputs, transformation and outputs. The level strategy maintains stable machine capacity and workforce levels with a constant output rate. It also builds up inventory based on forecasted demand. Master production scheduling is based on the forecast and sometimes abnormal demand. The bill of material manages the amount of material and components required to make the product. It helps the company manage raw material issues effectively and efficiently based on the master production schedule. Lead times vary from 60 days to 180 </w:t>
      </w:r>
      <w:r w:rsidRPr="0089449F">
        <w:rPr>
          <w:color w:val="000000"/>
        </w:rPr>
        <w:lastRenderedPageBreak/>
        <w:t xml:space="preserve">days, so planning should be done accordingly. Consistent and reliable stock supply goes a long way towards developing healthy relationships with the value chain members, based on trust. </w:t>
      </w:r>
    </w:p>
    <w:p w14:paraId="1EF39440" w14:textId="77777777" w:rsidR="004C210E" w:rsidRDefault="00EB3765" w:rsidP="00815399">
      <w:pPr>
        <w:spacing w:line="252" w:lineRule="auto"/>
        <w:rPr>
          <w:rFonts w:ascii="Arial" w:hAnsi="Arial" w:cs="Arial"/>
        </w:rPr>
      </w:pPr>
      <w:r w:rsidRPr="00815399">
        <w:rPr>
          <w:color w:val="000000"/>
        </w:rPr>
        <w:t>The second proposal will be for the New Business Development team. Current development is based on internal skills and efficiencies, rather than external market needs. As stated earlier, one of the main reasons products fail is that the research has not been done thoroughly to ensure that there is demand and need for the product. It is sometimes assumed, in the generic pharmaceutical industry, that market research is not necessary since the originator companies have done it all. Product life cycles, new molecules entering the market place, product commoditisation, competitor environment and economic factors and disease burden need to be taken into consideration when considering future pipelines. Product dossier submissions to regulatory authorities should be submitted long before launches are planned to ensure first to generic market entry. Regulatory authorities are moving towards registering all dossier submissions for a particular molecule as a batch., which removes the advantage of first to market entries and requires efficient and effective pre-launch planning and strategies. The power in the market place has shifted to buyers and payors ( health insurers) and governments, therefore these liaisons and negotiations with these players should form an integral part of the pre and post-marketing strategies.</w:t>
      </w:r>
      <w:r w:rsidR="00934A76" w:rsidRPr="00815399">
        <w:rPr>
          <w:rFonts w:ascii="Arial" w:hAnsi="Arial" w:cs="Arial"/>
        </w:rPr>
        <w:t xml:space="preserve"> </w:t>
      </w:r>
    </w:p>
    <w:p w14:paraId="5352B29B" w14:textId="77777777" w:rsidR="004C210E" w:rsidRDefault="004C210E" w:rsidP="00815399">
      <w:pPr>
        <w:spacing w:line="252" w:lineRule="auto"/>
        <w:rPr>
          <w:rFonts w:ascii="Arial" w:hAnsi="Arial" w:cs="Arial"/>
        </w:rPr>
      </w:pPr>
    </w:p>
    <w:p w14:paraId="529F895F" w14:textId="6185A77A" w:rsidR="00934A76" w:rsidRDefault="00815399" w:rsidP="001B352E">
      <w:pPr>
        <w:pStyle w:val="Heading2"/>
      </w:pPr>
      <w:r>
        <w:t>P</w:t>
      </w:r>
      <w:r w:rsidR="00934A76" w:rsidRPr="00815399">
        <w:t>ossible growth in trade barriers as a trade war looms between the USA and China and as Russia faces growing trade sanctions</w:t>
      </w:r>
    </w:p>
    <w:p w14:paraId="5F76E1EA" w14:textId="096A2F34" w:rsidR="00DB709F" w:rsidRPr="00C87ACE" w:rsidRDefault="00DB709F" w:rsidP="00815399">
      <w:pPr>
        <w:spacing w:line="252" w:lineRule="auto"/>
        <w:rPr>
          <w:rFonts w:asciiTheme="minorHAnsi" w:hAnsiTheme="minorHAnsi" w:cstheme="minorHAnsi"/>
        </w:rPr>
      </w:pPr>
      <w:r w:rsidRPr="00C87ACE">
        <w:rPr>
          <w:rFonts w:asciiTheme="minorHAnsi" w:hAnsiTheme="minorHAnsi" w:cstheme="minorHAnsi"/>
        </w:rPr>
        <w:t xml:space="preserve">While developed countries </w:t>
      </w:r>
      <w:r w:rsidR="00CD7E23" w:rsidRPr="00C87ACE">
        <w:rPr>
          <w:rFonts w:asciiTheme="minorHAnsi" w:hAnsiTheme="minorHAnsi" w:cstheme="minorHAnsi"/>
        </w:rPr>
        <w:t>outlook</w:t>
      </w:r>
      <w:r w:rsidRPr="00C87ACE">
        <w:rPr>
          <w:rFonts w:asciiTheme="minorHAnsi" w:hAnsiTheme="minorHAnsi" w:cstheme="minorHAnsi"/>
        </w:rPr>
        <w:t xml:space="preserve"> </w:t>
      </w:r>
      <w:r w:rsidR="00D62C0E" w:rsidRPr="00C87ACE">
        <w:rPr>
          <w:rFonts w:asciiTheme="minorHAnsi" w:hAnsiTheme="minorHAnsi" w:cstheme="minorHAnsi"/>
        </w:rPr>
        <w:t xml:space="preserve">is forecast to decrease for </w:t>
      </w:r>
      <w:r w:rsidR="0085665A" w:rsidRPr="00C87ACE">
        <w:rPr>
          <w:rFonts w:asciiTheme="minorHAnsi" w:hAnsiTheme="minorHAnsi" w:cstheme="minorHAnsi"/>
        </w:rPr>
        <w:t>the medium term</w:t>
      </w:r>
      <w:r w:rsidR="00D62C0E" w:rsidRPr="00C87ACE">
        <w:rPr>
          <w:rFonts w:asciiTheme="minorHAnsi" w:hAnsiTheme="minorHAnsi" w:cstheme="minorHAnsi"/>
        </w:rPr>
        <w:t xml:space="preserve"> the emerging market</w:t>
      </w:r>
      <w:r w:rsidR="00CD7E23" w:rsidRPr="00C87ACE">
        <w:rPr>
          <w:rFonts w:asciiTheme="minorHAnsi" w:hAnsiTheme="minorHAnsi" w:cstheme="minorHAnsi"/>
        </w:rPr>
        <w:t>s will continue to grow at approximately the same rate as was experienced in 2018/19</w:t>
      </w:r>
      <w:r w:rsidR="0085665A" w:rsidRPr="00C87ACE">
        <w:rPr>
          <w:rFonts w:asciiTheme="minorHAnsi" w:hAnsiTheme="minorHAnsi" w:cstheme="minorHAnsi"/>
        </w:rPr>
        <w:t xml:space="preserve"> because of the recovery in </w:t>
      </w:r>
      <w:r w:rsidR="005D7C4D" w:rsidRPr="00C87ACE">
        <w:rPr>
          <w:rFonts w:asciiTheme="minorHAnsi" w:hAnsiTheme="minorHAnsi" w:cstheme="minorHAnsi"/>
        </w:rPr>
        <w:t>commodity exporters. India, in particular , is expected to take up the slack from China</w:t>
      </w:r>
      <w:r w:rsidR="00634CDC" w:rsidRPr="00C87ACE">
        <w:rPr>
          <w:rFonts w:asciiTheme="minorHAnsi" w:hAnsiTheme="minorHAnsi" w:cstheme="minorHAnsi"/>
        </w:rPr>
        <w:t xml:space="preserve">’s slow down as well as </w:t>
      </w:r>
      <w:proofErr w:type="spellStart"/>
      <w:r w:rsidR="00634CDC" w:rsidRPr="00C87ACE">
        <w:rPr>
          <w:rFonts w:asciiTheme="minorHAnsi" w:hAnsiTheme="minorHAnsi" w:cstheme="minorHAnsi"/>
        </w:rPr>
        <w:t>Eur</w:t>
      </w:r>
      <w:r w:rsidR="002932C8" w:rsidRPr="00C87ACE">
        <w:rPr>
          <w:rFonts w:asciiTheme="minorHAnsi" w:hAnsiTheme="minorHAnsi" w:cstheme="minorHAnsi"/>
        </w:rPr>
        <w:t>o</w:t>
      </w:r>
      <w:r w:rsidR="00634CDC" w:rsidRPr="00C87ACE">
        <w:rPr>
          <w:rFonts w:asciiTheme="minorHAnsi" w:hAnsiTheme="minorHAnsi" w:cstheme="minorHAnsi"/>
        </w:rPr>
        <w:t>pes</w:t>
      </w:r>
      <w:proofErr w:type="spellEnd"/>
      <w:r w:rsidR="00634CDC" w:rsidRPr="00C87ACE">
        <w:rPr>
          <w:rFonts w:asciiTheme="minorHAnsi" w:hAnsiTheme="minorHAnsi" w:cstheme="minorHAnsi"/>
        </w:rPr>
        <w:t xml:space="preserve"> low growth percentage. Sun Pharma, as an Indian company should seize the opportunity to </w:t>
      </w:r>
      <w:r w:rsidR="00347E01" w:rsidRPr="00C87ACE">
        <w:rPr>
          <w:rFonts w:asciiTheme="minorHAnsi" w:hAnsiTheme="minorHAnsi" w:cstheme="minorHAnsi"/>
        </w:rPr>
        <w:t>grow its business in select developing markets</w:t>
      </w:r>
      <w:r w:rsidR="009C7937" w:rsidRPr="00C87ACE">
        <w:rPr>
          <w:rFonts w:asciiTheme="minorHAnsi" w:hAnsiTheme="minorHAnsi" w:cstheme="minorHAnsi"/>
        </w:rPr>
        <w:t>, and avoid being too reliant on US trade in case of the potential risks</w:t>
      </w:r>
      <w:r w:rsidR="00395949" w:rsidRPr="00C87ACE">
        <w:rPr>
          <w:rFonts w:asciiTheme="minorHAnsi" w:hAnsiTheme="minorHAnsi" w:cstheme="minorHAnsi"/>
        </w:rPr>
        <w:t xml:space="preserve"> involved.</w:t>
      </w:r>
      <w:r w:rsidR="00F9644F" w:rsidRPr="00C87ACE">
        <w:rPr>
          <w:rFonts w:asciiTheme="minorHAnsi" w:hAnsiTheme="minorHAnsi" w:cstheme="minorHAnsi"/>
        </w:rPr>
        <w:t xml:space="preserve"> T</w:t>
      </w:r>
      <w:r w:rsidR="00395949" w:rsidRPr="00C87ACE">
        <w:rPr>
          <w:rFonts w:asciiTheme="minorHAnsi" w:hAnsiTheme="minorHAnsi" w:cstheme="minorHAnsi"/>
        </w:rPr>
        <w:t xml:space="preserve">he developing countries that will maintain healthy growths should be earmarked </w:t>
      </w:r>
      <w:r w:rsidR="00B13420" w:rsidRPr="00C87ACE">
        <w:rPr>
          <w:rFonts w:asciiTheme="minorHAnsi" w:hAnsiTheme="minorHAnsi" w:cstheme="minorHAnsi"/>
        </w:rPr>
        <w:t>while those expected to decline in this climate must be approached with caution.</w:t>
      </w:r>
      <w:r w:rsidR="00347E01" w:rsidRPr="00C87ACE">
        <w:rPr>
          <w:rFonts w:asciiTheme="minorHAnsi" w:hAnsiTheme="minorHAnsi" w:cstheme="minorHAnsi"/>
        </w:rPr>
        <w:t xml:space="preserve"> </w:t>
      </w:r>
    </w:p>
    <w:p w14:paraId="58992E03" w14:textId="2C394745" w:rsidR="007D3395" w:rsidRPr="00C87ACE" w:rsidRDefault="007052BA" w:rsidP="007D3395">
      <w:pPr>
        <w:rPr>
          <w:rFonts w:asciiTheme="minorHAnsi" w:hAnsiTheme="minorHAnsi" w:cstheme="minorHAnsi"/>
        </w:rPr>
      </w:pPr>
      <w:r w:rsidRPr="00C87ACE">
        <w:rPr>
          <w:rFonts w:asciiTheme="minorHAnsi" w:hAnsiTheme="minorHAnsi" w:cstheme="minorHAnsi"/>
        </w:rPr>
        <w:t>The trad</w:t>
      </w:r>
      <w:r w:rsidR="00C127DE" w:rsidRPr="00C87ACE">
        <w:rPr>
          <w:rFonts w:asciiTheme="minorHAnsi" w:hAnsiTheme="minorHAnsi" w:cstheme="minorHAnsi"/>
        </w:rPr>
        <w:t xml:space="preserve">e </w:t>
      </w:r>
      <w:r w:rsidRPr="00C87ACE">
        <w:rPr>
          <w:rFonts w:asciiTheme="minorHAnsi" w:hAnsiTheme="minorHAnsi" w:cstheme="minorHAnsi"/>
        </w:rPr>
        <w:t>war between the U</w:t>
      </w:r>
      <w:r w:rsidR="00145DAD" w:rsidRPr="00C87ACE">
        <w:rPr>
          <w:rFonts w:asciiTheme="minorHAnsi" w:hAnsiTheme="minorHAnsi" w:cstheme="minorHAnsi"/>
        </w:rPr>
        <w:t xml:space="preserve">S </w:t>
      </w:r>
      <w:r w:rsidRPr="00C87ACE">
        <w:rPr>
          <w:rFonts w:asciiTheme="minorHAnsi" w:hAnsiTheme="minorHAnsi" w:cstheme="minorHAnsi"/>
        </w:rPr>
        <w:t>and China poses  risks to global business</w:t>
      </w:r>
      <w:r w:rsidR="00C127DE" w:rsidRPr="00C87ACE">
        <w:rPr>
          <w:rFonts w:asciiTheme="minorHAnsi" w:hAnsiTheme="minorHAnsi" w:cstheme="minorHAnsi"/>
        </w:rPr>
        <w:t xml:space="preserve"> that could harm international trade. </w:t>
      </w:r>
      <w:r w:rsidR="005B5048" w:rsidRPr="00C87ACE">
        <w:rPr>
          <w:rFonts w:asciiTheme="minorHAnsi" w:hAnsiTheme="minorHAnsi" w:cstheme="minorHAnsi"/>
        </w:rPr>
        <w:t xml:space="preserve">The </w:t>
      </w:r>
      <w:proofErr w:type="spellStart"/>
      <w:r w:rsidR="005B5048" w:rsidRPr="00C87ACE">
        <w:rPr>
          <w:rFonts w:asciiTheme="minorHAnsi" w:hAnsiTheme="minorHAnsi" w:cstheme="minorHAnsi"/>
        </w:rPr>
        <w:t>spillo</w:t>
      </w:r>
      <w:r w:rsidR="00B13420" w:rsidRPr="00C87ACE">
        <w:rPr>
          <w:rFonts w:asciiTheme="minorHAnsi" w:hAnsiTheme="minorHAnsi" w:cstheme="minorHAnsi"/>
        </w:rPr>
        <w:t>ver</w:t>
      </w:r>
      <w:proofErr w:type="spellEnd"/>
      <w:r w:rsidR="005B5048" w:rsidRPr="00C87ACE">
        <w:rPr>
          <w:rFonts w:asciiTheme="minorHAnsi" w:hAnsiTheme="minorHAnsi" w:cstheme="minorHAnsi"/>
        </w:rPr>
        <w:t xml:space="preserve"> effects to other nations is potentially catastrophic and careful consideration should be given to investments made with either</w:t>
      </w:r>
      <w:r w:rsidR="00145DAD" w:rsidRPr="00C87ACE">
        <w:rPr>
          <w:rFonts w:asciiTheme="minorHAnsi" w:hAnsiTheme="minorHAnsi" w:cstheme="minorHAnsi"/>
        </w:rPr>
        <w:t xml:space="preserve"> countries.</w:t>
      </w:r>
      <w:r w:rsidR="00E964E5" w:rsidRPr="00C87ACE">
        <w:rPr>
          <w:rFonts w:asciiTheme="minorHAnsi" w:hAnsiTheme="minorHAnsi" w:cstheme="minorHAnsi"/>
        </w:rPr>
        <w:t xml:space="preserve"> </w:t>
      </w:r>
      <w:r w:rsidR="00963702" w:rsidRPr="00C87ACE">
        <w:rPr>
          <w:rFonts w:asciiTheme="minorHAnsi" w:hAnsiTheme="minorHAnsi" w:cstheme="minorHAnsi"/>
        </w:rPr>
        <w:t xml:space="preserve">Positive opportunities may arise </w:t>
      </w:r>
      <w:r w:rsidR="00F912C9" w:rsidRPr="00C87ACE">
        <w:rPr>
          <w:rFonts w:asciiTheme="minorHAnsi" w:hAnsiTheme="minorHAnsi" w:cstheme="minorHAnsi"/>
        </w:rPr>
        <w:t xml:space="preserve">as a result of the trade war. We have seen how </w:t>
      </w:r>
      <w:r w:rsidR="00F23AAD" w:rsidRPr="00C87ACE">
        <w:rPr>
          <w:rFonts w:asciiTheme="minorHAnsi" w:hAnsiTheme="minorHAnsi" w:cstheme="minorHAnsi"/>
        </w:rPr>
        <w:t xml:space="preserve">Huawei has been affected by the trade sanctions placed on them by the US.  </w:t>
      </w:r>
      <w:r w:rsidR="007D3395" w:rsidRPr="00C87ACE">
        <w:rPr>
          <w:rFonts w:asciiTheme="minorHAnsi" w:hAnsiTheme="minorHAnsi" w:cstheme="minorHAnsi"/>
        </w:rPr>
        <w:t>Emerging market and developing economies is expected to increase from 4.8 percent in 2017 to 4.9 percent in 2018 and 5.1 percent in 201</w:t>
      </w:r>
      <w:r w:rsidR="00EF0C55" w:rsidRPr="00C87ACE">
        <w:rPr>
          <w:rFonts w:asciiTheme="minorHAnsi" w:hAnsiTheme="minorHAnsi" w:cstheme="minorHAnsi"/>
        </w:rPr>
        <w:t>, coming primarily from a strong economic performance i</w:t>
      </w:r>
      <w:r w:rsidR="00793DFB" w:rsidRPr="00C87ACE">
        <w:rPr>
          <w:rFonts w:asciiTheme="minorHAnsi" w:hAnsiTheme="minorHAnsi" w:cstheme="minorHAnsi"/>
        </w:rPr>
        <w:t>n emerging Asian countries. Op</w:t>
      </w:r>
      <w:r w:rsidR="0008754F" w:rsidRPr="00C87ACE">
        <w:rPr>
          <w:rFonts w:asciiTheme="minorHAnsi" w:hAnsiTheme="minorHAnsi" w:cstheme="minorHAnsi"/>
        </w:rPr>
        <w:t>p</w:t>
      </w:r>
      <w:r w:rsidR="00793DFB" w:rsidRPr="00C87ACE">
        <w:rPr>
          <w:rFonts w:asciiTheme="minorHAnsi" w:hAnsiTheme="minorHAnsi" w:cstheme="minorHAnsi"/>
        </w:rPr>
        <w:t>ortunities for commodity exporters is</w:t>
      </w:r>
      <w:r w:rsidR="009B492B" w:rsidRPr="00C87ACE">
        <w:rPr>
          <w:rFonts w:asciiTheme="minorHAnsi" w:hAnsiTheme="minorHAnsi" w:cstheme="minorHAnsi"/>
        </w:rPr>
        <w:t xml:space="preserve"> </w:t>
      </w:r>
      <w:r w:rsidR="00793DFB" w:rsidRPr="00C87ACE">
        <w:rPr>
          <w:rFonts w:asciiTheme="minorHAnsi" w:hAnsiTheme="minorHAnsi" w:cstheme="minorHAnsi"/>
        </w:rPr>
        <w:t xml:space="preserve">expected to continue with the positive trend. </w:t>
      </w:r>
      <w:r w:rsidR="007D3395" w:rsidRPr="00C87ACE">
        <w:rPr>
          <w:rFonts w:asciiTheme="minorHAnsi" w:hAnsiTheme="minorHAnsi" w:cstheme="minorHAnsi"/>
        </w:rPr>
        <w:t xml:space="preserve">Growth forecast revisions were positive for 2019: </w:t>
      </w:r>
      <w:r w:rsidR="0008754F" w:rsidRPr="00C87ACE">
        <w:rPr>
          <w:rFonts w:asciiTheme="minorHAnsi" w:hAnsiTheme="minorHAnsi" w:cstheme="minorHAnsi"/>
        </w:rPr>
        <w:t>Emerging Europe and Latin America coming through as strong contenders.</w:t>
      </w:r>
    </w:p>
    <w:p w14:paraId="1068CFE0" w14:textId="169FB931" w:rsidR="00126669" w:rsidRPr="00C87ACE" w:rsidRDefault="00AE6578" w:rsidP="00126669">
      <w:pPr>
        <w:rPr>
          <w:rFonts w:asciiTheme="minorHAnsi" w:hAnsiTheme="minorHAnsi" w:cstheme="minorHAnsi"/>
        </w:rPr>
      </w:pPr>
      <w:r w:rsidRPr="00C87ACE">
        <w:rPr>
          <w:rFonts w:asciiTheme="minorHAnsi" w:hAnsiTheme="minorHAnsi" w:cstheme="minorHAnsi"/>
        </w:rPr>
        <w:t>I</w:t>
      </w:r>
      <w:r w:rsidR="00E964E5" w:rsidRPr="00C87ACE">
        <w:rPr>
          <w:rFonts w:asciiTheme="minorHAnsi" w:hAnsiTheme="minorHAnsi" w:cstheme="minorHAnsi"/>
        </w:rPr>
        <w:t>ndia and China grew last year as a result of an increase in exports</w:t>
      </w:r>
      <w:r w:rsidR="008C382C" w:rsidRPr="00C87ACE">
        <w:rPr>
          <w:rFonts w:asciiTheme="minorHAnsi" w:hAnsiTheme="minorHAnsi" w:cstheme="minorHAnsi"/>
        </w:rPr>
        <w:t xml:space="preserve"> as well as strong domestic consumption, however, investment growth slowed. </w:t>
      </w:r>
      <w:r w:rsidR="000748B4" w:rsidRPr="00C87ACE">
        <w:rPr>
          <w:rFonts w:asciiTheme="minorHAnsi" w:hAnsiTheme="minorHAnsi" w:cstheme="minorHAnsi"/>
        </w:rPr>
        <w:t xml:space="preserve">Brazil and Russia in particular </w:t>
      </w:r>
      <w:r w:rsidR="00817B7C" w:rsidRPr="00C87ACE">
        <w:rPr>
          <w:rFonts w:asciiTheme="minorHAnsi" w:hAnsiTheme="minorHAnsi" w:cstheme="minorHAnsi"/>
        </w:rPr>
        <w:t xml:space="preserve">were hit by the commodity price downturn in 2015-16. </w:t>
      </w:r>
      <w:r w:rsidR="00464DB9" w:rsidRPr="00C87ACE">
        <w:rPr>
          <w:rFonts w:asciiTheme="minorHAnsi" w:hAnsiTheme="minorHAnsi" w:cstheme="minorHAnsi"/>
        </w:rPr>
        <w:t xml:space="preserve">Sun Pharma has just acquired a Russian Pharma company with manufacturing facilities and the returns have been </w:t>
      </w:r>
      <w:r w:rsidR="00464DB9" w:rsidRPr="00C87ACE">
        <w:rPr>
          <w:rFonts w:asciiTheme="minorHAnsi" w:hAnsiTheme="minorHAnsi" w:cstheme="minorHAnsi"/>
        </w:rPr>
        <w:lastRenderedPageBreak/>
        <w:t xml:space="preserve">disappointing. </w:t>
      </w:r>
      <w:r w:rsidR="00BC391F" w:rsidRPr="00C87ACE">
        <w:rPr>
          <w:rFonts w:asciiTheme="minorHAnsi" w:hAnsiTheme="minorHAnsi" w:cstheme="minorHAnsi"/>
        </w:rPr>
        <w:t>There</w:t>
      </w:r>
      <w:r w:rsidR="006A003F" w:rsidRPr="00C87ACE">
        <w:rPr>
          <w:rFonts w:asciiTheme="minorHAnsi" w:hAnsiTheme="minorHAnsi" w:cstheme="minorHAnsi"/>
        </w:rPr>
        <w:t xml:space="preserve"> was an upswing in </w:t>
      </w:r>
      <w:r w:rsidR="006551DD" w:rsidRPr="00C87ACE">
        <w:rPr>
          <w:rFonts w:asciiTheme="minorHAnsi" w:hAnsiTheme="minorHAnsi" w:cstheme="minorHAnsi"/>
        </w:rPr>
        <w:t>emerging markets trade from 2.2% in 2016 to 6.4% in 2017</w:t>
      </w:r>
      <w:r w:rsidR="00A1191F" w:rsidRPr="00C87ACE">
        <w:rPr>
          <w:rFonts w:asciiTheme="minorHAnsi" w:hAnsiTheme="minorHAnsi" w:cstheme="minorHAnsi"/>
        </w:rPr>
        <w:t xml:space="preserve"> as a result of improved investment growth rates </w:t>
      </w:r>
      <w:r w:rsidR="009A42E8" w:rsidRPr="00C87ACE">
        <w:rPr>
          <w:rFonts w:asciiTheme="minorHAnsi" w:hAnsiTheme="minorHAnsi" w:cstheme="minorHAnsi"/>
        </w:rPr>
        <w:t xml:space="preserve">for commodity exporters. Another contributor to the upswing </w:t>
      </w:r>
      <w:r w:rsidR="00BC391F" w:rsidRPr="00C87ACE">
        <w:rPr>
          <w:rFonts w:asciiTheme="minorHAnsi" w:hAnsiTheme="minorHAnsi" w:cstheme="minorHAnsi"/>
        </w:rPr>
        <w:t>wa</w:t>
      </w:r>
      <w:r w:rsidR="002A0241" w:rsidRPr="00C87ACE">
        <w:rPr>
          <w:rFonts w:asciiTheme="minorHAnsi" w:hAnsiTheme="minorHAnsi" w:cstheme="minorHAnsi"/>
        </w:rPr>
        <w:t>s</w:t>
      </w:r>
      <w:r w:rsidR="00657BC0" w:rsidRPr="00C87ACE">
        <w:rPr>
          <w:rFonts w:asciiTheme="minorHAnsi" w:hAnsiTheme="minorHAnsi" w:cstheme="minorHAnsi"/>
        </w:rPr>
        <w:t xml:space="preserve"> advanced economy investment and domestic demand.</w:t>
      </w:r>
    </w:p>
    <w:p w14:paraId="2C56B4C9" w14:textId="55E19E61" w:rsidR="00BF75D1" w:rsidRPr="00C87ACE" w:rsidRDefault="00396652" w:rsidP="00BF75D1">
      <w:pPr>
        <w:rPr>
          <w:rFonts w:asciiTheme="minorHAnsi" w:hAnsiTheme="minorHAnsi" w:cstheme="minorHAnsi"/>
        </w:rPr>
      </w:pPr>
      <w:r w:rsidRPr="00C87ACE">
        <w:rPr>
          <w:rFonts w:asciiTheme="minorHAnsi" w:hAnsiTheme="minorHAnsi" w:cstheme="minorHAnsi"/>
        </w:rPr>
        <w:t xml:space="preserve">On the downside </w:t>
      </w:r>
      <w:r w:rsidR="00BF75D1" w:rsidRPr="00C87ACE">
        <w:rPr>
          <w:rFonts w:asciiTheme="minorHAnsi" w:hAnsiTheme="minorHAnsi" w:cstheme="minorHAnsi"/>
        </w:rPr>
        <w:t>if trade tensions worsen be</w:t>
      </w:r>
      <w:r w:rsidR="0055680A" w:rsidRPr="00C87ACE">
        <w:rPr>
          <w:rFonts w:asciiTheme="minorHAnsi" w:hAnsiTheme="minorHAnsi" w:cstheme="minorHAnsi"/>
        </w:rPr>
        <w:t>tw</w:t>
      </w:r>
      <w:r w:rsidR="00BF75D1" w:rsidRPr="00C87ACE">
        <w:rPr>
          <w:rFonts w:asciiTheme="minorHAnsi" w:hAnsiTheme="minorHAnsi" w:cstheme="minorHAnsi"/>
        </w:rPr>
        <w:t>e</w:t>
      </w:r>
      <w:r w:rsidR="001F0A35" w:rsidRPr="00C87ACE">
        <w:rPr>
          <w:rFonts w:asciiTheme="minorHAnsi" w:hAnsiTheme="minorHAnsi" w:cstheme="minorHAnsi"/>
        </w:rPr>
        <w:t>e</w:t>
      </w:r>
      <w:r w:rsidR="00BF75D1" w:rsidRPr="00C87ACE">
        <w:rPr>
          <w:rFonts w:asciiTheme="minorHAnsi" w:hAnsiTheme="minorHAnsi" w:cstheme="minorHAnsi"/>
        </w:rPr>
        <w:t xml:space="preserve">n the US and China and </w:t>
      </w:r>
      <w:r w:rsidR="001F5B42" w:rsidRPr="00C87ACE">
        <w:rPr>
          <w:rFonts w:asciiTheme="minorHAnsi" w:hAnsiTheme="minorHAnsi" w:cstheme="minorHAnsi"/>
        </w:rPr>
        <w:t>broader</w:t>
      </w:r>
      <w:r w:rsidR="001F0A35" w:rsidRPr="00C87ACE">
        <w:rPr>
          <w:rFonts w:asciiTheme="minorHAnsi" w:hAnsiTheme="minorHAnsi" w:cstheme="minorHAnsi"/>
        </w:rPr>
        <w:t xml:space="preserve"> </w:t>
      </w:r>
      <w:r w:rsidR="001F5B42" w:rsidRPr="00C87ACE">
        <w:rPr>
          <w:rFonts w:asciiTheme="minorHAnsi" w:hAnsiTheme="minorHAnsi" w:cstheme="minorHAnsi"/>
        </w:rPr>
        <w:t xml:space="preserve">trade restrictions are introduced this could </w:t>
      </w:r>
      <w:r w:rsidR="003F3DF1" w:rsidRPr="00C87ACE">
        <w:rPr>
          <w:rFonts w:asciiTheme="minorHAnsi" w:hAnsiTheme="minorHAnsi" w:cstheme="minorHAnsi"/>
        </w:rPr>
        <w:t xml:space="preserve">directly affect economic activity as well as decreasing </w:t>
      </w:r>
      <w:r w:rsidR="0055680A" w:rsidRPr="00C87ACE">
        <w:rPr>
          <w:rFonts w:asciiTheme="minorHAnsi" w:hAnsiTheme="minorHAnsi" w:cstheme="minorHAnsi"/>
        </w:rPr>
        <w:t xml:space="preserve">confidence with more negative repercussions. </w:t>
      </w:r>
    </w:p>
    <w:p w14:paraId="08903F4E" w14:textId="1DE25367" w:rsidR="00396652" w:rsidRDefault="00396652" w:rsidP="00126669">
      <w:pPr>
        <w:rPr>
          <w:rFonts w:ascii="Arial" w:hAnsi="Arial" w:cs="Arial"/>
        </w:rPr>
      </w:pPr>
    </w:p>
    <w:p w14:paraId="2B32AB52" w14:textId="77777777" w:rsidR="006A003F" w:rsidRDefault="006A003F" w:rsidP="00126669">
      <w:pPr>
        <w:rPr>
          <w:rFonts w:ascii="Arial" w:hAnsi="Arial" w:cs="Arial"/>
        </w:rPr>
      </w:pPr>
    </w:p>
    <w:p w14:paraId="0F59CA43" w14:textId="305BC67F" w:rsidR="00C904AD" w:rsidRPr="001F0A35" w:rsidRDefault="00C904AD" w:rsidP="00EB3765"/>
    <w:p w14:paraId="49D01296" w14:textId="680D9382" w:rsidR="0065752B" w:rsidRDefault="0065752B" w:rsidP="0048394E">
      <w:pPr>
        <w:rPr>
          <w:color w:val="000000"/>
        </w:rPr>
      </w:pPr>
    </w:p>
    <w:p w14:paraId="6BE0D2B1" w14:textId="77777777" w:rsidR="002E47F5" w:rsidRDefault="002E47F5" w:rsidP="0048394E">
      <w:pPr>
        <w:rPr>
          <w:color w:val="000000"/>
        </w:rPr>
      </w:pPr>
    </w:p>
    <w:p w14:paraId="49FB0FC4" w14:textId="3F98A4ED" w:rsidR="00BE30F9" w:rsidRDefault="00BE30F9" w:rsidP="0048394E">
      <w:pPr>
        <w:rPr>
          <w:color w:val="000000"/>
        </w:rPr>
      </w:pPr>
    </w:p>
    <w:p w14:paraId="5DFBDFF4" w14:textId="22CB74E6" w:rsidR="00BE30F9" w:rsidRDefault="00BE30F9" w:rsidP="0048394E">
      <w:pPr>
        <w:rPr>
          <w:color w:val="000000"/>
        </w:rPr>
      </w:pPr>
    </w:p>
    <w:p w14:paraId="72506C8D" w14:textId="126144A0" w:rsidR="00BE30F9" w:rsidRDefault="00BE30F9" w:rsidP="0048394E">
      <w:pPr>
        <w:rPr>
          <w:color w:val="000000"/>
        </w:rPr>
      </w:pPr>
    </w:p>
    <w:p w14:paraId="38927B14" w14:textId="668876A5" w:rsidR="00BE30F9" w:rsidRDefault="00BE30F9" w:rsidP="0048394E">
      <w:pPr>
        <w:rPr>
          <w:color w:val="000000"/>
        </w:rPr>
      </w:pPr>
    </w:p>
    <w:p w14:paraId="1C3C839E" w14:textId="5891F88C" w:rsidR="00BE30F9" w:rsidRDefault="00BE30F9" w:rsidP="0048394E">
      <w:pPr>
        <w:rPr>
          <w:color w:val="000000"/>
        </w:rPr>
      </w:pPr>
    </w:p>
    <w:p w14:paraId="1B8B7DD8" w14:textId="77777777" w:rsidR="008B78C2" w:rsidRDefault="008B78C2" w:rsidP="00C322DE">
      <w:pPr>
        <w:pStyle w:val="Heading2"/>
      </w:pPr>
    </w:p>
    <w:p w14:paraId="0DD83A11" w14:textId="77777777" w:rsidR="008B78C2" w:rsidRDefault="008B78C2" w:rsidP="00C322DE">
      <w:pPr>
        <w:pStyle w:val="Heading2"/>
      </w:pPr>
    </w:p>
    <w:p w14:paraId="7BA3F9B2" w14:textId="77777777" w:rsidR="008B78C2" w:rsidRDefault="008B78C2" w:rsidP="00C322DE">
      <w:pPr>
        <w:pStyle w:val="Heading2"/>
      </w:pPr>
    </w:p>
    <w:p w14:paraId="478A7E30" w14:textId="77777777" w:rsidR="008B78C2" w:rsidRDefault="008B78C2" w:rsidP="00C322DE">
      <w:pPr>
        <w:pStyle w:val="Heading2"/>
      </w:pPr>
    </w:p>
    <w:p w14:paraId="55322014" w14:textId="77777777" w:rsidR="008B78C2" w:rsidRDefault="008B78C2" w:rsidP="00C322DE">
      <w:pPr>
        <w:pStyle w:val="Heading2"/>
      </w:pPr>
    </w:p>
    <w:p w14:paraId="13650B8E" w14:textId="77777777" w:rsidR="008B78C2" w:rsidRDefault="008B78C2" w:rsidP="00C322DE">
      <w:pPr>
        <w:pStyle w:val="Heading2"/>
      </w:pPr>
    </w:p>
    <w:p w14:paraId="0DE3DE09" w14:textId="77777777" w:rsidR="008B78C2" w:rsidRDefault="008B78C2" w:rsidP="00C322DE">
      <w:pPr>
        <w:pStyle w:val="Heading2"/>
      </w:pPr>
    </w:p>
    <w:p w14:paraId="493FE20B" w14:textId="77777777" w:rsidR="008B78C2" w:rsidRDefault="008B78C2" w:rsidP="00C322DE">
      <w:pPr>
        <w:pStyle w:val="Heading2"/>
      </w:pPr>
    </w:p>
    <w:p w14:paraId="60170661" w14:textId="77777777" w:rsidR="008B78C2" w:rsidRDefault="008B78C2" w:rsidP="00C322DE">
      <w:pPr>
        <w:pStyle w:val="Heading2"/>
      </w:pPr>
    </w:p>
    <w:p w14:paraId="739A96E1" w14:textId="77777777" w:rsidR="008B78C2" w:rsidRDefault="008B78C2" w:rsidP="00C322DE">
      <w:pPr>
        <w:pStyle w:val="Heading2"/>
      </w:pPr>
    </w:p>
    <w:p w14:paraId="36D64E4D" w14:textId="77777777" w:rsidR="008B78C2" w:rsidRDefault="008B78C2" w:rsidP="00C322DE">
      <w:pPr>
        <w:pStyle w:val="Heading2"/>
      </w:pPr>
    </w:p>
    <w:p w14:paraId="0A1A4C29" w14:textId="77777777" w:rsidR="008B78C2" w:rsidRDefault="008B78C2" w:rsidP="00C322DE">
      <w:pPr>
        <w:pStyle w:val="Heading2"/>
      </w:pPr>
    </w:p>
    <w:p w14:paraId="41967063" w14:textId="77777777" w:rsidR="00C87ACE" w:rsidRDefault="00C87ACE" w:rsidP="00C322DE">
      <w:pPr>
        <w:pStyle w:val="Heading2"/>
      </w:pPr>
    </w:p>
    <w:p w14:paraId="3AB0A402" w14:textId="30F70285" w:rsidR="00067949" w:rsidRDefault="00067949" w:rsidP="00C322DE">
      <w:pPr>
        <w:pStyle w:val="Heading2"/>
      </w:pPr>
      <w:r w:rsidRPr="00B7546D">
        <w:lastRenderedPageBreak/>
        <w:t>REFERENCES:</w:t>
      </w:r>
    </w:p>
    <w:p w14:paraId="53D372D9" w14:textId="4059FF85" w:rsidR="00D55D07" w:rsidRPr="00F64FDC" w:rsidRDefault="00D55D07" w:rsidP="00D55D07">
      <w:pPr>
        <w:rPr>
          <w:rFonts w:ascii="Arial" w:hAnsi="Arial" w:cs="Arial"/>
          <w:color w:val="000000" w:themeColor="text1"/>
        </w:rPr>
      </w:pPr>
      <w:r w:rsidRPr="00D55D07">
        <w:rPr>
          <w:rFonts w:ascii="Arial" w:hAnsi="Arial" w:cs="Arial"/>
          <w:color w:val="000000" w:themeColor="text1"/>
        </w:rPr>
        <w:t>World Economic Outlook April 2018</w:t>
      </w:r>
    </w:p>
    <w:p w14:paraId="26AE1DA1" w14:textId="70E2DAA9" w:rsidR="00D55D07" w:rsidRDefault="00F64FDC" w:rsidP="00F64FDC">
      <w:pPr>
        <w:spacing w:line="252" w:lineRule="auto"/>
        <w:rPr>
          <w:rFonts w:ascii="Arial" w:hAnsi="Arial" w:cs="Arial"/>
          <w:color w:val="000000" w:themeColor="text1"/>
        </w:rPr>
      </w:pPr>
      <w:r w:rsidRPr="00F64FDC">
        <w:rPr>
          <w:rFonts w:ascii="Arial" w:hAnsi="Arial" w:cs="Arial"/>
          <w:color w:val="000000" w:themeColor="text1"/>
        </w:rPr>
        <w:t>(</w:t>
      </w:r>
      <w:hyperlink r:id="rId21" w:history="1">
        <w:r w:rsidRPr="00F64FDC">
          <w:rPr>
            <w:rStyle w:val="Hyperlink"/>
            <w:rFonts w:ascii="Arial" w:hAnsi="Arial" w:cs="Arial"/>
            <w:color w:val="000000" w:themeColor="text1"/>
          </w:rPr>
          <w:t>https://www.imf.org/en/Publications/WEO/Issues/2018/03/20/world-economic-outlook-april-2018</w:t>
        </w:r>
      </w:hyperlink>
      <w:r w:rsidRPr="00F64FDC">
        <w:rPr>
          <w:rFonts w:ascii="Arial" w:hAnsi="Arial" w:cs="Arial"/>
          <w:color w:val="000000" w:themeColor="text1"/>
        </w:rPr>
        <w:t>)]</w:t>
      </w:r>
    </w:p>
    <w:p w14:paraId="49EB7EEE" w14:textId="77777777" w:rsidR="00F64FDC" w:rsidRPr="00F64FDC" w:rsidRDefault="00F64FDC" w:rsidP="00F64FDC">
      <w:pPr>
        <w:spacing w:line="252" w:lineRule="auto"/>
        <w:rPr>
          <w:rFonts w:ascii="Arial" w:hAnsi="Arial" w:cs="Arial"/>
          <w:color w:val="000000" w:themeColor="text1"/>
        </w:rPr>
      </w:pPr>
    </w:p>
    <w:p w14:paraId="4B95B33F" w14:textId="77777777" w:rsidR="0048394E" w:rsidRPr="00F64FDC" w:rsidRDefault="0048394E" w:rsidP="0048394E">
      <w:pPr>
        <w:rPr>
          <w:rFonts w:ascii="Arial" w:hAnsi="Arial" w:cs="Arial"/>
          <w:color w:val="000000"/>
        </w:rPr>
      </w:pPr>
      <w:r w:rsidRPr="00F64FDC">
        <w:rPr>
          <w:rFonts w:ascii="Arial" w:hAnsi="Arial" w:cs="Arial"/>
          <w:color w:val="000000"/>
        </w:rPr>
        <w:t>FINANCIAL - cbl.org.lr. https://www.cbl.org.lr/doc/febulletin_april_june_2018.pdf</w:t>
      </w:r>
    </w:p>
    <w:p w14:paraId="490A4DC1" w14:textId="77777777" w:rsidR="0048394E" w:rsidRPr="00F64FDC" w:rsidRDefault="0048394E" w:rsidP="0048394E">
      <w:pPr>
        <w:rPr>
          <w:rFonts w:ascii="Arial" w:hAnsi="Arial" w:cs="Arial"/>
          <w:color w:val="000000"/>
        </w:rPr>
      </w:pPr>
    </w:p>
    <w:p w14:paraId="2B55C519" w14:textId="77777777" w:rsidR="0048394E" w:rsidRPr="00F64FDC" w:rsidRDefault="0048394E" w:rsidP="0048394E">
      <w:pPr>
        <w:rPr>
          <w:rFonts w:ascii="Arial" w:hAnsi="Arial" w:cs="Arial"/>
          <w:color w:val="000000"/>
        </w:rPr>
      </w:pPr>
      <w:r w:rsidRPr="00F64FDC">
        <w:rPr>
          <w:rFonts w:ascii="Arial" w:hAnsi="Arial" w:cs="Arial"/>
          <w:color w:val="000000"/>
        </w:rPr>
        <w:t>US Growth To Remain Strong In 2018, Risks Rising For 2019. https://www.fitchsolutions.com/country-risk-sovereigns/economics/us-growth-remain-strong-2018-risks-rising-2019-05-11-2018</w:t>
      </w:r>
    </w:p>
    <w:p w14:paraId="14771DB6" w14:textId="77777777" w:rsidR="0048394E" w:rsidRPr="00F64FDC" w:rsidRDefault="0048394E" w:rsidP="0048394E">
      <w:pPr>
        <w:rPr>
          <w:rFonts w:ascii="Arial" w:hAnsi="Arial" w:cs="Arial"/>
          <w:color w:val="000000"/>
        </w:rPr>
      </w:pPr>
    </w:p>
    <w:p w14:paraId="38BB897D" w14:textId="77777777" w:rsidR="0048394E" w:rsidRPr="00F64FDC" w:rsidRDefault="0048394E" w:rsidP="0048394E">
      <w:pPr>
        <w:rPr>
          <w:rFonts w:ascii="Arial" w:hAnsi="Arial" w:cs="Arial"/>
          <w:color w:val="000000"/>
        </w:rPr>
      </w:pPr>
      <w:r w:rsidRPr="00F64FDC">
        <w:rPr>
          <w:rFonts w:ascii="Arial" w:hAnsi="Arial" w:cs="Arial"/>
          <w:color w:val="000000"/>
        </w:rPr>
        <w:t>WESP mid2019 Key Messages FINAL - un.org. https://www.un.org/development/desa/dpad/wp-content/uploads/sites/45/WESP2019MYU_KeyMessages.pdf</w:t>
      </w:r>
    </w:p>
    <w:p w14:paraId="0D9646FF" w14:textId="2590C13D" w:rsidR="0048394E" w:rsidRPr="00F64FDC" w:rsidRDefault="0048394E" w:rsidP="0048394E">
      <w:pPr>
        <w:rPr>
          <w:rFonts w:ascii="Arial" w:hAnsi="Arial" w:cs="Arial"/>
          <w:color w:val="000000"/>
        </w:rPr>
      </w:pPr>
      <w:r w:rsidRPr="00F64FDC">
        <w:rPr>
          <w:rFonts w:ascii="Arial" w:hAnsi="Arial" w:cs="Arial"/>
          <w:color w:val="000000"/>
        </w:rPr>
        <w:t>Economic</w:t>
      </w:r>
    </w:p>
    <w:p w14:paraId="592E5C28" w14:textId="77777777" w:rsidR="0048394E" w:rsidRPr="00F64FDC" w:rsidRDefault="0048394E" w:rsidP="0048394E">
      <w:pPr>
        <w:rPr>
          <w:rFonts w:ascii="Arial" w:hAnsi="Arial" w:cs="Arial"/>
          <w:color w:val="000000"/>
        </w:rPr>
      </w:pPr>
    </w:p>
    <w:p w14:paraId="62925B39" w14:textId="77777777" w:rsidR="0048394E" w:rsidRPr="00F64FDC" w:rsidRDefault="0048394E" w:rsidP="0048394E">
      <w:pPr>
        <w:rPr>
          <w:rFonts w:ascii="Arial" w:hAnsi="Arial" w:cs="Arial"/>
          <w:color w:val="000000"/>
        </w:rPr>
      </w:pPr>
      <w:r w:rsidRPr="00F64FDC">
        <w:rPr>
          <w:rFonts w:ascii="Arial" w:hAnsi="Arial" w:cs="Arial"/>
          <w:color w:val="000000"/>
        </w:rPr>
        <w:t>Creating Lasting Value/Investor Presentation – February 2019</w:t>
      </w:r>
    </w:p>
    <w:p w14:paraId="23C27ABE" w14:textId="77777777" w:rsidR="0048394E" w:rsidRPr="00F64FDC" w:rsidRDefault="0048394E" w:rsidP="0048394E">
      <w:pPr>
        <w:rPr>
          <w:rFonts w:ascii="Arial" w:hAnsi="Arial" w:cs="Arial"/>
          <w:color w:val="000000"/>
        </w:rPr>
      </w:pPr>
      <w:r w:rsidRPr="00F64FDC">
        <w:rPr>
          <w:rFonts w:ascii="Arial" w:hAnsi="Arial" w:cs="Arial"/>
          <w:color w:val="000000"/>
        </w:rPr>
        <w:t>https://www.sunpharma.com/sites/all/themes/sunpharma/images/annual/IR%20Presentation%20February%202019.pdf</w:t>
      </w:r>
    </w:p>
    <w:p w14:paraId="76EB871D" w14:textId="77777777" w:rsidR="0048394E" w:rsidRPr="00F64FDC" w:rsidRDefault="0048394E" w:rsidP="0048394E">
      <w:pPr>
        <w:rPr>
          <w:rFonts w:ascii="Arial" w:hAnsi="Arial" w:cs="Arial"/>
          <w:color w:val="000000"/>
        </w:rPr>
      </w:pPr>
    </w:p>
    <w:p w14:paraId="44AB574D" w14:textId="77777777" w:rsidR="0048394E" w:rsidRPr="00F64FDC" w:rsidRDefault="0048394E" w:rsidP="0048394E">
      <w:pPr>
        <w:rPr>
          <w:rFonts w:ascii="Arial" w:hAnsi="Arial" w:cs="Arial"/>
          <w:color w:val="000000"/>
        </w:rPr>
      </w:pPr>
      <w:r w:rsidRPr="00F64FDC">
        <w:rPr>
          <w:rFonts w:ascii="Arial" w:hAnsi="Arial" w:cs="Arial"/>
          <w:color w:val="000000"/>
        </w:rPr>
        <w:t xml:space="preserve">Global Pharmaceuticals - MarketLine Industry Profile </w:t>
      </w:r>
    </w:p>
    <w:p w14:paraId="7C40F0DF" w14:textId="77777777" w:rsidR="0048394E" w:rsidRPr="00F64FDC" w:rsidRDefault="0048394E" w:rsidP="0048394E">
      <w:pPr>
        <w:rPr>
          <w:rFonts w:ascii="Arial" w:hAnsi="Arial" w:cs="Arial"/>
          <w:color w:val="000000"/>
        </w:rPr>
      </w:pPr>
      <w:r w:rsidRPr="00F64FDC">
        <w:rPr>
          <w:rFonts w:ascii="Arial" w:hAnsi="Arial" w:cs="Arial"/>
          <w:color w:val="000000"/>
        </w:rPr>
        <w:t>https://advantage-marketline-com.ezproxy.uwtsd.ac.uk/Product?ptype=Industries&amp;pid=MLIP2896-0009</w:t>
      </w:r>
    </w:p>
    <w:p w14:paraId="62659B4A" w14:textId="77777777" w:rsidR="0048394E" w:rsidRPr="00F64FDC" w:rsidRDefault="0048394E" w:rsidP="0048394E">
      <w:pPr>
        <w:rPr>
          <w:rFonts w:ascii="Arial" w:hAnsi="Arial" w:cs="Arial"/>
          <w:color w:val="000000"/>
        </w:rPr>
      </w:pPr>
    </w:p>
    <w:p w14:paraId="6F033E85" w14:textId="77777777" w:rsidR="0048394E" w:rsidRPr="00F64FDC" w:rsidRDefault="0048394E" w:rsidP="0048394E">
      <w:pPr>
        <w:rPr>
          <w:rFonts w:ascii="Arial" w:hAnsi="Arial" w:cs="Arial"/>
          <w:color w:val="000000"/>
        </w:rPr>
      </w:pPr>
      <w:r w:rsidRPr="00F64FDC">
        <w:rPr>
          <w:rFonts w:ascii="Arial" w:hAnsi="Arial" w:cs="Arial"/>
          <w:color w:val="000000"/>
        </w:rPr>
        <w:t>Global Pharmaceuticals - marketresearch.com. https://www.marketresearch.com/MarketLine-v3883/Global-Pharmaceuticals-12324071/</w:t>
      </w:r>
    </w:p>
    <w:p w14:paraId="6A826FF2" w14:textId="77777777" w:rsidR="0048394E" w:rsidRPr="00F64FDC" w:rsidRDefault="0048394E" w:rsidP="0048394E">
      <w:pPr>
        <w:rPr>
          <w:rFonts w:ascii="Arial" w:hAnsi="Arial" w:cs="Arial"/>
          <w:color w:val="000000"/>
        </w:rPr>
      </w:pPr>
    </w:p>
    <w:p w14:paraId="290D8C07" w14:textId="77777777" w:rsidR="0048394E" w:rsidRPr="00F64FDC" w:rsidRDefault="0048394E" w:rsidP="0048394E">
      <w:pPr>
        <w:rPr>
          <w:rFonts w:ascii="Arial" w:hAnsi="Arial" w:cs="Arial"/>
          <w:color w:val="000000"/>
        </w:rPr>
      </w:pPr>
      <w:r w:rsidRPr="00F64FDC">
        <w:rPr>
          <w:rFonts w:ascii="Arial" w:hAnsi="Arial" w:cs="Arial"/>
          <w:color w:val="000000"/>
        </w:rPr>
        <w:t>Pharmaceuticals - Global Industry Guide (2013-2022): The .... https://www.marketwatch.com/press-release/pharmaceuticals---global-industry-guide-2013-2022-the-market-had-total-revenues-of-1066-trillion-in-2017---researchandmarketscom-2018-09-24</w:t>
      </w:r>
    </w:p>
    <w:p w14:paraId="07C1BEB7" w14:textId="77777777" w:rsidR="0048394E" w:rsidRPr="00F64FDC" w:rsidRDefault="0048394E" w:rsidP="0048394E">
      <w:pPr>
        <w:rPr>
          <w:rFonts w:ascii="Arial" w:hAnsi="Arial" w:cs="Arial"/>
          <w:color w:val="000000"/>
        </w:rPr>
      </w:pPr>
    </w:p>
    <w:p w14:paraId="2EBE219D" w14:textId="77777777" w:rsidR="0048394E" w:rsidRPr="00F64FDC" w:rsidRDefault="0048394E" w:rsidP="0048394E">
      <w:pPr>
        <w:rPr>
          <w:rFonts w:ascii="Arial" w:hAnsi="Arial" w:cs="Arial"/>
          <w:color w:val="000000"/>
        </w:rPr>
      </w:pPr>
      <w:r w:rsidRPr="00F64FDC">
        <w:rPr>
          <w:rFonts w:ascii="Arial" w:hAnsi="Arial" w:cs="Arial"/>
          <w:color w:val="000000"/>
        </w:rPr>
        <w:t>Strategy and Business / The Right to Win</w:t>
      </w:r>
    </w:p>
    <w:p w14:paraId="4F1C412D" w14:textId="77777777" w:rsidR="0048394E" w:rsidRPr="00F64FDC" w:rsidRDefault="0048394E" w:rsidP="0048394E">
      <w:pPr>
        <w:rPr>
          <w:rFonts w:ascii="Arial" w:hAnsi="Arial" w:cs="Arial"/>
          <w:color w:val="000000"/>
        </w:rPr>
      </w:pPr>
      <w:r w:rsidRPr="00F64FDC">
        <w:rPr>
          <w:rFonts w:ascii="Arial" w:hAnsi="Arial" w:cs="Arial"/>
          <w:color w:val="000000"/>
        </w:rPr>
        <w:t>LEADERSHIP November 23, 2010 / Winter 2010 / Issue 61 (originally published by Booz &amp; Company) https://www.strategy-business.com/article/10407</w:t>
      </w:r>
    </w:p>
    <w:p w14:paraId="09FD3D95" w14:textId="77777777" w:rsidR="0048394E" w:rsidRPr="00F64FDC" w:rsidRDefault="0048394E" w:rsidP="0048394E">
      <w:pPr>
        <w:rPr>
          <w:rFonts w:ascii="Arial" w:hAnsi="Arial" w:cs="Arial"/>
          <w:color w:val="000000"/>
        </w:rPr>
      </w:pPr>
    </w:p>
    <w:p w14:paraId="533035A0" w14:textId="77777777" w:rsidR="0048394E" w:rsidRPr="00F64FDC" w:rsidRDefault="0048394E" w:rsidP="0048394E">
      <w:pPr>
        <w:rPr>
          <w:rFonts w:ascii="Arial" w:hAnsi="Arial" w:cs="Arial"/>
          <w:color w:val="000000"/>
        </w:rPr>
      </w:pPr>
      <w:r w:rsidRPr="00F64FDC">
        <w:rPr>
          <w:rFonts w:ascii="Arial" w:hAnsi="Arial" w:cs="Arial"/>
          <w:color w:val="000000"/>
        </w:rPr>
        <w:t>Lee, H. (2002), “Aligning supply chain strategies with product uncertainties”, C.A. Management Review, Vol. 44 No. 3, pp. 105-119.</w:t>
      </w:r>
    </w:p>
    <w:p w14:paraId="7B861350" w14:textId="77777777" w:rsidR="0048394E" w:rsidRPr="00F64FDC" w:rsidRDefault="0048394E" w:rsidP="0048394E">
      <w:pPr>
        <w:rPr>
          <w:rFonts w:ascii="Arial" w:hAnsi="Arial" w:cs="Arial"/>
          <w:color w:val="000000"/>
        </w:rPr>
      </w:pPr>
    </w:p>
    <w:p w14:paraId="619FDC3F" w14:textId="77777777" w:rsidR="0048394E" w:rsidRPr="00F64FDC" w:rsidRDefault="0048394E" w:rsidP="0048394E">
      <w:pPr>
        <w:rPr>
          <w:rFonts w:ascii="Arial" w:hAnsi="Arial" w:cs="Arial"/>
          <w:color w:val="000000"/>
        </w:rPr>
      </w:pPr>
      <w:proofErr w:type="spellStart"/>
      <w:r w:rsidRPr="00F64FDC">
        <w:rPr>
          <w:rFonts w:ascii="Arial" w:hAnsi="Arial" w:cs="Arial"/>
          <w:color w:val="000000"/>
        </w:rPr>
        <w:t>Laínez</w:t>
      </w:r>
      <w:proofErr w:type="spellEnd"/>
      <w:r w:rsidRPr="00F64FDC">
        <w:rPr>
          <w:rFonts w:ascii="Arial" w:hAnsi="Arial" w:cs="Arial"/>
          <w:color w:val="000000"/>
        </w:rPr>
        <w:t xml:space="preserve">, J.M., </w:t>
      </w:r>
      <w:proofErr w:type="spellStart"/>
      <w:r w:rsidRPr="00F64FDC">
        <w:rPr>
          <w:rFonts w:ascii="Arial" w:hAnsi="Arial" w:cs="Arial"/>
          <w:color w:val="000000"/>
        </w:rPr>
        <w:t>Schaeferb</w:t>
      </w:r>
      <w:proofErr w:type="spellEnd"/>
      <w:r w:rsidRPr="00F64FDC">
        <w:rPr>
          <w:rFonts w:ascii="Arial" w:hAnsi="Arial" w:cs="Arial"/>
          <w:color w:val="000000"/>
        </w:rPr>
        <w:t xml:space="preserve">, E. and </w:t>
      </w:r>
      <w:proofErr w:type="spellStart"/>
      <w:r w:rsidRPr="00F64FDC">
        <w:rPr>
          <w:rFonts w:ascii="Arial" w:hAnsi="Arial" w:cs="Arial"/>
          <w:color w:val="000000"/>
        </w:rPr>
        <w:t>Reklaitis</w:t>
      </w:r>
      <w:proofErr w:type="spellEnd"/>
      <w:r w:rsidRPr="00F64FDC">
        <w:rPr>
          <w:rFonts w:ascii="Arial" w:hAnsi="Arial" w:cs="Arial"/>
          <w:color w:val="000000"/>
        </w:rPr>
        <w:t>, G.V. (2012), “Challenges and opportunities in enterprise-wide optimisation in the pharmaceutical industry”, Computers and Chemical Engineering, Vol. 47, pp. 19-28.</w:t>
      </w:r>
    </w:p>
    <w:p w14:paraId="4CD14436" w14:textId="77777777" w:rsidR="0048394E" w:rsidRPr="00F64FDC" w:rsidRDefault="0048394E" w:rsidP="0048394E">
      <w:pPr>
        <w:rPr>
          <w:rFonts w:ascii="Arial" w:hAnsi="Arial" w:cs="Arial"/>
          <w:color w:val="000000"/>
        </w:rPr>
      </w:pPr>
    </w:p>
    <w:p w14:paraId="1332B7F7" w14:textId="77777777" w:rsidR="0048394E" w:rsidRPr="00F64FDC" w:rsidRDefault="0048394E" w:rsidP="0048394E">
      <w:pPr>
        <w:rPr>
          <w:rFonts w:ascii="Arial" w:hAnsi="Arial" w:cs="Arial"/>
          <w:color w:val="000000"/>
        </w:rPr>
      </w:pPr>
      <w:proofErr w:type="spellStart"/>
      <w:r w:rsidRPr="00F64FDC">
        <w:rPr>
          <w:rFonts w:ascii="Arial" w:hAnsi="Arial" w:cs="Arial"/>
          <w:color w:val="000000"/>
        </w:rPr>
        <w:t>Talias</w:t>
      </w:r>
      <w:proofErr w:type="spellEnd"/>
      <w:r w:rsidRPr="00F64FDC">
        <w:rPr>
          <w:rFonts w:ascii="Arial" w:hAnsi="Arial" w:cs="Arial"/>
          <w:color w:val="000000"/>
        </w:rPr>
        <w:t>, M. (2007), “Optimal decision indices for R&amp;D project evaluation in the pharmaceutical industry: Pearson index versus Gittins index”, European Journal of Operational Research, Vol. 177, pp. 1105-1112.</w:t>
      </w:r>
    </w:p>
    <w:p w14:paraId="1BC84B3C" w14:textId="77777777" w:rsidR="0048394E" w:rsidRPr="00F64FDC" w:rsidRDefault="0048394E" w:rsidP="0048394E">
      <w:pPr>
        <w:rPr>
          <w:rFonts w:ascii="Arial" w:hAnsi="Arial" w:cs="Arial"/>
          <w:color w:val="000000"/>
        </w:rPr>
      </w:pPr>
    </w:p>
    <w:p w14:paraId="6DFB01BA" w14:textId="77777777" w:rsidR="0048394E" w:rsidRPr="00F64FDC" w:rsidRDefault="0048394E" w:rsidP="0048394E">
      <w:pPr>
        <w:rPr>
          <w:rFonts w:ascii="Arial" w:hAnsi="Arial" w:cs="Arial"/>
          <w:color w:val="000000"/>
        </w:rPr>
      </w:pPr>
      <w:r w:rsidRPr="00F64FDC">
        <w:rPr>
          <w:rFonts w:ascii="Arial" w:hAnsi="Arial" w:cs="Arial"/>
          <w:color w:val="000000"/>
        </w:rPr>
        <w:lastRenderedPageBreak/>
        <w:t>WHO (2009), World Health Statistics – 2009, available at: www.who.int/entity/whosis/whostat/ EN_WHS09_Full.pdf (accessed 15 December 2009).</w:t>
      </w:r>
    </w:p>
    <w:p w14:paraId="517E40F8" w14:textId="77777777" w:rsidR="0048394E" w:rsidRPr="00F64FDC" w:rsidRDefault="0048394E" w:rsidP="0048394E">
      <w:pPr>
        <w:rPr>
          <w:rFonts w:ascii="Arial" w:hAnsi="Arial" w:cs="Arial"/>
          <w:color w:val="000000"/>
        </w:rPr>
      </w:pPr>
    </w:p>
    <w:p w14:paraId="738F426E" w14:textId="77777777" w:rsidR="0048394E" w:rsidRPr="00F64FDC" w:rsidRDefault="0048394E" w:rsidP="0048394E">
      <w:pPr>
        <w:rPr>
          <w:rFonts w:ascii="Arial" w:hAnsi="Arial" w:cs="Arial"/>
          <w:color w:val="000000"/>
        </w:rPr>
      </w:pPr>
      <w:r w:rsidRPr="00F64FDC">
        <w:rPr>
          <w:rFonts w:ascii="Arial" w:hAnsi="Arial" w:cs="Arial"/>
          <w:color w:val="000000"/>
        </w:rPr>
        <w:t>Porter, M.E. (1980), Competitive Strategy, The Free Press, New York, NY.</w:t>
      </w:r>
    </w:p>
    <w:p w14:paraId="59F47C15" w14:textId="77777777" w:rsidR="0048394E" w:rsidRPr="00F64FDC" w:rsidRDefault="0048394E" w:rsidP="0048394E">
      <w:pPr>
        <w:rPr>
          <w:rFonts w:ascii="Arial" w:hAnsi="Arial" w:cs="Arial"/>
          <w:color w:val="000000"/>
        </w:rPr>
      </w:pPr>
    </w:p>
    <w:p w14:paraId="134910DE" w14:textId="77777777" w:rsidR="0048394E" w:rsidRPr="00F64FDC" w:rsidRDefault="0048394E" w:rsidP="0048394E">
      <w:pPr>
        <w:rPr>
          <w:rFonts w:ascii="Arial" w:hAnsi="Arial" w:cs="Arial"/>
          <w:color w:val="000000"/>
        </w:rPr>
      </w:pPr>
      <w:proofErr w:type="spellStart"/>
      <w:r w:rsidRPr="00F64FDC">
        <w:rPr>
          <w:rFonts w:ascii="Arial" w:hAnsi="Arial" w:cs="Arial"/>
          <w:color w:val="000000"/>
        </w:rPr>
        <w:t>Bhakoo</w:t>
      </w:r>
      <w:proofErr w:type="spellEnd"/>
      <w:r w:rsidRPr="00F64FDC">
        <w:rPr>
          <w:rFonts w:ascii="Arial" w:hAnsi="Arial" w:cs="Arial"/>
          <w:color w:val="000000"/>
        </w:rPr>
        <w:t>, V. and Chan, C. (2011), “Collaborative implementation of e-business processes within the health-care supply chain: the Monash Pharmacy Project”, Supply Chain Management: An International Journal, Vol. 16 No. 3, pp. 184-193.</w:t>
      </w:r>
    </w:p>
    <w:p w14:paraId="7518C2F4" w14:textId="77777777" w:rsidR="0048394E" w:rsidRPr="00F64FDC" w:rsidRDefault="0048394E" w:rsidP="0048394E">
      <w:pPr>
        <w:rPr>
          <w:rFonts w:ascii="Arial" w:hAnsi="Arial" w:cs="Arial"/>
          <w:color w:val="000000"/>
        </w:rPr>
      </w:pPr>
    </w:p>
    <w:p w14:paraId="621447E8" w14:textId="77777777" w:rsidR="00067949" w:rsidRPr="00F64FDC" w:rsidRDefault="0048394E" w:rsidP="0048394E">
      <w:pPr>
        <w:rPr>
          <w:rFonts w:ascii="Arial" w:hAnsi="Arial" w:cs="Arial"/>
          <w:color w:val="000000"/>
        </w:rPr>
      </w:pPr>
      <w:r w:rsidRPr="00F64FDC">
        <w:rPr>
          <w:rFonts w:ascii="Arial" w:hAnsi="Arial" w:cs="Arial"/>
          <w:color w:val="000000"/>
        </w:rPr>
        <w:t xml:space="preserve">Mahajan, V., </w:t>
      </w:r>
      <w:proofErr w:type="spellStart"/>
      <w:r w:rsidRPr="00F64FDC">
        <w:rPr>
          <w:rFonts w:ascii="Arial" w:hAnsi="Arial" w:cs="Arial"/>
          <w:color w:val="000000"/>
        </w:rPr>
        <w:t>Nauriyal</w:t>
      </w:r>
      <w:proofErr w:type="spellEnd"/>
      <w:r w:rsidRPr="00F64FDC">
        <w:rPr>
          <w:rFonts w:ascii="Arial" w:hAnsi="Arial" w:cs="Arial"/>
          <w:color w:val="000000"/>
        </w:rPr>
        <w:t xml:space="preserve">, D.K. and Singh, S.P. (2015), “Trade performance and </w:t>
      </w:r>
    </w:p>
    <w:p w14:paraId="41BC3017" w14:textId="72EDCF90" w:rsidR="00067949" w:rsidRPr="00F64FDC" w:rsidRDefault="0048394E" w:rsidP="0048394E">
      <w:pPr>
        <w:rPr>
          <w:rFonts w:ascii="Arial" w:hAnsi="Arial" w:cs="Arial"/>
          <w:color w:val="000000"/>
        </w:rPr>
      </w:pPr>
      <w:r w:rsidRPr="00F64FDC">
        <w:rPr>
          <w:rFonts w:ascii="Arial" w:hAnsi="Arial" w:cs="Arial"/>
          <w:color w:val="000000"/>
        </w:rPr>
        <w:t xml:space="preserve">revealed the comparative advantage of Indian pharmaceutical industry in new IPR </w:t>
      </w:r>
    </w:p>
    <w:p w14:paraId="51FBEE38" w14:textId="6B8DAF01" w:rsidR="0048394E" w:rsidRPr="00F64FDC" w:rsidRDefault="0048394E" w:rsidP="0048394E">
      <w:pPr>
        <w:rPr>
          <w:rFonts w:ascii="Arial" w:hAnsi="Arial" w:cs="Arial"/>
          <w:color w:val="000000"/>
        </w:rPr>
      </w:pPr>
      <w:r w:rsidRPr="00F64FDC">
        <w:rPr>
          <w:rFonts w:ascii="Arial" w:hAnsi="Arial" w:cs="Arial"/>
          <w:color w:val="000000"/>
        </w:rPr>
        <w:t>regime”, International Journal of Pharmaceutical and Healthcare Marketing, Vol. 9 No. 1, pp. 56-73.</w:t>
      </w:r>
    </w:p>
    <w:p w14:paraId="48EEC39E" w14:textId="77777777" w:rsidR="0048394E" w:rsidRPr="00F64FDC" w:rsidRDefault="0048394E" w:rsidP="0048394E">
      <w:pPr>
        <w:rPr>
          <w:rFonts w:ascii="Arial" w:hAnsi="Arial" w:cs="Arial"/>
          <w:color w:val="000000"/>
        </w:rPr>
      </w:pPr>
    </w:p>
    <w:p w14:paraId="0AD3661C" w14:textId="77777777" w:rsidR="0048394E" w:rsidRPr="00F64FDC" w:rsidRDefault="0048394E" w:rsidP="0048394E">
      <w:pPr>
        <w:rPr>
          <w:rFonts w:ascii="Arial" w:hAnsi="Arial" w:cs="Arial"/>
          <w:color w:val="000000"/>
        </w:rPr>
      </w:pPr>
      <w:r w:rsidRPr="00F64FDC">
        <w:rPr>
          <w:rFonts w:ascii="Arial" w:hAnsi="Arial" w:cs="Arial"/>
          <w:color w:val="000000"/>
        </w:rPr>
        <w:t>The High Price Of Failed Clinical Trials: Time To Rethink The Model</w:t>
      </w:r>
    </w:p>
    <w:p w14:paraId="6B00EE40" w14:textId="77777777" w:rsidR="0048394E" w:rsidRPr="00F64FDC" w:rsidRDefault="0048394E" w:rsidP="0048394E">
      <w:pPr>
        <w:rPr>
          <w:rFonts w:ascii="Arial" w:hAnsi="Arial" w:cs="Arial"/>
          <w:color w:val="000000"/>
        </w:rPr>
      </w:pPr>
      <w:r w:rsidRPr="00F64FDC">
        <w:rPr>
          <w:rFonts w:ascii="Arial" w:hAnsi="Arial" w:cs="Arial"/>
          <w:color w:val="000000"/>
        </w:rPr>
        <w:t>By Ralf Huss, MD, Chief Medical Officer, Definiens. https://www.clinicalleader.com/doc/the-high-price-of-failed-clinical-trials-time-to-rethink-the-model-0001</w:t>
      </w:r>
    </w:p>
    <w:p w14:paraId="1DC1024A" w14:textId="77777777" w:rsidR="0048394E" w:rsidRPr="00F64FDC" w:rsidRDefault="0048394E" w:rsidP="0048394E">
      <w:pPr>
        <w:rPr>
          <w:rFonts w:ascii="Arial" w:hAnsi="Arial" w:cs="Arial"/>
          <w:color w:val="000000"/>
        </w:rPr>
      </w:pPr>
    </w:p>
    <w:p w14:paraId="1081A03C" w14:textId="77777777" w:rsidR="0048394E" w:rsidRPr="00F64FDC" w:rsidRDefault="0048394E" w:rsidP="0048394E">
      <w:pPr>
        <w:rPr>
          <w:rFonts w:ascii="Arial" w:hAnsi="Arial" w:cs="Arial"/>
          <w:color w:val="000000"/>
        </w:rPr>
      </w:pPr>
      <w:r w:rsidRPr="00F64FDC">
        <w:rPr>
          <w:rFonts w:ascii="Arial" w:hAnsi="Arial" w:cs="Arial"/>
          <w:color w:val="000000"/>
        </w:rPr>
        <w:t>Strategic issues in pharmaceutical supply chains: a review. Rajesh Kr. Singh, Ravinder Kumar, Pravin Kumar. https://search-proquest-com.ezproxy.uwtsd.ac.uk/abicomplete/docview/1826443566/fulltext/D98B55AE2EB74E86PQ/6?accountid=130472</w:t>
      </w:r>
    </w:p>
    <w:p w14:paraId="57ECDEFC" w14:textId="77777777" w:rsidR="0048394E" w:rsidRPr="00F64FDC" w:rsidRDefault="0048394E" w:rsidP="0048394E">
      <w:pPr>
        <w:rPr>
          <w:rFonts w:ascii="Arial" w:hAnsi="Arial" w:cs="Arial"/>
          <w:color w:val="000000"/>
        </w:rPr>
      </w:pPr>
    </w:p>
    <w:p w14:paraId="35334470" w14:textId="77777777" w:rsidR="0048394E" w:rsidRPr="00F64FDC" w:rsidRDefault="0048394E" w:rsidP="0048394E">
      <w:pPr>
        <w:rPr>
          <w:rFonts w:ascii="Arial" w:hAnsi="Arial" w:cs="Arial"/>
          <w:color w:val="000000"/>
        </w:rPr>
      </w:pPr>
      <w:r w:rsidRPr="00F64FDC">
        <w:rPr>
          <w:rFonts w:ascii="Arial" w:hAnsi="Arial" w:cs="Arial"/>
          <w:color w:val="000000"/>
        </w:rPr>
        <w:t xml:space="preserve">“Switzerland : Signs Suggest Global Economic Growth Spurt Has Peaked, but Will Remain Steady at 3 Percent in 20192020.” MENA Report, </w:t>
      </w:r>
      <w:proofErr w:type="spellStart"/>
      <w:r w:rsidRPr="00F64FDC">
        <w:rPr>
          <w:rFonts w:ascii="Arial" w:hAnsi="Arial" w:cs="Arial"/>
          <w:color w:val="000000"/>
        </w:rPr>
        <w:t>Albawaba</w:t>
      </w:r>
      <w:proofErr w:type="spellEnd"/>
      <w:r w:rsidRPr="00F64FDC">
        <w:rPr>
          <w:rFonts w:ascii="Arial" w:hAnsi="Arial" w:cs="Arial"/>
          <w:color w:val="000000"/>
        </w:rPr>
        <w:t xml:space="preserve"> (London) Ltd., Jan. 2019.</w:t>
      </w:r>
    </w:p>
    <w:p w14:paraId="0AD53CD4" w14:textId="77777777" w:rsidR="0048394E" w:rsidRPr="00F64FDC" w:rsidRDefault="0048394E" w:rsidP="0048394E">
      <w:pPr>
        <w:rPr>
          <w:rFonts w:ascii="Arial" w:hAnsi="Arial" w:cs="Arial"/>
          <w:color w:val="000000"/>
        </w:rPr>
      </w:pPr>
    </w:p>
    <w:p w14:paraId="318B5713" w14:textId="77777777" w:rsidR="0048394E" w:rsidRPr="00F64FDC" w:rsidRDefault="0048394E" w:rsidP="0048394E">
      <w:pPr>
        <w:rPr>
          <w:rFonts w:ascii="Arial" w:hAnsi="Arial" w:cs="Arial"/>
          <w:color w:val="000000"/>
        </w:rPr>
      </w:pPr>
      <w:r w:rsidRPr="00F64FDC">
        <w:rPr>
          <w:rFonts w:ascii="Arial" w:hAnsi="Arial" w:cs="Arial"/>
          <w:color w:val="000000"/>
        </w:rPr>
        <w:t>The Right to Win - strategy-business.com. https://www.strategy-business.com/article/10407</w:t>
      </w:r>
    </w:p>
    <w:p w14:paraId="4998475F" w14:textId="77777777" w:rsidR="0048394E" w:rsidRPr="00F64FDC" w:rsidRDefault="0048394E" w:rsidP="0048394E">
      <w:pPr>
        <w:rPr>
          <w:rFonts w:ascii="Arial" w:hAnsi="Arial" w:cs="Arial"/>
          <w:color w:val="000000"/>
        </w:rPr>
      </w:pPr>
    </w:p>
    <w:p w14:paraId="71F6EEAF" w14:textId="77777777" w:rsidR="0048394E" w:rsidRPr="00F64FDC" w:rsidRDefault="0048394E" w:rsidP="0048394E">
      <w:pPr>
        <w:rPr>
          <w:rFonts w:ascii="Arial" w:hAnsi="Arial" w:cs="Arial"/>
          <w:color w:val="000000"/>
        </w:rPr>
      </w:pPr>
      <w:r w:rsidRPr="00F64FDC">
        <w:rPr>
          <w:rFonts w:ascii="Arial" w:hAnsi="Arial" w:cs="Arial"/>
          <w:color w:val="000000"/>
        </w:rPr>
        <w:t>The best places to study for a degree in Europe .... https://www.theguardian.com/education/2016/dec/08/the-best-places-to-study-for-a-degree-in-europe</w:t>
      </w:r>
    </w:p>
    <w:p w14:paraId="292FB459" w14:textId="77777777" w:rsidR="0048394E" w:rsidRPr="00F64FDC" w:rsidRDefault="0048394E" w:rsidP="0048394E">
      <w:pPr>
        <w:rPr>
          <w:rFonts w:ascii="Arial" w:hAnsi="Arial" w:cs="Arial"/>
          <w:color w:val="000000"/>
        </w:rPr>
      </w:pPr>
    </w:p>
    <w:p w14:paraId="26268F14" w14:textId="77777777" w:rsidR="0048394E" w:rsidRPr="00F64FDC" w:rsidRDefault="0048394E" w:rsidP="0048394E">
      <w:pPr>
        <w:rPr>
          <w:rFonts w:ascii="Arial" w:hAnsi="Arial" w:cs="Arial"/>
          <w:color w:val="000000"/>
        </w:rPr>
      </w:pPr>
      <w:r w:rsidRPr="00F64FDC">
        <w:rPr>
          <w:rFonts w:ascii="Arial" w:hAnsi="Arial" w:cs="Arial"/>
          <w:color w:val="000000"/>
        </w:rPr>
        <w:t xml:space="preserve">“LA-KLEMS Economic Growth and Productivity Project in Latin America.” MENA Report, </w:t>
      </w:r>
      <w:proofErr w:type="spellStart"/>
      <w:r w:rsidRPr="00F64FDC">
        <w:rPr>
          <w:rFonts w:ascii="Arial" w:hAnsi="Arial" w:cs="Arial"/>
          <w:color w:val="000000"/>
        </w:rPr>
        <w:t>Albawaba</w:t>
      </w:r>
      <w:proofErr w:type="spellEnd"/>
      <w:r w:rsidRPr="00F64FDC">
        <w:rPr>
          <w:rFonts w:ascii="Arial" w:hAnsi="Arial" w:cs="Arial"/>
          <w:color w:val="000000"/>
        </w:rPr>
        <w:t xml:space="preserve"> (London) Ltd., Dec. 2014, p. n/a.</w:t>
      </w:r>
    </w:p>
    <w:p w14:paraId="304BB674" w14:textId="77777777" w:rsidR="0048394E" w:rsidRPr="00F64FDC" w:rsidRDefault="0048394E" w:rsidP="0048394E">
      <w:pPr>
        <w:rPr>
          <w:rFonts w:ascii="Arial" w:hAnsi="Arial" w:cs="Arial"/>
          <w:color w:val="000000"/>
        </w:rPr>
      </w:pPr>
    </w:p>
    <w:p w14:paraId="63A33EDB" w14:textId="534D0AD7" w:rsidR="0048394E" w:rsidRPr="00F64FDC" w:rsidRDefault="0048394E" w:rsidP="0048394E">
      <w:pPr>
        <w:rPr>
          <w:rFonts w:ascii="Arial" w:hAnsi="Arial" w:cs="Arial"/>
          <w:color w:val="000000" w:themeColor="text1"/>
        </w:rPr>
      </w:pPr>
      <w:r w:rsidRPr="00F64FDC">
        <w:rPr>
          <w:rFonts w:ascii="Arial" w:hAnsi="Arial" w:cs="Arial"/>
          <w:color w:val="000000" w:themeColor="text1"/>
        </w:rPr>
        <w:t xml:space="preserve">Global pharmaceutical R&amp;D spending 2010-2024 | Statista. </w:t>
      </w:r>
      <w:hyperlink r:id="rId22" w:history="1">
        <w:r w:rsidR="00CD6260" w:rsidRPr="00F64FDC">
          <w:rPr>
            <w:rStyle w:val="Hyperlink"/>
            <w:rFonts w:ascii="Arial" w:hAnsi="Arial" w:cs="Arial"/>
            <w:color w:val="000000" w:themeColor="text1"/>
          </w:rPr>
          <w:t>https://www.statista.com/statistics/309466/global-r-and-d-expenditure-for-pharmaceuticals/</w:t>
        </w:r>
      </w:hyperlink>
    </w:p>
    <w:p w14:paraId="57DC5A52" w14:textId="4DA5A914" w:rsidR="00CD6260" w:rsidRPr="00F64FDC" w:rsidRDefault="00CD6260" w:rsidP="0048394E">
      <w:pPr>
        <w:rPr>
          <w:rFonts w:ascii="Arial" w:hAnsi="Arial" w:cs="Arial"/>
          <w:color w:val="000000" w:themeColor="text1"/>
        </w:rPr>
      </w:pPr>
    </w:p>
    <w:p w14:paraId="3E2B5726" w14:textId="4C1E0499" w:rsidR="002E2398" w:rsidRPr="00F64FDC" w:rsidRDefault="002E2398" w:rsidP="002E2398">
      <w:pPr>
        <w:rPr>
          <w:rFonts w:ascii="Arial" w:hAnsi="Arial" w:cs="Arial"/>
          <w:color w:val="000000" w:themeColor="text1"/>
          <w:lang w:val="en-US"/>
        </w:rPr>
      </w:pPr>
      <w:r w:rsidRPr="00F64FDC">
        <w:rPr>
          <w:rFonts w:ascii="Arial" w:hAnsi="Arial" w:cs="Arial"/>
          <w:color w:val="000000" w:themeColor="text1"/>
          <w:lang w:val="en-US"/>
        </w:rPr>
        <w:t>MODELING RISK MANAGEMENT IN THE PHARMACEUTICAL</w:t>
      </w:r>
    </w:p>
    <w:p w14:paraId="1FBB1A35" w14:textId="77777777" w:rsidR="002E2398" w:rsidRPr="00F64FDC" w:rsidRDefault="002E2398" w:rsidP="002E2398">
      <w:pPr>
        <w:rPr>
          <w:rFonts w:ascii="Arial" w:hAnsi="Arial" w:cs="Arial"/>
          <w:color w:val="000000" w:themeColor="text1"/>
          <w:lang w:val="en-US"/>
        </w:rPr>
      </w:pPr>
      <w:r w:rsidRPr="00F64FDC">
        <w:rPr>
          <w:rFonts w:ascii="Arial" w:hAnsi="Arial" w:cs="Arial"/>
          <w:color w:val="000000" w:themeColor="text1"/>
          <w:lang w:val="en-US"/>
        </w:rPr>
        <w:t>INDUSTRY GLOBAL SUPPLY CHAIN LOGISTICS USING</w:t>
      </w:r>
    </w:p>
    <w:p w14:paraId="529F2550" w14:textId="1ACE1FA3" w:rsidR="00906AAD" w:rsidRPr="00F64FDC" w:rsidRDefault="002E2398" w:rsidP="000812DE">
      <w:pPr>
        <w:rPr>
          <w:rFonts w:ascii="Arial" w:hAnsi="Arial" w:cs="Arial"/>
          <w:color w:val="000000" w:themeColor="text1"/>
          <w:lang w:val="en-US"/>
        </w:rPr>
      </w:pPr>
      <w:r w:rsidRPr="00F64FDC">
        <w:rPr>
          <w:rFonts w:ascii="Arial" w:hAnsi="Arial" w:cs="Arial"/>
          <w:color w:val="000000" w:themeColor="text1"/>
          <w:lang w:val="en-US"/>
        </w:rPr>
        <w:t>ANALYTIC HIERARCHY PROCESS M</w:t>
      </w:r>
      <w:r w:rsidR="00906AAD" w:rsidRPr="00F64FDC">
        <w:rPr>
          <w:rFonts w:ascii="Arial" w:hAnsi="Arial" w:cs="Arial"/>
          <w:color w:val="000000" w:themeColor="text1"/>
          <w:lang w:val="en-US"/>
        </w:rPr>
        <w:t>odel</w:t>
      </w:r>
    </w:p>
    <w:p w14:paraId="5522E334" w14:textId="77777777" w:rsidR="00906AAD" w:rsidRPr="00F64FDC" w:rsidRDefault="00906AAD" w:rsidP="000812DE">
      <w:pPr>
        <w:rPr>
          <w:rFonts w:ascii="Arial" w:hAnsi="Arial" w:cs="Arial"/>
          <w:color w:val="000000" w:themeColor="text1"/>
          <w:lang w:val="en-US"/>
        </w:rPr>
      </w:pPr>
    </w:p>
    <w:p w14:paraId="5597046E" w14:textId="70A06A82" w:rsidR="000812DE" w:rsidRPr="00F64FDC" w:rsidRDefault="00A3234D" w:rsidP="000812DE">
      <w:pPr>
        <w:rPr>
          <w:rFonts w:ascii="Arial" w:hAnsi="Arial" w:cs="Arial"/>
          <w:color w:val="000000" w:themeColor="text1"/>
          <w:lang w:val="en-US"/>
        </w:rPr>
      </w:pPr>
      <w:hyperlink r:id="rId23" w:history="1">
        <w:r w:rsidR="00906AAD" w:rsidRPr="00F64FDC">
          <w:rPr>
            <w:rStyle w:val="Hyperlink"/>
            <w:rFonts w:ascii="Arial" w:hAnsi="Arial" w:cs="Arial"/>
            <w:color w:val="000000" w:themeColor="text1"/>
            <w:lang w:val="en-US"/>
          </w:rPr>
          <w:t>https://search-proquest-com.ezproxy.uwtsd.ac.uk/abicomplete/docview/304958491/fulltextPDF/759FB2F72B6E4D72PQ/1?accountid=130472</w:t>
        </w:r>
      </w:hyperlink>
    </w:p>
    <w:p w14:paraId="57A9A896" w14:textId="22B5780F" w:rsidR="001B21EA" w:rsidRPr="00F64FDC" w:rsidRDefault="001B21EA" w:rsidP="000812DE">
      <w:pPr>
        <w:rPr>
          <w:rFonts w:ascii="Arial" w:hAnsi="Arial" w:cs="Arial"/>
          <w:color w:val="000000" w:themeColor="text1"/>
          <w:lang w:val="en-US"/>
        </w:rPr>
      </w:pPr>
    </w:p>
    <w:p w14:paraId="26CB8AB4" w14:textId="1F76A303" w:rsidR="001B21EA" w:rsidRPr="00F64FDC" w:rsidRDefault="001B21EA" w:rsidP="001B21EA">
      <w:pPr>
        <w:rPr>
          <w:rFonts w:ascii="Arial" w:hAnsi="Arial" w:cs="Arial"/>
          <w:color w:val="000000" w:themeColor="text1"/>
          <w:u w:val="single"/>
          <w:lang w:val="en-US"/>
        </w:rPr>
      </w:pPr>
      <w:r w:rsidRPr="00F64FDC">
        <w:rPr>
          <w:rFonts w:ascii="Arial" w:hAnsi="Arial" w:cs="Arial"/>
          <w:color w:val="000000" w:themeColor="text1"/>
          <w:u w:val="single"/>
          <w:lang w:val="en-US"/>
        </w:rPr>
        <w:t>Pharma 2020: Marketing the future. Which path will you take?</w:t>
      </w:r>
    </w:p>
    <w:p w14:paraId="25587D43" w14:textId="58114980" w:rsidR="003C5EDA" w:rsidRPr="00F64FDC" w:rsidRDefault="003C5EDA" w:rsidP="001B21EA">
      <w:pPr>
        <w:rPr>
          <w:rFonts w:ascii="Arial" w:hAnsi="Arial" w:cs="Arial"/>
          <w:color w:val="000000" w:themeColor="text1"/>
          <w:u w:val="single"/>
          <w:lang w:val="en-US"/>
        </w:rPr>
      </w:pPr>
      <w:r w:rsidRPr="00F64FDC">
        <w:rPr>
          <w:rFonts w:ascii="Arial" w:hAnsi="Arial" w:cs="Arial"/>
          <w:color w:val="000000" w:themeColor="text1"/>
          <w:u w:val="thick"/>
          <w:lang w:val="en-US"/>
        </w:rPr>
        <w:t>https://www.pwc.com/gx/en/pharma-life-sciences/pdf/ph2020-marketing.pdf</w:t>
      </w:r>
    </w:p>
    <w:p w14:paraId="7151187F" w14:textId="77777777" w:rsidR="002E2398" w:rsidRPr="00F64FDC" w:rsidRDefault="002E2398" w:rsidP="002E2398">
      <w:pPr>
        <w:rPr>
          <w:rFonts w:ascii="Arial" w:hAnsi="Arial" w:cs="Arial"/>
          <w:color w:val="000000" w:themeColor="text1"/>
        </w:rPr>
      </w:pPr>
    </w:p>
    <w:p w14:paraId="15EE3A77" w14:textId="4CF1AA4A" w:rsidR="00856B26" w:rsidRPr="00F64FDC" w:rsidRDefault="00A3234D" w:rsidP="00856B26">
      <w:pPr>
        <w:rPr>
          <w:rStyle w:val="Hyperlink"/>
          <w:rFonts w:ascii="Arial" w:hAnsi="Arial" w:cs="Arial"/>
          <w:color w:val="000000" w:themeColor="text1"/>
        </w:rPr>
      </w:pPr>
      <w:hyperlink r:id="rId24" w:history="1">
        <w:r w:rsidR="00856B26" w:rsidRPr="00F64FDC">
          <w:rPr>
            <w:rStyle w:val="Hyperlink"/>
            <w:rFonts w:ascii="Arial" w:hAnsi="Arial" w:cs="Arial"/>
            <w:color w:val="000000" w:themeColor="text1"/>
          </w:rPr>
          <w:t>https://2012books.lardbucket.org/books/challenges-and-opportunities-in-international-business/s06-01-what-is-international-trade-th.html</w:t>
        </w:r>
      </w:hyperlink>
    </w:p>
    <w:p w14:paraId="6E1EAB9A" w14:textId="29AA212B" w:rsidR="00F9324C" w:rsidRPr="00F64FDC" w:rsidRDefault="00F9324C" w:rsidP="00856B26">
      <w:pPr>
        <w:rPr>
          <w:rStyle w:val="Hyperlink"/>
          <w:rFonts w:ascii="Arial" w:hAnsi="Arial" w:cs="Arial"/>
          <w:color w:val="000000" w:themeColor="text1"/>
        </w:rPr>
      </w:pPr>
    </w:p>
    <w:p w14:paraId="1D564ABE" w14:textId="77777777" w:rsidR="00F9324C" w:rsidRPr="00F64FDC" w:rsidRDefault="00F9324C" w:rsidP="00F9324C">
      <w:pPr>
        <w:rPr>
          <w:rFonts w:ascii="Arial" w:hAnsi="Arial" w:cs="Arial"/>
        </w:rPr>
      </w:pPr>
      <w:r w:rsidRPr="00F64FDC">
        <w:rPr>
          <w:rFonts w:ascii="Arial" w:hAnsi="Arial" w:cs="Arial"/>
          <w:color w:val="000000"/>
        </w:rPr>
        <w:t>Keys, Roberta. “The Secret of an 8 Mark IB Question.” Teaching Business &amp; Economics, vol. 18, no. 3, Economics, Business and Enterprise Association, Oct. 2014, p. 16.</w:t>
      </w:r>
    </w:p>
    <w:p w14:paraId="08AF32AD" w14:textId="77777777" w:rsidR="0048394E" w:rsidRPr="00F64FDC" w:rsidRDefault="0048394E" w:rsidP="0048394E">
      <w:pPr>
        <w:rPr>
          <w:rFonts w:ascii="Arial" w:hAnsi="Arial" w:cs="Arial"/>
          <w:color w:val="000000"/>
        </w:rPr>
      </w:pPr>
    </w:p>
    <w:p w14:paraId="1A25378A" w14:textId="58997D05" w:rsidR="00722C17" w:rsidRPr="00F64FDC" w:rsidRDefault="00722C17" w:rsidP="00722C17">
      <w:pPr>
        <w:rPr>
          <w:rFonts w:ascii="Arial" w:hAnsi="Arial" w:cs="Arial"/>
          <w:color w:val="000000" w:themeColor="text1"/>
        </w:rPr>
      </w:pPr>
      <w:r w:rsidRPr="00F64FDC">
        <w:rPr>
          <w:rFonts w:ascii="Arial" w:hAnsi="Arial" w:cs="Arial"/>
          <w:color w:val="000000" w:themeColor="text1"/>
        </w:rPr>
        <w:t xml:space="preserve">Germany Puts Focus on Pharma Innovation : PharmaVOICE. </w:t>
      </w:r>
      <w:hyperlink r:id="rId25" w:history="1">
        <w:r w:rsidR="00745745" w:rsidRPr="00F64FDC">
          <w:rPr>
            <w:rStyle w:val="Hyperlink"/>
            <w:rFonts w:ascii="Arial" w:hAnsi="Arial" w:cs="Arial"/>
            <w:color w:val="000000" w:themeColor="text1"/>
          </w:rPr>
          <w:t>https://www.pharmavoice.com/article/2016-09-germany/</w:t>
        </w:r>
      </w:hyperlink>
    </w:p>
    <w:p w14:paraId="0FED0DC5" w14:textId="135DFD43" w:rsidR="00745745" w:rsidRPr="00F64FDC" w:rsidRDefault="00745745" w:rsidP="00722C17">
      <w:pPr>
        <w:rPr>
          <w:rFonts w:ascii="Arial" w:hAnsi="Arial" w:cs="Arial"/>
          <w:color w:val="000000"/>
        </w:rPr>
      </w:pPr>
    </w:p>
    <w:p w14:paraId="1CAF8927" w14:textId="37C10024" w:rsidR="002B5564" w:rsidRPr="00F64FDC" w:rsidRDefault="002B5564" w:rsidP="002B5564">
      <w:pPr>
        <w:rPr>
          <w:rFonts w:ascii="Arial" w:hAnsi="Arial" w:cs="Arial"/>
          <w:color w:val="000000" w:themeColor="text1"/>
        </w:rPr>
      </w:pPr>
      <w:r w:rsidRPr="00F64FDC">
        <w:rPr>
          <w:rFonts w:ascii="Arial" w:hAnsi="Arial" w:cs="Arial"/>
          <w:color w:val="000000"/>
        </w:rPr>
        <w:t xml:space="preserve">U.S. to push for comprehensive free trade agreement as it .... </w:t>
      </w:r>
      <w:hyperlink r:id="rId26" w:history="1">
        <w:r w:rsidR="008262B6" w:rsidRPr="00F64FDC">
          <w:rPr>
            <w:rStyle w:val="Hyperlink"/>
            <w:rFonts w:ascii="Arial" w:hAnsi="Arial" w:cs="Arial"/>
            <w:color w:val="000000" w:themeColor="text1"/>
          </w:rPr>
          <w:t>https://www.japantimes.co.jp/news/2019/03/20/business/u-s-push-free-trade-agreement-looks-open-japans-agriculture-market/</w:t>
        </w:r>
      </w:hyperlink>
    </w:p>
    <w:p w14:paraId="136CE42F" w14:textId="022F4464" w:rsidR="008262B6" w:rsidRPr="00F64FDC" w:rsidRDefault="008262B6" w:rsidP="002B5564">
      <w:pPr>
        <w:rPr>
          <w:rFonts w:ascii="Arial" w:hAnsi="Arial" w:cs="Arial"/>
          <w:color w:val="000000"/>
        </w:rPr>
      </w:pPr>
    </w:p>
    <w:p w14:paraId="6A5F659A" w14:textId="77777777" w:rsidR="008262B6" w:rsidRPr="00F64FDC" w:rsidRDefault="008262B6" w:rsidP="002B5564">
      <w:pPr>
        <w:rPr>
          <w:rFonts w:ascii="Arial" w:hAnsi="Arial" w:cs="Arial"/>
        </w:rPr>
      </w:pPr>
    </w:p>
    <w:p w14:paraId="17C9C204" w14:textId="77777777" w:rsidR="00745745" w:rsidRDefault="00745745" w:rsidP="00722C17"/>
    <w:p w14:paraId="2AA1AC1A" w14:textId="77777777" w:rsidR="00FA6444" w:rsidRDefault="00A3234D"/>
    <w:sectPr w:rsidR="00FA6444" w:rsidSect="00B65C13">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71A3D" w14:textId="77777777" w:rsidR="00345B71" w:rsidRDefault="00345B71" w:rsidP="001E6A78">
      <w:r>
        <w:separator/>
      </w:r>
    </w:p>
  </w:endnote>
  <w:endnote w:type="continuationSeparator" w:id="0">
    <w:p w14:paraId="6468CF6F" w14:textId="77777777" w:rsidR="00345B71" w:rsidRDefault="00345B71" w:rsidP="001E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9679102"/>
      <w:docPartObj>
        <w:docPartGallery w:val="Page Numbers (Bottom of Page)"/>
        <w:docPartUnique/>
      </w:docPartObj>
    </w:sdtPr>
    <w:sdtEndPr>
      <w:rPr>
        <w:rStyle w:val="PageNumber"/>
      </w:rPr>
    </w:sdtEndPr>
    <w:sdtContent>
      <w:p w14:paraId="51997647" w14:textId="587514E6" w:rsidR="001E6A78" w:rsidRDefault="001E6A78" w:rsidP="00E13A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1835E" w14:textId="77777777" w:rsidR="001E6A78" w:rsidRDefault="001E6A78" w:rsidP="001E6A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6928176"/>
      <w:docPartObj>
        <w:docPartGallery w:val="Page Numbers (Bottom of Page)"/>
        <w:docPartUnique/>
      </w:docPartObj>
    </w:sdtPr>
    <w:sdtEndPr>
      <w:rPr>
        <w:rStyle w:val="PageNumber"/>
      </w:rPr>
    </w:sdtEndPr>
    <w:sdtContent>
      <w:p w14:paraId="0D08B150" w14:textId="3FCBCBC4" w:rsidR="001E6A78" w:rsidRDefault="001E6A78" w:rsidP="00E13A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DC6482" w14:textId="77777777" w:rsidR="001E6A78" w:rsidRDefault="001E6A78" w:rsidP="001E6A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2BC1C" w14:textId="77777777" w:rsidR="00345B71" w:rsidRDefault="00345B71" w:rsidP="001E6A78">
      <w:r>
        <w:separator/>
      </w:r>
    </w:p>
  </w:footnote>
  <w:footnote w:type="continuationSeparator" w:id="0">
    <w:p w14:paraId="58141DAA" w14:textId="77777777" w:rsidR="00345B71" w:rsidRDefault="00345B71" w:rsidP="001E6A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A0929"/>
    <w:multiLevelType w:val="hybridMultilevel"/>
    <w:tmpl w:val="4E5ECB7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C063515"/>
    <w:multiLevelType w:val="hybridMultilevel"/>
    <w:tmpl w:val="9AC03792"/>
    <w:lvl w:ilvl="0" w:tplc="50C2939E">
      <w:start w:val="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94E"/>
    <w:rsid w:val="00012413"/>
    <w:rsid w:val="00015A2F"/>
    <w:rsid w:val="00022856"/>
    <w:rsid w:val="00024883"/>
    <w:rsid w:val="00031457"/>
    <w:rsid w:val="00036A50"/>
    <w:rsid w:val="00040A46"/>
    <w:rsid w:val="00041E8C"/>
    <w:rsid w:val="000503A7"/>
    <w:rsid w:val="000524FC"/>
    <w:rsid w:val="00057355"/>
    <w:rsid w:val="00067949"/>
    <w:rsid w:val="000748B4"/>
    <w:rsid w:val="00075051"/>
    <w:rsid w:val="00077C15"/>
    <w:rsid w:val="000812DE"/>
    <w:rsid w:val="00084A2E"/>
    <w:rsid w:val="00085120"/>
    <w:rsid w:val="0008754F"/>
    <w:rsid w:val="000A411E"/>
    <w:rsid w:val="000C2504"/>
    <w:rsid w:val="000C40B4"/>
    <w:rsid w:val="000C4525"/>
    <w:rsid w:val="000C7C39"/>
    <w:rsid w:val="000C7C7D"/>
    <w:rsid w:val="000C7D70"/>
    <w:rsid w:val="000D3446"/>
    <w:rsid w:val="000D58EC"/>
    <w:rsid w:val="000E2F6E"/>
    <w:rsid w:val="000E69AF"/>
    <w:rsid w:val="000F2578"/>
    <w:rsid w:val="000F701F"/>
    <w:rsid w:val="0010277A"/>
    <w:rsid w:val="00105260"/>
    <w:rsid w:val="0010666B"/>
    <w:rsid w:val="00107265"/>
    <w:rsid w:val="00107E78"/>
    <w:rsid w:val="00110780"/>
    <w:rsid w:val="00122401"/>
    <w:rsid w:val="00126669"/>
    <w:rsid w:val="001363CE"/>
    <w:rsid w:val="00144A2F"/>
    <w:rsid w:val="00145DAD"/>
    <w:rsid w:val="00173C87"/>
    <w:rsid w:val="00174769"/>
    <w:rsid w:val="00182E6B"/>
    <w:rsid w:val="0019552C"/>
    <w:rsid w:val="001A4503"/>
    <w:rsid w:val="001A6920"/>
    <w:rsid w:val="001B21EA"/>
    <w:rsid w:val="001B2B9B"/>
    <w:rsid w:val="001B352E"/>
    <w:rsid w:val="001C4033"/>
    <w:rsid w:val="001D1028"/>
    <w:rsid w:val="001E0E4D"/>
    <w:rsid w:val="001E6A78"/>
    <w:rsid w:val="001F0A35"/>
    <w:rsid w:val="001F11A5"/>
    <w:rsid w:val="001F1FF1"/>
    <w:rsid w:val="001F5B42"/>
    <w:rsid w:val="00201041"/>
    <w:rsid w:val="00202E7C"/>
    <w:rsid w:val="00202EDC"/>
    <w:rsid w:val="002057F6"/>
    <w:rsid w:val="002058F2"/>
    <w:rsid w:val="00215EDD"/>
    <w:rsid w:val="00222B65"/>
    <w:rsid w:val="00223A1D"/>
    <w:rsid w:val="0023043D"/>
    <w:rsid w:val="00241287"/>
    <w:rsid w:val="002451C0"/>
    <w:rsid w:val="00246A24"/>
    <w:rsid w:val="00252FA7"/>
    <w:rsid w:val="00253AC6"/>
    <w:rsid w:val="002561B0"/>
    <w:rsid w:val="0025688B"/>
    <w:rsid w:val="00264BCA"/>
    <w:rsid w:val="0028317B"/>
    <w:rsid w:val="00284913"/>
    <w:rsid w:val="00287EF4"/>
    <w:rsid w:val="002932C8"/>
    <w:rsid w:val="002947D8"/>
    <w:rsid w:val="002A0241"/>
    <w:rsid w:val="002B2BA3"/>
    <w:rsid w:val="002B3F38"/>
    <w:rsid w:val="002B5564"/>
    <w:rsid w:val="002B6B2E"/>
    <w:rsid w:val="002D67E2"/>
    <w:rsid w:val="002E2398"/>
    <w:rsid w:val="002E47F5"/>
    <w:rsid w:val="002F40CC"/>
    <w:rsid w:val="002F4F83"/>
    <w:rsid w:val="00302129"/>
    <w:rsid w:val="00302579"/>
    <w:rsid w:val="00305F97"/>
    <w:rsid w:val="00312AAA"/>
    <w:rsid w:val="00312DA6"/>
    <w:rsid w:val="003142EB"/>
    <w:rsid w:val="00315D08"/>
    <w:rsid w:val="00326511"/>
    <w:rsid w:val="00327EA8"/>
    <w:rsid w:val="00334E27"/>
    <w:rsid w:val="0034156C"/>
    <w:rsid w:val="00341A61"/>
    <w:rsid w:val="00344B78"/>
    <w:rsid w:val="00345B71"/>
    <w:rsid w:val="00347573"/>
    <w:rsid w:val="00347700"/>
    <w:rsid w:val="00347E01"/>
    <w:rsid w:val="00351F52"/>
    <w:rsid w:val="00366A93"/>
    <w:rsid w:val="003725AB"/>
    <w:rsid w:val="0038291E"/>
    <w:rsid w:val="00384A19"/>
    <w:rsid w:val="00395949"/>
    <w:rsid w:val="00396652"/>
    <w:rsid w:val="003A3291"/>
    <w:rsid w:val="003A692C"/>
    <w:rsid w:val="003C5EDA"/>
    <w:rsid w:val="003D24C5"/>
    <w:rsid w:val="003D541E"/>
    <w:rsid w:val="003E2419"/>
    <w:rsid w:val="003E2751"/>
    <w:rsid w:val="003F3DF1"/>
    <w:rsid w:val="00402D71"/>
    <w:rsid w:val="00404FE0"/>
    <w:rsid w:val="0041158F"/>
    <w:rsid w:val="00412102"/>
    <w:rsid w:val="00413705"/>
    <w:rsid w:val="00413916"/>
    <w:rsid w:val="00420041"/>
    <w:rsid w:val="00420ECB"/>
    <w:rsid w:val="00420F7B"/>
    <w:rsid w:val="00432F1F"/>
    <w:rsid w:val="00444FA5"/>
    <w:rsid w:val="0045417C"/>
    <w:rsid w:val="00464DB9"/>
    <w:rsid w:val="00473EEB"/>
    <w:rsid w:val="00477B62"/>
    <w:rsid w:val="0048394E"/>
    <w:rsid w:val="004A1C7C"/>
    <w:rsid w:val="004A20A7"/>
    <w:rsid w:val="004B0ECA"/>
    <w:rsid w:val="004B2056"/>
    <w:rsid w:val="004B32C0"/>
    <w:rsid w:val="004B4B7E"/>
    <w:rsid w:val="004B6085"/>
    <w:rsid w:val="004C210E"/>
    <w:rsid w:val="004C7484"/>
    <w:rsid w:val="004D4B04"/>
    <w:rsid w:val="00506EEC"/>
    <w:rsid w:val="0051587F"/>
    <w:rsid w:val="00525363"/>
    <w:rsid w:val="00525C0A"/>
    <w:rsid w:val="0053255E"/>
    <w:rsid w:val="00541877"/>
    <w:rsid w:val="0055680A"/>
    <w:rsid w:val="00562D02"/>
    <w:rsid w:val="00563659"/>
    <w:rsid w:val="00576A78"/>
    <w:rsid w:val="005A199F"/>
    <w:rsid w:val="005A2466"/>
    <w:rsid w:val="005A4CAA"/>
    <w:rsid w:val="005B5048"/>
    <w:rsid w:val="005B618F"/>
    <w:rsid w:val="005C2BCD"/>
    <w:rsid w:val="005C528C"/>
    <w:rsid w:val="005C7624"/>
    <w:rsid w:val="005D1D36"/>
    <w:rsid w:val="005D7C4D"/>
    <w:rsid w:val="005E37F1"/>
    <w:rsid w:val="005F2081"/>
    <w:rsid w:val="005F3368"/>
    <w:rsid w:val="005F4877"/>
    <w:rsid w:val="006030D4"/>
    <w:rsid w:val="00613F64"/>
    <w:rsid w:val="0063264D"/>
    <w:rsid w:val="00634CDC"/>
    <w:rsid w:val="0063543B"/>
    <w:rsid w:val="00637C8E"/>
    <w:rsid w:val="00643157"/>
    <w:rsid w:val="00651A43"/>
    <w:rsid w:val="00653539"/>
    <w:rsid w:val="006551DD"/>
    <w:rsid w:val="0065752B"/>
    <w:rsid w:val="00657BC0"/>
    <w:rsid w:val="00662494"/>
    <w:rsid w:val="00675981"/>
    <w:rsid w:val="0067661A"/>
    <w:rsid w:val="00676B39"/>
    <w:rsid w:val="00680B8A"/>
    <w:rsid w:val="00680BBF"/>
    <w:rsid w:val="006826B3"/>
    <w:rsid w:val="006933C0"/>
    <w:rsid w:val="00696DDB"/>
    <w:rsid w:val="00697FF8"/>
    <w:rsid w:val="006A003F"/>
    <w:rsid w:val="006A358E"/>
    <w:rsid w:val="006A414D"/>
    <w:rsid w:val="006A57C9"/>
    <w:rsid w:val="006B30EC"/>
    <w:rsid w:val="006B7F5C"/>
    <w:rsid w:val="006C02B1"/>
    <w:rsid w:val="006C4DFA"/>
    <w:rsid w:val="006E7A7E"/>
    <w:rsid w:val="0070413A"/>
    <w:rsid w:val="0070449E"/>
    <w:rsid w:val="007052BA"/>
    <w:rsid w:val="00722C17"/>
    <w:rsid w:val="00725CA8"/>
    <w:rsid w:val="00730CE6"/>
    <w:rsid w:val="00745745"/>
    <w:rsid w:val="00753644"/>
    <w:rsid w:val="00761659"/>
    <w:rsid w:val="00762839"/>
    <w:rsid w:val="0076415A"/>
    <w:rsid w:val="007661E4"/>
    <w:rsid w:val="007673B9"/>
    <w:rsid w:val="00773206"/>
    <w:rsid w:val="007845CD"/>
    <w:rsid w:val="007913C8"/>
    <w:rsid w:val="007922FC"/>
    <w:rsid w:val="00793DFB"/>
    <w:rsid w:val="00794108"/>
    <w:rsid w:val="007951B4"/>
    <w:rsid w:val="00795A19"/>
    <w:rsid w:val="007A1005"/>
    <w:rsid w:val="007A777A"/>
    <w:rsid w:val="007B35ED"/>
    <w:rsid w:val="007D027E"/>
    <w:rsid w:val="007D100F"/>
    <w:rsid w:val="007D293D"/>
    <w:rsid w:val="007D3395"/>
    <w:rsid w:val="007D430F"/>
    <w:rsid w:val="007E54D7"/>
    <w:rsid w:val="007F79C2"/>
    <w:rsid w:val="00802B41"/>
    <w:rsid w:val="00807013"/>
    <w:rsid w:val="00807756"/>
    <w:rsid w:val="00812702"/>
    <w:rsid w:val="00812745"/>
    <w:rsid w:val="00815399"/>
    <w:rsid w:val="008161F2"/>
    <w:rsid w:val="00817B7C"/>
    <w:rsid w:val="00823D94"/>
    <w:rsid w:val="0082593F"/>
    <w:rsid w:val="008262B6"/>
    <w:rsid w:val="008308DE"/>
    <w:rsid w:val="00833ADA"/>
    <w:rsid w:val="008518E4"/>
    <w:rsid w:val="00852F68"/>
    <w:rsid w:val="0085665A"/>
    <w:rsid w:val="00856B26"/>
    <w:rsid w:val="00861289"/>
    <w:rsid w:val="00862481"/>
    <w:rsid w:val="00875991"/>
    <w:rsid w:val="00875F87"/>
    <w:rsid w:val="0088359F"/>
    <w:rsid w:val="00887F4C"/>
    <w:rsid w:val="0089339C"/>
    <w:rsid w:val="00893B24"/>
    <w:rsid w:val="008A4F16"/>
    <w:rsid w:val="008B78C2"/>
    <w:rsid w:val="008C1218"/>
    <w:rsid w:val="008C382C"/>
    <w:rsid w:val="008C5248"/>
    <w:rsid w:val="008D3CCB"/>
    <w:rsid w:val="008D4ACF"/>
    <w:rsid w:val="008E3BB9"/>
    <w:rsid w:val="008F1795"/>
    <w:rsid w:val="008F7F4B"/>
    <w:rsid w:val="009048CA"/>
    <w:rsid w:val="00906AAD"/>
    <w:rsid w:val="009174CD"/>
    <w:rsid w:val="00922DCA"/>
    <w:rsid w:val="00934A76"/>
    <w:rsid w:val="00942FB9"/>
    <w:rsid w:val="00950DC4"/>
    <w:rsid w:val="009524E9"/>
    <w:rsid w:val="00963702"/>
    <w:rsid w:val="00975429"/>
    <w:rsid w:val="00976E4D"/>
    <w:rsid w:val="00992D43"/>
    <w:rsid w:val="009A42E8"/>
    <w:rsid w:val="009A55F5"/>
    <w:rsid w:val="009A7D4C"/>
    <w:rsid w:val="009A7D50"/>
    <w:rsid w:val="009B492B"/>
    <w:rsid w:val="009C7937"/>
    <w:rsid w:val="009D7CE9"/>
    <w:rsid w:val="009E7FB8"/>
    <w:rsid w:val="009F1886"/>
    <w:rsid w:val="009F4EC1"/>
    <w:rsid w:val="00A0372B"/>
    <w:rsid w:val="00A10C94"/>
    <w:rsid w:val="00A1191F"/>
    <w:rsid w:val="00A16F25"/>
    <w:rsid w:val="00A30D8A"/>
    <w:rsid w:val="00A3234D"/>
    <w:rsid w:val="00A339F4"/>
    <w:rsid w:val="00A41DD7"/>
    <w:rsid w:val="00A52C86"/>
    <w:rsid w:val="00A60F7A"/>
    <w:rsid w:val="00A70D3D"/>
    <w:rsid w:val="00A75259"/>
    <w:rsid w:val="00A81E7D"/>
    <w:rsid w:val="00A941C0"/>
    <w:rsid w:val="00AA01D4"/>
    <w:rsid w:val="00AB5E12"/>
    <w:rsid w:val="00AE16F2"/>
    <w:rsid w:val="00AE447D"/>
    <w:rsid w:val="00AE6578"/>
    <w:rsid w:val="00AF0D61"/>
    <w:rsid w:val="00B02D06"/>
    <w:rsid w:val="00B04DE1"/>
    <w:rsid w:val="00B13420"/>
    <w:rsid w:val="00B13E6C"/>
    <w:rsid w:val="00B26329"/>
    <w:rsid w:val="00B26406"/>
    <w:rsid w:val="00B445B2"/>
    <w:rsid w:val="00B451F1"/>
    <w:rsid w:val="00B51432"/>
    <w:rsid w:val="00B55446"/>
    <w:rsid w:val="00B65C13"/>
    <w:rsid w:val="00B72029"/>
    <w:rsid w:val="00B72419"/>
    <w:rsid w:val="00B7546D"/>
    <w:rsid w:val="00B8062A"/>
    <w:rsid w:val="00B808D4"/>
    <w:rsid w:val="00BA2B4A"/>
    <w:rsid w:val="00BA6C98"/>
    <w:rsid w:val="00BB071F"/>
    <w:rsid w:val="00BB1C15"/>
    <w:rsid w:val="00BB6FA2"/>
    <w:rsid w:val="00BC391F"/>
    <w:rsid w:val="00BD5194"/>
    <w:rsid w:val="00BD6677"/>
    <w:rsid w:val="00BE30F9"/>
    <w:rsid w:val="00BE4F75"/>
    <w:rsid w:val="00BF4A8F"/>
    <w:rsid w:val="00BF75D1"/>
    <w:rsid w:val="00C01572"/>
    <w:rsid w:val="00C023CC"/>
    <w:rsid w:val="00C127DE"/>
    <w:rsid w:val="00C22EB1"/>
    <w:rsid w:val="00C27AB1"/>
    <w:rsid w:val="00C322DE"/>
    <w:rsid w:val="00C36791"/>
    <w:rsid w:val="00C427A1"/>
    <w:rsid w:val="00C53394"/>
    <w:rsid w:val="00C5690B"/>
    <w:rsid w:val="00C62D19"/>
    <w:rsid w:val="00C64715"/>
    <w:rsid w:val="00C76503"/>
    <w:rsid w:val="00C834D8"/>
    <w:rsid w:val="00C857BB"/>
    <w:rsid w:val="00C86ACE"/>
    <w:rsid w:val="00C87ACE"/>
    <w:rsid w:val="00C904AD"/>
    <w:rsid w:val="00C95E5A"/>
    <w:rsid w:val="00CA3C65"/>
    <w:rsid w:val="00CA55F7"/>
    <w:rsid w:val="00CB57DE"/>
    <w:rsid w:val="00CC0641"/>
    <w:rsid w:val="00CC0F55"/>
    <w:rsid w:val="00CC2691"/>
    <w:rsid w:val="00CC3E97"/>
    <w:rsid w:val="00CD01D6"/>
    <w:rsid w:val="00CD2347"/>
    <w:rsid w:val="00CD51DD"/>
    <w:rsid w:val="00CD6260"/>
    <w:rsid w:val="00CD7E23"/>
    <w:rsid w:val="00D130AF"/>
    <w:rsid w:val="00D1392E"/>
    <w:rsid w:val="00D13EB8"/>
    <w:rsid w:val="00D1559A"/>
    <w:rsid w:val="00D234F8"/>
    <w:rsid w:val="00D42C68"/>
    <w:rsid w:val="00D46587"/>
    <w:rsid w:val="00D4699D"/>
    <w:rsid w:val="00D55D07"/>
    <w:rsid w:val="00D56EC4"/>
    <w:rsid w:val="00D61032"/>
    <w:rsid w:val="00D62C0E"/>
    <w:rsid w:val="00D70C16"/>
    <w:rsid w:val="00D879EE"/>
    <w:rsid w:val="00D87FF7"/>
    <w:rsid w:val="00D9316D"/>
    <w:rsid w:val="00D9321E"/>
    <w:rsid w:val="00D93FF5"/>
    <w:rsid w:val="00D97044"/>
    <w:rsid w:val="00DB3F82"/>
    <w:rsid w:val="00DB709F"/>
    <w:rsid w:val="00DC2D46"/>
    <w:rsid w:val="00DC5687"/>
    <w:rsid w:val="00DE68E0"/>
    <w:rsid w:val="00DE69B9"/>
    <w:rsid w:val="00DF0C7B"/>
    <w:rsid w:val="00DF72C1"/>
    <w:rsid w:val="00E00977"/>
    <w:rsid w:val="00E029A0"/>
    <w:rsid w:val="00E069D7"/>
    <w:rsid w:val="00E108DC"/>
    <w:rsid w:val="00E126CB"/>
    <w:rsid w:val="00E13CD4"/>
    <w:rsid w:val="00E25660"/>
    <w:rsid w:val="00E32C0E"/>
    <w:rsid w:val="00E379A6"/>
    <w:rsid w:val="00E40856"/>
    <w:rsid w:val="00E45876"/>
    <w:rsid w:val="00E57082"/>
    <w:rsid w:val="00E61E28"/>
    <w:rsid w:val="00E62AFC"/>
    <w:rsid w:val="00E65CEC"/>
    <w:rsid w:val="00E84351"/>
    <w:rsid w:val="00E85862"/>
    <w:rsid w:val="00E92B6C"/>
    <w:rsid w:val="00E964E5"/>
    <w:rsid w:val="00E96E0F"/>
    <w:rsid w:val="00E979D8"/>
    <w:rsid w:val="00EA1238"/>
    <w:rsid w:val="00EA5EA1"/>
    <w:rsid w:val="00EB2795"/>
    <w:rsid w:val="00EB3765"/>
    <w:rsid w:val="00EB5213"/>
    <w:rsid w:val="00EC107D"/>
    <w:rsid w:val="00EC1ED7"/>
    <w:rsid w:val="00EC6262"/>
    <w:rsid w:val="00EC7B18"/>
    <w:rsid w:val="00EE56FE"/>
    <w:rsid w:val="00EE7BE4"/>
    <w:rsid w:val="00EF0C55"/>
    <w:rsid w:val="00EF2F0F"/>
    <w:rsid w:val="00F05305"/>
    <w:rsid w:val="00F14CDE"/>
    <w:rsid w:val="00F16E4B"/>
    <w:rsid w:val="00F210DC"/>
    <w:rsid w:val="00F23AAD"/>
    <w:rsid w:val="00F258F5"/>
    <w:rsid w:val="00F64FDC"/>
    <w:rsid w:val="00F7187C"/>
    <w:rsid w:val="00F71B76"/>
    <w:rsid w:val="00F73973"/>
    <w:rsid w:val="00F740C5"/>
    <w:rsid w:val="00F765F3"/>
    <w:rsid w:val="00F834D1"/>
    <w:rsid w:val="00F912C9"/>
    <w:rsid w:val="00F9324C"/>
    <w:rsid w:val="00F93BC1"/>
    <w:rsid w:val="00F94CE4"/>
    <w:rsid w:val="00F9644F"/>
    <w:rsid w:val="00FA2130"/>
    <w:rsid w:val="00FA558B"/>
    <w:rsid w:val="00FA6A18"/>
    <w:rsid w:val="00FD281A"/>
    <w:rsid w:val="00FD412F"/>
    <w:rsid w:val="00FF5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6AA01"/>
  <w14:defaultImageDpi w14:val="32767"/>
  <w15:chartTrackingRefBased/>
  <w15:docId w15:val="{B1829F75-86FF-6049-B1A0-B7C5EC15E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9324C"/>
    <w:rPr>
      <w:rFonts w:ascii="Times New Roman" w:eastAsia="Times New Roman" w:hAnsi="Times New Roman" w:cs="Times New Roman"/>
      <w:lang w:val="en-ZA"/>
    </w:rPr>
  </w:style>
  <w:style w:type="paragraph" w:styleId="Heading2">
    <w:name w:val="heading 2"/>
    <w:basedOn w:val="Normal"/>
    <w:link w:val="Heading2Char"/>
    <w:uiPriority w:val="9"/>
    <w:qFormat/>
    <w:rsid w:val="00852F6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24E9"/>
    <w:rPr>
      <w:rFonts w:eastAsiaTheme="minorHAnsi"/>
      <w:sz w:val="18"/>
      <w:szCs w:val="18"/>
      <w:lang w:val="en-GB"/>
    </w:rPr>
  </w:style>
  <w:style w:type="character" w:customStyle="1" w:styleId="BalloonTextChar">
    <w:name w:val="Balloon Text Char"/>
    <w:basedOn w:val="DefaultParagraphFont"/>
    <w:link w:val="BalloonText"/>
    <w:uiPriority w:val="99"/>
    <w:semiHidden/>
    <w:rsid w:val="009524E9"/>
    <w:rPr>
      <w:rFonts w:ascii="Times New Roman" w:hAnsi="Times New Roman" w:cs="Times New Roman"/>
      <w:sz w:val="18"/>
      <w:szCs w:val="18"/>
    </w:rPr>
  </w:style>
  <w:style w:type="character" w:styleId="Hyperlink">
    <w:name w:val="Hyperlink"/>
    <w:basedOn w:val="DefaultParagraphFont"/>
    <w:uiPriority w:val="99"/>
    <w:unhideWhenUsed/>
    <w:rsid w:val="00CC2691"/>
    <w:rPr>
      <w:color w:val="0563C1" w:themeColor="hyperlink"/>
      <w:u w:val="single"/>
    </w:rPr>
  </w:style>
  <w:style w:type="character" w:styleId="UnresolvedMention">
    <w:name w:val="Unresolved Mention"/>
    <w:basedOn w:val="DefaultParagraphFont"/>
    <w:uiPriority w:val="99"/>
    <w:rsid w:val="00CC2691"/>
    <w:rPr>
      <w:color w:val="605E5C"/>
      <w:shd w:val="clear" w:color="auto" w:fill="E1DFDD"/>
    </w:rPr>
  </w:style>
  <w:style w:type="character" w:styleId="FollowedHyperlink">
    <w:name w:val="FollowedHyperlink"/>
    <w:basedOn w:val="DefaultParagraphFont"/>
    <w:uiPriority w:val="99"/>
    <w:semiHidden/>
    <w:unhideWhenUsed/>
    <w:rsid w:val="00D879EE"/>
    <w:rPr>
      <w:color w:val="954F72" w:themeColor="followedHyperlink"/>
      <w:u w:val="single"/>
    </w:rPr>
  </w:style>
  <w:style w:type="character" w:customStyle="1" w:styleId="Heading2Char">
    <w:name w:val="Heading 2 Char"/>
    <w:basedOn w:val="DefaultParagraphFont"/>
    <w:link w:val="Heading2"/>
    <w:uiPriority w:val="9"/>
    <w:rsid w:val="00852F68"/>
    <w:rPr>
      <w:rFonts w:ascii="Times New Roman" w:eastAsia="Times New Roman" w:hAnsi="Times New Roman" w:cs="Times New Roman"/>
      <w:b/>
      <w:bCs/>
      <w:sz w:val="36"/>
      <w:szCs w:val="36"/>
      <w:lang w:val="en-ZA"/>
    </w:rPr>
  </w:style>
  <w:style w:type="paragraph" w:customStyle="1" w:styleId="para">
    <w:name w:val="para"/>
    <w:basedOn w:val="Normal"/>
    <w:rsid w:val="00852F68"/>
    <w:pPr>
      <w:spacing w:before="100" w:beforeAutospacing="1" w:after="100" w:afterAutospacing="1"/>
    </w:pPr>
  </w:style>
  <w:style w:type="character" w:styleId="Emphasis">
    <w:name w:val="Emphasis"/>
    <w:basedOn w:val="DefaultParagraphFont"/>
    <w:uiPriority w:val="20"/>
    <w:qFormat/>
    <w:rsid w:val="00852F68"/>
    <w:rPr>
      <w:i/>
      <w:iCs/>
    </w:rPr>
  </w:style>
  <w:style w:type="paragraph" w:styleId="NoSpacing">
    <w:name w:val="No Spacing"/>
    <w:link w:val="NoSpacingChar"/>
    <w:uiPriority w:val="1"/>
    <w:qFormat/>
    <w:rsid w:val="00525363"/>
    <w:rPr>
      <w:rFonts w:eastAsiaTheme="minorEastAsia"/>
      <w:sz w:val="22"/>
      <w:szCs w:val="22"/>
      <w:lang w:val="en-US" w:eastAsia="zh-CN"/>
    </w:rPr>
  </w:style>
  <w:style w:type="character" w:customStyle="1" w:styleId="NoSpacingChar">
    <w:name w:val="No Spacing Char"/>
    <w:basedOn w:val="DefaultParagraphFont"/>
    <w:link w:val="NoSpacing"/>
    <w:uiPriority w:val="1"/>
    <w:rsid w:val="00525363"/>
    <w:rPr>
      <w:rFonts w:eastAsiaTheme="minorEastAsia"/>
      <w:sz w:val="22"/>
      <w:szCs w:val="22"/>
      <w:lang w:val="en-US" w:eastAsia="zh-CN"/>
    </w:rPr>
  </w:style>
  <w:style w:type="paragraph" w:styleId="Footer">
    <w:name w:val="footer"/>
    <w:basedOn w:val="Normal"/>
    <w:link w:val="FooterChar"/>
    <w:uiPriority w:val="99"/>
    <w:unhideWhenUsed/>
    <w:rsid w:val="001E6A78"/>
    <w:pPr>
      <w:tabs>
        <w:tab w:val="center" w:pos="4680"/>
        <w:tab w:val="right" w:pos="9360"/>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1E6A78"/>
  </w:style>
  <w:style w:type="character" w:styleId="PageNumber">
    <w:name w:val="page number"/>
    <w:basedOn w:val="DefaultParagraphFont"/>
    <w:uiPriority w:val="99"/>
    <w:semiHidden/>
    <w:unhideWhenUsed/>
    <w:rsid w:val="001E6A78"/>
  </w:style>
  <w:style w:type="paragraph" w:styleId="FootnoteText">
    <w:name w:val="footnote text"/>
    <w:basedOn w:val="Normal"/>
    <w:link w:val="FootnoteTextChar"/>
    <w:uiPriority w:val="99"/>
    <w:semiHidden/>
    <w:unhideWhenUsed/>
    <w:rsid w:val="00506EEC"/>
    <w:rPr>
      <w:sz w:val="20"/>
      <w:szCs w:val="20"/>
    </w:rPr>
  </w:style>
  <w:style w:type="character" w:customStyle="1" w:styleId="FootnoteTextChar">
    <w:name w:val="Footnote Text Char"/>
    <w:basedOn w:val="DefaultParagraphFont"/>
    <w:link w:val="FootnoteText"/>
    <w:uiPriority w:val="99"/>
    <w:semiHidden/>
    <w:rsid w:val="00506EEC"/>
    <w:rPr>
      <w:rFonts w:ascii="Times New Roman" w:eastAsia="Times New Roman" w:hAnsi="Times New Roman" w:cs="Times New Roman"/>
      <w:sz w:val="20"/>
      <w:szCs w:val="20"/>
      <w:lang w:val="en-ZA"/>
    </w:rPr>
  </w:style>
  <w:style w:type="character" w:styleId="FootnoteReference">
    <w:name w:val="footnote reference"/>
    <w:basedOn w:val="DefaultParagraphFont"/>
    <w:uiPriority w:val="99"/>
    <w:semiHidden/>
    <w:unhideWhenUsed/>
    <w:rsid w:val="00506EEC"/>
    <w:rPr>
      <w:vertAlign w:val="superscript"/>
    </w:rPr>
  </w:style>
  <w:style w:type="paragraph" w:styleId="Header">
    <w:name w:val="header"/>
    <w:basedOn w:val="Normal"/>
    <w:link w:val="HeaderChar"/>
    <w:uiPriority w:val="99"/>
    <w:unhideWhenUsed/>
    <w:rsid w:val="00C76503"/>
    <w:pPr>
      <w:tabs>
        <w:tab w:val="center" w:pos="4680"/>
        <w:tab w:val="right" w:pos="9360"/>
      </w:tabs>
    </w:pPr>
  </w:style>
  <w:style w:type="character" w:customStyle="1" w:styleId="HeaderChar">
    <w:name w:val="Header Char"/>
    <w:basedOn w:val="DefaultParagraphFont"/>
    <w:link w:val="Header"/>
    <w:uiPriority w:val="99"/>
    <w:rsid w:val="00C76503"/>
    <w:rPr>
      <w:rFonts w:ascii="Times New Roman" w:eastAsia="Times New Roman" w:hAnsi="Times New Roman" w:cs="Times New Roman"/>
      <w:lang w:val="en-ZA"/>
    </w:rPr>
  </w:style>
  <w:style w:type="paragraph" w:styleId="TOC1">
    <w:name w:val="toc 1"/>
    <w:basedOn w:val="Normal"/>
    <w:next w:val="Normal"/>
    <w:autoRedefine/>
    <w:uiPriority w:val="39"/>
    <w:unhideWhenUsed/>
    <w:rsid w:val="00613F64"/>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613F64"/>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613F64"/>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613F64"/>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613F64"/>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613F64"/>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613F64"/>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613F64"/>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613F64"/>
    <w:pPr>
      <w:ind w:left="1920"/>
    </w:pPr>
    <w:rPr>
      <w:rFonts w:asciiTheme="minorHAnsi" w:hAnsiTheme="minorHAnsi" w:cstheme="minorHAnsi"/>
      <w:sz w:val="18"/>
      <w:szCs w:val="18"/>
    </w:rPr>
  </w:style>
  <w:style w:type="paragraph" w:styleId="ListParagraph">
    <w:name w:val="List Paragraph"/>
    <w:basedOn w:val="Normal"/>
    <w:link w:val="ListParagraphChar"/>
    <w:uiPriority w:val="34"/>
    <w:qFormat/>
    <w:rsid w:val="00E32C0E"/>
    <w:pPr>
      <w:ind w:left="720"/>
      <w:contextualSpacing/>
    </w:pPr>
  </w:style>
  <w:style w:type="character" w:customStyle="1" w:styleId="ListParagraphChar">
    <w:name w:val="List Paragraph Char"/>
    <w:link w:val="ListParagraph"/>
    <w:uiPriority w:val="34"/>
    <w:locked/>
    <w:rsid w:val="00934A76"/>
    <w:rPr>
      <w:rFonts w:ascii="Times New Roman" w:eastAsia="Times New Roman" w:hAnsi="Times New Roman" w:cs="Times New Roman"/>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2050">
      <w:bodyDiv w:val="1"/>
      <w:marLeft w:val="0"/>
      <w:marRight w:val="0"/>
      <w:marTop w:val="0"/>
      <w:marBottom w:val="0"/>
      <w:divBdr>
        <w:top w:val="none" w:sz="0" w:space="0" w:color="auto"/>
        <w:left w:val="none" w:sz="0" w:space="0" w:color="auto"/>
        <w:bottom w:val="none" w:sz="0" w:space="0" w:color="auto"/>
        <w:right w:val="none" w:sz="0" w:space="0" w:color="auto"/>
      </w:divBdr>
    </w:div>
    <w:div w:id="529490050">
      <w:bodyDiv w:val="1"/>
      <w:marLeft w:val="0"/>
      <w:marRight w:val="0"/>
      <w:marTop w:val="0"/>
      <w:marBottom w:val="0"/>
      <w:divBdr>
        <w:top w:val="none" w:sz="0" w:space="0" w:color="auto"/>
        <w:left w:val="none" w:sz="0" w:space="0" w:color="auto"/>
        <w:bottom w:val="none" w:sz="0" w:space="0" w:color="auto"/>
        <w:right w:val="none" w:sz="0" w:space="0" w:color="auto"/>
      </w:divBdr>
    </w:div>
    <w:div w:id="582300453">
      <w:bodyDiv w:val="1"/>
      <w:marLeft w:val="0"/>
      <w:marRight w:val="0"/>
      <w:marTop w:val="0"/>
      <w:marBottom w:val="0"/>
      <w:divBdr>
        <w:top w:val="none" w:sz="0" w:space="0" w:color="auto"/>
        <w:left w:val="none" w:sz="0" w:space="0" w:color="auto"/>
        <w:bottom w:val="none" w:sz="0" w:space="0" w:color="auto"/>
        <w:right w:val="none" w:sz="0" w:space="0" w:color="auto"/>
      </w:divBdr>
    </w:div>
    <w:div w:id="602030642">
      <w:bodyDiv w:val="1"/>
      <w:marLeft w:val="0"/>
      <w:marRight w:val="0"/>
      <w:marTop w:val="0"/>
      <w:marBottom w:val="0"/>
      <w:divBdr>
        <w:top w:val="none" w:sz="0" w:space="0" w:color="auto"/>
        <w:left w:val="none" w:sz="0" w:space="0" w:color="auto"/>
        <w:bottom w:val="none" w:sz="0" w:space="0" w:color="auto"/>
        <w:right w:val="none" w:sz="0" w:space="0" w:color="auto"/>
      </w:divBdr>
    </w:div>
    <w:div w:id="620650398">
      <w:bodyDiv w:val="1"/>
      <w:marLeft w:val="0"/>
      <w:marRight w:val="0"/>
      <w:marTop w:val="0"/>
      <w:marBottom w:val="0"/>
      <w:divBdr>
        <w:top w:val="none" w:sz="0" w:space="0" w:color="auto"/>
        <w:left w:val="none" w:sz="0" w:space="0" w:color="auto"/>
        <w:bottom w:val="none" w:sz="0" w:space="0" w:color="auto"/>
        <w:right w:val="none" w:sz="0" w:space="0" w:color="auto"/>
      </w:divBdr>
    </w:div>
    <w:div w:id="645861920">
      <w:bodyDiv w:val="1"/>
      <w:marLeft w:val="0"/>
      <w:marRight w:val="0"/>
      <w:marTop w:val="0"/>
      <w:marBottom w:val="0"/>
      <w:divBdr>
        <w:top w:val="none" w:sz="0" w:space="0" w:color="auto"/>
        <w:left w:val="none" w:sz="0" w:space="0" w:color="auto"/>
        <w:bottom w:val="none" w:sz="0" w:space="0" w:color="auto"/>
        <w:right w:val="none" w:sz="0" w:space="0" w:color="auto"/>
      </w:divBdr>
    </w:div>
    <w:div w:id="679039429">
      <w:bodyDiv w:val="1"/>
      <w:marLeft w:val="0"/>
      <w:marRight w:val="0"/>
      <w:marTop w:val="0"/>
      <w:marBottom w:val="0"/>
      <w:divBdr>
        <w:top w:val="none" w:sz="0" w:space="0" w:color="auto"/>
        <w:left w:val="none" w:sz="0" w:space="0" w:color="auto"/>
        <w:bottom w:val="none" w:sz="0" w:space="0" w:color="auto"/>
        <w:right w:val="none" w:sz="0" w:space="0" w:color="auto"/>
      </w:divBdr>
    </w:div>
    <w:div w:id="708720203">
      <w:bodyDiv w:val="1"/>
      <w:marLeft w:val="0"/>
      <w:marRight w:val="0"/>
      <w:marTop w:val="0"/>
      <w:marBottom w:val="0"/>
      <w:divBdr>
        <w:top w:val="none" w:sz="0" w:space="0" w:color="auto"/>
        <w:left w:val="none" w:sz="0" w:space="0" w:color="auto"/>
        <w:bottom w:val="none" w:sz="0" w:space="0" w:color="auto"/>
        <w:right w:val="none" w:sz="0" w:space="0" w:color="auto"/>
      </w:divBdr>
    </w:div>
    <w:div w:id="849300425">
      <w:bodyDiv w:val="1"/>
      <w:marLeft w:val="0"/>
      <w:marRight w:val="0"/>
      <w:marTop w:val="0"/>
      <w:marBottom w:val="0"/>
      <w:divBdr>
        <w:top w:val="none" w:sz="0" w:space="0" w:color="auto"/>
        <w:left w:val="none" w:sz="0" w:space="0" w:color="auto"/>
        <w:bottom w:val="none" w:sz="0" w:space="0" w:color="auto"/>
        <w:right w:val="none" w:sz="0" w:space="0" w:color="auto"/>
      </w:divBdr>
    </w:div>
    <w:div w:id="910776194">
      <w:bodyDiv w:val="1"/>
      <w:marLeft w:val="0"/>
      <w:marRight w:val="0"/>
      <w:marTop w:val="0"/>
      <w:marBottom w:val="0"/>
      <w:divBdr>
        <w:top w:val="none" w:sz="0" w:space="0" w:color="auto"/>
        <w:left w:val="none" w:sz="0" w:space="0" w:color="auto"/>
        <w:bottom w:val="none" w:sz="0" w:space="0" w:color="auto"/>
        <w:right w:val="none" w:sz="0" w:space="0" w:color="auto"/>
      </w:divBdr>
    </w:div>
    <w:div w:id="1300725302">
      <w:bodyDiv w:val="1"/>
      <w:marLeft w:val="0"/>
      <w:marRight w:val="0"/>
      <w:marTop w:val="0"/>
      <w:marBottom w:val="0"/>
      <w:divBdr>
        <w:top w:val="none" w:sz="0" w:space="0" w:color="auto"/>
        <w:left w:val="none" w:sz="0" w:space="0" w:color="auto"/>
        <w:bottom w:val="none" w:sz="0" w:space="0" w:color="auto"/>
        <w:right w:val="none" w:sz="0" w:space="0" w:color="auto"/>
      </w:divBdr>
    </w:div>
    <w:div w:id="1323855557">
      <w:bodyDiv w:val="1"/>
      <w:marLeft w:val="0"/>
      <w:marRight w:val="0"/>
      <w:marTop w:val="0"/>
      <w:marBottom w:val="0"/>
      <w:divBdr>
        <w:top w:val="none" w:sz="0" w:space="0" w:color="auto"/>
        <w:left w:val="none" w:sz="0" w:space="0" w:color="auto"/>
        <w:bottom w:val="none" w:sz="0" w:space="0" w:color="auto"/>
        <w:right w:val="none" w:sz="0" w:space="0" w:color="auto"/>
      </w:divBdr>
    </w:div>
    <w:div w:id="1514762276">
      <w:bodyDiv w:val="1"/>
      <w:marLeft w:val="0"/>
      <w:marRight w:val="0"/>
      <w:marTop w:val="0"/>
      <w:marBottom w:val="0"/>
      <w:divBdr>
        <w:top w:val="none" w:sz="0" w:space="0" w:color="auto"/>
        <w:left w:val="none" w:sz="0" w:space="0" w:color="auto"/>
        <w:bottom w:val="none" w:sz="0" w:space="0" w:color="auto"/>
        <w:right w:val="none" w:sz="0" w:space="0" w:color="auto"/>
      </w:divBdr>
    </w:div>
    <w:div w:id="1516654164">
      <w:bodyDiv w:val="1"/>
      <w:marLeft w:val="0"/>
      <w:marRight w:val="0"/>
      <w:marTop w:val="0"/>
      <w:marBottom w:val="0"/>
      <w:divBdr>
        <w:top w:val="none" w:sz="0" w:space="0" w:color="auto"/>
        <w:left w:val="none" w:sz="0" w:space="0" w:color="auto"/>
        <w:bottom w:val="none" w:sz="0" w:space="0" w:color="auto"/>
        <w:right w:val="none" w:sz="0" w:space="0" w:color="auto"/>
      </w:divBdr>
    </w:div>
    <w:div w:id="1525629441">
      <w:bodyDiv w:val="1"/>
      <w:marLeft w:val="0"/>
      <w:marRight w:val="0"/>
      <w:marTop w:val="0"/>
      <w:marBottom w:val="0"/>
      <w:divBdr>
        <w:top w:val="none" w:sz="0" w:space="0" w:color="auto"/>
        <w:left w:val="none" w:sz="0" w:space="0" w:color="auto"/>
        <w:bottom w:val="none" w:sz="0" w:space="0" w:color="auto"/>
        <w:right w:val="none" w:sz="0" w:space="0" w:color="auto"/>
      </w:divBdr>
    </w:div>
    <w:div w:id="1694502993">
      <w:bodyDiv w:val="1"/>
      <w:marLeft w:val="0"/>
      <w:marRight w:val="0"/>
      <w:marTop w:val="0"/>
      <w:marBottom w:val="0"/>
      <w:divBdr>
        <w:top w:val="none" w:sz="0" w:space="0" w:color="auto"/>
        <w:left w:val="none" w:sz="0" w:space="0" w:color="auto"/>
        <w:bottom w:val="none" w:sz="0" w:space="0" w:color="auto"/>
        <w:right w:val="none" w:sz="0" w:space="0" w:color="auto"/>
      </w:divBdr>
    </w:div>
    <w:div w:id="1715696395">
      <w:bodyDiv w:val="1"/>
      <w:marLeft w:val="0"/>
      <w:marRight w:val="0"/>
      <w:marTop w:val="0"/>
      <w:marBottom w:val="0"/>
      <w:divBdr>
        <w:top w:val="none" w:sz="0" w:space="0" w:color="auto"/>
        <w:left w:val="none" w:sz="0" w:space="0" w:color="auto"/>
        <w:bottom w:val="none" w:sz="0" w:space="0" w:color="auto"/>
        <w:right w:val="none" w:sz="0" w:space="0" w:color="auto"/>
      </w:divBdr>
    </w:div>
    <w:div w:id="1923643908">
      <w:bodyDiv w:val="1"/>
      <w:marLeft w:val="0"/>
      <w:marRight w:val="0"/>
      <w:marTop w:val="0"/>
      <w:marBottom w:val="0"/>
      <w:divBdr>
        <w:top w:val="none" w:sz="0" w:space="0" w:color="auto"/>
        <w:left w:val="none" w:sz="0" w:space="0" w:color="auto"/>
        <w:bottom w:val="none" w:sz="0" w:space="0" w:color="auto"/>
        <w:right w:val="none" w:sz="0" w:space="0" w:color="auto"/>
      </w:divBdr>
    </w:div>
    <w:div w:id="193169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6.tiff"/><Relationship Id="rId18" Type="http://schemas.openxmlformats.org/officeDocument/2006/relationships/image" Target="media/image9.tiff"/><Relationship Id="rId26" Type="http://schemas.openxmlformats.org/officeDocument/2006/relationships/hyperlink" Target="https://www.japantimes.co.jp/news/2019/03/20/business/u-s-push-free-trade-agreement-looks-open-japans-agriculture-market/" TargetMode="External"/><Relationship Id="rId3" Type="http://schemas.openxmlformats.org/officeDocument/2006/relationships/settings" Target="settings.xml"/><Relationship Id="rId21" Type="http://schemas.openxmlformats.org/officeDocument/2006/relationships/hyperlink" Target="https://www.imf.org/en/Publications/WEO/Issues/2018/03/20/world-economic-outlook-april-2018" TargetMode="External"/><Relationship Id="rId7" Type="http://schemas.openxmlformats.org/officeDocument/2006/relationships/image" Target="media/image1.tiff"/><Relationship Id="rId12" Type="http://schemas.openxmlformats.org/officeDocument/2006/relationships/image" Target="media/image5.tiff"/><Relationship Id="rId17" Type="http://schemas.openxmlformats.org/officeDocument/2006/relationships/hyperlink" Target="https://search-proquest-com.ezproxy.uwtsd.ac.uk/abicomplete/docview/304958491/fulltextPDF/759FB2F72B6E4D72PQ/1?accountid=130472" TargetMode="External"/><Relationship Id="rId25" Type="http://schemas.openxmlformats.org/officeDocument/2006/relationships/hyperlink" Target="https://www.pharmavoice.com/article/2016-09-germany/" TargetMode="External"/><Relationship Id="rId2" Type="http://schemas.openxmlformats.org/officeDocument/2006/relationships/styles" Target="styles.xml"/><Relationship Id="rId16" Type="http://schemas.openxmlformats.org/officeDocument/2006/relationships/image" Target="media/image8.tiff"/><Relationship Id="rId20" Type="http://schemas.openxmlformats.org/officeDocument/2006/relationships/image" Target="media/image10.tif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f"/><Relationship Id="rId24" Type="http://schemas.openxmlformats.org/officeDocument/2006/relationships/hyperlink" Target="https://2012books.lardbucket.org/books/challenges-and-opportunities-in-international-business/s06-01-what-is-international-trade-th.html" TargetMode="External"/><Relationship Id="rId5" Type="http://schemas.openxmlformats.org/officeDocument/2006/relationships/footnotes" Target="footnotes.xml"/><Relationship Id="rId15" Type="http://schemas.openxmlformats.org/officeDocument/2006/relationships/hyperlink" Target="https://search-proquest-com.ezproxy.uwtsd.ac.uk/abicomplete/docview/304958491/fulltextPDF/759FB2F72B6E4D72PQ/1?accountid=130472" TargetMode="External"/><Relationship Id="rId23" Type="http://schemas.openxmlformats.org/officeDocument/2006/relationships/hyperlink" Target="https://search-proquest-com.ezproxy.uwtsd.ac.uk/abicomplete/docview/304958491/fulltextPDF/759FB2F72B6E4D72PQ/1?accountid=130472" TargetMode="External"/><Relationship Id="rId28" Type="http://schemas.openxmlformats.org/officeDocument/2006/relationships/footer" Target="footer2.xml"/><Relationship Id="rId10" Type="http://schemas.openxmlformats.org/officeDocument/2006/relationships/image" Target="media/image3.tiff"/><Relationship Id="rId19" Type="http://schemas.openxmlformats.org/officeDocument/2006/relationships/hyperlink" Target="https://search-proquest-com.ezproxy.uwtsd.ac.uk/abicomplete/docview/1826443566/fulltext/D98B55AE2EB74E86PQ/6?accountid=130472" TargetMode="External"/><Relationship Id="rId4" Type="http://schemas.openxmlformats.org/officeDocument/2006/relationships/webSettings" Target="webSettings.xml"/><Relationship Id="rId9" Type="http://schemas.openxmlformats.org/officeDocument/2006/relationships/hyperlink" Target="http://www.sunpharma.com" TargetMode="External"/><Relationship Id="rId14" Type="http://schemas.openxmlformats.org/officeDocument/2006/relationships/image" Target="media/image7.tiff"/><Relationship Id="rId22" Type="http://schemas.openxmlformats.org/officeDocument/2006/relationships/hyperlink" Target="https://www.statista.com/statistics/309466/global-r-and-d-expenditure-for-pharmaceutical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6515</Words>
  <Characters>37137</Characters>
  <Application>Microsoft Office Word</Application>
  <DocSecurity>0</DocSecurity>
  <Lines>309</Lines>
  <Paragraphs>87</Paragraphs>
  <ScaleCrop>false</ScaleCrop>
  <Company/>
  <LinksUpToDate>false</LinksUpToDate>
  <CharactersWithSpaces>43565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Peggy Klopper</dc:creator>
  <cp:keywords/>
  <dc:description/>
  <cp:lastModifiedBy>Peggy Klopper</cp:lastModifiedBy>
  <cp:revision>2</cp:revision>
  <dcterms:created xsi:type="dcterms:W3CDTF">2019-05-26T17:43:00Z</dcterms:created>
  <dcterms:modified xsi:type="dcterms:W3CDTF">2019-05-26T17:43:00Z</dcterms:modified>
</cp:coreProperties>
</file>